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CE3AF" w14:textId="77777777" w:rsidR="009B2EDF" w:rsidRPr="00590C58" w:rsidDel="008B4A23" w:rsidRDefault="009B2EDF" w:rsidP="009B2EDF">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Roboto" w:hAnsi="Roboto" w:cstheme="minorHAnsi"/>
          <w:b/>
          <w:bCs/>
          <w:color w:val="005493"/>
          <w:u w:color="005493"/>
          <w:lang w:val="de-DE"/>
        </w:rPr>
      </w:pPr>
      <w:bookmarkStart w:id="0" w:name="_Toc132295936"/>
      <w:r w:rsidRPr="00590C58">
        <w:rPr>
          <w:rStyle w:val="Aucun"/>
          <w:rFonts w:ascii="Roboto" w:hAnsi="Roboto" w:cstheme="minorHAnsi"/>
          <w:b/>
          <w:bCs/>
          <w:noProof/>
          <w:color w:val="005493"/>
          <w:u w:color="005493"/>
        </w:rPr>
        <w:drawing>
          <wp:anchor distT="0" distB="0" distL="114300" distR="114300" simplePos="0" relativeHeight="251659264" behindDoc="1" locked="0" layoutInCell="1" allowOverlap="1" wp14:anchorId="611D8B36" wp14:editId="57B88B92">
            <wp:simplePos x="0" y="0"/>
            <wp:positionH relativeFrom="margin">
              <wp:align>right</wp:align>
            </wp:positionH>
            <wp:positionV relativeFrom="paragraph">
              <wp:posOffset>367</wp:posOffset>
            </wp:positionV>
            <wp:extent cx="1668145" cy="974993"/>
            <wp:effectExtent l="0" t="0" r="8255" b="0"/>
            <wp:wrapTight wrapText="bothSides">
              <wp:wrapPolygon edited="0">
                <wp:start x="0" y="0"/>
                <wp:lineTo x="0" y="21107"/>
                <wp:lineTo x="21460" y="21107"/>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11723" b="22150"/>
                    <a:stretch/>
                  </pic:blipFill>
                  <pic:spPr bwMode="auto">
                    <a:xfrm>
                      <a:off x="0" y="0"/>
                      <a:ext cx="1668145" cy="9749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90C58">
        <w:rPr>
          <w:rStyle w:val="Aucun"/>
          <w:rFonts w:ascii="Roboto" w:hAnsi="Roboto" w:cstheme="minorHAnsi"/>
          <w:b/>
          <w:bCs/>
          <w:noProof/>
          <w:color w:val="005493"/>
          <w:u w:color="005493"/>
        </w:rPr>
        <w:drawing>
          <wp:anchor distT="0" distB="0" distL="114300" distR="114300" simplePos="0" relativeHeight="251658240" behindDoc="1" locked="0" layoutInCell="1" allowOverlap="1" wp14:anchorId="558FC4CD" wp14:editId="0B4E58FD">
            <wp:simplePos x="0" y="0"/>
            <wp:positionH relativeFrom="margin">
              <wp:align>left</wp:align>
            </wp:positionH>
            <wp:positionV relativeFrom="paragraph">
              <wp:posOffset>575</wp:posOffset>
            </wp:positionV>
            <wp:extent cx="2279500" cy="1043940"/>
            <wp:effectExtent l="0" t="0" r="6985" b="3810"/>
            <wp:wrapTight wrapText="bothSides">
              <wp:wrapPolygon edited="0">
                <wp:start x="0" y="0"/>
                <wp:lineTo x="0" y="21285"/>
                <wp:lineTo x="21486" y="21285"/>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950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0C58">
        <w:rPr>
          <w:rStyle w:val="Aucun"/>
          <w:rFonts w:ascii="Roboto" w:hAnsi="Roboto" w:cstheme="minorHAnsi"/>
          <w:b/>
          <w:bCs/>
          <w:color w:val="005493"/>
          <w:u w:color="005493"/>
          <w:lang w:val="de-DE"/>
        </w:rPr>
        <w:tab/>
      </w:r>
      <w:r w:rsidRPr="00590C58">
        <w:rPr>
          <w:rStyle w:val="Aucun"/>
          <w:rFonts w:ascii="Roboto" w:hAnsi="Roboto" w:cstheme="minorHAnsi"/>
          <w:b/>
          <w:bCs/>
          <w:color w:val="005493"/>
          <w:u w:color="005493"/>
          <w:lang w:val="de-DE"/>
        </w:rPr>
        <w:tab/>
      </w:r>
    </w:p>
    <w:p w14:paraId="70D7AAC8" w14:textId="77777777" w:rsidR="009B2EDF" w:rsidRDefault="009B2EDF" w:rsidP="009B2EDF">
      <w:pPr>
        <w:spacing w:line="240" w:lineRule="auto"/>
        <w:jc w:val="both"/>
        <w:rPr>
          <w:rStyle w:val="Aucun"/>
          <w:rFonts w:ascii="Roboto" w:hAnsi="Roboto" w:cstheme="minorHAnsi"/>
          <w:b/>
          <w:bCs/>
          <w:color w:val="005493"/>
          <w:u w:color="005493"/>
          <w:lang w:val="de-DE"/>
        </w:rPr>
      </w:pPr>
    </w:p>
    <w:p w14:paraId="1CBF9E63" w14:textId="77777777" w:rsidR="009B2EDF" w:rsidRDefault="009B2EDF" w:rsidP="009B2EDF">
      <w:pPr>
        <w:spacing w:line="240" w:lineRule="auto"/>
        <w:jc w:val="both"/>
        <w:rPr>
          <w:rStyle w:val="Aucun"/>
          <w:rFonts w:ascii="Roboto" w:hAnsi="Roboto" w:cstheme="minorHAnsi"/>
          <w:b/>
          <w:bCs/>
          <w:color w:val="005493"/>
          <w:u w:color="005493"/>
          <w:lang w:val="de-DE"/>
        </w:rPr>
      </w:pPr>
    </w:p>
    <w:p w14:paraId="7E2C0CCF" w14:textId="77777777" w:rsidR="009B2EDF" w:rsidRPr="00590C58" w:rsidRDefault="009B2EDF" w:rsidP="009B2EDF">
      <w:pPr>
        <w:spacing w:line="240" w:lineRule="auto"/>
        <w:jc w:val="both"/>
        <w:rPr>
          <w:rStyle w:val="Aucun"/>
          <w:rFonts w:ascii="Roboto" w:hAnsi="Roboto" w:cstheme="minorHAnsi"/>
          <w:b/>
          <w:bCs/>
          <w:color w:val="005493"/>
          <w:u w:color="005493"/>
          <w:lang w:val="de-DE"/>
        </w:rPr>
      </w:pPr>
    </w:p>
    <w:p w14:paraId="7AF46106" w14:textId="77777777" w:rsidR="009B2EDF" w:rsidRPr="00590C58" w:rsidRDefault="009B2EDF" w:rsidP="009B2EDF">
      <w:pPr>
        <w:spacing w:after="0" w:line="240" w:lineRule="auto"/>
        <w:jc w:val="both"/>
        <w:rPr>
          <w:rFonts w:ascii="Roboto" w:hAnsi="Roboto" w:cstheme="minorHAnsi"/>
          <w:b/>
          <w:bCs/>
          <w:caps/>
          <w:color w:val="0000FF"/>
          <w:sz w:val="20"/>
          <w:szCs w:val="20"/>
        </w:rPr>
      </w:pPr>
    </w:p>
    <w:p w14:paraId="0C3B1EE4" w14:textId="77777777" w:rsidR="009B2EDF" w:rsidRPr="00590C58" w:rsidRDefault="009B2EDF" w:rsidP="009B2EDF">
      <w:pPr>
        <w:pBdr>
          <w:top w:val="triple" w:sz="4" w:space="30" w:color="auto"/>
          <w:bottom w:val="triple" w:sz="4" w:space="1" w:color="auto"/>
        </w:pBdr>
        <w:shd w:val="clear" w:color="auto" w:fill="D9D9D9" w:themeFill="background1" w:themeFillShade="D9"/>
        <w:spacing w:after="0" w:line="240" w:lineRule="auto"/>
        <w:jc w:val="center"/>
        <w:rPr>
          <w:rFonts w:ascii="Roboto" w:hAnsi="Roboto" w:cstheme="minorHAnsi"/>
          <w:b/>
          <w:bCs/>
          <w:caps/>
          <w:sz w:val="32"/>
          <w:szCs w:val="32"/>
        </w:rPr>
      </w:pPr>
      <w:r w:rsidRPr="00590C58">
        <w:rPr>
          <w:rFonts w:ascii="Roboto" w:hAnsi="Roboto" w:cstheme="minorHAnsi"/>
          <w:b/>
          <w:bCs/>
          <w:caps/>
          <w:sz w:val="32"/>
          <w:szCs w:val="32"/>
        </w:rPr>
        <w:t>Final Evaluation of THE “WOMEN AND GIRLS ACCESS TO JUSTICE THROUGH EFFECTIVE, ACCOUNTABLE AND GENDER-RESPONSIVE INSTITUTIONS” (ACCESS TO JUSTICE) PROJECT</w:t>
      </w:r>
    </w:p>
    <w:p w14:paraId="531CC01B" w14:textId="1BF63AF7" w:rsidR="009B2EDF" w:rsidRPr="00590C58" w:rsidRDefault="009B2EDF" w:rsidP="009B2EDF">
      <w:pPr>
        <w:pBdr>
          <w:top w:val="triple" w:sz="4" w:space="30" w:color="auto"/>
          <w:bottom w:val="triple" w:sz="4" w:space="1" w:color="auto"/>
        </w:pBdr>
        <w:shd w:val="clear" w:color="auto" w:fill="FFFFFF" w:themeFill="background1"/>
        <w:spacing w:line="240" w:lineRule="auto"/>
        <w:jc w:val="both"/>
        <w:rPr>
          <w:rFonts w:ascii="Roboto" w:hAnsi="Roboto" w:cstheme="minorHAnsi"/>
          <w:b/>
          <w:bCs/>
          <w:caps/>
          <w:color w:val="0000FF"/>
          <w:sz w:val="20"/>
          <w:szCs w:val="20"/>
        </w:rPr>
      </w:pPr>
    </w:p>
    <w:p w14:paraId="6F733992" w14:textId="5040CC81" w:rsidR="009B2EDF" w:rsidRDefault="009B2EDF" w:rsidP="009B2EDF">
      <w:pPr>
        <w:spacing w:line="240" w:lineRule="auto"/>
        <w:jc w:val="center"/>
        <w:rPr>
          <w:rFonts w:ascii="Roboto" w:hAnsi="Roboto" w:cstheme="minorHAnsi"/>
          <w:b/>
          <w:sz w:val="24"/>
          <w:szCs w:val="24"/>
        </w:rPr>
      </w:pPr>
      <w:r>
        <w:rPr>
          <w:rFonts w:ascii="Roboto" w:hAnsi="Roboto" w:cstheme="minorHAnsi"/>
          <w:b/>
          <w:bCs/>
          <w:caps/>
          <w:noProof/>
          <w:color w:val="0000FF"/>
          <w:sz w:val="20"/>
          <w:szCs w:val="20"/>
          <w14:ligatures w14:val="standardContextual"/>
        </w:rPr>
        <mc:AlternateContent>
          <mc:Choice Requires="wps">
            <w:drawing>
              <wp:anchor distT="0" distB="0" distL="114300" distR="114300" simplePos="0" relativeHeight="251661312" behindDoc="0" locked="0" layoutInCell="1" allowOverlap="1" wp14:anchorId="56E88C51" wp14:editId="4433C946">
                <wp:simplePos x="0" y="0"/>
                <wp:positionH relativeFrom="column">
                  <wp:posOffset>0</wp:posOffset>
                </wp:positionH>
                <wp:positionV relativeFrom="paragraph">
                  <wp:posOffset>3124200</wp:posOffset>
                </wp:positionV>
                <wp:extent cx="5925820" cy="429260"/>
                <wp:effectExtent l="0" t="0" r="0" b="8890"/>
                <wp:wrapTight wrapText="bothSides">
                  <wp:wrapPolygon edited="0">
                    <wp:start x="0" y="0"/>
                    <wp:lineTo x="0" y="21089"/>
                    <wp:lineTo x="21526" y="21089"/>
                    <wp:lineTo x="21526" y="0"/>
                    <wp:lineTo x="0" y="0"/>
                  </wp:wrapPolygon>
                </wp:wrapTight>
                <wp:docPr id="10" name="Rectangle 10"/>
                <wp:cNvGraphicFramePr/>
                <a:graphic xmlns:a="http://schemas.openxmlformats.org/drawingml/2006/main">
                  <a:graphicData uri="http://schemas.microsoft.com/office/word/2010/wordprocessingShape">
                    <wps:wsp>
                      <wps:cNvSpPr/>
                      <wps:spPr>
                        <a:xfrm>
                          <a:off x="0" y="0"/>
                          <a:ext cx="5925820" cy="429260"/>
                        </a:xfrm>
                        <a:prstGeom prst="rect">
                          <a:avLst/>
                        </a:prstGeom>
                        <a:solidFill>
                          <a:sysClr val="window" lastClr="FFFFFF"/>
                        </a:solidFill>
                        <a:ln w="12700" cap="flat" cmpd="sng" algn="ctr">
                          <a:noFill/>
                          <a:prstDash val="solid"/>
                          <a:miter lim="800000"/>
                        </a:ln>
                        <a:effectLst/>
                      </wps:spPr>
                      <wps:txbx>
                        <w:txbxContent>
                          <w:p w14:paraId="6C22EF26" w14:textId="5D662279" w:rsidR="00CD7AA2" w:rsidRPr="00CD7AA2" w:rsidRDefault="009B2EDF" w:rsidP="00CD7AA2">
                            <w:pPr>
                              <w:jc w:val="center"/>
                              <w:rPr>
                                <w:rFonts w:ascii="Arial Narrow" w:eastAsia="Times New Roman" w:hAnsi="Arial Narrow" w:cs="Verdana"/>
                                <w:sz w:val="18"/>
                                <w:szCs w:val="18"/>
                              </w:rPr>
                            </w:pPr>
                            <w:r w:rsidRPr="00CD7AA2">
                              <w:rPr>
                                <w:rFonts w:ascii="Roboto" w:hAnsi="Roboto"/>
                                <w:b/>
                                <w:bCs/>
                                <w:i/>
                                <w:iCs/>
                                <w:sz w:val="18"/>
                                <w:szCs w:val="18"/>
                              </w:rPr>
                              <w:t xml:space="preserve">UN Women Photo Gallery: </w:t>
                            </w:r>
                            <w:r w:rsidR="00CD7AA2" w:rsidRPr="00CD7AA2">
                              <w:rPr>
                                <w:rFonts w:ascii="Roboto" w:eastAsia="Times New Roman" w:hAnsi="Roboto" w:cs="Verdana"/>
                                <w:b/>
                                <w:bCs/>
                                <w:i/>
                                <w:iCs/>
                                <w:sz w:val="18"/>
                                <w:szCs w:val="18"/>
                              </w:rPr>
                              <w:t>Gulu High Court Circuit Open Court Day, at the Gulu High Court Grounds.</w:t>
                            </w:r>
                          </w:p>
                          <w:p w14:paraId="11265122" w14:textId="133D6C6F" w:rsidR="009B2EDF" w:rsidRPr="005B0948" w:rsidRDefault="009B2EDF" w:rsidP="009B2EDF">
                            <w:pPr>
                              <w:spacing w:after="240" w:line="276" w:lineRule="auto"/>
                              <w:contextualSpacing/>
                              <w:jc w:val="both"/>
                              <w:rPr>
                                <w:rFonts w:ascii="Roboto" w:hAnsi="Roboto"/>
                                <w:b/>
                                <w:bCs/>
                                <w:i/>
                                <w:iCs/>
                                <w:sz w:val="18"/>
                                <w:szCs w:val="18"/>
                                <w:lang w:val="en-CA"/>
                              </w:rPr>
                            </w:pPr>
                          </w:p>
                          <w:p w14:paraId="060339F5" w14:textId="77777777" w:rsidR="009B2EDF" w:rsidRDefault="009B2EDF" w:rsidP="009B2E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E88C51" id="Rectangle 10" o:spid="_x0000_s1026" style="position:absolute;left:0;text-align:left;margin-left:0;margin-top:246pt;width:466.6pt;height:33.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" fillcolor="window" stroked="f" strokeweight="1pt">
                <v:textbox>
                  <w:txbxContent>
                    <w:p w14:paraId="6C22EF26" w14:textId="5D662279" w:rsidR="00CD7AA2" w:rsidRPr="00CD7AA2" w:rsidRDefault="009B2EDF" w:rsidP="00CD7AA2">
                      <w:pPr>
                        <w:jc w:val="center"/>
                        <w:rPr>
                          <w:rFonts w:ascii="Arial Narrow" w:eastAsia="Times New Roman" w:hAnsi="Arial Narrow" w:cs="Verdana"/>
                          <w:sz w:val="18"/>
                          <w:szCs w:val="18"/>
                        </w:rPr>
                      </w:pPr>
                      <w:r w:rsidRPr="00CD7AA2">
                        <w:rPr>
                          <w:rFonts w:ascii="Roboto" w:hAnsi="Roboto"/>
                          <w:b/>
                          <w:bCs/>
                          <w:i/>
                          <w:iCs/>
                          <w:sz w:val="18"/>
                          <w:szCs w:val="18"/>
                        </w:rPr>
                        <w:t xml:space="preserve">UN Women Photo Gallery: </w:t>
                      </w:r>
                      <w:r w:rsidR="00CD7AA2" w:rsidRPr="00CD7AA2">
                        <w:rPr>
                          <w:rFonts w:ascii="Roboto" w:eastAsia="Times New Roman" w:hAnsi="Roboto" w:cs="Verdana"/>
                          <w:b/>
                          <w:bCs/>
                          <w:i/>
                          <w:iCs/>
                          <w:sz w:val="18"/>
                          <w:szCs w:val="18"/>
                        </w:rPr>
                        <w:t xml:space="preserve">Gulu High Court </w:t>
                      </w:r>
                      <w:r w:rsidR="00CD7AA2" w:rsidRPr="00CD7AA2">
                        <w:rPr>
                          <w:rFonts w:ascii="Roboto" w:eastAsia="Times New Roman" w:hAnsi="Roboto" w:cs="Verdana"/>
                          <w:b/>
                          <w:bCs/>
                          <w:i/>
                          <w:iCs/>
                          <w:sz w:val="18"/>
                          <w:szCs w:val="18"/>
                        </w:rPr>
                        <w:t>C</w:t>
                      </w:r>
                      <w:r w:rsidR="00CD7AA2" w:rsidRPr="00CD7AA2">
                        <w:rPr>
                          <w:rFonts w:ascii="Roboto" w:eastAsia="Times New Roman" w:hAnsi="Roboto" w:cs="Verdana"/>
                          <w:b/>
                          <w:bCs/>
                          <w:i/>
                          <w:iCs/>
                          <w:sz w:val="18"/>
                          <w:szCs w:val="18"/>
                        </w:rPr>
                        <w:t xml:space="preserve">ircuit </w:t>
                      </w:r>
                      <w:r w:rsidR="00CD7AA2" w:rsidRPr="00CD7AA2">
                        <w:rPr>
                          <w:rFonts w:ascii="Roboto" w:eastAsia="Times New Roman" w:hAnsi="Roboto" w:cs="Verdana"/>
                          <w:b/>
                          <w:bCs/>
                          <w:i/>
                          <w:iCs/>
                          <w:sz w:val="18"/>
                          <w:szCs w:val="18"/>
                        </w:rPr>
                        <w:t xml:space="preserve">Open Court Day, </w:t>
                      </w:r>
                      <w:r w:rsidR="00CD7AA2" w:rsidRPr="00CD7AA2">
                        <w:rPr>
                          <w:rFonts w:ascii="Roboto" w:eastAsia="Times New Roman" w:hAnsi="Roboto" w:cs="Verdana"/>
                          <w:b/>
                          <w:bCs/>
                          <w:i/>
                          <w:iCs/>
                          <w:sz w:val="18"/>
                          <w:szCs w:val="18"/>
                        </w:rPr>
                        <w:t>at the Gulu High Court Grounds.</w:t>
                      </w:r>
                    </w:p>
                    <w:p w14:paraId="11265122" w14:textId="133D6C6F" w:rsidR="009B2EDF" w:rsidRPr="005B0948" w:rsidRDefault="009B2EDF" w:rsidP="009B2EDF">
                      <w:pPr>
                        <w:spacing w:after="240" w:line="276" w:lineRule="auto"/>
                        <w:contextualSpacing/>
                        <w:jc w:val="both"/>
                        <w:rPr>
                          <w:rFonts w:ascii="Roboto" w:hAnsi="Roboto"/>
                          <w:b/>
                          <w:bCs/>
                          <w:i/>
                          <w:iCs/>
                          <w:sz w:val="18"/>
                          <w:szCs w:val="18"/>
                          <w:lang w:val="en-CA"/>
                        </w:rPr>
                      </w:pPr>
                    </w:p>
                    <w:p w14:paraId="060339F5" w14:textId="77777777" w:rsidR="009B2EDF" w:rsidRDefault="009B2EDF" w:rsidP="009B2EDF">
                      <w:pPr>
                        <w:jc w:val="center"/>
                      </w:pPr>
                    </w:p>
                  </w:txbxContent>
                </v:textbox>
                <w10:wrap type="tight"/>
              </v:rect>
            </w:pict>
          </mc:Fallback>
        </mc:AlternateContent>
      </w:r>
      <w:r w:rsidRPr="003E3275">
        <w:rPr>
          <w:rFonts w:ascii="Arial Narrow" w:eastAsia="Times New Roman" w:hAnsi="Arial Narrow" w:cs="Verdana"/>
          <w:noProof/>
          <w:sz w:val="20"/>
          <w:szCs w:val="20"/>
          <w:lang w:val="en-GB" w:eastAsia="en-GB"/>
        </w:rPr>
        <w:drawing>
          <wp:inline distT="0" distB="0" distL="0" distR="0" wp14:anchorId="1224C663" wp14:editId="27DB8980">
            <wp:extent cx="4738977" cy="3080475"/>
            <wp:effectExtent l="0" t="0" r="508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Kasese 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0374" cy="3120385"/>
                    </a:xfrm>
                    <a:prstGeom prst="rect">
                      <a:avLst/>
                    </a:prstGeom>
                  </pic:spPr>
                </pic:pic>
              </a:graphicData>
            </a:graphic>
          </wp:inline>
        </w:drawing>
      </w:r>
    </w:p>
    <w:p w14:paraId="2E5CC284" w14:textId="40ECB710" w:rsidR="009B2EDF" w:rsidRDefault="00CD7AA2" w:rsidP="00CD7AA2">
      <w:pPr>
        <w:shd w:val="clear" w:color="auto" w:fill="D9E2F3" w:themeFill="accent1" w:themeFillTint="33"/>
        <w:spacing w:line="240" w:lineRule="auto"/>
        <w:jc w:val="center"/>
        <w:rPr>
          <w:rFonts w:ascii="Roboto" w:hAnsi="Roboto" w:cstheme="minorHAnsi"/>
          <w:b/>
          <w:sz w:val="24"/>
          <w:szCs w:val="24"/>
        </w:rPr>
      </w:pPr>
      <w:r w:rsidRPr="00CD7AA2">
        <w:rPr>
          <w:rFonts w:ascii="Roboto" w:hAnsi="Roboto" w:cstheme="minorHAnsi"/>
          <w:b/>
          <w:sz w:val="24"/>
          <w:szCs w:val="24"/>
          <w:shd w:val="clear" w:color="auto" w:fill="D9E2F3" w:themeFill="accent1" w:themeFillTint="33"/>
        </w:rPr>
        <w:t>EXECUTIVE SUMMARY</w:t>
      </w:r>
    </w:p>
    <w:p w14:paraId="3E309F6E" w14:textId="77777777" w:rsidR="009B2EDF" w:rsidRDefault="009B2EDF" w:rsidP="009B2EDF">
      <w:pPr>
        <w:spacing w:line="240" w:lineRule="auto"/>
        <w:jc w:val="center"/>
        <w:rPr>
          <w:rFonts w:ascii="Roboto" w:hAnsi="Roboto" w:cstheme="minorHAnsi"/>
          <w:b/>
          <w:sz w:val="24"/>
          <w:szCs w:val="24"/>
        </w:rPr>
      </w:pPr>
    </w:p>
    <w:p w14:paraId="2A68BD7E" w14:textId="77777777" w:rsidR="009B2EDF" w:rsidRDefault="009B2EDF" w:rsidP="009B2EDF">
      <w:pPr>
        <w:spacing w:line="240" w:lineRule="auto"/>
        <w:jc w:val="center"/>
        <w:rPr>
          <w:rFonts w:ascii="Roboto" w:hAnsi="Roboto" w:cstheme="minorHAnsi"/>
          <w:b/>
          <w:sz w:val="24"/>
          <w:szCs w:val="24"/>
        </w:rPr>
      </w:pPr>
    </w:p>
    <w:p w14:paraId="492526E7" w14:textId="77777777" w:rsidR="009B2EDF" w:rsidRDefault="009B2EDF" w:rsidP="009B2EDF">
      <w:pPr>
        <w:spacing w:line="240" w:lineRule="auto"/>
        <w:jc w:val="center"/>
        <w:rPr>
          <w:rFonts w:ascii="Roboto" w:hAnsi="Roboto" w:cstheme="minorHAnsi"/>
          <w:b/>
          <w:sz w:val="24"/>
          <w:szCs w:val="24"/>
        </w:rPr>
      </w:pPr>
    </w:p>
    <w:p w14:paraId="1102BD41" w14:textId="57EC005B" w:rsidR="009B2EDF" w:rsidRDefault="00CD7AA2" w:rsidP="00CD7AA2">
      <w:pPr>
        <w:spacing w:line="240" w:lineRule="auto"/>
        <w:jc w:val="center"/>
        <w:rPr>
          <w:rFonts w:ascii="Roboto" w:hAnsi="Roboto" w:cstheme="minorHAnsi"/>
          <w:b/>
          <w:sz w:val="24"/>
          <w:szCs w:val="24"/>
        </w:rPr>
      </w:pPr>
      <w:r>
        <w:rPr>
          <w:rFonts w:ascii="Roboto" w:hAnsi="Roboto" w:cstheme="minorHAnsi"/>
          <w:b/>
          <w:sz w:val="24"/>
          <w:szCs w:val="24"/>
        </w:rPr>
        <w:t xml:space="preserve">April </w:t>
      </w:r>
      <w:r w:rsidR="009B2EDF" w:rsidRPr="00590C58">
        <w:rPr>
          <w:rFonts w:ascii="Roboto" w:hAnsi="Roboto" w:cstheme="minorHAnsi"/>
          <w:b/>
          <w:sz w:val="24"/>
          <w:szCs w:val="24"/>
        </w:rPr>
        <w:t>2023</w:t>
      </w:r>
    </w:p>
    <w:p w14:paraId="31231A3D" w14:textId="77777777" w:rsidR="009B2EDF" w:rsidRDefault="009B2EDF" w:rsidP="009B2EDF">
      <w:pPr>
        <w:shd w:val="clear" w:color="auto" w:fill="FFFFFF"/>
        <w:spacing w:after="0" w:line="240" w:lineRule="auto"/>
        <w:jc w:val="center"/>
        <w:rPr>
          <w:rFonts w:ascii="Roboto" w:hAnsi="Roboto" w:cstheme="minorHAnsi"/>
          <w:b/>
          <w:sz w:val="24"/>
          <w:szCs w:val="24"/>
        </w:rPr>
      </w:pPr>
    </w:p>
    <w:p w14:paraId="2AB275C5" w14:textId="77777777" w:rsidR="009B2EDF" w:rsidRPr="00590C58" w:rsidRDefault="009B2EDF" w:rsidP="009B2EDF">
      <w:pPr>
        <w:shd w:val="clear" w:color="auto" w:fill="FFFFFF"/>
        <w:spacing w:after="0" w:line="240" w:lineRule="auto"/>
        <w:jc w:val="center"/>
        <w:rPr>
          <w:rFonts w:ascii="Roboto" w:hAnsi="Roboto" w:cstheme="minorHAnsi"/>
          <w:b/>
          <w:sz w:val="24"/>
          <w:szCs w:val="24"/>
        </w:rPr>
      </w:pPr>
    </w:p>
    <w:p w14:paraId="53CC5674" w14:textId="6817B9E6" w:rsidR="00CD7AA2" w:rsidRDefault="009B2EDF" w:rsidP="00CD7AA2">
      <w:pPr>
        <w:shd w:val="clear" w:color="auto" w:fill="FFFFFF"/>
        <w:spacing w:after="0" w:line="240" w:lineRule="auto"/>
        <w:jc w:val="center"/>
        <w:rPr>
          <w:rFonts w:ascii="Roboto" w:hAnsi="Roboto" w:cstheme="minorHAnsi"/>
          <w:bCs/>
          <w:color w:val="2F5496" w:themeColor="accent1" w:themeShade="BF"/>
          <w:sz w:val="24"/>
          <w:szCs w:val="24"/>
        </w:rPr>
      </w:pPr>
      <w:r w:rsidRPr="00590C58">
        <w:rPr>
          <w:rFonts w:ascii="Roboto" w:hAnsi="Roboto" w:cstheme="minorHAnsi"/>
          <w:b/>
          <w:color w:val="2F5496" w:themeColor="accent1" w:themeShade="BF"/>
          <w:sz w:val="24"/>
          <w:szCs w:val="24"/>
        </w:rPr>
        <w:t xml:space="preserve">By Paul Bukuluki </w:t>
      </w:r>
      <w:r w:rsidRPr="00590C58">
        <w:rPr>
          <w:rFonts w:ascii="Roboto" w:hAnsi="Roboto" w:cstheme="minorHAnsi"/>
          <w:b/>
          <w:bCs/>
          <w:color w:val="2F5496" w:themeColor="accent1" w:themeShade="BF"/>
          <w:sz w:val="24"/>
          <w:szCs w:val="24"/>
          <w:shd w:val="clear" w:color="auto" w:fill="FFFFFF"/>
        </w:rPr>
        <w:t xml:space="preserve">and </w:t>
      </w:r>
      <w:r w:rsidRPr="00590C58">
        <w:rPr>
          <w:rFonts w:ascii="Roboto" w:hAnsi="Roboto" w:cstheme="minorHAnsi"/>
          <w:b/>
          <w:color w:val="2F5496" w:themeColor="accent1" w:themeShade="BF"/>
          <w:sz w:val="24"/>
          <w:szCs w:val="24"/>
        </w:rPr>
        <w:t>Sydey Etima Ojara</w:t>
      </w:r>
      <w:r w:rsidRPr="00590C58">
        <w:rPr>
          <w:rFonts w:ascii="Roboto" w:hAnsi="Roboto" w:cstheme="minorHAnsi"/>
          <w:bCs/>
          <w:color w:val="2F5496" w:themeColor="accent1" w:themeShade="BF"/>
          <w:sz w:val="24"/>
          <w:szCs w:val="24"/>
        </w:rPr>
        <w:t xml:space="preserve"> </w:t>
      </w:r>
    </w:p>
    <w:p w14:paraId="714396BA" w14:textId="77777777" w:rsidR="00CD7AA2" w:rsidRDefault="00CD7AA2">
      <w:pPr>
        <w:rPr>
          <w:rFonts w:ascii="Roboto" w:hAnsi="Roboto" w:cstheme="minorHAnsi"/>
          <w:bCs/>
          <w:color w:val="2F5496" w:themeColor="accent1" w:themeShade="BF"/>
          <w:sz w:val="24"/>
          <w:szCs w:val="24"/>
        </w:rPr>
      </w:pPr>
      <w:r>
        <w:rPr>
          <w:rFonts w:ascii="Roboto" w:hAnsi="Roboto" w:cstheme="minorHAnsi"/>
          <w:bCs/>
          <w:color w:val="2F5496" w:themeColor="accent1" w:themeShade="BF"/>
          <w:sz w:val="24"/>
          <w:szCs w:val="24"/>
        </w:rPr>
        <w:br w:type="page"/>
      </w:r>
    </w:p>
    <w:p w14:paraId="520F045B" w14:textId="77777777" w:rsidR="00974806" w:rsidRDefault="00974806" w:rsidP="00974806">
      <w:pPr>
        <w:pStyle w:val="Heading1"/>
        <w:spacing w:line="240" w:lineRule="auto"/>
        <w:rPr>
          <w:rFonts w:ascii="Roboto" w:hAnsi="Roboto"/>
          <w:b/>
          <w:bCs/>
          <w:sz w:val="24"/>
          <w:szCs w:val="24"/>
        </w:rPr>
      </w:pPr>
      <w:r w:rsidRPr="00590C58">
        <w:rPr>
          <w:rFonts w:ascii="Roboto" w:hAnsi="Roboto"/>
          <w:b/>
          <w:bCs/>
          <w:sz w:val="24"/>
          <w:szCs w:val="24"/>
        </w:rPr>
        <w:lastRenderedPageBreak/>
        <w:t>EXECUTIVE SUMMARY</w:t>
      </w:r>
      <w:bookmarkEnd w:id="0"/>
    </w:p>
    <w:p w14:paraId="25270A3A" w14:textId="77777777" w:rsidR="00974806" w:rsidRPr="0071686F" w:rsidRDefault="00974806" w:rsidP="00974806">
      <w:pPr>
        <w:spacing w:after="0"/>
      </w:pPr>
    </w:p>
    <w:p w14:paraId="65C00D83" w14:textId="77777777" w:rsidR="00974806" w:rsidRPr="00590C58" w:rsidRDefault="00974806" w:rsidP="00974806">
      <w:pPr>
        <w:spacing w:after="0" w:line="240" w:lineRule="auto"/>
        <w:jc w:val="both"/>
        <w:rPr>
          <w:rFonts w:ascii="Roboto" w:eastAsia="Arial" w:hAnsi="Roboto" w:cs="Arial"/>
          <w:b/>
          <w:bCs/>
          <w:color w:val="ED7D31" w:themeColor="accent2"/>
          <w:sz w:val="24"/>
          <w:szCs w:val="24"/>
        </w:rPr>
      </w:pPr>
      <w:r w:rsidRPr="00590C58">
        <w:rPr>
          <w:rFonts w:ascii="Roboto" w:eastAsia="Arial" w:hAnsi="Roboto" w:cs="Arial"/>
          <w:b/>
          <w:bCs/>
          <w:color w:val="ED7D31" w:themeColor="accent2"/>
          <w:sz w:val="24"/>
          <w:szCs w:val="24"/>
        </w:rPr>
        <w:t xml:space="preserve">Introduction </w:t>
      </w:r>
    </w:p>
    <w:p w14:paraId="13D34E82" w14:textId="5AE24651" w:rsidR="00974806" w:rsidRPr="00125D3F" w:rsidRDefault="00974806" w:rsidP="00974806">
      <w:pPr>
        <w:spacing w:after="0" w:line="240" w:lineRule="auto"/>
        <w:jc w:val="both"/>
        <w:rPr>
          <w:rFonts w:ascii="Roboto" w:eastAsia="Calibri" w:hAnsi="Roboto" w:cstheme="minorHAnsi"/>
        </w:rPr>
      </w:pPr>
      <w:r w:rsidRPr="00125D3F">
        <w:rPr>
          <w:rFonts w:ascii="Roboto" w:eastAsia="Calibri" w:hAnsi="Roboto" w:cstheme="minorHAnsi"/>
        </w:rPr>
        <w:t xml:space="preserve">This Report presents findings of an Independent End Evaluation of </w:t>
      </w:r>
      <w:bookmarkStart w:id="1" w:name="_Hlk131507387"/>
      <w:r w:rsidRPr="00125D3F">
        <w:rPr>
          <w:rFonts w:ascii="Roboto" w:eastAsia="Calibri" w:hAnsi="Roboto" w:cstheme="minorHAnsi"/>
        </w:rPr>
        <w:t xml:space="preserve">the </w:t>
      </w:r>
      <w:r w:rsidRPr="00125D3F">
        <w:rPr>
          <w:rFonts w:ascii="Roboto" w:eastAsia="Calibri" w:hAnsi="Roboto" w:cstheme="minorHAnsi"/>
          <w:i/>
        </w:rPr>
        <w:t>“Women and Girls Access to Justice (A2J) Through Effective, Accountable and Gender Responsive Institutions (A2J Project)</w:t>
      </w:r>
      <w:r w:rsidRPr="00125D3F">
        <w:rPr>
          <w:rFonts w:ascii="Roboto" w:eastAsia="Calibri" w:hAnsi="Roboto" w:cstheme="minorHAnsi"/>
        </w:rPr>
        <w:t xml:space="preserve">” </w:t>
      </w:r>
      <w:bookmarkEnd w:id="1"/>
      <w:r w:rsidRPr="00125D3F">
        <w:rPr>
          <w:rFonts w:ascii="Roboto" w:eastAsia="Calibri" w:hAnsi="Roboto" w:cstheme="minorHAnsi"/>
        </w:rPr>
        <w:t xml:space="preserve">commissioned by the </w:t>
      </w:r>
      <w:r w:rsidRPr="00125D3F">
        <w:rPr>
          <w:rFonts w:ascii="Roboto" w:hAnsi="Roboto" w:cstheme="minorHAnsi"/>
        </w:rPr>
        <w:t>United Nations Entity for Gender Equality and the Empowerment of Women (UN Women</w:t>
      </w:r>
      <w:r w:rsidR="00941C6F" w:rsidRPr="00125D3F">
        <w:rPr>
          <w:rFonts w:ascii="Roboto" w:hAnsi="Roboto" w:cstheme="minorHAnsi"/>
        </w:rPr>
        <w:t xml:space="preserve"> – [UNW]</w:t>
      </w:r>
      <w:r w:rsidRPr="00125D3F">
        <w:rPr>
          <w:rFonts w:ascii="Roboto" w:hAnsi="Roboto" w:cstheme="minorHAnsi"/>
        </w:rPr>
        <w:t>) with support from the Austrian Development Agency (ADA)</w:t>
      </w:r>
      <w:r w:rsidRPr="00125D3F">
        <w:rPr>
          <w:rFonts w:ascii="Roboto" w:eastAsia="Calibri" w:hAnsi="Roboto" w:cstheme="minorHAnsi"/>
        </w:rPr>
        <w:t xml:space="preserve">. </w:t>
      </w:r>
      <w:r w:rsidRPr="00125D3F">
        <w:rPr>
          <w:rFonts w:ascii="Roboto" w:hAnsi="Roboto" w:cs="Calibri"/>
          <w:lang w:val="en-GB"/>
        </w:rPr>
        <w:t xml:space="preserve">The evaluation set out to assess the project’s achievements against set objectives, to identify and document lessons learnt (including design issues and best practices that can be scaled up or replicated). It examined how the project contributed to </w:t>
      </w:r>
      <w:r w:rsidRPr="00125D3F">
        <w:rPr>
          <w:rFonts w:ascii="Roboto" w:hAnsi="Roboto" w:cs="Calibri"/>
          <w:bCs/>
        </w:rPr>
        <w:t>harnessing the capacities of women towards the goals of providing access to justice to victims of Gender Based Violence (GBV). The evaluation was</w:t>
      </w:r>
      <w:r w:rsidRPr="00125D3F">
        <w:rPr>
          <w:rFonts w:ascii="Roboto" w:hAnsi="Roboto" w:cs="Calibri"/>
        </w:rPr>
        <w:t xml:space="preserve"> gender-responsive and human rights based in nature.</w:t>
      </w:r>
      <w:r w:rsidRPr="00125D3F">
        <w:rPr>
          <w:rFonts w:ascii="Roboto" w:hAnsi="Roboto" w:cs="Calibri"/>
          <w:lang w:val="en-GB"/>
        </w:rPr>
        <w:t xml:space="preserve"> </w:t>
      </w:r>
      <w:r w:rsidRPr="00125D3F">
        <w:rPr>
          <w:rFonts w:ascii="Roboto" w:eastAsia="Calibri" w:hAnsi="Roboto" w:cstheme="minorHAnsi"/>
        </w:rPr>
        <w:t xml:space="preserve"> </w:t>
      </w:r>
    </w:p>
    <w:p w14:paraId="2C7784A1" w14:textId="77777777" w:rsidR="00974806" w:rsidRPr="00125D3F" w:rsidRDefault="00974806" w:rsidP="00974806">
      <w:pPr>
        <w:spacing w:after="0" w:line="240" w:lineRule="auto"/>
        <w:jc w:val="both"/>
        <w:rPr>
          <w:rFonts w:ascii="Roboto" w:eastAsia="Calibri" w:hAnsi="Roboto" w:cstheme="minorHAnsi"/>
        </w:rPr>
      </w:pPr>
    </w:p>
    <w:p w14:paraId="0027DF32" w14:textId="77777777" w:rsidR="00974806" w:rsidRPr="00125D3F" w:rsidRDefault="00974806" w:rsidP="00974806">
      <w:pPr>
        <w:spacing w:after="0" w:line="240" w:lineRule="auto"/>
        <w:jc w:val="both"/>
        <w:rPr>
          <w:rFonts w:ascii="Roboto" w:hAnsi="Roboto" w:cs="Calibri"/>
        </w:rPr>
      </w:pPr>
      <w:r w:rsidRPr="00125D3F">
        <w:rPr>
          <w:rFonts w:ascii="Roboto" w:hAnsi="Roboto" w:cs="Calibri"/>
        </w:rPr>
        <w:t xml:space="preserve">The evaluation specifically, assessed the relevance of the project and its approach in line with local, national, and international priorities on A2J. The effectiveness and efficiency in achieving results, as defined in the logical framework, including the Theory of Change (TOC) were also assessed. The evaluation similarly analyzed how the human rights approach and gender equality principles were integrated in the design and implementation of the project. Lessons learned including understanding </w:t>
      </w:r>
      <w:r w:rsidRPr="00125D3F">
        <w:rPr>
          <w:rFonts w:ascii="Roboto" w:eastAsia="Times New Roman" w:hAnsi="Roboto" w:cs="Calibri"/>
        </w:rPr>
        <w:t xml:space="preserve">why particular development interventions worked out or not, </w:t>
      </w:r>
      <w:r w:rsidRPr="00125D3F">
        <w:rPr>
          <w:rFonts w:ascii="Roboto" w:hAnsi="Roboto" w:cs="Calibri"/>
        </w:rPr>
        <w:t xml:space="preserve">promising practices and innovations of work supported by A2J Project within the context of the aid effectiveness agenda were also identified. Annex I to this report provides the Evaluation Matrix used. Actionable recommendations with respect to the overall approach to implementation of the project are proposed. </w:t>
      </w:r>
    </w:p>
    <w:p w14:paraId="14AA3850" w14:textId="77777777" w:rsidR="00974806" w:rsidRPr="00125D3F" w:rsidRDefault="00974806" w:rsidP="00974806">
      <w:pPr>
        <w:pStyle w:val="Caption"/>
        <w:spacing w:after="0"/>
        <w:rPr>
          <w:rFonts w:ascii="Roboto" w:hAnsi="Roboto"/>
          <w:b/>
          <w:bCs/>
          <w:i w:val="0"/>
          <w:iCs w:val="0"/>
          <w:sz w:val="22"/>
          <w:szCs w:val="22"/>
        </w:rPr>
      </w:pPr>
    </w:p>
    <w:p w14:paraId="613F22EA" w14:textId="65CC9C29" w:rsidR="00974806" w:rsidRPr="00125D3F" w:rsidRDefault="00974806" w:rsidP="00974806">
      <w:pPr>
        <w:spacing w:after="0" w:line="240" w:lineRule="auto"/>
        <w:jc w:val="both"/>
        <w:rPr>
          <w:rFonts w:ascii="Roboto" w:eastAsia="Arial" w:hAnsi="Roboto" w:cs="Arial"/>
        </w:rPr>
      </w:pPr>
      <w:r w:rsidRPr="00125D3F">
        <w:rPr>
          <w:rFonts w:ascii="Roboto" w:eastAsia="Arial" w:hAnsi="Roboto" w:cs="Arial"/>
        </w:rPr>
        <w:t xml:space="preserve">The final evaluation was conducted at the national, district and community levels. At district and community level, the evaluation was conducted in five out of the 11 focus districts/centers of excellence. A cross-sectional mixed methods design involving qualitative and quantitative methods of data collection was adopted. The methods used followed the </w:t>
      </w:r>
      <w:hyperlink r:id="rId10">
        <w:r w:rsidRPr="00A539FC">
          <w:rPr>
            <w:rFonts w:eastAsia="Arial" w:cs="Arial"/>
          </w:rPr>
          <w:t>UNW Evaluation Policy</w:t>
        </w:r>
      </w:hyperlink>
      <w:r w:rsidRPr="00A539FC">
        <w:rPr>
          <w:rFonts w:eastAsia="Arial" w:cs="Arial"/>
        </w:rPr>
        <w:t>, Austria Development Agency (ADA) donor Guidelines for Programme and Project Evaluations</w:t>
      </w:r>
      <w:r w:rsidRPr="00A539FC">
        <w:rPr>
          <w:rFonts w:ascii="Roboto" w:eastAsia="Arial" w:hAnsi="Roboto" w:cs="Arial"/>
        </w:rPr>
        <w:t xml:space="preserve"> </w:t>
      </w:r>
      <w:r w:rsidRPr="00125D3F">
        <w:rPr>
          <w:rFonts w:ascii="Roboto" w:hAnsi="Roboto" w:cs="Calibri"/>
        </w:rPr>
        <w:t xml:space="preserve">and the </w:t>
      </w:r>
      <w:r w:rsidRPr="00125D3F">
        <w:rPr>
          <w:rFonts w:ascii="Roboto" w:eastAsia="Arial" w:hAnsi="Roboto" w:cs="Arial"/>
        </w:rPr>
        <w:t xml:space="preserve">Organization of Economic Cooperation and Development’s (OECD) evaluation criteria for assessing </w:t>
      </w:r>
      <w:r w:rsidRPr="00125D3F">
        <w:rPr>
          <w:rFonts w:ascii="Roboto" w:eastAsia="Arial" w:hAnsi="Roboto" w:cs="Arial"/>
          <w:color w:val="000000"/>
        </w:rPr>
        <w:t xml:space="preserve">relevance, effectiveness, efficiency, sustainability and impact of the A2J project. Qualitative data approaches included; </w:t>
      </w:r>
      <w:r w:rsidRPr="00A539FC">
        <w:rPr>
          <w:rFonts w:ascii="Roboto" w:eastAsia="Arial" w:hAnsi="Roboto" w:cs="Arial"/>
          <w:color w:val="000000"/>
        </w:rPr>
        <w:t xml:space="preserve">45 Key informant interviews (KIIs) at national and sub-national levels (district and community), 11 In-depth interviews (IDIs) and 18 focus group discussions (FGDs) at community level. A </w:t>
      </w:r>
      <w:r w:rsidRPr="00A539FC">
        <w:rPr>
          <w:rFonts w:ascii="Roboto" w:eastAsia="Arial" w:hAnsi="Roboto" w:cs="Arial"/>
        </w:rPr>
        <w:t>desk review of the project documents including the A2J</w:t>
      </w:r>
      <w:r w:rsidRPr="00125D3F">
        <w:rPr>
          <w:rFonts w:ascii="Roboto" w:eastAsia="Arial" w:hAnsi="Roboto" w:cs="Arial"/>
        </w:rPr>
        <w:t xml:space="preserve"> proposal, results framework/matrix, implementing partners (IP) agreements and annual progress reports was undertaken. </w:t>
      </w:r>
      <w:r w:rsidRPr="00125D3F">
        <w:rPr>
          <w:rFonts w:ascii="Roboto" w:hAnsi="Roboto" w:cs="Arial"/>
        </w:rPr>
        <w:t>Thematic content analysis was used for the qualitative data while d</w:t>
      </w:r>
      <w:r w:rsidRPr="00125D3F">
        <w:rPr>
          <w:rFonts w:ascii="Roboto" w:eastAsia="Arial" w:hAnsi="Roboto" w:cs="Arial"/>
        </w:rPr>
        <w:t xml:space="preserve">escriptive statistical analysis was performed for quantitative data. The key baseline and end-term indicator values were compared in assessing performance. </w:t>
      </w:r>
    </w:p>
    <w:p w14:paraId="4E2B48A6" w14:textId="77777777" w:rsidR="00974806" w:rsidRPr="00125D3F" w:rsidRDefault="00974806" w:rsidP="00974806">
      <w:pPr>
        <w:spacing w:after="0" w:line="240" w:lineRule="auto"/>
        <w:jc w:val="both"/>
        <w:rPr>
          <w:rFonts w:ascii="Roboto" w:eastAsia="Arial" w:hAnsi="Roboto" w:cs="Arial"/>
        </w:rPr>
      </w:pPr>
    </w:p>
    <w:p w14:paraId="6D8EEBF5" w14:textId="77777777" w:rsidR="00974806" w:rsidRPr="00125D3F" w:rsidRDefault="00974806" w:rsidP="00974806">
      <w:pPr>
        <w:spacing w:after="0" w:line="240" w:lineRule="auto"/>
        <w:jc w:val="both"/>
        <w:rPr>
          <w:rFonts w:ascii="Roboto" w:eastAsia="Arial" w:hAnsi="Roboto" w:cs="Arial"/>
          <w:b/>
          <w:bCs/>
          <w:color w:val="ED7D31" w:themeColor="accent2"/>
        </w:rPr>
      </w:pPr>
      <w:r w:rsidRPr="00125D3F">
        <w:rPr>
          <w:rFonts w:ascii="Roboto" w:eastAsia="Arial" w:hAnsi="Roboto" w:cs="Arial"/>
          <w:b/>
          <w:bCs/>
          <w:color w:val="ED7D31" w:themeColor="accent2"/>
        </w:rPr>
        <w:t>Findings</w:t>
      </w:r>
    </w:p>
    <w:p w14:paraId="1EFF062D" w14:textId="77777777" w:rsidR="00974806" w:rsidRPr="00125D3F" w:rsidRDefault="00974806" w:rsidP="00974806">
      <w:pPr>
        <w:spacing w:line="240" w:lineRule="auto"/>
        <w:jc w:val="both"/>
        <w:rPr>
          <w:rFonts w:ascii="Roboto" w:eastAsiaTheme="minorEastAsia" w:hAnsi="Roboto"/>
          <w:color w:val="000000" w:themeColor="text1"/>
          <w:kern w:val="24"/>
        </w:rPr>
      </w:pPr>
      <w:r w:rsidRPr="00125D3F">
        <w:rPr>
          <w:rFonts w:ascii="Roboto" w:hAnsi="Roboto" w:cs="Arial"/>
        </w:rPr>
        <w:t>Overall, the</w:t>
      </w:r>
      <w:r w:rsidRPr="00125D3F">
        <w:rPr>
          <w:rFonts w:ascii="Roboto" w:hAnsi="Roboto"/>
        </w:rPr>
        <w:t xml:space="preserve"> project achieved its set objectives, outputs and outcomes despite the delays in commencement occasioned by the significant shift in the operating context outlined in section 1.4. of this report. </w:t>
      </w:r>
      <w:r w:rsidRPr="00125D3F">
        <w:rPr>
          <w:rFonts w:ascii="Roboto" w:eastAsiaTheme="minorEastAsia" w:hAnsi="Roboto"/>
          <w:color w:val="000000" w:themeColor="text1"/>
          <w:kern w:val="24"/>
        </w:rPr>
        <w:t>Overall,</w:t>
      </w:r>
      <w:r w:rsidRPr="00125D3F">
        <w:rPr>
          <w:rFonts w:ascii="Roboto" w:hAnsi="Roboto"/>
          <w:color w:val="000000" w:themeColor="text1"/>
          <w:kern w:val="24"/>
        </w:rPr>
        <w:t xml:space="preserve"> </w:t>
      </w:r>
      <w:r w:rsidRPr="00125D3F">
        <w:rPr>
          <w:rFonts w:ascii="Roboto" w:eastAsiaTheme="minorEastAsia" w:hAnsi="Roboto"/>
          <w:color w:val="000000" w:themeColor="text1"/>
          <w:kern w:val="24"/>
        </w:rPr>
        <w:t>the s</w:t>
      </w:r>
      <w:r w:rsidRPr="00125D3F">
        <w:rPr>
          <w:rFonts w:ascii="Roboto" w:hAnsi="Roboto"/>
          <w:color w:val="000000" w:themeColor="text1"/>
          <w:kern w:val="24"/>
        </w:rPr>
        <w:t>cores</w:t>
      </w:r>
      <w:r w:rsidRPr="00125D3F">
        <w:rPr>
          <w:rFonts w:ascii="Roboto" w:eastAsiaTheme="minorEastAsia" w:hAnsi="Roboto"/>
          <w:color w:val="000000" w:themeColor="text1"/>
          <w:kern w:val="24"/>
        </w:rPr>
        <w:t xml:space="preserve"> of the A2J project per the evaluation criteria are summarized below;</w:t>
      </w:r>
    </w:p>
    <w:p w14:paraId="389C9CAD" w14:textId="77777777" w:rsidR="00974806" w:rsidRPr="00125D3F" w:rsidRDefault="00974806" w:rsidP="00974806">
      <w:pPr>
        <w:spacing w:line="240" w:lineRule="auto"/>
        <w:rPr>
          <w:rFonts w:ascii="Roboto" w:eastAsiaTheme="minorEastAsia" w:hAnsi="Roboto"/>
          <w:color w:val="000000" w:themeColor="text1"/>
          <w:kern w:val="24"/>
        </w:rPr>
      </w:pPr>
      <w:r w:rsidRPr="00125D3F">
        <w:rPr>
          <w:rFonts w:ascii="Roboto" w:eastAsiaTheme="minorEastAsia" w:hAnsi="Roboto"/>
          <w:color w:val="000000" w:themeColor="text1"/>
          <w:kern w:val="24"/>
        </w:rPr>
        <w:br w:type="page"/>
      </w:r>
    </w:p>
    <w:p w14:paraId="6B3378C1" w14:textId="77777777" w:rsidR="00974806" w:rsidRPr="00125D3F" w:rsidRDefault="00974806" w:rsidP="00974806">
      <w:pPr>
        <w:pStyle w:val="Caption"/>
        <w:keepNext/>
        <w:spacing w:after="0"/>
        <w:rPr>
          <w:rFonts w:ascii="Roboto" w:hAnsi="Roboto"/>
          <w:b/>
          <w:bCs/>
          <w:i w:val="0"/>
          <w:iCs w:val="0"/>
          <w:sz w:val="22"/>
          <w:szCs w:val="22"/>
        </w:rPr>
      </w:pPr>
      <w:bookmarkStart w:id="2" w:name="_Toc132295977"/>
      <w:r w:rsidRPr="00125D3F">
        <w:rPr>
          <w:rFonts w:ascii="Roboto" w:hAnsi="Roboto"/>
          <w:b/>
          <w:bCs/>
          <w:i w:val="0"/>
          <w:iCs w:val="0"/>
          <w:sz w:val="22"/>
          <w:szCs w:val="22"/>
        </w:rPr>
        <w:lastRenderedPageBreak/>
        <w:t xml:space="preserve">Table </w:t>
      </w:r>
      <w:r w:rsidRPr="00125D3F">
        <w:rPr>
          <w:rFonts w:ascii="Roboto" w:hAnsi="Roboto"/>
          <w:b/>
          <w:bCs/>
          <w:i w:val="0"/>
          <w:iCs w:val="0"/>
          <w:sz w:val="22"/>
          <w:szCs w:val="22"/>
        </w:rPr>
        <w:fldChar w:fldCharType="begin"/>
      </w:r>
      <w:r w:rsidRPr="00125D3F">
        <w:rPr>
          <w:rFonts w:ascii="Roboto" w:hAnsi="Roboto"/>
          <w:b/>
          <w:bCs/>
          <w:i w:val="0"/>
          <w:iCs w:val="0"/>
          <w:sz w:val="22"/>
          <w:szCs w:val="22"/>
        </w:rPr>
        <w:instrText xml:space="preserve"> SEQ Table \* ARABIC </w:instrText>
      </w:r>
      <w:r w:rsidRPr="00125D3F">
        <w:rPr>
          <w:rFonts w:ascii="Roboto" w:hAnsi="Roboto"/>
          <w:b/>
          <w:bCs/>
          <w:i w:val="0"/>
          <w:iCs w:val="0"/>
          <w:sz w:val="22"/>
          <w:szCs w:val="22"/>
        </w:rPr>
        <w:fldChar w:fldCharType="separate"/>
      </w:r>
      <w:r w:rsidRPr="00125D3F">
        <w:rPr>
          <w:rFonts w:ascii="Roboto" w:hAnsi="Roboto"/>
          <w:b/>
          <w:bCs/>
          <w:i w:val="0"/>
          <w:iCs w:val="0"/>
          <w:noProof/>
          <w:sz w:val="22"/>
          <w:szCs w:val="22"/>
        </w:rPr>
        <w:t>1</w:t>
      </w:r>
      <w:r w:rsidRPr="00125D3F">
        <w:rPr>
          <w:rFonts w:ascii="Roboto" w:hAnsi="Roboto"/>
          <w:b/>
          <w:bCs/>
          <w:i w:val="0"/>
          <w:iCs w:val="0"/>
          <w:sz w:val="22"/>
          <w:szCs w:val="22"/>
        </w:rPr>
        <w:fldChar w:fldCharType="end"/>
      </w:r>
      <w:r w:rsidRPr="00125D3F">
        <w:rPr>
          <w:rFonts w:ascii="Roboto" w:hAnsi="Roboto"/>
          <w:b/>
          <w:bCs/>
          <w:i w:val="0"/>
          <w:iCs w:val="0"/>
          <w:sz w:val="22"/>
          <w:szCs w:val="22"/>
        </w:rPr>
        <w:t>: A2J Project Evaluation Scores</w:t>
      </w:r>
      <w:bookmarkEnd w:id="2"/>
    </w:p>
    <w:tbl>
      <w:tblPr>
        <w:tblStyle w:val="GridTable4-Accent5"/>
        <w:tblW w:w="0" w:type="auto"/>
        <w:tblLook w:val="04A0" w:firstRow="1" w:lastRow="0" w:firstColumn="1" w:lastColumn="0" w:noHBand="0" w:noVBand="1"/>
      </w:tblPr>
      <w:tblGrid>
        <w:gridCol w:w="4526"/>
        <w:gridCol w:w="4490"/>
      </w:tblGrid>
      <w:tr w:rsidR="00974806" w:rsidRPr="00125D3F" w14:paraId="72003954" w14:textId="77777777" w:rsidTr="00FB43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0AC7123" w14:textId="77777777" w:rsidR="00974806" w:rsidRPr="00125D3F" w:rsidRDefault="00974806" w:rsidP="00FB43DE">
            <w:pPr>
              <w:pStyle w:val="NormalWeb"/>
              <w:spacing w:before="150" w:beforeAutospacing="0" w:after="0" w:afterAutospacing="0"/>
              <w:jc w:val="both"/>
              <w:rPr>
                <w:rFonts w:ascii="Roboto" w:hAnsi="Roboto"/>
                <w:sz w:val="22"/>
                <w:szCs w:val="22"/>
              </w:rPr>
            </w:pPr>
            <w:r w:rsidRPr="00125D3F">
              <w:rPr>
                <w:rFonts w:ascii="Roboto" w:hAnsi="Roboto"/>
                <w:sz w:val="22"/>
                <w:szCs w:val="22"/>
              </w:rPr>
              <w:t>Evaluation Criteria</w:t>
            </w:r>
          </w:p>
        </w:tc>
        <w:tc>
          <w:tcPr>
            <w:tcW w:w="4675" w:type="dxa"/>
          </w:tcPr>
          <w:p w14:paraId="627D0A47" w14:textId="77777777" w:rsidR="00974806" w:rsidRPr="00125D3F" w:rsidRDefault="00974806" w:rsidP="00FB43DE">
            <w:pPr>
              <w:pStyle w:val="NormalWeb"/>
              <w:spacing w:before="15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Roboto" w:hAnsi="Roboto"/>
                <w:sz w:val="22"/>
                <w:szCs w:val="22"/>
              </w:rPr>
            </w:pPr>
            <w:r w:rsidRPr="00125D3F">
              <w:rPr>
                <w:rFonts w:ascii="Roboto" w:hAnsi="Roboto"/>
                <w:sz w:val="22"/>
                <w:szCs w:val="22"/>
              </w:rPr>
              <w:t>Score</w:t>
            </w:r>
          </w:p>
        </w:tc>
      </w:tr>
      <w:tr w:rsidR="00974806" w:rsidRPr="00125D3F" w14:paraId="3EACBF2F" w14:textId="77777777" w:rsidTr="00FB4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0DA44F2B" w14:textId="77777777" w:rsidR="00974806" w:rsidRPr="00125D3F" w:rsidRDefault="00974806" w:rsidP="00FB43DE">
            <w:pPr>
              <w:pStyle w:val="NormalWeb"/>
              <w:spacing w:before="0" w:beforeAutospacing="0" w:after="0" w:afterAutospacing="0"/>
              <w:jc w:val="both"/>
              <w:rPr>
                <w:rFonts w:ascii="Roboto" w:hAnsi="Roboto"/>
                <w:sz w:val="22"/>
                <w:szCs w:val="22"/>
              </w:rPr>
            </w:pPr>
            <w:r w:rsidRPr="00125D3F">
              <w:rPr>
                <w:rFonts w:ascii="Roboto" w:eastAsiaTheme="minorEastAsia" w:hAnsi="Roboto"/>
                <w:color w:val="000000" w:themeColor="text1"/>
                <w:kern w:val="24"/>
                <w:sz w:val="22"/>
                <w:szCs w:val="22"/>
              </w:rPr>
              <w:t>Relevance</w:t>
            </w:r>
          </w:p>
        </w:tc>
        <w:tc>
          <w:tcPr>
            <w:tcW w:w="4675" w:type="dxa"/>
            <w:shd w:val="clear" w:color="auto" w:fill="D5DCE4" w:themeFill="text2" w:themeFillTint="33"/>
          </w:tcPr>
          <w:p w14:paraId="737DDDA4" w14:textId="77777777" w:rsidR="00974806" w:rsidRPr="00125D3F" w:rsidRDefault="00974806" w:rsidP="00FB43DE">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Roboto" w:hAnsi="Roboto"/>
                <w:sz w:val="22"/>
                <w:szCs w:val="22"/>
              </w:rPr>
            </w:pPr>
            <w:r w:rsidRPr="00125D3F">
              <w:rPr>
                <w:rFonts w:ascii="Roboto" w:hAnsi="Roboto"/>
                <w:sz w:val="22"/>
                <w:szCs w:val="22"/>
              </w:rPr>
              <w:t>A</w:t>
            </w:r>
          </w:p>
        </w:tc>
      </w:tr>
      <w:tr w:rsidR="00974806" w:rsidRPr="00125D3F" w14:paraId="5E220B6A" w14:textId="77777777" w:rsidTr="00FB43DE">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042F496A" w14:textId="77777777" w:rsidR="00974806" w:rsidRPr="00125D3F" w:rsidRDefault="00974806" w:rsidP="00FB43DE">
            <w:pPr>
              <w:pStyle w:val="NormalWeb"/>
              <w:spacing w:before="0" w:beforeAutospacing="0" w:after="0" w:afterAutospacing="0"/>
              <w:jc w:val="both"/>
              <w:rPr>
                <w:rFonts w:ascii="Roboto" w:hAnsi="Roboto"/>
                <w:sz w:val="22"/>
                <w:szCs w:val="22"/>
              </w:rPr>
            </w:pPr>
            <w:r w:rsidRPr="00125D3F">
              <w:rPr>
                <w:rFonts w:ascii="Roboto" w:eastAsiaTheme="minorEastAsia" w:hAnsi="Roboto"/>
                <w:color w:val="000000" w:themeColor="text1"/>
                <w:kern w:val="24"/>
                <w:sz w:val="22"/>
                <w:szCs w:val="22"/>
              </w:rPr>
              <w:t>Effectiveness</w:t>
            </w:r>
          </w:p>
        </w:tc>
        <w:tc>
          <w:tcPr>
            <w:tcW w:w="4675" w:type="dxa"/>
            <w:shd w:val="clear" w:color="auto" w:fill="D5DCE4" w:themeFill="text2" w:themeFillTint="33"/>
          </w:tcPr>
          <w:p w14:paraId="25202B18" w14:textId="77777777" w:rsidR="00974806" w:rsidRPr="00125D3F" w:rsidRDefault="00974806" w:rsidP="00FB43DE">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Roboto" w:hAnsi="Roboto"/>
                <w:sz w:val="22"/>
                <w:szCs w:val="22"/>
              </w:rPr>
            </w:pPr>
            <w:r w:rsidRPr="00125D3F">
              <w:rPr>
                <w:rFonts w:ascii="Roboto" w:hAnsi="Roboto"/>
                <w:sz w:val="22"/>
                <w:szCs w:val="22"/>
              </w:rPr>
              <w:t>B</w:t>
            </w:r>
          </w:p>
        </w:tc>
      </w:tr>
      <w:tr w:rsidR="00974806" w:rsidRPr="00125D3F" w14:paraId="68FA9AC4" w14:textId="77777777" w:rsidTr="00FB4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5B1CB739" w14:textId="77777777" w:rsidR="00974806" w:rsidRPr="00125D3F" w:rsidRDefault="00974806" w:rsidP="00FB43DE">
            <w:pPr>
              <w:pStyle w:val="NormalWeb"/>
              <w:spacing w:before="0" w:beforeAutospacing="0" w:after="0" w:afterAutospacing="0"/>
              <w:jc w:val="both"/>
              <w:rPr>
                <w:rFonts w:ascii="Roboto" w:hAnsi="Roboto"/>
                <w:sz w:val="22"/>
                <w:szCs w:val="22"/>
              </w:rPr>
            </w:pPr>
            <w:r w:rsidRPr="00125D3F">
              <w:rPr>
                <w:rFonts w:ascii="Roboto" w:eastAsiaTheme="minorEastAsia" w:hAnsi="Roboto"/>
                <w:color w:val="000000" w:themeColor="text1"/>
                <w:kern w:val="24"/>
                <w:sz w:val="22"/>
                <w:szCs w:val="22"/>
              </w:rPr>
              <w:t>Efficiency and coherence</w:t>
            </w:r>
          </w:p>
        </w:tc>
        <w:tc>
          <w:tcPr>
            <w:tcW w:w="4675" w:type="dxa"/>
            <w:shd w:val="clear" w:color="auto" w:fill="D5DCE4" w:themeFill="text2" w:themeFillTint="33"/>
          </w:tcPr>
          <w:p w14:paraId="77ADFE1D" w14:textId="77777777" w:rsidR="00974806" w:rsidRPr="00125D3F" w:rsidRDefault="00974806" w:rsidP="00FB43DE">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Roboto" w:hAnsi="Roboto"/>
                <w:sz w:val="22"/>
                <w:szCs w:val="22"/>
              </w:rPr>
            </w:pPr>
            <w:r w:rsidRPr="00125D3F">
              <w:rPr>
                <w:rFonts w:ascii="Roboto" w:hAnsi="Roboto"/>
                <w:sz w:val="22"/>
                <w:szCs w:val="22"/>
              </w:rPr>
              <w:t>B</w:t>
            </w:r>
          </w:p>
        </w:tc>
      </w:tr>
      <w:tr w:rsidR="00974806" w:rsidRPr="00125D3F" w14:paraId="0E9D367B" w14:textId="77777777" w:rsidTr="00FB43DE">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71103155" w14:textId="77777777" w:rsidR="00974806" w:rsidRPr="00125D3F" w:rsidRDefault="00974806" w:rsidP="00FB43DE">
            <w:pPr>
              <w:pStyle w:val="NormalWeb"/>
              <w:spacing w:before="0" w:beforeAutospacing="0" w:after="0" w:afterAutospacing="0"/>
              <w:jc w:val="both"/>
              <w:rPr>
                <w:rFonts w:ascii="Roboto" w:hAnsi="Roboto"/>
                <w:sz w:val="22"/>
                <w:szCs w:val="22"/>
              </w:rPr>
            </w:pPr>
            <w:r w:rsidRPr="00125D3F">
              <w:rPr>
                <w:rFonts w:ascii="Roboto" w:eastAsiaTheme="minorEastAsia" w:hAnsi="Roboto"/>
                <w:color w:val="000000" w:themeColor="text1"/>
                <w:kern w:val="24"/>
                <w:sz w:val="22"/>
                <w:szCs w:val="22"/>
              </w:rPr>
              <w:t>Impact</w:t>
            </w:r>
          </w:p>
        </w:tc>
        <w:tc>
          <w:tcPr>
            <w:tcW w:w="4675" w:type="dxa"/>
            <w:shd w:val="clear" w:color="auto" w:fill="D5DCE4" w:themeFill="text2" w:themeFillTint="33"/>
          </w:tcPr>
          <w:p w14:paraId="15418BCF" w14:textId="77777777" w:rsidR="00974806" w:rsidRPr="00125D3F" w:rsidRDefault="00974806" w:rsidP="00FB43DE">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Roboto" w:hAnsi="Roboto"/>
                <w:b/>
                <w:bCs/>
                <w:sz w:val="22"/>
                <w:szCs w:val="22"/>
              </w:rPr>
            </w:pPr>
            <w:r w:rsidRPr="00125D3F">
              <w:rPr>
                <w:rFonts w:ascii="Roboto" w:hAnsi="Roboto"/>
                <w:sz w:val="22"/>
                <w:szCs w:val="22"/>
              </w:rPr>
              <w:t>B</w:t>
            </w:r>
          </w:p>
        </w:tc>
      </w:tr>
      <w:tr w:rsidR="00974806" w:rsidRPr="00125D3F" w14:paraId="3D9076BC" w14:textId="77777777" w:rsidTr="00FB43DE">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403FBB97" w14:textId="77777777" w:rsidR="00974806" w:rsidRPr="00125D3F" w:rsidRDefault="00974806" w:rsidP="00FB43DE">
            <w:pPr>
              <w:pStyle w:val="NormalWeb"/>
              <w:spacing w:before="0" w:beforeAutospacing="0" w:after="0" w:afterAutospacing="0"/>
              <w:jc w:val="both"/>
              <w:rPr>
                <w:rFonts w:ascii="Roboto" w:hAnsi="Roboto"/>
                <w:sz w:val="22"/>
                <w:szCs w:val="22"/>
              </w:rPr>
            </w:pPr>
            <w:r w:rsidRPr="00125D3F">
              <w:rPr>
                <w:rFonts w:ascii="Roboto" w:eastAsiaTheme="minorEastAsia" w:hAnsi="Roboto"/>
                <w:color w:val="000000" w:themeColor="text1"/>
                <w:kern w:val="24"/>
                <w:sz w:val="22"/>
                <w:szCs w:val="22"/>
              </w:rPr>
              <w:t>Sustainability</w:t>
            </w:r>
          </w:p>
        </w:tc>
        <w:tc>
          <w:tcPr>
            <w:tcW w:w="4675" w:type="dxa"/>
            <w:shd w:val="clear" w:color="auto" w:fill="D5DCE4" w:themeFill="text2" w:themeFillTint="33"/>
          </w:tcPr>
          <w:p w14:paraId="680C5E74" w14:textId="77777777" w:rsidR="00974806" w:rsidRPr="00125D3F" w:rsidRDefault="00974806" w:rsidP="00FB43DE">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Roboto" w:hAnsi="Roboto"/>
                <w:sz w:val="22"/>
                <w:szCs w:val="22"/>
              </w:rPr>
            </w:pPr>
            <w:r w:rsidRPr="00125D3F">
              <w:rPr>
                <w:rFonts w:ascii="Roboto" w:hAnsi="Roboto"/>
                <w:sz w:val="22"/>
                <w:szCs w:val="22"/>
              </w:rPr>
              <w:t>A</w:t>
            </w:r>
          </w:p>
        </w:tc>
      </w:tr>
      <w:tr w:rsidR="00974806" w:rsidRPr="00125D3F" w14:paraId="6DFF05AB" w14:textId="77777777" w:rsidTr="00FB43DE">
        <w:trPr>
          <w:trHeight w:val="75"/>
        </w:trPr>
        <w:tc>
          <w:tcPr>
            <w:cnfStyle w:val="001000000000" w:firstRow="0" w:lastRow="0" w:firstColumn="1" w:lastColumn="0" w:oddVBand="0" w:evenVBand="0" w:oddHBand="0" w:evenHBand="0" w:firstRowFirstColumn="0" w:firstRowLastColumn="0" w:lastRowFirstColumn="0" w:lastRowLastColumn="0"/>
            <w:tcW w:w="4675" w:type="dxa"/>
            <w:shd w:val="clear" w:color="auto" w:fill="D5DCE4" w:themeFill="text2" w:themeFillTint="33"/>
          </w:tcPr>
          <w:p w14:paraId="6A27E808" w14:textId="77777777" w:rsidR="00974806" w:rsidRPr="00125D3F" w:rsidRDefault="00974806" w:rsidP="00FB43DE">
            <w:pPr>
              <w:pStyle w:val="NormalWeb"/>
              <w:spacing w:before="0" w:beforeAutospacing="0" w:after="0" w:afterAutospacing="0"/>
              <w:jc w:val="both"/>
              <w:rPr>
                <w:rFonts w:ascii="Roboto" w:eastAsiaTheme="minorEastAsia" w:hAnsi="Roboto"/>
                <w:color w:val="000000" w:themeColor="text1"/>
                <w:kern w:val="24"/>
                <w:sz w:val="22"/>
                <w:szCs w:val="22"/>
              </w:rPr>
            </w:pPr>
            <w:r w:rsidRPr="00125D3F">
              <w:rPr>
                <w:rFonts w:ascii="Roboto" w:eastAsiaTheme="minorEastAsia" w:hAnsi="Roboto"/>
                <w:color w:val="000000" w:themeColor="text1"/>
                <w:kern w:val="24"/>
                <w:sz w:val="22"/>
                <w:szCs w:val="22"/>
              </w:rPr>
              <w:t>Gender and Human Rights</w:t>
            </w:r>
          </w:p>
        </w:tc>
        <w:tc>
          <w:tcPr>
            <w:tcW w:w="4675" w:type="dxa"/>
            <w:shd w:val="clear" w:color="auto" w:fill="D5DCE4" w:themeFill="text2" w:themeFillTint="33"/>
          </w:tcPr>
          <w:p w14:paraId="17FD5DAA" w14:textId="77777777" w:rsidR="00974806" w:rsidRPr="00125D3F" w:rsidRDefault="00974806" w:rsidP="00FB43DE">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Roboto" w:hAnsi="Roboto"/>
                <w:sz w:val="22"/>
                <w:szCs w:val="22"/>
              </w:rPr>
            </w:pPr>
            <w:r w:rsidRPr="00125D3F">
              <w:rPr>
                <w:rFonts w:ascii="Roboto" w:hAnsi="Roboto"/>
                <w:sz w:val="22"/>
                <w:szCs w:val="22"/>
              </w:rPr>
              <w:t>A</w:t>
            </w:r>
          </w:p>
        </w:tc>
      </w:tr>
    </w:tbl>
    <w:p w14:paraId="6B8952D3" w14:textId="77777777" w:rsidR="00974806" w:rsidRPr="00125D3F" w:rsidRDefault="00974806" w:rsidP="00974806">
      <w:pPr>
        <w:spacing w:after="0" w:line="240" w:lineRule="auto"/>
        <w:jc w:val="both"/>
        <w:rPr>
          <w:rFonts w:ascii="Roboto" w:hAnsi="Roboto"/>
        </w:rPr>
      </w:pPr>
    </w:p>
    <w:p w14:paraId="0E3B6377"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r w:rsidRPr="00125D3F">
        <w:rPr>
          <w:rFonts w:ascii="Roboto" w:eastAsia="Lato" w:hAnsi="Roboto" w:cs="Lato"/>
          <w:b/>
          <w:bCs/>
          <w:color w:val="000000" w:themeColor="text1"/>
          <w:kern w:val="24"/>
          <w:lang w:eastAsia="en-GB"/>
        </w:rPr>
        <w:t>Relevance of the A2J Project</w:t>
      </w:r>
    </w:p>
    <w:p w14:paraId="1763749F" w14:textId="77777777" w:rsidR="00974806" w:rsidRPr="00125D3F" w:rsidRDefault="00974806" w:rsidP="00974806">
      <w:pPr>
        <w:spacing w:after="0" w:line="240" w:lineRule="auto"/>
        <w:jc w:val="both"/>
        <w:rPr>
          <w:rFonts w:ascii="Roboto" w:hAnsi="Roboto"/>
        </w:rPr>
      </w:pPr>
      <w:r w:rsidRPr="00125D3F">
        <w:rPr>
          <w:rFonts w:ascii="Roboto" w:eastAsia="Arial Unicode MS" w:hAnsi="Roboto" w:cs="Times New Roman"/>
          <w:color w:val="0A0A0A"/>
          <w:spacing w:val="4"/>
          <w:bdr w:val="nil"/>
          <w:shd w:val="clear" w:color="auto" w:fill="FEFEFE"/>
        </w:rPr>
        <w:t xml:space="preserve">The project focus was in tandem with the key international, regional and national policy, legal instruments and guidelines that underscore the human rights-based approach (HRBA) and gender equality including the </w:t>
      </w:r>
      <w:r w:rsidRPr="00125D3F">
        <w:rPr>
          <w:rFonts w:ascii="Roboto" w:hAnsi="Roboto" w:cstheme="minorHAnsi"/>
        </w:rPr>
        <w:t>Convention on the Elimination of Discrimination Against Women</w:t>
      </w:r>
      <w:r w:rsidRPr="00125D3F">
        <w:rPr>
          <w:rFonts w:ascii="Roboto" w:eastAsia="Arial Unicode MS" w:hAnsi="Roboto" w:cs="Times New Roman"/>
          <w:color w:val="0A0A0A"/>
          <w:spacing w:val="4"/>
          <w:bdr w:val="nil"/>
          <w:shd w:val="clear" w:color="auto" w:fill="FEFEFE"/>
        </w:rPr>
        <w:t xml:space="preserve"> (CEDAW), the Cooperation Framework theory of change (UNSDCF 2021-2025), Principles of Leave No One Behind (LNOB), Gender Equity and Empowerment of Women, Sustainability and Accountability. </w:t>
      </w:r>
    </w:p>
    <w:p w14:paraId="5D7DA791" w14:textId="77777777" w:rsidR="00974806" w:rsidRPr="00125D3F" w:rsidRDefault="00974806" w:rsidP="00974806">
      <w:pPr>
        <w:spacing w:after="0" w:line="240" w:lineRule="auto"/>
        <w:jc w:val="both"/>
        <w:rPr>
          <w:rFonts w:ascii="Roboto" w:eastAsia="Arial Unicode MS" w:hAnsi="Roboto" w:cs="Times New Roman"/>
          <w:color w:val="0A0A0A"/>
          <w:spacing w:val="4"/>
          <w:bdr w:val="nil"/>
          <w:shd w:val="clear" w:color="auto" w:fill="FEFEFE"/>
        </w:rPr>
      </w:pPr>
    </w:p>
    <w:p w14:paraId="38923B2B" w14:textId="77777777" w:rsidR="00974806" w:rsidRPr="00125D3F" w:rsidRDefault="00974806" w:rsidP="00974806">
      <w:pPr>
        <w:spacing w:after="0" w:line="240" w:lineRule="auto"/>
        <w:jc w:val="both"/>
        <w:rPr>
          <w:rFonts w:ascii="Roboto" w:eastAsia="Yu Gothic UI Semibold" w:hAnsi="Roboto" w:cs="Times New Roman"/>
        </w:rPr>
      </w:pPr>
      <w:r w:rsidRPr="00125D3F">
        <w:rPr>
          <w:rFonts w:ascii="Roboto" w:eastAsia="Arial Unicode MS" w:hAnsi="Roboto" w:cs="Times New Roman"/>
          <w:color w:val="0A0A0A"/>
          <w:spacing w:val="4"/>
          <w:bdr w:val="nil"/>
          <w:shd w:val="clear" w:color="auto" w:fill="FEFEFE"/>
        </w:rPr>
        <w:t>At the national policy level, the Project was aligned to policies and laws on GBV, including the national policy on elimination of GBV, the Gender Policy, the Domestic Violence Act (DVA), the Succession Act as amended, the Penal Code Act,</w:t>
      </w:r>
      <w:r w:rsidRPr="00125D3F">
        <w:rPr>
          <w:rFonts w:ascii="Roboto" w:eastAsia="Yu Gothic UI Semibold" w:hAnsi="Roboto" w:cs="Times New Roman"/>
        </w:rPr>
        <w:t xml:space="preserve"> the Administration of Justice Programme (AJP) and Governance and Security Programme (GSP)/Access to Justice sub-Programme in adapting to the transition in programming introduced under the Third National Development Plan.</w:t>
      </w:r>
    </w:p>
    <w:p w14:paraId="5CF4C420" w14:textId="77777777" w:rsidR="00974806" w:rsidRPr="00125D3F" w:rsidRDefault="00974806" w:rsidP="00974806">
      <w:pPr>
        <w:spacing w:after="0" w:line="240" w:lineRule="auto"/>
        <w:jc w:val="both"/>
        <w:rPr>
          <w:rFonts w:ascii="Roboto" w:hAnsi="Roboto"/>
        </w:rPr>
      </w:pPr>
    </w:p>
    <w:p w14:paraId="3514E1DB" w14:textId="77777777" w:rsidR="00974806" w:rsidRPr="00125D3F" w:rsidRDefault="00974806" w:rsidP="00974806">
      <w:pPr>
        <w:spacing w:after="0" w:line="240" w:lineRule="auto"/>
        <w:jc w:val="both"/>
        <w:rPr>
          <w:rFonts w:ascii="Roboto" w:hAnsi="Roboto" w:cs="Times New Roman"/>
        </w:rPr>
      </w:pPr>
      <w:r w:rsidRPr="00125D3F">
        <w:rPr>
          <w:rFonts w:ascii="Roboto" w:hAnsi="Roboto" w:cs="Times New Roman"/>
        </w:rPr>
        <w:t>The project invested in and responded to key contextual A2J needs for GBV survivors of; limited legal awareness, technological and technical (GBV specific) capacity both in terms of skills enhancement and acquisition of equipment, aggregated data on GBV cases to inform targeted interventions and service delivery standards.</w:t>
      </w:r>
    </w:p>
    <w:p w14:paraId="7D296D6A" w14:textId="77777777" w:rsidR="00974806" w:rsidRPr="00125D3F" w:rsidRDefault="00974806" w:rsidP="00974806">
      <w:pPr>
        <w:spacing w:after="0" w:line="240" w:lineRule="auto"/>
        <w:jc w:val="both"/>
        <w:rPr>
          <w:rFonts w:ascii="Roboto" w:eastAsia="Calibri" w:hAnsi="Roboto" w:cs="Calibri"/>
          <w:b/>
          <w:bCs/>
        </w:rPr>
      </w:pPr>
    </w:p>
    <w:p w14:paraId="39577A10"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bookmarkStart w:id="3" w:name="_Hlk131519486"/>
      <w:r w:rsidRPr="00125D3F">
        <w:rPr>
          <w:rFonts w:ascii="Roboto" w:eastAsia="Lato" w:hAnsi="Roboto" w:cs="Lato"/>
          <w:b/>
          <w:bCs/>
          <w:color w:val="000000" w:themeColor="text1"/>
          <w:kern w:val="24"/>
          <w:lang w:eastAsia="en-GB"/>
        </w:rPr>
        <w:t>Effectiveness of the A2J Project</w:t>
      </w:r>
    </w:p>
    <w:bookmarkEnd w:id="3"/>
    <w:p w14:paraId="6BF289B5" w14:textId="77777777" w:rsidR="00974806" w:rsidRPr="00125D3F" w:rsidRDefault="00974806" w:rsidP="00974806">
      <w:pPr>
        <w:spacing w:after="0" w:line="240" w:lineRule="auto"/>
        <w:jc w:val="both"/>
        <w:rPr>
          <w:rFonts w:ascii="Roboto" w:hAnsi="Roboto"/>
        </w:rPr>
      </w:pPr>
      <w:r w:rsidRPr="00125D3F">
        <w:rPr>
          <w:rFonts w:ascii="Roboto" w:hAnsi="Roboto"/>
        </w:rPr>
        <w:t xml:space="preserve">The project achieved most of its targets, outputs and outcomes. The project contributed to capacity building of the key justice institutions and set a strong foundation for improving access to justice for GBV survivors. It succeeded in building trust and establishing strong relationships particularly with the judiciary as well as the ODPP and UPF. Key strategic documents such as a costed strategy/options paper for institutionalisation of a specialised justice system for effective management of GBV cases and draft service delivery standards are in place. Although there was a delay in developing these strategic documents, the fundamentals have been established and any follow on project is likely to be highly effective. </w:t>
      </w:r>
    </w:p>
    <w:p w14:paraId="5299D30C" w14:textId="77777777" w:rsidR="00974806" w:rsidRPr="00125D3F" w:rsidRDefault="00974806" w:rsidP="00974806">
      <w:pPr>
        <w:spacing w:after="0" w:line="240" w:lineRule="auto"/>
        <w:jc w:val="both"/>
        <w:rPr>
          <w:rFonts w:ascii="Roboto" w:eastAsia="Lato" w:hAnsi="Roboto" w:cs="Lato"/>
          <w:b/>
          <w:bCs/>
          <w:color w:val="000000" w:themeColor="text1"/>
          <w:kern w:val="24"/>
          <w:lang w:eastAsia="en-GB"/>
        </w:rPr>
      </w:pPr>
    </w:p>
    <w:p w14:paraId="72425B95"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r w:rsidRPr="00125D3F">
        <w:rPr>
          <w:rFonts w:ascii="Roboto" w:eastAsia="Lato" w:hAnsi="Roboto" w:cs="Lato"/>
          <w:b/>
          <w:bCs/>
          <w:color w:val="000000" w:themeColor="text1"/>
          <w:kern w:val="24"/>
          <w:lang w:eastAsia="en-GB"/>
        </w:rPr>
        <w:t>Efficiency and coherence of the A2J Project</w:t>
      </w:r>
    </w:p>
    <w:p w14:paraId="76C0565E" w14:textId="49B2B5F4" w:rsidR="00974806" w:rsidRPr="00125D3F" w:rsidRDefault="00974806" w:rsidP="00974806">
      <w:pPr>
        <w:pStyle w:val="Corps"/>
        <w:jc w:val="both"/>
        <w:rPr>
          <w:rFonts w:ascii="Roboto" w:hAnsi="Roboto"/>
          <w:color w:val="auto"/>
          <w:sz w:val="22"/>
          <w:szCs w:val="22"/>
          <w:bdr w:val="none" w:sz="0" w:space="0" w:color="auto" w:frame="1"/>
        </w:rPr>
      </w:pPr>
      <w:r w:rsidRPr="00125D3F">
        <w:rPr>
          <w:rFonts w:ascii="Roboto" w:hAnsi="Roboto"/>
          <w:color w:val="auto"/>
          <w:sz w:val="22"/>
          <w:szCs w:val="22"/>
          <w:bdr w:val="none" w:sz="0" w:space="0" w:color="auto" w:frame="1"/>
        </w:rPr>
        <w:t xml:space="preserve">Resources allocated were substantial and contributed to the achievement of the relevant outputs. UNW has a robust financial management and accountability system that maintained the integrity of the project and ensured value for money. Stronger relationships and partnerships have been built with the respective justice institutions that create opportunities for more effective and efficient implementation of the A2J project activities. There is evidence that UNW’s approach to implementation of A2J project activities have built on the foundation and lessons learnt from </w:t>
      </w:r>
      <w:r w:rsidR="006F6594" w:rsidRPr="00125D3F">
        <w:rPr>
          <w:rFonts w:ascii="Roboto" w:eastAsia="Gill Sans" w:hAnsi="Roboto" w:cs="Gill Sans"/>
          <w:sz w:val="22"/>
          <w:szCs w:val="22"/>
          <w:lang w:val="en-GB"/>
        </w:rPr>
        <w:t>European Union (EU) Spotlight Initiative/</w:t>
      </w:r>
      <w:r w:rsidRPr="00125D3F">
        <w:rPr>
          <w:rFonts w:ascii="Roboto" w:hAnsi="Roboto"/>
          <w:color w:val="auto"/>
          <w:sz w:val="22"/>
          <w:szCs w:val="22"/>
          <w:bdr w:val="none" w:sz="0" w:space="0" w:color="auto" w:frame="1"/>
        </w:rPr>
        <w:t xml:space="preserve">Spotlight and </w:t>
      </w:r>
      <w:r w:rsidR="002B6743" w:rsidRPr="00125D3F">
        <w:rPr>
          <w:rFonts w:ascii="Roboto" w:eastAsia="Gill Sans" w:hAnsi="Roboto" w:cs="Gill Sans"/>
          <w:sz w:val="22"/>
          <w:szCs w:val="22"/>
          <w:lang w:val="en-GB"/>
        </w:rPr>
        <w:t>United Nations Joint Programme on GBV (UNJPGBV/UN Joint Programme)</w:t>
      </w:r>
      <w:r w:rsidRPr="00125D3F">
        <w:rPr>
          <w:rFonts w:ascii="Roboto" w:hAnsi="Roboto"/>
          <w:color w:val="auto"/>
          <w:sz w:val="22"/>
          <w:szCs w:val="22"/>
          <w:bdr w:val="none" w:sz="0" w:space="0" w:color="auto" w:frame="1"/>
        </w:rPr>
        <w:t xml:space="preserve">. This reflects synergy and collaboration between A2J and sister projects with a stake in improving access to justice for GBV survivors. However, there were reported delays in implementation of some key </w:t>
      </w:r>
      <w:r w:rsidR="002C1A5C" w:rsidRPr="00125D3F">
        <w:rPr>
          <w:rFonts w:ascii="Roboto" w:hAnsi="Roboto"/>
          <w:color w:val="auto"/>
          <w:sz w:val="22"/>
          <w:szCs w:val="22"/>
          <w:bdr w:val="none" w:sz="0" w:space="0" w:color="auto" w:frame="1"/>
        </w:rPr>
        <w:t>activities,</w:t>
      </w:r>
      <w:r w:rsidRPr="00125D3F">
        <w:rPr>
          <w:rFonts w:ascii="Roboto" w:hAnsi="Roboto"/>
          <w:color w:val="auto"/>
          <w:sz w:val="22"/>
          <w:szCs w:val="22"/>
          <w:bdr w:val="none" w:sz="0" w:space="0" w:color="auto" w:frame="1"/>
        </w:rPr>
        <w:t xml:space="preserve"> and this affected the timely realization of some of the outputs. This is more so in relation to </w:t>
      </w:r>
      <w:r w:rsidRPr="00125D3F">
        <w:rPr>
          <w:rFonts w:ascii="Roboto" w:hAnsi="Roboto"/>
          <w:color w:val="auto"/>
          <w:sz w:val="22"/>
          <w:szCs w:val="22"/>
          <w:bdr w:val="none" w:sz="0" w:space="0" w:color="auto" w:frame="1"/>
        </w:rPr>
        <w:lastRenderedPageBreak/>
        <w:t>delays in finalization of the options paper/strategy and the service delivery standards. The COVID-19 pandemic and the complex operational environment of the key justice institutions also caused delays in getting key partners like the judiciary on board.</w:t>
      </w:r>
    </w:p>
    <w:p w14:paraId="4BBE3C13" w14:textId="77777777" w:rsidR="00974806" w:rsidRPr="00125D3F" w:rsidRDefault="00974806" w:rsidP="00974806">
      <w:pPr>
        <w:pStyle w:val="Corps"/>
        <w:jc w:val="both"/>
        <w:rPr>
          <w:rFonts w:ascii="Roboto" w:hAnsi="Roboto"/>
          <w:color w:val="auto"/>
          <w:sz w:val="22"/>
          <w:szCs w:val="22"/>
        </w:rPr>
      </w:pPr>
    </w:p>
    <w:p w14:paraId="5C137C58" w14:textId="77777777" w:rsidR="00974806" w:rsidRPr="00125D3F" w:rsidRDefault="00974806" w:rsidP="00974806">
      <w:pPr>
        <w:spacing w:after="0" w:line="240" w:lineRule="auto"/>
        <w:contextualSpacing/>
        <w:rPr>
          <w:rFonts w:ascii="Roboto" w:eastAsia="Calibri" w:hAnsi="Roboto"/>
          <w:b/>
          <w:bCs/>
          <w:color w:val="2F5496" w:themeColor="accent1" w:themeShade="BF"/>
        </w:rPr>
      </w:pPr>
      <w:r w:rsidRPr="00125D3F">
        <w:rPr>
          <w:rFonts w:ascii="Roboto" w:eastAsia="Lato" w:hAnsi="Roboto" w:cs="Lato"/>
          <w:b/>
          <w:bCs/>
          <w:color w:val="000000" w:themeColor="text1"/>
          <w:kern w:val="24"/>
          <w:lang w:eastAsia="en-GB"/>
        </w:rPr>
        <w:t>Sustainability of the A2J Project</w:t>
      </w:r>
    </w:p>
    <w:p w14:paraId="09AB2CD9" w14:textId="57C33DF5" w:rsidR="00FA1602" w:rsidRPr="00125D3F" w:rsidRDefault="00974806" w:rsidP="00FA1602">
      <w:pPr>
        <w:pBdr>
          <w:top w:val="nil"/>
          <w:left w:val="nil"/>
          <w:bottom w:val="nil"/>
          <w:right w:val="nil"/>
          <w:between w:val="nil"/>
          <w:bar w:val="nil"/>
        </w:pBdr>
        <w:spacing w:after="0" w:line="240" w:lineRule="auto"/>
        <w:jc w:val="both"/>
        <w:rPr>
          <w:rFonts w:ascii="Roboto" w:eastAsia="Calibri" w:hAnsi="Roboto" w:cs="Times New Roman"/>
          <w:bdr w:val="nil"/>
        </w:rPr>
      </w:pPr>
      <w:r w:rsidRPr="00125D3F">
        <w:rPr>
          <w:rFonts w:ascii="Roboto" w:eastAsia="Calibri" w:hAnsi="Roboto" w:cs="Times New Roman"/>
          <w:bdr w:val="nil"/>
        </w:rPr>
        <w:t>The key sustainability strategies adopted by the A2J project included working within</w:t>
      </w:r>
      <w:r w:rsidR="00BB5794" w:rsidRPr="00125D3F">
        <w:rPr>
          <w:rFonts w:ascii="Roboto" w:eastAsia="Calibri" w:hAnsi="Roboto" w:cs="Times New Roman"/>
          <w:bdr w:val="nil"/>
        </w:rPr>
        <w:t>; a)</w:t>
      </w:r>
      <w:r w:rsidRPr="00125D3F">
        <w:rPr>
          <w:rFonts w:ascii="Roboto" w:eastAsia="Calibri" w:hAnsi="Roboto" w:cs="Times New Roman"/>
          <w:bdr w:val="nil"/>
        </w:rPr>
        <w:t xml:space="preserve"> the existing policy and strategy frameworks</w:t>
      </w:r>
      <w:r w:rsidR="00BB5794" w:rsidRPr="00125D3F">
        <w:rPr>
          <w:rFonts w:ascii="Roboto" w:eastAsia="Calibri" w:hAnsi="Roboto" w:cs="Times New Roman"/>
          <w:bdr w:val="nil"/>
        </w:rPr>
        <w:t>; b)</w:t>
      </w:r>
      <w:r w:rsidRPr="00125D3F">
        <w:rPr>
          <w:rFonts w:ascii="Roboto" w:eastAsia="Calibri" w:hAnsi="Roboto" w:cs="Times New Roman"/>
          <w:bdr w:val="nil"/>
        </w:rPr>
        <w:t xml:space="preserve"> structures and systems</w:t>
      </w:r>
      <w:r w:rsidR="00915EA6" w:rsidRPr="00125D3F">
        <w:rPr>
          <w:rFonts w:ascii="Roboto" w:eastAsia="Calibri" w:hAnsi="Roboto" w:cs="Times New Roman"/>
          <w:bdr w:val="nil"/>
        </w:rPr>
        <w:t xml:space="preserve"> strengthening</w:t>
      </w:r>
      <w:r w:rsidRPr="00125D3F">
        <w:rPr>
          <w:rFonts w:ascii="Roboto" w:eastAsia="Calibri" w:hAnsi="Roboto" w:cs="Times New Roman"/>
          <w:bdr w:val="nil"/>
        </w:rPr>
        <w:t xml:space="preserve"> in the key justice institutions </w:t>
      </w:r>
      <w:r w:rsidR="00BB5794" w:rsidRPr="00125D3F">
        <w:rPr>
          <w:rFonts w:ascii="Roboto" w:eastAsia="Calibri" w:hAnsi="Roboto" w:cs="Times New Roman"/>
          <w:bdr w:val="nil"/>
        </w:rPr>
        <w:t xml:space="preserve">and </w:t>
      </w:r>
      <w:r w:rsidRPr="00125D3F">
        <w:rPr>
          <w:rFonts w:ascii="Roboto" w:eastAsia="Calibri" w:hAnsi="Roboto" w:cs="Times New Roman"/>
          <w:bdr w:val="nil"/>
        </w:rPr>
        <w:t>with the D</w:t>
      </w:r>
      <w:r w:rsidR="00C25364" w:rsidRPr="00125D3F">
        <w:rPr>
          <w:rFonts w:ascii="Roboto" w:eastAsia="Calibri" w:hAnsi="Roboto" w:cs="Times New Roman"/>
          <w:bdr w:val="nil"/>
        </w:rPr>
        <w:t xml:space="preserve">istrict </w:t>
      </w:r>
      <w:r w:rsidRPr="00125D3F">
        <w:rPr>
          <w:rFonts w:ascii="Roboto" w:eastAsia="Calibri" w:hAnsi="Roboto" w:cs="Times New Roman"/>
          <w:bdr w:val="nil"/>
        </w:rPr>
        <w:t>L</w:t>
      </w:r>
      <w:r w:rsidR="00C25364" w:rsidRPr="00125D3F">
        <w:rPr>
          <w:rFonts w:ascii="Roboto" w:eastAsia="Calibri" w:hAnsi="Roboto" w:cs="Times New Roman"/>
          <w:bdr w:val="nil"/>
        </w:rPr>
        <w:t xml:space="preserve">ocal </w:t>
      </w:r>
      <w:r w:rsidRPr="00125D3F">
        <w:rPr>
          <w:rFonts w:ascii="Roboto" w:eastAsia="Calibri" w:hAnsi="Roboto" w:cs="Times New Roman"/>
          <w:bdr w:val="nil"/>
        </w:rPr>
        <w:t>G</w:t>
      </w:r>
      <w:r w:rsidR="00C25364" w:rsidRPr="00125D3F">
        <w:rPr>
          <w:rFonts w:ascii="Roboto" w:eastAsia="Calibri" w:hAnsi="Roboto" w:cs="Times New Roman"/>
          <w:bdr w:val="nil"/>
        </w:rPr>
        <w:t>overnment (DLG)</w:t>
      </w:r>
      <w:r w:rsidRPr="00125D3F">
        <w:rPr>
          <w:rFonts w:ascii="Roboto" w:eastAsia="Calibri" w:hAnsi="Roboto" w:cs="Times New Roman"/>
          <w:bdr w:val="nil"/>
        </w:rPr>
        <w:t xml:space="preserve"> especially the Community Based Services Department (CBSD) and the District Director of Health Services Offices</w:t>
      </w:r>
      <w:r w:rsidR="00BB5794" w:rsidRPr="00125D3F">
        <w:rPr>
          <w:rFonts w:ascii="Roboto" w:eastAsia="Calibri" w:hAnsi="Roboto" w:cs="Times New Roman"/>
          <w:bdr w:val="nil"/>
        </w:rPr>
        <w:t xml:space="preserve">; and c) </w:t>
      </w:r>
      <w:r w:rsidR="0072333C" w:rsidRPr="00125D3F">
        <w:rPr>
          <w:rFonts w:ascii="Roboto" w:eastAsia="Calibri" w:hAnsi="Roboto" w:cs="Times New Roman"/>
          <w:bdr w:val="nil"/>
        </w:rPr>
        <w:t xml:space="preserve">multi-sectoral </w:t>
      </w:r>
      <w:r w:rsidRPr="00125D3F">
        <w:rPr>
          <w:rFonts w:ascii="Roboto" w:eastAsia="Calibri" w:hAnsi="Roboto" w:cs="Times New Roman"/>
          <w:bdr w:val="nil"/>
        </w:rPr>
        <w:t>capacity building</w:t>
      </w:r>
      <w:r w:rsidR="00FA1602" w:rsidRPr="00125D3F">
        <w:rPr>
          <w:rFonts w:ascii="Roboto" w:eastAsia="Calibri" w:hAnsi="Roboto" w:cs="Times New Roman"/>
          <w:bdr w:val="nil"/>
        </w:rPr>
        <w:t xml:space="preserve"> through technological (through equipment) and technical (GBV specific) advancements</w:t>
      </w:r>
      <w:r w:rsidRPr="00125D3F">
        <w:rPr>
          <w:rFonts w:ascii="Roboto" w:eastAsia="Calibri" w:hAnsi="Roboto" w:cs="Times New Roman"/>
          <w:bdr w:val="nil"/>
        </w:rPr>
        <w:t xml:space="preserve"> at the national, subnational (</w:t>
      </w:r>
      <w:r w:rsidR="00BB5794" w:rsidRPr="00125D3F">
        <w:rPr>
          <w:rFonts w:ascii="Roboto" w:eastAsia="Calibri" w:hAnsi="Roboto" w:cs="Times New Roman"/>
          <w:bdr w:val="nil"/>
        </w:rPr>
        <w:t xml:space="preserve">with </w:t>
      </w:r>
      <w:r w:rsidRPr="00125D3F">
        <w:rPr>
          <w:rFonts w:ascii="Roboto" w:eastAsia="Calibri" w:hAnsi="Roboto" w:cs="Times New Roman"/>
          <w:bdr w:val="nil"/>
        </w:rPr>
        <w:t>focus on police, prosecutors and judicial officers) a</w:t>
      </w:r>
      <w:r w:rsidR="00BB5794" w:rsidRPr="00125D3F">
        <w:rPr>
          <w:rFonts w:ascii="Roboto" w:eastAsia="Calibri" w:hAnsi="Roboto" w:cs="Times New Roman"/>
          <w:bdr w:val="nil"/>
        </w:rPr>
        <w:t xml:space="preserve">s well as </w:t>
      </w:r>
      <w:r w:rsidRPr="00125D3F">
        <w:rPr>
          <w:rFonts w:ascii="Roboto" w:eastAsia="Calibri" w:hAnsi="Roboto" w:cs="Times New Roman"/>
          <w:bdr w:val="nil"/>
        </w:rPr>
        <w:t>community levels (para-legals and para social workers)</w:t>
      </w:r>
      <w:r w:rsidR="0072333C" w:rsidRPr="00125D3F">
        <w:rPr>
          <w:rFonts w:ascii="Roboto" w:eastAsia="Calibri" w:hAnsi="Roboto" w:cs="Times New Roman"/>
          <w:bdr w:val="nil"/>
        </w:rPr>
        <w:t xml:space="preserve"> through existing institutes and academies such JTI and UPF academies</w:t>
      </w:r>
      <w:r w:rsidRPr="00125D3F">
        <w:rPr>
          <w:rFonts w:ascii="Roboto" w:eastAsia="Calibri" w:hAnsi="Roboto" w:cs="Times New Roman"/>
          <w:bdr w:val="nil"/>
        </w:rPr>
        <w:t>.</w:t>
      </w:r>
      <w:r w:rsidR="00CD7AA2" w:rsidRPr="00125D3F">
        <w:rPr>
          <w:rFonts w:ascii="Roboto" w:eastAsia="Calibri" w:hAnsi="Roboto" w:cs="Times New Roman"/>
          <w:bdr w:val="nil"/>
        </w:rPr>
        <w:t xml:space="preserve"> </w:t>
      </w:r>
      <w:r w:rsidR="00BB5794" w:rsidRPr="00125D3F">
        <w:rPr>
          <w:rFonts w:ascii="Roboto" w:eastAsia="Calibri" w:hAnsi="Roboto" w:cs="Times New Roman"/>
          <w:bdr w:val="nil"/>
        </w:rPr>
        <w:t xml:space="preserve">The </w:t>
      </w:r>
      <w:r w:rsidR="00CD7AA2" w:rsidRPr="00125D3F">
        <w:rPr>
          <w:rFonts w:ascii="Roboto" w:eastAsia="Gill Sans" w:hAnsi="Roboto" w:cs="Gill Sans"/>
          <w:lang w:val="en-GB"/>
        </w:rPr>
        <w:t xml:space="preserve">A2J project </w:t>
      </w:r>
      <w:r w:rsidR="00BB5794" w:rsidRPr="00125D3F">
        <w:rPr>
          <w:rFonts w:ascii="Roboto" w:eastAsia="Gill Sans" w:hAnsi="Roboto" w:cs="Gill Sans"/>
          <w:lang w:val="en-GB"/>
        </w:rPr>
        <w:t xml:space="preserve">succeeded in </w:t>
      </w:r>
      <w:r w:rsidR="00CD7AA2" w:rsidRPr="00125D3F">
        <w:rPr>
          <w:rFonts w:ascii="Roboto" w:eastAsia="Gill Sans" w:hAnsi="Roboto" w:cs="Gill Sans"/>
          <w:lang w:val="en-GB"/>
        </w:rPr>
        <w:t>building on and leveraging efforts of</w:t>
      </w:r>
      <w:r w:rsidR="00645367" w:rsidRPr="00125D3F">
        <w:rPr>
          <w:rFonts w:ascii="Roboto" w:eastAsia="Gill Sans" w:hAnsi="Roboto" w:cs="Gill Sans"/>
          <w:lang w:val="en-GB"/>
        </w:rPr>
        <w:t xml:space="preserve"> Government efforts and </w:t>
      </w:r>
      <w:r w:rsidR="00CD7AA2" w:rsidRPr="00125D3F">
        <w:rPr>
          <w:rFonts w:ascii="Roboto" w:eastAsia="Gill Sans" w:hAnsi="Roboto" w:cs="Gill Sans"/>
          <w:lang w:val="en-GB"/>
        </w:rPr>
        <w:t xml:space="preserve">ongoing projects such as the </w:t>
      </w:r>
      <w:r w:rsidR="006D1B99" w:rsidRPr="00125D3F">
        <w:rPr>
          <w:rFonts w:ascii="Roboto" w:eastAsia="Gill Sans" w:hAnsi="Roboto" w:cs="Gill Sans"/>
          <w:lang w:val="en-GB"/>
        </w:rPr>
        <w:t>European Union (</w:t>
      </w:r>
      <w:r w:rsidR="00CD7AA2" w:rsidRPr="00125D3F">
        <w:rPr>
          <w:rFonts w:ascii="Roboto" w:eastAsia="Gill Sans" w:hAnsi="Roboto" w:cs="Gill Sans"/>
          <w:lang w:val="en-GB"/>
        </w:rPr>
        <w:t>EU</w:t>
      </w:r>
      <w:r w:rsidR="006D1B99" w:rsidRPr="00125D3F">
        <w:rPr>
          <w:rFonts w:ascii="Roboto" w:eastAsia="Gill Sans" w:hAnsi="Roboto" w:cs="Gill Sans"/>
          <w:lang w:val="en-GB"/>
        </w:rPr>
        <w:t>)</w:t>
      </w:r>
      <w:r w:rsidR="00CD7AA2" w:rsidRPr="00125D3F">
        <w:rPr>
          <w:rFonts w:ascii="Roboto" w:eastAsia="Gill Sans" w:hAnsi="Roboto" w:cs="Gill Sans"/>
          <w:lang w:val="en-GB"/>
        </w:rPr>
        <w:t xml:space="preserve"> Spotlight Initiative,</w:t>
      </w:r>
      <w:bookmarkStart w:id="4" w:name="_Hlk133421240"/>
      <w:r w:rsidR="002B6743" w:rsidRPr="00125D3F">
        <w:rPr>
          <w:rFonts w:ascii="Roboto" w:eastAsia="Gill Sans" w:hAnsi="Roboto" w:cs="Gill Sans"/>
          <w:lang w:val="en-GB"/>
        </w:rPr>
        <w:t xml:space="preserve"> </w:t>
      </w:r>
      <w:r w:rsidR="00DC204E" w:rsidRPr="00125D3F">
        <w:rPr>
          <w:rFonts w:ascii="Roboto" w:eastAsia="Gill Sans" w:hAnsi="Roboto" w:cs="Gill Sans"/>
          <w:lang w:val="en-GB"/>
        </w:rPr>
        <w:t>UN Joint Programme</w:t>
      </w:r>
      <w:r w:rsidR="006D1B99" w:rsidRPr="00125D3F">
        <w:rPr>
          <w:rFonts w:ascii="Roboto" w:eastAsia="Gill Sans" w:hAnsi="Roboto" w:cs="Gill Sans"/>
          <w:lang w:val="en-GB"/>
        </w:rPr>
        <w:t xml:space="preserve">) </w:t>
      </w:r>
      <w:bookmarkEnd w:id="4"/>
      <w:r w:rsidR="00DC204E" w:rsidRPr="00125D3F">
        <w:rPr>
          <w:rFonts w:ascii="Roboto" w:eastAsia="Gill Sans" w:hAnsi="Roboto" w:cs="Gill Sans"/>
          <w:lang w:val="en-GB"/>
        </w:rPr>
        <w:t>a</w:t>
      </w:r>
      <w:r w:rsidR="00CD7AA2" w:rsidRPr="00125D3F">
        <w:rPr>
          <w:rFonts w:ascii="Roboto" w:eastAsia="Gill Sans" w:hAnsi="Roboto" w:cs="Gill Sans"/>
          <w:lang w:val="en-GB"/>
        </w:rPr>
        <w:t>mong others.</w:t>
      </w:r>
      <w:r w:rsidR="004C5C1F" w:rsidRPr="00125D3F">
        <w:rPr>
          <w:rFonts w:ascii="Roboto" w:eastAsia="Gill Sans" w:hAnsi="Roboto" w:cs="Gill Sans"/>
          <w:lang w:val="en-GB"/>
        </w:rPr>
        <w:t xml:space="preserve"> </w:t>
      </w:r>
      <w:r w:rsidR="00FA1602" w:rsidRPr="00125D3F">
        <w:rPr>
          <w:rFonts w:ascii="Roboto" w:eastAsia="Calibri" w:hAnsi="Roboto" w:cs="Times New Roman"/>
          <w:bdr w:val="nil"/>
        </w:rPr>
        <w:t xml:space="preserve">The project among others set out to institute a </w:t>
      </w:r>
      <w:r w:rsidR="00FA1602" w:rsidRPr="00125D3F">
        <w:rPr>
          <w:rFonts w:ascii="Roboto" w:hAnsi="Roboto" w:cs="Arial"/>
          <w:color w:val="000000"/>
        </w:rPr>
        <w:t xml:space="preserve">Special Service Delivery and Accountability System/GBV special court whose implementation was delayed, and feasibility reevaluated. Consequently, a strategy for </w:t>
      </w:r>
      <w:r w:rsidR="00FA1602" w:rsidRPr="00125D3F">
        <w:rPr>
          <w:rFonts w:ascii="Roboto" w:hAnsi="Roboto"/>
        </w:rPr>
        <w:t>institutionalizing a specialized justice system for effective management of GBV cases and draft service delivery standards were developed, whose gains last beyond the project.</w:t>
      </w:r>
    </w:p>
    <w:p w14:paraId="729614D5" w14:textId="06E43AC1" w:rsidR="00974806" w:rsidRPr="00125D3F" w:rsidRDefault="00974806" w:rsidP="00974806">
      <w:pPr>
        <w:pBdr>
          <w:top w:val="nil"/>
          <w:left w:val="nil"/>
          <w:bottom w:val="nil"/>
          <w:right w:val="nil"/>
          <w:between w:val="nil"/>
          <w:bar w:val="nil"/>
        </w:pBdr>
        <w:spacing w:after="0" w:line="240" w:lineRule="auto"/>
        <w:jc w:val="both"/>
        <w:rPr>
          <w:rFonts w:ascii="Roboto" w:eastAsia="Calibri" w:hAnsi="Roboto" w:cs="Times New Roman"/>
          <w:bdr w:val="nil"/>
        </w:rPr>
      </w:pPr>
    </w:p>
    <w:p w14:paraId="52A31EE6" w14:textId="77777777" w:rsidR="00974806" w:rsidRPr="00125D3F" w:rsidRDefault="00974806" w:rsidP="00974806">
      <w:pPr>
        <w:spacing w:after="0" w:line="240" w:lineRule="auto"/>
        <w:jc w:val="both"/>
        <w:rPr>
          <w:rFonts w:ascii="Roboto" w:eastAsia="Arial Unicode MS" w:hAnsi="Roboto" w:cs="Times New Roman"/>
          <w:b/>
          <w:bCs/>
          <w:color w:val="0A0A0A"/>
          <w:spacing w:val="4"/>
          <w:bdr w:val="nil"/>
          <w:shd w:val="clear" w:color="auto" w:fill="FEFEFE"/>
        </w:rPr>
      </w:pPr>
      <w:r w:rsidRPr="00125D3F">
        <w:rPr>
          <w:rFonts w:ascii="Roboto" w:eastAsia="Arial Unicode MS" w:hAnsi="Roboto" w:cs="Times New Roman"/>
          <w:b/>
          <w:bCs/>
          <w:color w:val="0A0A0A"/>
          <w:spacing w:val="4"/>
          <w:bdr w:val="nil"/>
          <w:shd w:val="clear" w:color="auto" w:fill="FEFEFE"/>
        </w:rPr>
        <w:t>Gender and Human Rights</w:t>
      </w:r>
    </w:p>
    <w:p w14:paraId="56E52DE1" w14:textId="77777777" w:rsidR="00974806" w:rsidRPr="00125D3F" w:rsidRDefault="00974806" w:rsidP="00974806">
      <w:pPr>
        <w:pBdr>
          <w:top w:val="nil"/>
          <w:left w:val="nil"/>
          <w:bottom w:val="nil"/>
          <w:right w:val="nil"/>
          <w:between w:val="nil"/>
          <w:bar w:val="nil"/>
        </w:pBdr>
        <w:spacing w:after="0" w:line="240" w:lineRule="auto"/>
        <w:jc w:val="both"/>
        <w:rPr>
          <w:rFonts w:ascii="Roboto" w:eastAsia="Calibri" w:hAnsi="Roboto" w:cs="Times New Roman"/>
          <w:bdr w:val="nil"/>
        </w:rPr>
      </w:pPr>
      <w:r w:rsidRPr="00125D3F">
        <w:rPr>
          <w:rFonts w:ascii="Roboto" w:eastAsia="Calibri" w:hAnsi="Roboto" w:cs="Times New Roman"/>
          <w:bdr w:val="nil"/>
        </w:rPr>
        <w:t>Overall, the A2J Project was anchored on promotion of human rights and gender equality right from its conceptualization, the ToC, goal, outcomes and outputs. The goals and priority actions in the options paper and its costed action plan as well as overall activity implementation have at their core addressed the human rights of women and girls affected by GBV and ensured that mechanisms to promote their access to justice are institutionalized. This speaks directly to the notions of human rights and gender equality.</w:t>
      </w:r>
    </w:p>
    <w:p w14:paraId="311DF6CB" w14:textId="77777777" w:rsidR="00974806" w:rsidRPr="00125D3F" w:rsidRDefault="00974806" w:rsidP="00974806">
      <w:pPr>
        <w:spacing w:after="0" w:line="240" w:lineRule="auto"/>
        <w:jc w:val="both"/>
        <w:rPr>
          <w:rFonts w:ascii="Roboto" w:eastAsia="Calibri" w:hAnsi="Roboto" w:cs="Calibri"/>
          <w:b/>
          <w:bCs/>
        </w:rPr>
      </w:pPr>
    </w:p>
    <w:p w14:paraId="65918C5B"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r w:rsidRPr="00125D3F">
        <w:rPr>
          <w:rFonts w:ascii="Roboto" w:eastAsia="Lato" w:hAnsi="Roboto" w:cs="Lato"/>
          <w:b/>
          <w:bCs/>
          <w:color w:val="000000" w:themeColor="text1"/>
          <w:kern w:val="24"/>
          <w:lang w:eastAsia="en-GB"/>
        </w:rPr>
        <w:t>Key Project Enablers and Impeding Factors</w:t>
      </w:r>
    </w:p>
    <w:p w14:paraId="075AEE8E" w14:textId="1BEB2C60" w:rsidR="00A93821" w:rsidRPr="00125D3F" w:rsidRDefault="00A93821" w:rsidP="00974806">
      <w:pPr>
        <w:pStyle w:val="ListParagraph"/>
        <w:numPr>
          <w:ilvl w:val="0"/>
          <w:numId w:val="1"/>
        </w:numPr>
        <w:spacing w:line="240" w:lineRule="auto"/>
        <w:jc w:val="both"/>
        <w:rPr>
          <w:rFonts w:ascii="Roboto" w:eastAsia="Avenir" w:hAnsi="Roboto" w:cstheme="minorHAnsi"/>
          <w:bCs/>
          <w:color w:val="000000"/>
        </w:rPr>
      </w:pPr>
      <w:r w:rsidRPr="00125D3F">
        <w:rPr>
          <w:rFonts w:ascii="Roboto" w:eastAsia="Calibri" w:hAnsi="Roboto" w:cs="Times New Roman"/>
          <w:bdr w:val="nil"/>
        </w:rPr>
        <w:t>Working within existing GBV legal, policy and strategy frameworks as well as structures and systems</w:t>
      </w:r>
      <w:r w:rsidRPr="00125D3F">
        <w:rPr>
          <w:rFonts w:ascii="Roboto" w:eastAsia="Avenir" w:hAnsi="Roboto" w:cstheme="minorHAnsi"/>
          <w:bCs/>
          <w:color w:val="000000"/>
        </w:rPr>
        <w:t xml:space="preserve"> facilitated</w:t>
      </w:r>
      <w:r w:rsidR="00583BA6" w:rsidRPr="00125D3F">
        <w:rPr>
          <w:rFonts w:ascii="Roboto" w:eastAsia="Avenir" w:hAnsi="Roboto" w:cstheme="minorHAnsi"/>
          <w:bCs/>
          <w:color w:val="000000"/>
        </w:rPr>
        <w:t xml:space="preserve"> conformity, prompt start-up and implementation of the project.</w:t>
      </w:r>
      <w:r w:rsidRPr="00125D3F">
        <w:rPr>
          <w:rFonts w:ascii="Roboto" w:eastAsia="Avenir" w:hAnsi="Roboto" w:cstheme="minorHAnsi"/>
          <w:bCs/>
          <w:color w:val="000000"/>
        </w:rPr>
        <w:t xml:space="preserve"> </w:t>
      </w:r>
    </w:p>
    <w:p w14:paraId="1BC26B42" w14:textId="7F980DEB" w:rsidR="00974806" w:rsidRPr="00125D3F" w:rsidRDefault="00974806" w:rsidP="00974806">
      <w:pPr>
        <w:pStyle w:val="ListParagraph"/>
        <w:numPr>
          <w:ilvl w:val="0"/>
          <w:numId w:val="1"/>
        </w:numPr>
        <w:spacing w:line="240" w:lineRule="auto"/>
        <w:jc w:val="both"/>
        <w:rPr>
          <w:rFonts w:ascii="Roboto" w:eastAsia="Avenir" w:hAnsi="Roboto" w:cstheme="minorHAnsi"/>
          <w:bCs/>
          <w:color w:val="000000"/>
        </w:rPr>
      </w:pPr>
      <w:r w:rsidRPr="00125D3F">
        <w:rPr>
          <w:rFonts w:ascii="Roboto" w:eastAsia="Avenir" w:hAnsi="Roboto" w:cstheme="minorHAnsi"/>
          <w:bCs/>
          <w:color w:val="000000"/>
        </w:rPr>
        <w:t xml:space="preserve">The idea of introducing 11 centers of excellence as the focus for the project implementation aided focused interventions and monitoring. </w:t>
      </w:r>
    </w:p>
    <w:p w14:paraId="0C99818C" w14:textId="77777777" w:rsidR="00974806" w:rsidRPr="00125D3F" w:rsidRDefault="00974806" w:rsidP="00974806">
      <w:pPr>
        <w:pStyle w:val="ListParagraph"/>
        <w:numPr>
          <w:ilvl w:val="0"/>
          <w:numId w:val="1"/>
        </w:numPr>
        <w:spacing w:line="240" w:lineRule="auto"/>
        <w:jc w:val="both"/>
        <w:rPr>
          <w:rFonts w:ascii="Roboto" w:eastAsia="Avenir" w:hAnsi="Roboto" w:cstheme="minorHAnsi"/>
          <w:bCs/>
          <w:color w:val="000000"/>
        </w:rPr>
      </w:pPr>
      <w:r w:rsidRPr="00125D3F">
        <w:rPr>
          <w:rFonts w:ascii="Roboto" w:eastAsia="Avenir" w:hAnsi="Roboto" w:cstheme="minorHAnsi"/>
          <w:bCs/>
          <w:color w:val="000000"/>
        </w:rPr>
        <w:t xml:space="preserve">The GBV court case census was great in assisting to appreciate the gravity of the GBV problem in the judiciary. </w:t>
      </w:r>
    </w:p>
    <w:p w14:paraId="780B7EAB" w14:textId="77777777" w:rsidR="00974806" w:rsidRPr="00125D3F" w:rsidRDefault="00974806" w:rsidP="00974806">
      <w:pPr>
        <w:pStyle w:val="ListParagraph"/>
        <w:numPr>
          <w:ilvl w:val="0"/>
          <w:numId w:val="1"/>
        </w:numPr>
        <w:spacing w:line="240" w:lineRule="auto"/>
        <w:jc w:val="both"/>
        <w:rPr>
          <w:rFonts w:ascii="Roboto" w:eastAsia="Avenir" w:hAnsi="Roboto" w:cstheme="minorHAnsi"/>
          <w:bCs/>
          <w:color w:val="000000"/>
        </w:rPr>
      </w:pPr>
      <w:r w:rsidRPr="00125D3F">
        <w:rPr>
          <w:rFonts w:ascii="Roboto" w:eastAsia="Avenir" w:hAnsi="Roboto" w:cstheme="minorHAnsi"/>
          <w:bCs/>
          <w:color w:val="000000"/>
        </w:rPr>
        <w:t xml:space="preserve">Court Open Days and </w:t>
      </w:r>
      <w:r w:rsidRPr="00125D3F">
        <w:rPr>
          <w:rFonts w:ascii="Roboto" w:eastAsia="Avenir" w:hAnsi="Roboto" w:cstheme="minorHAnsi"/>
          <w:bCs/>
          <w:i/>
          <w:iCs/>
          <w:color w:val="000000"/>
        </w:rPr>
        <w:t xml:space="preserve">barazas </w:t>
      </w:r>
      <w:r w:rsidRPr="00125D3F">
        <w:rPr>
          <w:rFonts w:ascii="Roboto" w:eastAsia="Avenir" w:hAnsi="Roboto" w:cstheme="minorHAnsi"/>
          <w:bCs/>
          <w:color w:val="000000"/>
        </w:rPr>
        <w:t>facilitated enhanced community reach and awareness creation.</w:t>
      </w:r>
    </w:p>
    <w:p w14:paraId="6C0769C5" w14:textId="42C58FB8" w:rsidR="00974806" w:rsidRPr="00125D3F" w:rsidRDefault="00974806" w:rsidP="00974806">
      <w:pPr>
        <w:pStyle w:val="ListParagraph"/>
        <w:numPr>
          <w:ilvl w:val="0"/>
          <w:numId w:val="1"/>
        </w:numPr>
        <w:spacing w:line="240" w:lineRule="auto"/>
        <w:jc w:val="both"/>
        <w:rPr>
          <w:rFonts w:ascii="Roboto" w:eastAsia="Avenir" w:hAnsi="Roboto" w:cstheme="minorHAnsi"/>
          <w:bCs/>
          <w:color w:val="000000"/>
        </w:rPr>
      </w:pPr>
      <w:r w:rsidRPr="00125D3F">
        <w:rPr>
          <w:rFonts w:ascii="Roboto" w:eastAsia="Avenir" w:hAnsi="Roboto" w:cstheme="minorHAnsi"/>
          <w:bCs/>
          <w:color w:val="000000"/>
        </w:rPr>
        <w:t xml:space="preserve">Key encumbrances impacting achievement of planned outcomes included; variance in the approved Public Service Duty Facilitation for Government Officials and UNW rates. </w:t>
      </w:r>
    </w:p>
    <w:p w14:paraId="737189F3" w14:textId="7094797F" w:rsidR="00974806" w:rsidRPr="00125D3F" w:rsidRDefault="00974806" w:rsidP="00974806">
      <w:pPr>
        <w:pStyle w:val="ListParagraph"/>
        <w:numPr>
          <w:ilvl w:val="0"/>
          <w:numId w:val="1"/>
        </w:numPr>
        <w:spacing w:line="240" w:lineRule="auto"/>
        <w:jc w:val="both"/>
        <w:rPr>
          <w:rFonts w:ascii="Roboto" w:eastAsia="Avenir" w:hAnsi="Roboto" w:cstheme="minorHAnsi"/>
          <w:bCs/>
        </w:rPr>
      </w:pPr>
      <w:r w:rsidRPr="00125D3F">
        <w:rPr>
          <w:rFonts w:ascii="Roboto" w:eastAsia="Avenir" w:hAnsi="Roboto" w:cstheme="minorHAnsi"/>
          <w:bCs/>
        </w:rPr>
        <w:t xml:space="preserve">In some instances, there was an unpredictable release of funds from UNW hence impacting on implementation of activities. Relatedly, some activities were outsourced that project implementing partners felt could have been implemented in-house. </w:t>
      </w:r>
    </w:p>
    <w:p w14:paraId="65C611F5" w14:textId="77777777" w:rsidR="00974806" w:rsidRPr="00125D3F" w:rsidRDefault="00974806" w:rsidP="00974806">
      <w:pPr>
        <w:pStyle w:val="ListParagraph"/>
        <w:numPr>
          <w:ilvl w:val="0"/>
          <w:numId w:val="1"/>
        </w:numPr>
        <w:spacing w:line="240" w:lineRule="auto"/>
        <w:jc w:val="both"/>
        <w:rPr>
          <w:rFonts w:ascii="Roboto" w:eastAsia="Avenir" w:hAnsi="Roboto" w:cstheme="minorHAnsi"/>
          <w:bCs/>
        </w:rPr>
      </w:pPr>
      <w:r w:rsidRPr="00125D3F">
        <w:rPr>
          <w:rFonts w:ascii="Roboto" w:eastAsia="Avenir" w:hAnsi="Roboto" w:cstheme="minorHAnsi"/>
          <w:bCs/>
        </w:rPr>
        <w:t xml:space="preserve">Delayed on-boarding of the project coordinating entity and effects of the COVID-19 pandemic and its lockdowns were an impediment in service delivery with the delayed commencement of certain activities and curtailed physical contact that led to increased backlog of cases across the justice chain. </w:t>
      </w:r>
    </w:p>
    <w:p w14:paraId="7AABC662" w14:textId="77777777" w:rsidR="00974806" w:rsidRPr="00125D3F" w:rsidRDefault="00974806" w:rsidP="00974806">
      <w:pPr>
        <w:spacing w:line="240" w:lineRule="auto"/>
        <w:jc w:val="both"/>
        <w:rPr>
          <w:rFonts w:ascii="Roboto" w:eastAsia="Avenir" w:hAnsi="Roboto" w:cstheme="minorHAnsi"/>
          <w:b/>
        </w:rPr>
      </w:pPr>
      <w:r w:rsidRPr="00125D3F">
        <w:rPr>
          <w:rFonts w:ascii="Roboto" w:eastAsia="Avenir" w:hAnsi="Roboto" w:cstheme="minorHAnsi"/>
          <w:b/>
        </w:rPr>
        <w:t>Good practices</w:t>
      </w:r>
    </w:p>
    <w:p w14:paraId="2AE68A66" w14:textId="77777777" w:rsidR="00974806" w:rsidRPr="00125D3F" w:rsidRDefault="00974806" w:rsidP="00974806">
      <w:pPr>
        <w:pStyle w:val="ListParagraph"/>
        <w:numPr>
          <w:ilvl w:val="0"/>
          <w:numId w:val="3"/>
        </w:numPr>
        <w:spacing w:after="0" w:line="240" w:lineRule="auto"/>
        <w:jc w:val="both"/>
        <w:rPr>
          <w:rFonts w:ascii="Roboto" w:eastAsia="Gill Sans" w:hAnsi="Roboto" w:cs="Gill Sans"/>
          <w:lang w:val="en-GB"/>
        </w:rPr>
      </w:pPr>
      <w:r w:rsidRPr="00125D3F">
        <w:rPr>
          <w:rFonts w:ascii="Roboto" w:eastAsia="Gill Sans" w:hAnsi="Roboto" w:cs="Gill Sans"/>
          <w:lang w:val="en-GB"/>
        </w:rPr>
        <w:t xml:space="preserve">Maximizing the value-added of partnerships, working relationships and connections at all levels especially at the local government and community level was instrumental directing </w:t>
      </w:r>
      <w:r w:rsidRPr="00125D3F">
        <w:rPr>
          <w:rFonts w:ascii="Roboto" w:eastAsia="Gill Sans" w:hAnsi="Roboto" w:cs="Gill Sans"/>
          <w:lang w:val="en-GB"/>
        </w:rPr>
        <w:lastRenderedPageBreak/>
        <w:t>the project’s ability to leverage limited resources for larger results within diverse and complex regions including Karamoja and northern Uganda.</w:t>
      </w:r>
    </w:p>
    <w:p w14:paraId="69583B00" w14:textId="77777777" w:rsidR="00974806" w:rsidRPr="00125D3F" w:rsidRDefault="00974806" w:rsidP="00974806">
      <w:pPr>
        <w:pStyle w:val="ListParagraph"/>
        <w:numPr>
          <w:ilvl w:val="0"/>
          <w:numId w:val="3"/>
        </w:numPr>
        <w:spacing w:after="0" w:line="240" w:lineRule="auto"/>
        <w:jc w:val="both"/>
        <w:rPr>
          <w:rFonts w:ascii="Roboto" w:eastAsia="Gill Sans" w:hAnsi="Roboto" w:cs="Gill Sans"/>
          <w:lang w:val="en-GB"/>
        </w:rPr>
      </w:pPr>
      <w:r w:rsidRPr="00125D3F">
        <w:rPr>
          <w:rFonts w:ascii="Roboto" w:eastAsia="Gill Sans" w:hAnsi="Roboto" w:cs="Gill Sans"/>
          <w:lang w:val="en-GB"/>
        </w:rPr>
        <w:t>Adaptation to the context of the changes in the operating environment and the COVID-19 pandemic enabled reprogramming some planned activities. Despite the delays and additional costs that came with the impact of COVID-19, the project innovated feasible ways to continue implementing some of the key project interventions.</w:t>
      </w:r>
    </w:p>
    <w:p w14:paraId="78DC67EE" w14:textId="614CB6D2" w:rsidR="00974806" w:rsidRPr="00125D3F" w:rsidRDefault="00974806" w:rsidP="00974806">
      <w:pPr>
        <w:pStyle w:val="ListParagraph"/>
        <w:numPr>
          <w:ilvl w:val="0"/>
          <w:numId w:val="3"/>
        </w:numPr>
        <w:spacing w:after="0" w:line="240" w:lineRule="auto"/>
        <w:jc w:val="both"/>
        <w:rPr>
          <w:rFonts w:ascii="Roboto" w:eastAsia="Gill Sans" w:hAnsi="Roboto" w:cs="Gill Sans"/>
          <w:lang w:val="en-GB"/>
        </w:rPr>
      </w:pPr>
      <w:r w:rsidRPr="00125D3F">
        <w:rPr>
          <w:rFonts w:ascii="Roboto" w:eastAsia="Gill Sans" w:hAnsi="Roboto" w:cs="Gill Sans"/>
          <w:lang w:val="en-GB"/>
        </w:rPr>
        <w:t>Infrastructural investments through provision of audio-visual Institutionalized equipment and rooms that facilitate privacy and confidentiality as well as support to victims as they provide testimonies in courts have contributed towards realization of the survivor centred approach to access to justice.</w:t>
      </w:r>
      <w:r w:rsidR="00E326DD" w:rsidRPr="00125D3F">
        <w:rPr>
          <w:rFonts w:ascii="Roboto" w:hAnsi="Roboto" w:cs="Arial"/>
          <w:color w:val="202124"/>
          <w:shd w:val="clear" w:color="auto" w:fill="FFFFFF"/>
        </w:rPr>
        <w:t xml:space="preserve"> A survivor-centered approach </w:t>
      </w:r>
      <w:r w:rsidR="00E326DD" w:rsidRPr="00125D3F">
        <w:rPr>
          <w:rFonts w:ascii="Roboto" w:hAnsi="Roboto" w:cs="Arial"/>
          <w:color w:val="040C28"/>
        </w:rPr>
        <w:t>seeks to empower the survivor by prioritizing their rights, needs, and wishes</w:t>
      </w:r>
      <w:r w:rsidR="00E326DD" w:rsidRPr="00125D3F">
        <w:rPr>
          <w:rFonts w:ascii="Roboto" w:hAnsi="Roboto" w:cs="Arial"/>
          <w:color w:val="202124"/>
          <w:shd w:val="clear" w:color="auto" w:fill="FFFFFF"/>
        </w:rPr>
        <w:t>. This includes ensuring that survivors have access to appropriate, accessible, and quality services</w:t>
      </w:r>
      <w:r w:rsidR="00E326DD" w:rsidRPr="00125D3F">
        <w:rPr>
          <w:rFonts w:ascii="Roboto" w:hAnsi="Roboto" w:cs="Arial"/>
          <w:shd w:val="clear" w:color="auto" w:fill="FFFFFF"/>
        </w:rPr>
        <w:t>. Through infrastructural investments the project facilitated the c</w:t>
      </w:r>
      <w:r w:rsidR="00E326DD" w:rsidRPr="00125D3F">
        <w:rPr>
          <w:rFonts w:ascii="Roboto" w:hAnsi="Roboto" w:cs="Segoe UI"/>
          <w:spacing w:val="8"/>
          <w:shd w:val="clear" w:color="auto" w:fill="FFFFFF"/>
        </w:rPr>
        <w:t>reation of a supportive environment in which survivor’s rights are respected and in which a survivor is treated with dignity and respect.</w:t>
      </w:r>
      <w:r w:rsidR="00E326DD" w:rsidRPr="00125D3F">
        <w:rPr>
          <w:rFonts w:ascii="Segoe UI" w:hAnsi="Segoe UI" w:cs="Segoe UI"/>
          <w:spacing w:val="8"/>
          <w:shd w:val="clear" w:color="auto" w:fill="FFFFFF"/>
        </w:rPr>
        <w:t> </w:t>
      </w:r>
    </w:p>
    <w:p w14:paraId="3A8C1C1C" w14:textId="15D22517" w:rsidR="00974806" w:rsidRPr="00125D3F" w:rsidRDefault="00974806" w:rsidP="00974806">
      <w:pPr>
        <w:pStyle w:val="ListParagraph"/>
        <w:numPr>
          <w:ilvl w:val="0"/>
          <w:numId w:val="3"/>
        </w:numPr>
        <w:spacing w:after="0" w:line="240" w:lineRule="auto"/>
        <w:jc w:val="both"/>
        <w:rPr>
          <w:rFonts w:ascii="Roboto" w:eastAsia="Gill Sans" w:hAnsi="Roboto" w:cs="Gill Sans"/>
          <w:lang w:val="en-GB"/>
        </w:rPr>
      </w:pPr>
      <w:r w:rsidRPr="00125D3F">
        <w:rPr>
          <w:rFonts w:ascii="Roboto" w:eastAsia="Gill Sans" w:hAnsi="Roboto" w:cs="Gill Sans"/>
          <w:lang w:val="en-GB"/>
        </w:rPr>
        <w:t xml:space="preserve">The strong technical capacity of the Country Office and staff gave legitimacy to UNW. The reputation of UNW staff for technical competence instilled confidence among key national justice institutions (the Judiciary, UPF and ODPP) as well as the CSO partners to engage and participate in the project activities in line with their mandates. </w:t>
      </w:r>
    </w:p>
    <w:p w14:paraId="2C1F2162" w14:textId="39ACC5F9" w:rsidR="00974806" w:rsidRPr="00125D3F" w:rsidRDefault="00974806" w:rsidP="00974806">
      <w:pPr>
        <w:pStyle w:val="ListParagraph"/>
        <w:numPr>
          <w:ilvl w:val="0"/>
          <w:numId w:val="3"/>
        </w:numPr>
        <w:spacing w:after="0" w:line="240" w:lineRule="auto"/>
        <w:jc w:val="both"/>
        <w:rPr>
          <w:rFonts w:ascii="Roboto" w:eastAsia="Gill Sans" w:hAnsi="Roboto" w:cs="Gill Sans"/>
          <w:lang w:val="en-GB"/>
        </w:rPr>
      </w:pPr>
      <w:r w:rsidRPr="00125D3F">
        <w:rPr>
          <w:rFonts w:ascii="Roboto" w:eastAsia="Gill Sans" w:hAnsi="Roboto" w:cs="Gill Sans"/>
          <w:lang w:val="en-GB"/>
        </w:rPr>
        <w:t>The UNW Country Office has cultivated and demonstrated long-term consistency and dependability through teamwork, mutual respect and being approachable in its strategic partnerships with the key Ministries Departments and Agencies especially the MoGLSD, UPF and ODPP. It has applied the same approach to the Judiciary that has seen building relationships that have culminated into leadership commitment from the top management and leadership of the Judiciary to A2J priority activities.</w:t>
      </w:r>
    </w:p>
    <w:p w14:paraId="415083D1" w14:textId="3433A74B" w:rsidR="00974806" w:rsidRPr="00125D3F" w:rsidRDefault="00BA565D" w:rsidP="00974806">
      <w:pPr>
        <w:pStyle w:val="ListParagraph"/>
        <w:numPr>
          <w:ilvl w:val="0"/>
          <w:numId w:val="3"/>
        </w:numPr>
        <w:spacing w:after="0" w:line="240" w:lineRule="auto"/>
        <w:jc w:val="both"/>
        <w:rPr>
          <w:rFonts w:ascii="Roboto" w:eastAsia="Gill Sans" w:hAnsi="Roboto" w:cs="Gill Sans"/>
          <w:lang w:val="en-GB"/>
        </w:rPr>
      </w:pPr>
      <w:r w:rsidRPr="00125D3F">
        <w:rPr>
          <w:rFonts w:ascii="Roboto" w:eastAsia="Gill Sans" w:hAnsi="Roboto" w:cs="Gill Sans"/>
          <w:lang w:val="en-GB"/>
        </w:rPr>
        <w:t>Multi-sectoral t</w:t>
      </w:r>
      <w:r w:rsidR="00974806" w:rsidRPr="00125D3F">
        <w:rPr>
          <w:rFonts w:ascii="Roboto" w:eastAsia="Gill Sans" w:hAnsi="Roboto" w:cs="Gill Sans"/>
          <w:lang w:val="en-GB"/>
        </w:rPr>
        <w:t>raining/capacity building of justice agencies, especially on international mechanisms and standards, reporting and recognizing gender, GBV and human rights violations and abuses was identified by stakeholders as highly important and impactful</w:t>
      </w:r>
      <w:r w:rsidRPr="00125D3F">
        <w:rPr>
          <w:rFonts w:ascii="Roboto" w:eastAsia="Gill Sans" w:hAnsi="Roboto" w:cs="Gill Sans"/>
          <w:lang w:val="en-GB"/>
        </w:rPr>
        <w:t xml:space="preserve"> in promoting shared learning, communication, cooperation and coordination</w:t>
      </w:r>
      <w:r w:rsidR="00974806" w:rsidRPr="00125D3F">
        <w:rPr>
          <w:rFonts w:ascii="Roboto" w:eastAsia="Gill Sans" w:hAnsi="Roboto" w:cs="Gill Sans"/>
          <w:lang w:val="en-GB"/>
        </w:rPr>
        <w:t>.</w:t>
      </w:r>
    </w:p>
    <w:p w14:paraId="48DDD340" w14:textId="77777777" w:rsidR="00974806" w:rsidRPr="00125D3F" w:rsidRDefault="00974806" w:rsidP="00974806">
      <w:pPr>
        <w:pStyle w:val="ListParagraph"/>
        <w:spacing w:after="0" w:line="240" w:lineRule="auto"/>
        <w:ind w:left="360"/>
        <w:jc w:val="both"/>
        <w:rPr>
          <w:rFonts w:ascii="Roboto" w:eastAsia="Avenir" w:hAnsi="Roboto" w:cstheme="minorHAnsi"/>
          <w:b/>
        </w:rPr>
      </w:pPr>
    </w:p>
    <w:p w14:paraId="00FE0E6D" w14:textId="77777777" w:rsidR="00974806" w:rsidRPr="00125D3F" w:rsidRDefault="00974806" w:rsidP="00974806">
      <w:pPr>
        <w:spacing w:line="240" w:lineRule="auto"/>
        <w:jc w:val="both"/>
        <w:rPr>
          <w:rFonts w:ascii="Roboto" w:eastAsia="Avenir" w:hAnsi="Roboto" w:cstheme="minorHAnsi"/>
          <w:b/>
        </w:rPr>
      </w:pPr>
      <w:r w:rsidRPr="00125D3F">
        <w:rPr>
          <w:rFonts w:ascii="Roboto" w:eastAsia="Avenir" w:hAnsi="Roboto" w:cstheme="minorHAnsi"/>
          <w:b/>
        </w:rPr>
        <w:t>Lessons Learned</w:t>
      </w:r>
    </w:p>
    <w:p w14:paraId="2D7C2CB6" w14:textId="77777777" w:rsidR="00974806" w:rsidRPr="00125D3F" w:rsidRDefault="00974806" w:rsidP="00974806">
      <w:pPr>
        <w:pStyle w:val="ListParagraph"/>
        <w:numPr>
          <w:ilvl w:val="0"/>
          <w:numId w:val="4"/>
        </w:numPr>
        <w:spacing w:after="0" w:line="240" w:lineRule="auto"/>
        <w:jc w:val="both"/>
        <w:rPr>
          <w:rFonts w:ascii="Roboto" w:eastAsia="Gill Sans" w:hAnsi="Roboto" w:cs="Gill Sans"/>
          <w:lang w:val="en-GB"/>
        </w:rPr>
      </w:pPr>
      <w:r w:rsidRPr="00125D3F">
        <w:rPr>
          <w:rFonts w:ascii="Roboto" w:eastAsia="Gill Sans" w:hAnsi="Roboto" w:cs="Gill Sans"/>
          <w:lang w:val="en-GB"/>
        </w:rPr>
        <w:t>Building on successes, achievements and lessons from previous and ongoing programmes is important for fast tracking achievements of project deliverables, capacity building and sustainability. A2J did well by building on and leveraging efforts of the ongoing projects such as the EU Spotlight Initiative, UNJGBV among others. However, there is need to be intentional in identification of other ongoing initiatives in the judiciary, UPF and ODPP as well as MGLSD to leverage and draw lessons to inform programming.</w:t>
      </w:r>
    </w:p>
    <w:p w14:paraId="0FCC160B" w14:textId="7A75CA1E" w:rsidR="00974806" w:rsidRPr="00125D3F" w:rsidRDefault="00974806" w:rsidP="00974806">
      <w:pPr>
        <w:pStyle w:val="ListParagraph"/>
        <w:numPr>
          <w:ilvl w:val="0"/>
          <w:numId w:val="4"/>
        </w:numPr>
        <w:jc w:val="both"/>
        <w:rPr>
          <w:rFonts w:ascii="Roboto" w:eastAsia="Gill Sans" w:hAnsi="Roboto" w:cs="Gill Sans"/>
          <w:lang w:val="en-GB"/>
        </w:rPr>
      </w:pPr>
      <w:r w:rsidRPr="00125D3F">
        <w:rPr>
          <w:rFonts w:ascii="Roboto" w:eastAsia="Gill Sans" w:hAnsi="Roboto" w:cs="Gill Sans"/>
          <w:lang w:val="en-GB"/>
        </w:rPr>
        <w:t>Survivor centred</w:t>
      </w:r>
      <w:r w:rsidR="009751C5" w:rsidRPr="00125D3F">
        <w:rPr>
          <w:rFonts w:ascii="Roboto" w:eastAsia="Gill Sans" w:hAnsi="Roboto" w:cs="Gill Sans"/>
          <w:lang w:val="en-GB"/>
        </w:rPr>
        <w:t xml:space="preserve">, trauma informed, gender sensitive and human </w:t>
      </w:r>
      <w:r w:rsidR="001419D1" w:rsidRPr="00125D3F">
        <w:rPr>
          <w:rFonts w:ascii="Roboto" w:eastAsia="Gill Sans" w:hAnsi="Roboto" w:cs="Gill Sans"/>
          <w:lang w:val="en-GB"/>
        </w:rPr>
        <w:t>rights-based</w:t>
      </w:r>
      <w:r w:rsidRPr="00125D3F">
        <w:rPr>
          <w:rFonts w:ascii="Roboto" w:eastAsia="Gill Sans" w:hAnsi="Roboto" w:cs="Gill Sans"/>
          <w:lang w:val="en-GB"/>
        </w:rPr>
        <w:t xml:space="preserve"> approaches are crucial in responding to risk and vulnerability and the unique needs of the GBV survivors to enable them to be confident and have the self-esteem needed to pursue justice throughout the justice chain. A2J has started several innovations ranging from trainings, survivor support, installing audio-visual equipment and rooms to offer confidentiality. These are good practices that should be institutionalised and continued throughout the justice chain.</w:t>
      </w:r>
    </w:p>
    <w:p w14:paraId="23764D65" w14:textId="54AB2C39" w:rsidR="00974806" w:rsidRPr="00125D3F" w:rsidRDefault="00974806" w:rsidP="00974806">
      <w:pPr>
        <w:pStyle w:val="ListParagraph"/>
        <w:numPr>
          <w:ilvl w:val="0"/>
          <w:numId w:val="4"/>
        </w:numPr>
        <w:spacing w:after="0" w:line="240" w:lineRule="auto"/>
        <w:jc w:val="both"/>
        <w:rPr>
          <w:rFonts w:ascii="Roboto" w:eastAsia="Gill Sans" w:hAnsi="Roboto" w:cs="Gill Sans"/>
          <w:lang w:val="en-GB"/>
        </w:rPr>
      </w:pPr>
      <w:r w:rsidRPr="00125D3F">
        <w:rPr>
          <w:rFonts w:ascii="Roboto" w:eastAsia="Gill Sans" w:hAnsi="Roboto" w:cs="Gill Sans"/>
          <w:lang w:val="en-GB"/>
        </w:rPr>
        <w:t xml:space="preserve">Finding a delicate balance between strengthening both GBV response and prevention is </w:t>
      </w:r>
      <w:r w:rsidRPr="00A539FC">
        <w:rPr>
          <w:rFonts w:ascii="Roboto" w:eastAsia="Gill Sans" w:hAnsi="Roboto" w:cs="Gill Sans"/>
          <w:lang w:val="en-GB"/>
        </w:rPr>
        <w:t>crucial</w:t>
      </w:r>
      <w:r w:rsidRPr="00125D3F">
        <w:rPr>
          <w:rFonts w:ascii="Roboto" w:eastAsia="Gill Sans" w:hAnsi="Roboto" w:cs="Gill Sans"/>
          <w:lang w:val="en-GB"/>
        </w:rPr>
        <w:t xml:space="preserve"> given that both strands are</w:t>
      </w:r>
      <w:r w:rsidR="00C25364" w:rsidRPr="00125D3F">
        <w:rPr>
          <w:rFonts w:ascii="Roboto" w:eastAsia="Gill Sans" w:hAnsi="Roboto" w:cs="Gill Sans"/>
          <w:lang w:val="en-GB"/>
        </w:rPr>
        <w:t xml:space="preserve"> essential</w:t>
      </w:r>
      <w:r w:rsidRPr="00125D3F">
        <w:rPr>
          <w:rFonts w:ascii="Roboto" w:eastAsia="Gill Sans" w:hAnsi="Roboto" w:cs="Gill Sans"/>
          <w:lang w:val="en-GB"/>
        </w:rPr>
        <w:t xml:space="preserve"> in improving access and the quality of justice. The focus particularly on social and gender norms change at the institutional and community level is imperative.</w:t>
      </w:r>
    </w:p>
    <w:p w14:paraId="0C83F007" w14:textId="77777777" w:rsidR="00974806" w:rsidRPr="00125D3F" w:rsidRDefault="00974806" w:rsidP="00974806">
      <w:pPr>
        <w:spacing w:after="0" w:line="240" w:lineRule="auto"/>
        <w:jc w:val="both"/>
        <w:rPr>
          <w:rFonts w:ascii="Roboto" w:eastAsia="Avenir" w:hAnsi="Roboto" w:cstheme="minorHAnsi"/>
          <w:b/>
        </w:rPr>
      </w:pPr>
    </w:p>
    <w:p w14:paraId="3C9BED96"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p>
    <w:p w14:paraId="44F655B1"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p>
    <w:p w14:paraId="39424051"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r w:rsidRPr="00125D3F">
        <w:rPr>
          <w:rFonts w:ascii="Roboto" w:eastAsia="Lato" w:hAnsi="Roboto" w:cs="Lato"/>
          <w:b/>
          <w:bCs/>
          <w:color w:val="000000" w:themeColor="text1"/>
          <w:kern w:val="24"/>
          <w:lang w:eastAsia="en-GB"/>
        </w:rPr>
        <w:lastRenderedPageBreak/>
        <w:t>Conclusion</w:t>
      </w:r>
    </w:p>
    <w:p w14:paraId="3DAA352C" w14:textId="1E4DCF25" w:rsidR="00974806" w:rsidRPr="00125D3F" w:rsidRDefault="001419D1" w:rsidP="00A539FC">
      <w:pPr>
        <w:spacing w:after="0" w:line="240" w:lineRule="auto"/>
        <w:contextualSpacing/>
        <w:jc w:val="both"/>
        <w:rPr>
          <w:rFonts w:ascii="Roboto" w:eastAsia="Lato" w:hAnsi="Roboto" w:cs="Lato"/>
          <w:b/>
          <w:bCs/>
          <w:color w:val="000000" w:themeColor="text1"/>
          <w:kern w:val="24"/>
          <w:lang w:eastAsia="en-GB"/>
        </w:rPr>
      </w:pPr>
      <w:r w:rsidRPr="00125D3F">
        <w:rPr>
          <w:rFonts w:ascii="Roboto" w:eastAsia="Lato" w:hAnsi="Roboto" w:cs="Lato"/>
          <w:color w:val="000000" w:themeColor="text1"/>
          <w:kern w:val="24"/>
          <w:lang w:eastAsia="en-GB"/>
        </w:rPr>
        <w:t>Overall,</w:t>
      </w:r>
      <w:r w:rsidR="00974806" w:rsidRPr="00125D3F">
        <w:rPr>
          <w:rFonts w:ascii="Roboto" w:eastAsia="Lato" w:hAnsi="Roboto" w:cs="Lato"/>
          <w:color w:val="000000" w:themeColor="text1"/>
          <w:kern w:val="24"/>
          <w:lang w:eastAsia="en-GB"/>
        </w:rPr>
        <w:t xml:space="preserve"> the project was relevant to the national and sub-national context of GBV and access to justice</w:t>
      </w:r>
      <w:r w:rsidR="00C25364" w:rsidRPr="00125D3F">
        <w:rPr>
          <w:rFonts w:ascii="Roboto" w:eastAsia="Lato" w:hAnsi="Roboto" w:cs="Lato"/>
          <w:color w:val="000000" w:themeColor="text1"/>
          <w:kern w:val="24"/>
          <w:lang w:eastAsia="en-GB"/>
        </w:rPr>
        <w:t>. I</w:t>
      </w:r>
      <w:r w:rsidR="00974806" w:rsidRPr="00125D3F">
        <w:rPr>
          <w:rFonts w:ascii="Roboto" w:eastAsia="Lato" w:hAnsi="Roboto" w:cs="Lato"/>
          <w:color w:val="000000" w:themeColor="text1"/>
          <w:kern w:val="24"/>
          <w:lang w:eastAsia="en-GB"/>
        </w:rPr>
        <w:t xml:space="preserve">t made major inroads in </w:t>
      </w:r>
      <w:r w:rsidR="00C25364" w:rsidRPr="00125D3F">
        <w:rPr>
          <w:rFonts w:ascii="Roboto" w:eastAsia="Lato" w:hAnsi="Roboto" w:cs="Lato"/>
          <w:color w:val="000000" w:themeColor="text1"/>
          <w:kern w:val="24"/>
          <w:lang w:eastAsia="en-GB"/>
        </w:rPr>
        <w:t xml:space="preserve">multi-sectoral </w:t>
      </w:r>
      <w:r w:rsidR="00974806" w:rsidRPr="00125D3F">
        <w:rPr>
          <w:rFonts w:ascii="Roboto" w:eastAsia="Lato" w:hAnsi="Roboto" w:cs="Lato"/>
          <w:color w:val="000000" w:themeColor="text1"/>
          <w:kern w:val="24"/>
          <w:lang w:eastAsia="en-GB"/>
        </w:rPr>
        <w:t xml:space="preserve">capacity building </w:t>
      </w:r>
      <w:r w:rsidR="00C25364" w:rsidRPr="00125D3F">
        <w:rPr>
          <w:rFonts w:ascii="Roboto" w:eastAsia="Lato" w:hAnsi="Roboto" w:cs="Lato"/>
          <w:color w:val="000000" w:themeColor="text1"/>
          <w:kern w:val="24"/>
          <w:lang w:eastAsia="en-GB"/>
        </w:rPr>
        <w:t xml:space="preserve">initiatives </w:t>
      </w:r>
      <w:r w:rsidR="00974806" w:rsidRPr="00125D3F">
        <w:rPr>
          <w:rFonts w:ascii="Roboto" w:eastAsia="Lato" w:hAnsi="Roboto" w:cs="Lato"/>
          <w:color w:val="000000" w:themeColor="text1"/>
          <w:kern w:val="24"/>
          <w:lang w:eastAsia="en-GB"/>
        </w:rPr>
        <w:t>and strengthening of justice institutions la</w:t>
      </w:r>
      <w:r w:rsidR="00C25364" w:rsidRPr="00125D3F">
        <w:rPr>
          <w:rFonts w:ascii="Roboto" w:eastAsia="Lato" w:hAnsi="Roboto" w:cs="Lato"/>
          <w:color w:val="000000" w:themeColor="text1"/>
          <w:kern w:val="24"/>
          <w:lang w:eastAsia="en-GB"/>
        </w:rPr>
        <w:t xml:space="preserve">ying </w:t>
      </w:r>
      <w:r w:rsidR="00974806" w:rsidRPr="00125D3F">
        <w:rPr>
          <w:rFonts w:ascii="Roboto" w:eastAsia="Lato" w:hAnsi="Roboto" w:cs="Lato"/>
          <w:color w:val="000000" w:themeColor="text1"/>
          <w:kern w:val="24"/>
          <w:lang w:eastAsia="en-GB"/>
        </w:rPr>
        <w:t>the foundation for further work crucial to promoting and institutionalizing access to justice</w:t>
      </w:r>
      <w:r w:rsidR="00C25364" w:rsidRPr="00125D3F">
        <w:rPr>
          <w:rFonts w:ascii="Roboto" w:eastAsia="Lato" w:hAnsi="Roboto" w:cs="Lato"/>
          <w:color w:val="000000" w:themeColor="text1"/>
          <w:kern w:val="24"/>
          <w:lang w:eastAsia="en-GB"/>
        </w:rPr>
        <w:t>. This was possible</w:t>
      </w:r>
      <w:r w:rsidR="00974806" w:rsidRPr="00125D3F">
        <w:rPr>
          <w:rFonts w:ascii="Roboto" w:eastAsia="Lato" w:hAnsi="Roboto" w:cs="Lato"/>
          <w:color w:val="000000" w:themeColor="text1"/>
          <w:kern w:val="24"/>
          <w:lang w:eastAsia="en-GB"/>
        </w:rPr>
        <w:t xml:space="preserve"> through building </w:t>
      </w:r>
      <w:r w:rsidR="00C25364" w:rsidRPr="00125D3F">
        <w:rPr>
          <w:rFonts w:ascii="Roboto" w:eastAsia="Lato" w:hAnsi="Roboto" w:cs="Lato"/>
          <w:color w:val="000000" w:themeColor="text1"/>
          <w:kern w:val="24"/>
          <w:lang w:eastAsia="en-GB"/>
        </w:rPr>
        <w:t xml:space="preserve">of </w:t>
      </w:r>
      <w:r w:rsidR="00974806" w:rsidRPr="00125D3F">
        <w:rPr>
          <w:rFonts w:ascii="Roboto" w:eastAsia="Lato" w:hAnsi="Roboto" w:cs="Lato"/>
          <w:color w:val="000000" w:themeColor="text1"/>
          <w:kern w:val="24"/>
          <w:lang w:eastAsia="en-GB"/>
        </w:rPr>
        <w:t xml:space="preserve">strong relations with the </w:t>
      </w:r>
      <w:r w:rsidR="00C25364" w:rsidRPr="00125D3F">
        <w:rPr>
          <w:rFonts w:ascii="Roboto" w:eastAsia="Lato" w:hAnsi="Roboto" w:cs="Lato"/>
          <w:color w:val="000000" w:themeColor="text1"/>
          <w:kern w:val="24"/>
          <w:lang w:eastAsia="en-GB"/>
        </w:rPr>
        <w:t>J</w:t>
      </w:r>
      <w:r w:rsidR="00974806" w:rsidRPr="00125D3F">
        <w:rPr>
          <w:rFonts w:ascii="Roboto" w:eastAsia="Lato" w:hAnsi="Roboto" w:cs="Lato"/>
          <w:color w:val="000000" w:themeColor="text1"/>
          <w:kern w:val="24"/>
          <w:lang w:eastAsia="en-GB"/>
        </w:rPr>
        <w:t>udiciary, Uganda Police Force</w:t>
      </w:r>
      <w:r w:rsidR="00C25364" w:rsidRPr="00125D3F">
        <w:rPr>
          <w:rFonts w:ascii="Roboto" w:eastAsia="Lato" w:hAnsi="Roboto" w:cs="Lato"/>
          <w:color w:val="000000" w:themeColor="text1"/>
          <w:kern w:val="24"/>
          <w:lang w:eastAsia="en-GB"/>
        </w:rPr>
        <w:t xml:space="preserve"> (UPF)</w:t>
      </w:r>
      <w:r w:rsidR="00974806" w:rsidRPr="00125D3F">
        <w:rPr>
          <w:rFonts w:ascii="Roboto" w:eastAsia="Lato" w:hAnsi="Roboto" w:cs="Lato"/>
          <w:color w:val="000000" w:themeColor="text1"/>
          <w:kern w:val="24"/>
          <w:lang w:eastAsia="en-GB"/>
        </w:rPr>
        <w:t xml:space="preserve"> and the Office of the Directorate of Public Prosecutions</w:t>
      </w:r>
      <w:r w:rsidR="00C25364" w:rsidRPr="00125D3F">
        <w:rPr>
          <w:rFonts w:ascii="Roboto" w:eastAsia="Lato" w:hAnsi="Roboto" w:cs="Lato"/>
          <w:color w:val="000000" w:themeColor="text1"/>
          <w:kern w:val="24"/>
          <w:lang w:eastAsia="en-GB"/>
        </w:rPr>
        <w:t xml:space="preserve"> (ODPP)</w:t>
      </w:r>
      <w:r w:rsidR="00111227" w:rsidRPr="00125D3F">
        <w:rPr>
          <w:rFonts w:ascii="Roboto" w:eastAsia="Lato" w:hAnsi="Roboto" w:cs="Lato"/>
          <w:color w:val="000000" w:themeColor="text1"/>
          <w:kern w:val="24"/>
          <w:lang w:eastAsia="en-GB"/>
        </w:rPr>
        <w:t xml:space="preserve">. Project partners </w:t>
      </w:r>
      <w:r w:rsidR="00974806" w:rsidRPr="00125D3F">
        <w:rPr>
          <w:rFonts w:ascii="Roboto" w:eastAsia="Lato" w:hAnsi="Roboto" w:cs="Lato"/>
          <w:color w:val="000000" w:themeColor="text1"/>
          <w:kern w:val="24"/>
          <w:lang w:eastAsia="en-GB"/>
        </w:rPr>
        <w:t>mutually agree</w:t>
      </w:r>
      <w:r w:rsidR="00111227" w:rsidRPr="00125D3F">
        <w:rPr>
          <w:rFonts w:ascii="Roboto" w:eastAsia="Lato" w:hAnsi="Roboto" w:cs="Lato"/>
          <w:color w:val="000000" w:themeColor="text1"/>
          <w:kern w:val="24"/>
          <w:lang w:eastAsia="en-GB"/>
        </w:rPr>
        <w:t xml:space="preserve">d to </w:t>
      </w:r>
      <w:r w:rsidR="00974806" w:rsidRPr="00125D3F">
        <w:rPr>
          <w:rFonts w:ascii="Roboto" w:eastAsia="Lato" w:hAnsi="Roboto" w:cs="Lato"/>
          <w:color w:val="000000" w:themeColor="text1"/>
          <w:kern w:val="24"/>
          <w:lang w:eastAsia="en-GB"/>
        </w:rPr>
        <w:t>and owned</w:t>
      </w:r>
      <w:r w:rsidR="00847451" w:rsidRPr="00125D3F">
        <w:rPr>
          <w:rFonts w:ascii="Roboto" w:eastAsia="Lato" w:hAnsi="Roboto" w:cs="Lato"/>
          <w:color w:val="000000" w:themeColor="text1"/>
          <w:kern w:val="24"/>
          <w:lang w:eastAsia="en-GB"/>
        </w:rPr>
        <w:t xml:space="preserve"> a</w:t>
      </w:r>
      <w:r w:rsidR="00974806" w:rsidRPr="00125D3F">
        <w:rPr>
          <w:rFonts w:ascii="Roboto" w:eastAsia="Lato" w:hAnsi="Roboto" w:cs="Lato"/>
          <w:color w:val="000000" w:themeColor="text1"/>
          <w:kern w:val="24"/>
          <w:lang w:eastAsia="en-GB"/>
        </w:rPr>
        <w:t xml:space="preserve"> strategy/options paper </w:t>
      </w:r>
      <w:r w:rsidR="00111227" w:rsidRPr="00125D3F">
        <w:rPr>
          <w:rFonts w:ascii="Roboto" w:eastAsia="Arial" w:hAnsi="Roboto" w:cstheme="minorHAnsi"/>
          <w:lang w:val="en-GB"/>
        </w:rPr>
        <w:t>for institutionalizing a specialised justice system for effective management of GBV cases</w:t>
      </w:r>
      <w:r w:rsidR="00111227" w:rsidRPr="00125D3F">
        <w:rPr>
          <w:rFonts w:ascii="Roboto" w:eastAsia="Lato" w:hAnsi="Roboto" w:cs="Lato"/>
          <w:color w:val="000000" w:themeColor="text1"/>
          <w:kern w:val="24"/>
          <w:lang w:eastAsia="en-GB"/>
        </w:rPr>
        <w:t xml:space="preserve"> </w:t>
      </w:r>
      <w:r w:rsidR="00974806" w:rsidRPr="00125D3F">
        <w:rPr>
          <w:rFonts w:ascii="Roboto" w:eastAsia="Lato" w:hAnsi="Roboto" w:cs="Lato"/>
          <w:color w:val="000000" w:themeColor="text1"/>
          <w:kern w:val="24"/>
          <w:lang w:eastAsia="en-GB"/>
        </w:rPr>
        <w:t>as well as the draft</w:t>
      </w:r>
      <w:r w:rsidR="00111227" w:rsidRPr="00125D3F">
        <w:rPr>
          <w:rFonts w:ascii="Roboto" w:eastAsia="Lato" w:hAnsi="Roboto" w:cs="Lato"/>
          <w:color w:val="000000" w:themeColor="text1"/>
          <w:kern w:val="24"/>
          <w:lang w:eastAsia="en-GB"/>
        </w:rPr>
        <w:t>ing of</w:t>
      </w:r>
      <w:r w:rsidR="00974806" w:rsidRPr="00125D3F">
        <w:rPr>
          <w:rFonts w:ascii="Roboto" w:eastAsia="Lato" w:hAnsi="Roboto" w:cs="Lato"/>
          <w:color w:val="000000" w:themeColor="text1"/>
          <w:kern w:val="24"/>
          <w:lang w:eastAsia="en-GB"/>
        </w:rPr>
        <w:t xml:space="preserve"> service delivery standards (near finalization). There were significant delays in the completion of some activities. This led to </w:t>
      </w:r>
      <w:r w:rsidR="00DC204E" w:rsidRPr="00125D3F">
        <w:rPr>
          <w:rFonts w:ascii="Roboto" w:eastAsia="Lato" w:hAnsi="Roboto" w:cs="Lato"/>
          <w:color w:val="000000" w:themeColor="text1"/>
          <w:kern w:val="24"/>
          <w:lang w:eastAsia="en-GB"/>
        </w:rPr>
        <w:t>several</w:t>
      </w:r>
      <w:r w:rsidR="00974806" w:rsidRPr="00125D3F">
        <w:rPr>
          <w:rFonts w:ascii="Roboto" w:eastAsia="Lato" w:hAnsi="Roboto" w:cs="Lato"/>
          <w:color w:val="000000" w:themeColor="text1"/>
          <w:kern w:val="24"/>
          <w:lang w:eastAsia="en-GB"/>
        </w:rPr>
        <w:t xml:space="preserve"> no-cost extensions that were required to ensure that a strong foundation is laid for the follow-on project activities. Working through existing structures at all levels coupled with building on achievements and lessons learnt from ongoing projects especially the Spotlight initiative and UN Joint Programme on GBV set a strong foundation for sustainability.</w:t>
      </w:r>
    </w:p>
    <w:p w14:paraId="45C6B958"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p>
    <w:p w14:paraId="73C12F12" w14:textId="77777777" w:rsidR="00974806" w:rsidRPr="00125D3F" w:rsidRDefault="00974806" w:rsidP="00974806">
      <w:pPr>
        <w:spacing w:after="0" w:line="240" w:lineRule="auto"/>
        <w:contextualSpacing/>
        <w:rPr>
          <w:rFonts w:ascii="Roboto" w:eastAsia="Lato" w:hAnsi="Roboto" w:cs="Lato"/>
          <w:b/>
          <w:bCs/>
          <w:color w:val="000000" w:themeColor="text1"/>
          <w:kern w:val="24"/>
          <w:lang w:eastAsia="en-GB"/>
        </w:rPr>
      </w:pPr>
      <w:r w:rsidRPr="00125D3F">
        <w:rPr>
          <w:rFonts w:ascii="Roboto" w:eastAsia="Lato" w:hAnsi="Roboto" w:cs="Lato"/>
          <w:b/>
          <w:bCs/>
          <w:color w:val="000000" w:themeColor="text1"/>
          <w:kern w:val="24"/>
          <w:lang w:eastAsia="en-GB"/>
        </w:rPr>
        <w:t>Recommendations</w:t>
      </w:r>
    </w:p>
    <w:p w14:paraId="5537B807" w14:textId="77777777" w:rsidR="00974806" w:rsidRPr="00125D3F" w:rsidRDefault="00974806" w:rsidP="00974806">
      <w:pPr>
        <w:pStyle w:val="ListParagraph"/>
        <w:numPr>
          <w:ilvl w:val="0"/>
          <w:numId w:val="2"/>
        </w:numPr>
        <w:spacing w:line="240" w:lineRule="auto"/>
        <w:jc w:val="both"/>
        <w:rPr>
          <w:lang w:val="en-GB"/>
        </w:rPr>
      </w:pPr>
      <w:r w:rsidRPr="00125D3F">
        <w:rPr>
          <w:rFonts w:ascii="Roboto" w:hAnsi="Roboto"/>
          <w:lang w:val="de-DE"/>
        </w:rPr>
        <w:t xml:space="preserve">There is need for key stakeholders to further consolidate, strengthen partnership and collaboration between the Judiciary, ODPP and UPF as well as the relevant DLG departments in all project processes including design, implementation, monitoring and evaluation. </w:t>
      </w:r>
    </w:p>
    <w:p w14:paraId="559BD35C" w14:textId="5898005F" w:rsidR="00974806" w:rsidRPr="00125D3F" w:rsidRDefault="00974806" w:rsidP="00974806">
      <w:pPr>
        <w:pStyle w:val="ListParagraph"/>
        <w:numPr>
          <w:ilvl w:val="0"/>
          <w:numId w:val="2"/>
        </w:numPr>
        <w:spacing w:line="240" w:lineRule="auto"/>
        <w:jc w:val="both"/>
        <w:rPr>
          <w:lang w:val="en-GB"/>
        </w:rPr>
      </w:pPr>
      <w:r w:rsidRPr="00125D3F">
        <w:rPr>
          <w:rStyle w:val="Aucun"/>
          <w:rFonts w:ascii="Roboto" w:eastAsia="Cambria" w:hAnsi="Roboto"/>
        </w:rPr>
        <w:t xml:space="preserve">Given the level of complexity and bureaucracy involved in working with the key justice institutions and that some of these institutions like the judiciary were recently onboarded, </w:t>
      </w:r>
      <w:r w:rsidRPr="00125D3F">
        <w:rPr>
          <w:rFonts w:ascii="Roboto" w:hAnsi="Roboto"/>
          <w:lang w:val="de-DE"/>
        </w:rPr>
        <w:t>UNW Country Office and its implementing partners should engage with donors to advocate for long term funding to enable adequate time for project inception, implementation and improvement to the quality of outputs and deliverables as a means of realising greater impact.</w:t>
      </w:r>
    </w:p>
    <w:p w14:paraId="56086310" w14:textId="77777777" w:rsidR="00974806" w:rsidRPr="00125D3F" w:rsidRDefault="00974806" w:rsidP="00974806">
      <w:pPr>
        <w:pStyle w:val="ListParagraph"/>
        <w:numPr>
          <w:ilvl w:val="0"/>
          <w:numId w:val="2"/>
        </w:numPr>
        <w:spacing w:line="240" w:lineRule="auto"/>
        <w:jc w:val="both"/>
        <w:rPr>
          <w:lang w:val="en-GB"/>
        </w:rPr>
      </w:pPr>
      <w:r w:rsidRPr="00125D3F">
        <w:rPr>
          <w:rStyle w:val="Aucun"/>
          <w:rFonts w:ascii="Roboto" w:eastAsia="Cambria" w:hAnsi="Roboto"/>
        </w:rPr>
        <w:t xml:space="preserve">With the </w:t>
      </w:r>
      <w:bookmarkStart w:id="5" w:name="_Hlk132373585"/>
      <w:r w:rsidRPr="00125D3F">
        <w:rPr>
          <w:rStyle w:val="Aucun"/>
          <w:rFonts w:ascii="Roboto" w:eastAsia="Cambria" w:hAnsi="Roboto"/>
        </w:rPr>
        <w:t>strategy</w:t>
      </w:r>
      <w:r w:rsidRPr="00125D3F">
        <w:rPr>
          <w:rFonts w:ascii="Roboto" w:eastAsia="Arial" w:hAnsi="Roboto" w:cstheme="minorHAnsi"/>
          <w:lang w:val="en-GB"/>
        </w:rPr>
        <w:t xml:space="preserve"> for institutionalisation of a specialised justice system for effective management of GBV cases against women and girls – ‘</w:t>
      </w:r>
      <w:r w:rsidRPr="00125D3F">
        <w:rPr>
          <w:rStyle w:val="Aucun"/>
          <w:rFonts w:ascii="Roboto" w:eastAsia="Cambria" w:hAnsi="Roboto"/>
        </w:rPr>
        <w:t>options paper’ and the draft service delivery standards in place</w:t>
      </w:r>
      <w:bookmarkEnd w:id="5"/>
      <w:r w:rsidRPr="00125D3F">
        <w:rPr>
          <w:rStyle w:val="Aucun"/>
          <w:rFonts w:ascii="Roboto" w:eastAsia="Cambria" w:hAnsi="Roboto"/>
        </w:rPr>
        <w:t xml:space="preserve">, </w:t>
      </w:r>
      <w:r w:rsidRPr="00125D3F">
        <w:rPr>
          <w:rFonts w:ascii="Roboto" w:hAnsi="Roboto"/>
          <w:lang w:val="de-DE"/>
        </w:rPr>
        <w:t>UNW Country Office and the project implementing partners should review the A2J project ToC, work plan and approach to align to the strategy/options paper and service delivery standards. This means that donors should consider a second phase of the A2J project aligned to the strategy/options paper and the service delivery standards.</w:t>
      </w:r>
    </w:p>
    <w:p w14:paraId="1ACD3335" w14:textId="77777777" w:rsidR="00974806" w:rsidRPr="00125D3F" w:rsidRDefault="00974806" w:rsidP="00974806">
      <w:pPr>
        <w:pStyle w:val="ListParagraph"/>
        <w:numPr>
          <w:ilvl w:val="0"/>
          <w:numId w:val="2"/>
        </w:numPr>
        <w:spacing w:line="240" w:lineRule="auto"/>
        <w:jc w:val="both"/>
        <w:rPr>
          <w:rStyle w:val="Aucun"/>
          <w:rFonts w:ascii="Roboto" w:eastAsia="Cambria" w:hAnsi="Roboto"/>
        </w:rPr>
      </w:pPr>
      <w:r w:rsidRPr="00125D3F">
        <w:rPr>
          <w:rStyle w:val="Aucun"/>
          <w:rFonts w:ascii="Roboto" w:eastAsia="Cambria" w:hAnsi="Roboto"/>
        </w:rPr>
        <w:t>Need to fast track the review and finalisation of detailed and concrete Service Delivery Standards and Procedures covering all the steps towards delivering Quality Integrated Justice Services. This is crucial for improving coordination and harmonisation of the delivery of justice to the GBV survivors and for promoting the good practice of justice being understood and operationalised as a chain. It will also facilitate monitoring of the quality as well as in holding the relevant duty bearers accountable.</w:t>
      </w:r>
    </w:p>
    <w:p w14:paraId="4D323C4A" w14:textId="50CC3751" w:rsidR="00974806" w:rsidRPr="00125D3F" w:rsidRDefault="00974806" w:rsidP="00974806">
      <w:pPr>
        <w:pStyle w:val="ListParagraph"/>
        <w:numPr>
          <w:ilvl w:val="0"/>
          <w:numId w:val="2"/>
        </w:numPr>
        <w:spacing w:line="240" w:lineRule="auto"/>
        <w:jc w:val="both"/>
        <w:rPr>
          <w:lang w:val="en-GB"/>
        </w:rPr>
      </w:pPr>
      <w:r w:rsidRPr="00125D3F">
        <w:rPr>
          <w:rFonts w:ascii="Roboto" w:hAnsi="Roboto"/>
          <w:lang w:val="de-DE"/>
        </w:rPr>
        <w:t xml:space="preserve">UNW and its partners should </w:t>
      </w:r>
      <w:r w:rsidR="00992529" w:rsidRPr="00125D3F">
        <w:rPr>
          <w:rFonts w:ascii="Roboto" w:hAnsi="Roboto"/>
          <w:lang w:val="de-DE"/>
        </w:rPr>
        <w:t xml:space="preserve">agree to and </w:t>
      </w:r>
      <w:r w:rsidR="00CC64A6" w:rsidRPr="00125D3F">
        <w:rPr>
          <w:rFonts w:ascii="Roboto" w:hAnsi="Roboto"/>
          <w:lang w:val="de-DE"/>
        </w:rPr>
        <w:t>consider</w:t>
      </w:r>
      <w:r w:rsidR="00992529" w:rsidRPr="00125D3F">
        <w:rPr>
          <w:rFonts w:ascii="Roboto" w:hAnsi="Roboto"/>
          <w:lang w:val="de-DE"/>
        </w:rPr>
        <w:t xml:space="preserve"> different </w:t>
      </w:r>
      <w:r w:rsidR="000426FA" w:rsidRPr="00125D3F">
        <w:rPr>
          <w:rFonts w:ascii="Roboto" w:hAnsi="Roboto"/>
          <w:lang w:val="de-DE"/>
        </w:rPr>
        <w:t xml:space="preserve">approaches </w:t>
      </w:r>
      <w:r w:rsidRPr="00125D3F">
        <w:rPr>
          <w:rFonts w:ascii="Roboto" w:hAnsi="Roboto"/>
          <w:lang w:val="de-DE"/>
        </w:rPr>
        <w:t>implement</w:t>
      </w:r>
      <w:r w:rsidR="000426FA" w:rsidRPr="00125D3F">
        <w:rPr>
          <w:rFonts w:ascii="Roboto" w:hAnsi="Roboto"/>
          <w:lang w:val="de-DE"/>
        </w:rPr>
        <w:t>ing</w:t>
      </w:r>
      <w:r w:rsidRPr="00125D3F">
        <w:rPr>
          <w:rFonts w:ascii="Roboto" w:hAnsi="Roboto"/>
          <w:lang w:val="de-DE"/>
        </w:rPr>
        <w:t>capacity building in financial management and accountability</w:t>
      </w:r>
      <w:r w:rsidR="006C244B" w:rsidRPr="00125D3F">
        <w:rPr>
          <w:rFonts w:ascii="Roboto" w:hAnsi="Roboto"/>
          <w:lang w:val="de-DE"/>
        </w:rPr>
        <w:t xml:space="preserve">. </w:t>
      </w:r>
      <w:r w:rsidR="00992529" w:rsidRPr="00125D3F">
        <w:rPr>
          <w:rFonts w:ascii="Roboto" w:hAnsi="Roboto"/>
          <w:lang w:val="de-DE"/>
        </w:rPr>
        <w:t xml:space="preserve">This will facilitate </w:t>
      </w:r>
      <w:r w:rsidRPr="00125D3F">
        <w:rPr>
          <w:rFonts w:ascii="Roboto" w:hAnsi="Roboto"/>
          <w:lang w:val="de-DE"/>
        </w:rPr>
        <w:t>build</w:t>
      </w:r>
      <w:r w:rsidR="00992529" w:rsidRPr="00125D3F">
        <w:rPr>
          <w:rFonts w:ascii="Roboto" w:hAnsi="Roboto"/>
          <w:lang w:val="de-DE"/>
        </w:rPr>
        <w:t>ing</w:t>
      </w:r>
      <w:r w:rsidRPr="00125D3F">
        <w:rPr>
          <w:rFonts w:ascii="Roboto" w:hAnsi="Roboto"/>
          <w:lang w:val="de-DE"/>
        </w:rPr>
        <w:t xml:space="preserve"> competencies of IPs in timely </w:t>
      </w:r>
      <w:r w:rsidR="006C244B" w:rsidRPr="00125D3F">
        <w:rPr>
          <w:rFonts w:ascii="Roboto" w:hAnsi="Roboto"/>
          <w:lang w:val="de-DE"/>
        </w:rPr>
        <w:t xml:space="preserve">reporting </w:t>
      </w:r>
      <w:r w:rsidRPr="00125D3F">
        <w:rPr>
          <w:rFonts w:ascii="Roboto" w:hAnsi="Roboto"/>
          <w:lang w:val="de-DE"/>
        </w:rPr>
        <w:t>for funds received to address the delays in accountability and implementation of project activities.</w:t>
      </w:r>
    </w:p>
    <w:p w14:paraId="558229D0" w14:textId="27C59DFC" w:rsidR="00CC64A6" w:rsidRPr="00125D3F" w:rsidRDefault="00974806" w:rsidP="00974806">
      <w:pPr>
        <w:pStyle w:val="ListParagraph"/>
        <w:numPr>
          <w:ilvl w:val="0"/>
          <w:numId w:val="2"/>
        </w:numPr>
        <w:spacing w:line="240" w:lineRule="auto"/>
        <w:jc w:val="both"/>
        <w:rPr>
          <w:lang w:val="en-GB"/>
        </w:rPr>
      </w:pPr>
      <w:r w:rsidRPr="00125D3F">
        <w:rPr>
          <w:rFonts w:ascii="Roboto" w:hAnsi="Roboto"/>
          <w:lang w:val="de-DE"/>
        </w:rPr>
        <w:t xml:space="preserve">Given the importance of investing in both prevention and response, there is need for UNW and partners to consider investment in social norm change at the institutional and community level to complement the access to justice components of the project. This is because social norms may deter reporting of cases and may continue to justify </w:t>
      </w:r>
      <w:r w:rsidR="00435853" w:rsidRPr="00125D3F">
        <w:rPr>
          <w:rFonts w:ascii="Roboto" w:hAnsi="Roboto"/>
          <w:lang w:val="de-DE"/>
        </w:rPr>
        <w:t>violence against women and girls</w:t>
      </w:r>
      <w:r w:rsidRPr="00125D3F">
        <w:rPr>
          <w:rFonts w:ascii="Roboto" w:hAnsi="Roboto"/>
          <w:lang w:val="de-DE"/>
        </w:rPr>
        <w:t>.</w:t>
      </w:r>
    </w:p>
    <w:p w14:paraId="626ED02C" w14:textId="79A1F6B3" w:rsidR="00974806" w:rsidRPr="00CC64A6" w:rsidRDefault="00974806" w:rsidP="00974806">
      <w:pPr>
        <w:pStyle w:val="ListParagraph"/>
        <w:numPr>
          <w:ilvl w:val="0"/>
          <w:numId w:val="2"/>
        </w:numPr>
        <w:spacing w:line="240" w:lineRule="auto"/>
        <w:jc w:val="both"/>
        <w:rPr>
          <w:lang w:val="en-GB"/>
        </w:rPr>
      </w:pPr>
      <w:r w:rsidRPr="00125D3F">
        <w:rPr>
          <w:rFonts w:ascii="Roboto" w:hAnsi="Roboto"/>
          <w:lang w:val="de-DE"/>
        </w:rPr>
        <w:t>There is need to strengthen the M&amp;E sytem to collect baseline information and populate the all indicators in the results f</w:t>
      </w:r>
      <w:r w:rsidRPr="00CC64A6">
        <w:rPr>
          <w:rFonts w:ascii="Roboto" w:hAnsi="Roboto"/>
          <w:lang w:val="de-DE"/>
        </w:rPr>
        <w:t>ramework to faciliate tracking impact.</w:t>
      </w:r>
    </w:p>
    <w:sectPr w:rsidR="00974806" w:rsidRPr="00CC64A6" w:rsidSect="00DF7A3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408D9" w14:textId="77777777" w:rsidR="00924CB0" w:rsidRDefault="00924CB0" w:rsidP="00D857F1">
      <w:pPr>
        <w:spacing w:after="0" w:line="240" w:lineRule="auto"/>
      </w:pPr>
      <w:r>
        <w:separator/>
      </w:r>
    </w:p>
  </w:endnote>
  <w:endnote w:type="continuationSeparator" w:id="0">
    <w:p w14:paraId="2F90C0BA" w14:textId="77777777" w:rsidR="00924CB0" w:rsidRDefault="00924CB0" w:rsidP="00D85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default"/>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Yu Gothic UI Semibold">
    <w:panose1 w:val="020B0700000000000000"/>
    <w:charset w:val="80"/>
    <w:family w:val="swiss"/>
    <w:pitch w:val="variable"/>
    <w:sig w:usb0="E00002FF" w:usb1="2AC7FDFF" w:usb2="00000016" w:usb3="00000000" w:csb0="0002009F" w:csb1="00000000"/>
  </w:font>
  <w:font w:name="Gill Sans">
    <w:altName w:val="Calibri"/>
    <w:panose1 w:val="00000000000000000000"/>
    <w:charset w:val="00"/>
    <w:family w:val="swiss"/>
    <w:notTrueType/>
    <w:pitch w:val="default"/>
    <w:sig w:usb0="00000003" w:usb1="00000000" w:usb2="00000000" w:usb3="00000000" w:csb0="00000001" w:csb1="00000000"/>
  </w:font>
  <w:font w:name="Avenir">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645231"/>
      <w:docPartObj>
        <w:docPartGallery w:val="Page Numbers (Bottom of Page)"/>
        <w:docPartUnique/>
      </w:docPartObj>
    </w:sdtPr>
    <w:sdtContent>
      <w:p w14:paraId="32AB0685" w14:textId="3E5DF718" w:rsidR="00D857F1" w:rsidRDefault="00D857F1">
        <w:pPr>
          <w:pStyle w:val="Footer"/>
          <w:jc w:val="right"/>
        </w:pPr>
        <w:r>
          <w:fldChar w:fldCharType="begin"/>
        </w:r>
        <w:r>
          <w:instrText>PAGE   \* MERGEFORMAT</w:instrText>
        </w:r>
        <w:r>
          <w:fldChar w:fldCharType="separate"/>
        </w:r>
        <w:r>
          <w:rPr>
            <w:lang w:val="en-GB"/>
          </w:rPr>
          <w:t>2</w:t>
        </w:r>
        <w:r>
          <w:fldChar w:fldCharType="end"/>
        </w:r>
      </w:p>
    </w:sdtContent>
  </w:sdt>
  <w:p w14:paraId="2E4F362E" w14:textId="77777777" w:rsidR="00D857F1" w:rsidRDefault="00D85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D9FC5" w14:textId="77777777" w:rsidR="00924CB0" w:rsidRDefault="00924CB0" w:rsidP="00D857F1">
      <w:pPr>
        <w:spacing w:after="0" w:line="240" w:lineRule="auto"/>
      </w:pPr>
      <w:r>
        <w:separator/>
      </w:r>
    </w:p>
  </w:footnote>
  <w:footnote w:type="continuationSeparator" w:id="0">
    <w:p w14:paraId="3A1100AE" w14:textId="77777777" w:rsidR="00924CB0" w:rsidRDefault="00924CB0" w:rsidP="00D85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A55BE"/>
    <w:multiLevelType w:val="hybridMultilevel"/>
    <w:tmpl w:val="66EE3F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82B4C58"/>
    <w:multiLevelType w:val="hybridMultilevel"/>
    <w:tmpl w:val="590211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8C571B"/>
    <w:multiLevelType w:val="hybridMultilevel"/>
    <w:tmpl w:val="0A1AF556"/>
    <w:lvl w:ilvl="0" w:tplc="65CE0F6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64E1276"/>
    <w:multiLevelType w:val="hybridMultilevel"/>
    <w:tmpl w:val="FFC6D3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49942988">
    <w:abstractNumId w:val="1"/>
  </w:num>
  <w:num w:numId="2" w16cid:durableId="111168915">
    <w:abstractNumId w:val="0"/>
  </w:num>
  <w:num w:numId="3" w16cid:durableId="1267497545">
    <w:abstractNumId w:val="2"/>
  </w:num>
  <w:num w:numId="4" w16cid:durableId="533663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806"/>
    <w:rsid w:val="00036832"/>
    <w:rsid w:val="000426FA"/>
    <w:rsid w:val="00111227"/>
    <w:rsid w:val="00111F61"/>
    <w:rsid w:val="00125D3F"/>
    <w:rsid w:val="001419D1"/>
    <w:rsid w:val="001C3317"/>
    <w:rsid w:val="002B6743"/>
    <w:rsid w:val="002C1A5C"/>
    <w:rsid w:val="002D23F5"/>
    <w:rsid w:val="00435853"/>
    <w:rsid w:val="004C5C1F"/>
    <w:rsid w:val="004C5F04"/>
    <w:rsid w:val="00583BA6"/>
    <w:rsid w:val="00645367"/>
    <w:rsid w:val="006C244B"/>
    <w:rsid w:val="006D1B99"/>
    <w:rsid w:val="006F6594"/>
    <w:rsid w:val="0072333C"/>
    <w:rsid w:val="007F22DE"/>
    <w:rsid w:val="00847451"/>
    <w:rsid w:val="00915EA6"/>
    <w:rsid w:val="00924CB0"/>
    <w:rsid w:val="00941C6F"/>
    <w:rsid w:val="00974806"/>
    <w:rsid w:val="009751C5"/>
    <w:rsid w:val="00992529"/>
    <w:rsid w:val="009B2EDF"/>
    <w:rsid w:val="00A539FC"/>
    <w:rsid w:val="00A93821"/>
    <w:rsid w:val="00BA565D"/>
    <w:rsid w:val="00BB5794"/>
    <w:rsid w:val="00C14EA7"/>
    <w:rsid w:val="00C25364"/>
    <w:rsid w:val="00C26C86"/>
    <w:rsid w:val="00C3768C"/>
    <w:rsid w:val="00CC64A6"/>
    <w:rsid w:val="00CD7AA2"/>
    <w:rsid w:val="00D857F1"/>
    <w:rsid w:val="00DC204E"/>
    <w:rsid w:val="00DF7A3A"/>
    <w:rsid w:val="00E326DD"/>
    <w:rsid w:val="00FA1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4EEF"/>
  <w15:chartTrackingRefBased/>
  <w15:docId w15:val="{8F8378BE-091B-43C6-A768-0DD4AAF1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806"/>
    <w:rPr>
      <w:kern w:val="0"/>
      <w:lang w:val="en-US"/>
      <w14:ligatures w14:val="none"/>
    </w:rPr>
  </w:style>
  <w:style w:type="paragraph" w:styleId="Heading1">
    <w:name w:val="heading 1"/>
    <w:basedOn w:val="Normal"/>
    <w:next w:val="Normal"/>
    <w:link w:val="Heading1Char"/>
    <w:uiPriority w:val="9"/>
    <w:qFormat/>
    <w:rsid w:val="009748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806"/>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aliases w:val="List Paragraph (numbered (a)),Bullets,List Paragraph1,Lapis Bulleted List,Dot pt,F5 List Paragraph,No Spacing1,List Paragraph Char Char Char,Indicator Text,Numbered Para 1,Bullet 1,List Paragraph12,Bullet Points,MAIN CONTENT,List 100s,L"/>
    <w:basedOn w:val="Normal"/>
    <w:link w:val="ListParagraphChar"/>
    <w:uiPriority w:val="34"/>
    <w:qFormat/>
    <w:rsid w:val="00974806"/>
    <w:pPr>
      <w:ind w:left="720"/>
      <w:contextualSpacing/>
    </w:pPr>
  </w:style>
  <w:style w:type="character" w:customStyle="1" w:styleId="ListParagraphChar">
    <w:name w:val="List Paragraph Char"/>
    <w:aliases w:val="List Paragraph (numbered (a)) Char,Bullets Char,List Paragraph1 Char,Lapis Bulleted List Char,Dot pt Char,F5 List Paragraph Char,No Spacing1 Char,List Paragraph Char Char Char Char,Indicator Text Char,Numbered Para 1 Char,L Char"/>
    <w:link w:val="ListParagraph"/>
    <w:uiPriority w:val="34"/>
    <w:qFormat/>
    <w:locked/>
    <w:rsid w:val="00974806"/>
    <w:rPr>
      <w:kern w:val="0"/>
      <w:lang w:val="en-US"/>
      <w14:ligatures w14:val="none"/>
    </w:rPr>
  </w:style>
  <w:style w:type="character" w:customStyle="1" w:styleId="Aucun">
    <w:name w:val="Aucun"/>
    <w:rsid w:val="00974806"/>
  </w:style>
  <w:style w:type="character" w:styleId="Hyperlink">
    <w:name w:val="Hyperlink"/>
    <w:basedOn w:val="DefaultParagraphFont"/>
    <w:uiPriority w:val="99"/>
    <w:unhideWhenUsed/>
    <w:rsid w:val="00974806"/>
    <w:rPr>
      <w:color w:val="0000FF"/>
      <w:u w:val="single"/>
    </w:rPr>
  </w:style>
  <w:style w:type="paragraph" w:customStyle="1" w:styleId="Corps">
    <w:name w:val="Corps"/>
    <w:rsid w:val="00974806"/>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14:ligatures w14:val="none"/>
    </w:rPr>
  </w:style>
  <w:style w:type="paragraph" w:styleId="CommentText">
    <w:name w:val="annotation text"/>
    <w:basedOn w:val="Normal"/>
    <w:link w:val="CommentTextChar"/>
    <w:uiPriority w:val="99"/>
    <w:unhideWhenUsed/>
    <w:rsid w:val="00974806"/>
    <w:pPr>
      <w:spacing w:line="240" w:lineRule="auto"/>
    </w:pPr>
    <w:rPr>
      <w:sz w:val="20"/>
      <w:szCs w:val="20"/>
    </w:rPr>
  </w:style>
  <w:style w:type="character" w:customStyle="1" w:styleId="CommentTextChar">
    <w:name w:val="Comment Text Char"/>
    <w:basedOn w:val="DefaultParagraphFont"/>
    <w:link w:val="CommentText"/>
    <w:uiPriority w:val="99"/>
    <w:rsid w:val="00974806"/>
    <w:rPr>
      <w:kern w:val="0"/>
      <w:sz w:val="20"/>
      <w:szCs w:val="20"/>
      <w:lang w:val="en-US"/>
      <w14:ligatures w14:val="none"/>
    </w:rPr>
  </w:style>
  <w:style w:type="table" w:styleId="GridTable4-Accent5">
    <w:name w:val="Grid Table 4 Accent 5"/>
    <w:basedOn w:val="TableNormal"/>
    <w:uiPriority w:val="49"/>
    <w:rsid w:val="00974806"/>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974806"/>
    <w:pPr>
      <w:spacing w:after="200" w:line="240" w:lineRule="auto"/>
    </w:pPr>
    <w:rPr>
      <w:i/>
      <w:iCs/>
      <w:color w:val="44546A" w:themeColor="text2"/>
      <w:sz w:val="18"/>
      <w:szCs w:val="18"/>
      <w:lang w:val="en-GB"/>
    </w:rPr>
  </w:style>
  <w:style w:type="paragraph" w:styleId="NormalWeb">
    <w:name w:val="Normal (Web)"/>
    <w:basedOn w:val="Normal"/>
    <w:uiPriority w:val="99"/>
    <w:semiHidden/>
    <w:unhideWhenUsed/>
    <w:rsid w:val="0097480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974806"/>
    <w:rPr>
      <w:sz w:val="16"/>
      <w:szCs w:val="16"/>
    </w:rPr>
  </w:style>
  <w:style w:type="paragraph" w:styleId="CommentSubject">
    <w:name w:val="annotation subject"/>
    <w:basedOn w:val="CommentText"/>
    <w:next w:val="CommentText"/>
    <w:link w:val="CommentSubjectChar"/>
    <w:uiPriority w:val="99"/>
    <w:semiHidden/>
    <w:unhideWhenUsed/>
    <w:rsid w:val="00974806"/>
    <w:rPr>
      <w:b/>
      <w:bCs/>
    </w:rPr>
  </w:style>
  <w:style w:type="character" w:customStyle="1" w:styleId="CommentSubjectChar">
    <w:name w:val="Comment Subject Char"/>
    <w:basedOn w:val="CommentTextChar"/>
    <w:link w:val="CommentSubject"/>
    <w:uiPriority w:val="99"/>
    <w:semiHidden/>
    <w:rsid w:val="00974806"/>
    <w:rPr>
      <w:b/>
      <w:bCs/>
      <w:kern w:val="0"/>
      <w:sz w:val="20"/>
      <w:szCs w:val="20"/>
      <w:lang w:val="en-US"/>
      <w14:ligatures w14:val="none"/>
    </w:rPr>
  </w:style>
  <w:style w:type="paragraph" w:customStyle="1" w:styleId="Pardfaut">
    <w:name w:val="Par défaut"/>
    <w:rsid w:val="009B2EDF"/>
    <w:pPr>
      <w:spacing w:after="0" w:line="240" w:lineRule="auto"/>
    </w:pPr>
    <w:rPr>
      <w:rFonts w:ascii="Helvetica Neue" w:eastAsia="Arial Unicode MS" w:hAnsi="Helvetica Neue" w:cs="Arial Unicode MS"/>
      <w:color w:val="000000"/>
      <w:kern w:val="0"/>
      <w:lang w:val="en-US"/>
      <w14:ligatures w14:val="none"/>
    </w:rPr>
  </w:style>
  <w:style w:type="paragraph" w:styleId="Revision">
    <w:name w:val="Revision"/>
    <w:hidden/>
    <w:uiPriority w:val="99"/>
    <w:semiHidden/>
    <w:rsid w:val="00CD7AA2"/>
    <w:pPr>
      <w:spacing w:after="0" w:line="240" w:lineRule="auto"/>
    </w:pPr>
    <w:rPr>
      <w:kern w:val="0"/>
      <w:lang w:val="en-US"/>
      <w14:ligatures w14:val="none"/>
    </w:rPr>
  </w:style>
  <w:style w:type="paragraph" w:styleId="Header">
    <w:name w:val="header"/>
    <w:basedOn w:val="Normal"/>
    <w:link w:val="HeaderChar"/>
    <w:uiPriority w:val="99"/>
    <w:unhideWhenUsed/>
    <w:rsid w:val="00D85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7F1"/>
    <w:rPr>
      <w:kern w:val="0"/>
      <w:lang w:val="en-US"/>
      <w14:ligatures w14:val="none"/>
    </w:rPr>
  </w:style>
  <w:style w:type="paragraph" w:styleId="Footer">
    <w:name w:val="footer"/>
    <w:basedOn w:val="Normal"/>
    <w:link w:val="FooterChar"/>
    <w:uiPriority w:val="99"/>
    <w:unhideWhenUsed/>
    <w:rsid w:val="00D85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7F1"/>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unwomen.org/en/digital-library/publications/2012/10/evaluation-policy-of-the-united-nations-entity-for-gender-equality-and-the-empowerment-of-women" TargetMode="Externa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2703</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Sydey Etima Ojara</dc:creator>
  <cp:keywords/>
  <dc:description/>
  <cp:lastModifiedBy>Paul Bukuluki</cp:lastModifiedBy>
  <cp:revision>3</cp:revision>
  <dcterms:created xsi:type="dcterms:W3CDTF">2023-05-08T13:07:00Z</dcterms:created>
  <dcterms:modified xsi:type="dcterms:W3CDTF">2023-05-08T13:09:00Z</dcterms:modified>
</cp:coreProperties>
</file>