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8D2BB" w14:textId="77777777" w:rsidR="00B75C79" w:rsidRDefault="00000000">
      <w:r>
        <w:rPr>
          <w:noProof/>
        </w:rPr>
        <w:drawing>
          <wp:anchor distT="0" distB="0" distL="114300" distR="114300" simplePos="0" relativeHeight="251658240" behindDoc="1" locked="0" layoutInCell="1" allowOverlap="1" wp14:anchorId="4D7B3FD0" wp14:editId="0C4BEB07">
            <wp:simplePos x="0" y="0"/>
            <wp:positionH relativeFrom="column">
              <wp:posOffset>5981700</wp:posOffset>
            </wp:positionH>
            <wp:positionV relativeFrom="paragraph">
              <wp:posOffset>153670</wp:posOffset>
            </wp:positionV>
            <wp:extent cx="1599565" cy="475615"/>
            <wp:effectExtent l="0" t="0" r="63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115568" name="New Bitmap Ima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9565" cy="475615"/>
                    </a:xfrm>
                    <a:prstGeom prst="rect">
                      <a:avLst/>
                    </a:prstGeom>
                  </pic:spPr>
                </pic:pic>
              </a:graphicData>
            </a:graphic>
          </wp:anchor>
        </w:drawing>
      </w:r>
      <w:r w:rsidR="00717011">
        <w:rPr>
          <w:noProof/>
        </w:rPr>
        <w:drawing>
          <wp:inline distT="0" distB="0" distL="0" distR="0" wp14:anchorId="57842490" wp14:editId="037B8AEC">
            <wp:extent cx="1275000" cy="75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20769" name="New Bitmap Image.jpg"/>
                    <pic:cNvPicPr/>
                  </pic:nvPicPr>
                  <pic:blipFill>
                    <a:blip r:embed="rId9" cstate="print"/>
                    <a:stretch>
                      <a:fillRect/>
                    </a:stretch>
                  </pic:blipFill>
                  <pic:spPr>
                    <a:xfrm>
                      <a:off x="0" y="0"/>
                      <a:ext cx="2550000" cy="1500000"/>
                    </a:xfrm>
                    <a:prstGeom prst="rect">
                      <a:avLst/>
                    </a:prstGeom>
                  </pic:spPr>
                </pic:pic>
              </a:graphicData>
            </a:graphic>
          </wp:inline>
        </w:drawing>
      </w:r>
    </w:p>
    <w:p w14:paraId="0CD90210" w14:textId="77777777" w:rsidR="00B75C79" w:rsidRDefault="00000000">
      <w:pPr>
        <w:jc w:val="center"/>
      </w:pPr>
      <w:r>
        <w:br/>
      </w:r>
      <w:r>
        <w:rPr>
          <w:rFonts w:ascii="Calibri" w:hAnsi="Calibri"/>
          <w:sz w:val="56"/>
        </w:rPr>
        <w:t xml:space="preserve">UN Women Strategic Note </w:t>
      </w:r>
      <w:r w:rsidR="00C07D60">
        <w:rPr>
          <w:rFonts w:ascii="Calibri" w:hAnsi="Calibri"/>
          <w:noProof/>
          <w:sz w:val="56"/>
        </w:rPr>
        <w:t>2020</w:t>
      </w:r>
      <w:r>
        <w:rPr>
          <w:rFonts w:ascii="Calibri" w:hAnsi="Calibri"/>
          <w:sz w:val="56"/>
        </w:rPr>
        <w:t>-</w:t>
      </w:r>
      <w:r w:rsidR="00C07D60">
        <w:rPr>
          <w:rFonts w:ascii="Calibri" w:hAnsi="Calibri"/>
          <w:noProof/>
          <w:sz w:val="56"/>
        </w:rPr>
        <w:t>2024</w:t>
      </w:r>
    </w:p>
    <w:p w14:paraId="7C30E724" w14:textId="77777777" w:rsidR="00B75C79" w:rsidRDefault="00000000">
      <w:pPr>
        <w:jc w:val="center"/>
      </w:pPr>
      <w:r>
        <w:rPr>
          <w:rFonts w:ascii="Calibri" w:hAnsi="Calibri"/>
          <w:b/>
          <w:caps/>
          <w:color w:val="0099CC"/>
          <w:sz w:val="32"/>
        </w:rPr>
        <w:t xml:space="preserve">UN WOMEN </w:t>
      </w:r>
      <w:r w:rsidR="00C07D60">
        <w:rPr>
          <w:rFonts w:ascii="Calibri" w:hAnsi="Calibri"/>
          <w:b/>
          <w:noProof/>
          <w:color w:val="0099CC"/>
          <w:sz w:val="32"/>
        </w:rPr>
        <w:t>MALI</w:t>
      </w:r>
      <w:r>
        <w:rPr>
          <w:rFonts w:ascii="Calibri" w:hAnsi="Calibri"/>
          <w:b/>
          <w:caps/>
          <w:color w:val="0099CC"/>
          <w:sz w:val="32"/>
        </w:rPr>
        <w:t xml:space="preserve"> </w:t>
      </w:r>
      <w:r w:rsidR="00527AD0">
        <w:rPr>
          <w:rFonts w:ascii="Calibri" w:hAnsi="Calibri"/>
          <w:b/>
          <w:noProof/>
          <w:color w:val="0099CC"/>
          <w:sz w:val="32"/>
        </w:rPr>
        <w:t>COUNTRY</w:t>
      </w:r>
      <w:r>
        <w:rPr>
          <w:rFonts w:ascii="Calibri" w:hAnsi="Calibri"/>
          <w:b/>
          <w:caps/>
          <w:color w:val="0099CC"/>
          <w:sz w:val="32"/>
        </w:rPr>
        <w:t xml:space="preserve"> OFFICE</w:t>
      </w:r>
    </w:p>
    <w:p w14:paraId="7B204D48" w14:textId="23C43C15" w:rsidR="00B75C79" w:rsidRDefault="00000000">
      <w:pPr>
        <w:jc w:val="center"/>
      </w:pPr>
      <w:r>
        <w:rPr>
          <w:rFonts w:ascii="Calibri" w:hAnsi="Calibri"/>
          <w:b/>
          <w:color w:val="0099CC"/>
          <w:sz w:val="32"/>
        </w:rPr>
        <w:t xml:space="preserve">SN </w:t>
      </w:r>
      <w:r w:rsidR="00527AD0">
        <w:rPr>
          <w:rFonts w:ascii="Calibri" w:hAnsi="Calibri"/>
          <w:b/>
          <w:noProof/>
          <w:color w:val="0099CC"/>
          <w:sz w:val="32"/>
        </w:rPr>
        <w:t>2020</w:t>
      </w:r>
    </w:p>
    <w:p w14:paraId="2141B114" w14:textId="77777777" w:rsidR="00B75C79" w:rsidRDefault="00000000" w:rsidP="00527AD0">
      <w:pPr>
        <w:jc w:val="center"/>
        <w:rPr>
          <w:rFonts w:ascii="Calibri" w:hAnsi="Calibri"/>
          <w:color w:val="C00000"/>
          <w:sz w:val="28"/>
        </w:rPr>
      </w:pPr>
      <w:r>
        <w:br/>
      </w:r>
      <w:r>
        <w:br/>
      </w:r>
      <w:r>
        <w:br/>
      </w:r>
      <w:r>
        <w:br/>
      </w:r>
      <w:r w:rsidR="005D51BE">
        <w:rPr>
          <w:rFonts w:ascii="Calibri" w:hAnsi="Calibri"/>
          <w:b/>
          <w:noProof/>
          <w:color w:val="0099CC"/>
          <w:sz w:val="32"/>
        </w:rPr>
        <w:t>Narrative</w:t>
      </w:r>
      <w:r>
        <w:br/>
      </w:r>
      <w:r>
        <w:br/>
      </w:r>
      <w:r>
        <w:br/>
      </w:r>
      <w:r>
        <w:br/>
      </w:r>
      <w:r>
        <w:br/>
      </w:r>
      <w:r>
        <w:br/>
      </w:r>
      <w:r>
        <w:br/>
      </w:r>
      <w:r>
        <w:br/>
      </w:r>
      <w:r>
        <w:br/>
      </w:r>
      <w:r>
        <w:br/>
      </w:r>
      <w:r>
        <w:br/>
      </w:r>
      <w:r>
        <w:br/>
      </w:r>
      <w:r>
        <w:br/>
      </w:r>
      <w:r>
        <w:br/>
      </w:r>
      <w:r>
        <w:br/>
      </w:r>
      <w:r>
        <w:br/>
      </w:r>
      <w:r>
        <w:br/>
      </w:r>
      <w:r>
        <w:br/>
      </w:r>
      <w:r>
        <w:rPr>
          <w:rFonts w:ascii="Calibri" w:hAnsi="Calibri"/>
          <w:color w:val="C00000"/>
          <w:sz w:val="28"/>
        </w:rPr>
        <w:t xml:space="preserve">Report Date: </w:t>
      </w:r>
      <w:r w:rsidR="00527AD0">
        <w:rPr>
          <w:rFonts w:ascii="Calibri" w:hAnsi="Calibri"/>
          <w:noProof/>
          <w:color w:val="C00000"/>
          <w:sz w:val="28"/>
        </w:rPr>
        <w:t>9/20/2023</w:t>
      </w:r>
    </w:p>
    <w:p w14:paraId="703311B9" w14:textId="77777777" w:rsidR="00C07D60" w:rsidRDefault="00000000" w:rsidP="00527AD0">
      <w:pPr>
        <w:rPr>
          <w:b/>
          <w:sz w:val="24"/>
          <w:u w:val="single"/>
        </w:rPr>
      </w:pPr>
      <w:r>
        <w:br w:type="page"/>
      </w:r>
    </w:p>
    <w:p w14:paraId="723BCEA8" w14:textId="77777777" w:rsidR="00C07D60" w:rsidRDefault="00000000" w:rsidP="00527AD0">
      <w:pPr>
        <w:rPr>
          <w:b/>
          <w:sz w:val="24"/>
          <w:u w:val="single"/>
        </w:rPr>
      </w:pPr>
      <w:r>
        <w:rPr>
          <w:b/>
          <w:sz w:val="24"/>
          <w:u w:val="single"/>
        </w:rPr>
        <w:lastRenderedPageBreak/>
        <w:t>1. Context and Situation Analysis: :</w:t>
      </w:r>
    </w:p>
    <w:p w14:paraId="7B73E4CF" w14:textId="77777777" w:rsidR="007118E1" w:rsidRDefault="00000000">
      <w:pPr>
        <w:spacing w:after="240" w:line="240" w:lineRule="auto"/>
        <w:jc w:val="both"/>
        <w:rPr>
          <w:rFonts w:ascii="Times New Roman" w:eastAsia="Times New Roman" w:hAnsi="Times New Roman" w:cs="Times New Roman"/>
          <w:sz w:val="24"/>
          <w:szCs w:val="24"/>
        </w:rPr>
      </w:pPr>
      <w:r>
        <w:rPr>
          <w:rFonts w:ascii="Arial" w:eastAsia="Arial" w:hAnsi="Arial" w:cs="Arial"/>
          <w:color w:val="000000"/>
          <w:sz w:val="20"/>
          <w:szCs w:val="20"/>
          <w:lang w:val="en-GB" w:eastAsia="en-GB"/>
        </w:rPr>
        <w:t> </w:t>
      </w:r>
    </w:p>
    <w:p w14:paraId="281DDB0D"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Located in the Sahel, West Africa, Mali has an area of 1.24 million square kilometres and is a member of ECOWAS and the G5 Sahel. Mali is at the center of the United Nations integrated strategy for the Sahel and UN Women’s work in West and Central Africa. The country portfolio is the biggest UN Women portfolios in West and Central Africa.With a growth rate of more than 3%, the population of Mali , mainly rural (77%)</w:t>
      </w:r>
      <w:hyperlink r:id="rId10" w:anchor="_ftn2" w:history="1">
        <w:r>
          <w:rPr>
            <w:rFonts w:ascii="Arial" w:eastAsia="Arial" w:hAnsi="Arial" w:cs="Arial"/>
            <w:color w:val="000000"/>
            <w:sz w:val="17"/>
            <w:szCs w:val="17"/>
            <w:u w:val="single" w:color="0000EE"/>
            <w:vertAlign w:val="superscript"/>
            <w:lang w:val="en-GB" w:eastAsia="en-GB"/>
          </w:rPr>
          <w:t>[2]</w:t>
        </w:r>
      </w:hyperlink>
      <w:r>
        <w:rPr>
          <w:rFonts w:ascii="Arial" w:eastAsia="Arial" w:hAnsi="Arial" w:cs="Arial"/>
          <w:color w:val="000000"/>
          <w:sz w:val="20"/>
          <w:szCs w:val="20"/>
          <w:lang w:val="en-GB" w:eastAsia="en-GB"/>
        </w:rPr>
        <w:t> and youth (66.92% are under 25 years old)</w:t>
      </w:r>
      <w:hyperlink r:id="rId11" w:anchor="_ftn3" w:history="1">
        <w:r>
          <w:rPr>
            <w:rFonts w:ascii="Calibri" w:eastAsia="Calibri" w:hAnsi="Calibri" w:cs="Calibri"/>
            <w:color w:val="337AB7"/>
            <w:u w:val="single" w:color="0000EE"/>
            <w:vertAlign w:val="superscript"/>
            <w:lang w:val="en-GB" w:eastAsia="en-GB"/>
          </w:rPr>
          <w:t>[3]</w:t>
        </w:r>
      </w:hyperlink>
      <w:r>
        <w:rPr>
          <w:rFonts w:ascii="Times New Roman" w:eastAsia="Times New Roman" w:hAnsi="Times New Roman" w:cs="Times New Roman"/>
          <w:sz w:val="24"/>
          <w:szCs w:val="24"/>
        </w:rPr>
        <w:t xml:space="preserve"> </w:t>
      </w:r>
      <w:r>
        <w:rPr>
          <w:rFonts w:ascii="Arial" w:eastAsia="Arial" w:hAnsi="Arial" w:cs="Arial"/>
          <w:color w:val="000000"/>
          <w:sz w:val="20"/>
          <w:szCs w:val="20"/>
          <w:lang w:val="en-GB" w:eastAsia="en-GB"/>
        </w:rPr>
        <w:t>was estimated at 19.4 million inhabitants</w:t>
      </w:r>
      <w:hyperlink r:id="rId12" w:anchor="_ftn1" w:history="1">
        <w:r>
          <w:rPr>
            <w:rFonts w:ascii="Arial" w:eastAsia="Arial" w:hAnsi="Arial" w:cs="Arial"/>
            <w:color w:val="000000"/>
            <w:sz w:val="17"/>
            <w:szCs w:val="17"/>
            <w:u w:val="single" w:color="0000EE"/>
            <w:vertAlign w:val="superscript"/>
            <w:lang w:val="en-GB" w:eastAsia="en-GB"/>
          </w:rPr>
          <w:t>[1]</w:t>
        </w:r>
      </w:hyperlink>
      <w:r>
        <w:rPr>
          <w:rFonts w:ascii="Arial" w:eastAsia="Arial" w:hAnsi="Arial" w:cs="Arial"/>
          <w:color w:val="000000"/>
          <w:sz w:val="20"/>
          <w:szCs w:val="20"/>
          <w:lang w:val="en-GB" w:eastAsia="en-GB"/>
        </w:rPr>
        <w:t>, 51.3% of whom were women in 2018. This  highlights a high dependence of this population group (children, youth) on women and girls in particular who have to support themselves through unpaid domestic work.The country is known for its cultural diversity and its main ethnic groups traditionally characterised by strong social, gerontocratic and patriarchal hierarchies, with a few exceptions in the North. The main religions practiced in Mali are Islam (94.8%), Christianity (2.4%) and animism (2%). Customary and traditional rights as well as the Muslim religion have a great influence on the exercise </w:t>
      </w:r>
      <w:bookmarkStart w:id="0" w:name="_Hlk19054668"/>
      <w:r>
        <w:rPr>
          <w:rFonts w:ascii="Arial" w:eastAsia="Arial" w:hAnsi="Arial" w:cs="Arial"/>
          <w:color w:val="337AB7"/>
          <w:sz w:val="20"/>
          <w:szCs w:val="20"/>
          <w:lang w:val="en-GB" w:eastAsia="en-GB"/>
        </w:rPr>
        <w:t>of human rights, in particular</w:t>
      </w:r>
      <w:bookmarkEnd w:id="0"/>
      <w:r>
        <w:rPr>
          <w:rFonts w:ascii="Arial" w:eastAsia="Arial" w:hAnsi="Arial" w:cs="Arial"/>
          <w:color w:val="337AB7"/>
          <w:sz w:val="20"/>
          <w:szCs w:val="20"/>
          <w:lang w:val="en-GB" w:eastAsia="en-GB"/>
        </w:rPr>
        <w:fldChar w:fldCharType="begin"/>
      </w:r>
      <w:r>
        <w:rPr>
          <w:rFonts w:ascii="Arial" w:eastAsia="Arial" w:hAnsi="Arial" w:cs="Arial"/>
          <w:color w:val="337AB7"/>
          <w:sz w:val="20"/>
          <w:szCs w:val="20"/>
          <w:lang w:val="en-GB" w:eastAsia="en-GB"/>
        </w:rPr>
        <w:instrText xml:space="preserve"> HYPERLINK "file:///C:/Users/beatrice.eyong/Documents/Note%20Strategique/Note%20strategique%202020%202024%20V1.%20ONU%20Femmes%20Mali%20complet%20clean%2023_2019%2009%20English_.._.docx" \l "_ftn4" </w:instrText>
      </w:r>
      <w:r>
        <w:rPr>
          <w:rFonts w:ascii="Arial" w:eastAsia="Arial" w:hAnsi="Arial" w:cs="Arial"/>
          <w:color w:val="337AB7"/>
          <w:sz w:val="20"/>
          <w:szCs w:val="20"/>
          <w:lang w:val="en-GB" w:eastAsia="en-GB"/>
        </w:rPr>
      </w:r>
      <w:r>
        <w:rPr>
          <w:rFonts w:ascii="Arial" w:eastAsia="Arial" w:hAnsi="Arial" w:cs="Arial"/>
          <w:color w:val="337AB7"/>
          <w:sz w:val="20"/>
          <w:szCs w:val="20"/>
          <w:lang w:val="en-GB" w:eastAsia="en-GB"/>
        </w:rPr>
        <w:fldChar w:fldCharType="separate"/>
      </w:r>
      <w:r>
        <w:rPr>
          <w:rFonts w:ascii="Arial" w:eastAsia="Arial" w:hAnsi="Arial" w:cs="Arial"/>
          <w:color w:val="000000"/>
          <w:sz w:val="20"/>
          <w:szCs w:val="20"/>
          <w:u w:val="single" w:color="0000EE"/>
          <w:vertAlign w:val="superscript"/>
          <w:lang w:val="en-GB" w:eastAsia="en-GB"/>
        </w:rPr>
        <w:t>[4]</w:t>
      </w:r>
      <w:r>
        <w:rPr>
          <w:rFonts w:ascii="Arial" w:eastAsia="Arial" w:hAnsi="Arial" w:cs="Arial"/>
          <w:color w:val="000000"/>
          <w:sz w:val="20"/>
          <w:szCs w:val="20"/>
          <w:u w:val="single" w:color="0000EE"/>
          <w:vertAlign w:val="superscript"/>
          <w:lang w:val="en-GB" w:eastAsia="en-GB"/>
        </w:rPr>
        <w:fldChar w:fldCharType="end"/>
      </w:r>
      <w:r>
        <w:rPr>
          <w:rFonts w:ascii="Arial" w:eastAsia="Arial" w:hAnsi="Arial" w:cs="Arial"/>
          <w:color w:val="000000"/>
          <w:sz w:val="20"/>
          <w:szCs w:val="20"/>
          <w:lang w:val="en-GB" w:eastAsia="en-GB"/>
        </w:rPr>
        <w:t> the misinterpretation of messages that prevent women from fully exercising their rights.</w:t>
      </w:r>
    </w:p>
    <w:p w14:paraId="1C695352"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current context in Mali remains deeply marked by the political, social and security crises of 2012, which has highlighted the fragility of the Malian State and the accumulation of problems unresolved by the political and economic governance mode and practices that prevailed for several decades</w:t>
      </w:r>
      <w:hyperlink r:id="rId13" w:anchor="_ftn5" w:history="1">
        <w:r>
          <w:rPr>
            <w:rFonts w:ascii="Arial" w:eastAsia="Arial" w:hAnsi="Arial" w:cs="Arial"/>
            <w:color w:val="000000"/>
            <w:sz w:val="17"/>
            <w:szCs w:val="17"/>
            <w:u w:val="single" w:color="0000EE"/>
            <w:vertAlign w:val="superscript"/>
            <w:lang w:val="en-GB" w:eastAsia="en-GB"/>
          </w:rPr>
          <w:t>[5]</w:t>
        </w:r>
      </w:hyperlink>
      <w:r>
        <w:rPr>
          <w:rFonts w:ascii="Arial" w:eastAsia="Arial" w:hAnsi="Arial" w:cs="Arial"/>
          <w:color w:val="000000"/>
          <w:sz w:val="20"/>
          <w:szCs w:val="20"/>
          <w:lang w:val="en-GB" w:eastAsia="en-GB"/>
        </w:rPr>
        <w:t> and increased gender inequalities. Women continue to be marginalised in the various peace mechanisms established by the Agreement on Peace and Reconciliation in Mali, signed in 2015, despite the existence of a national plan of action on resolution 1325, the considerable potential of women to achieve sustainable peace as evidenced by the Women’s Peace Huts at the community level. Of all the national peace mechanisms, the CVJR remains the best equipped in terms of knowledge of gender and the existence of a gender sub-group.The slow implementation of the Agreement, including the institutional and security reforms considered in the Agreement, and the difficulties encountered in restoring State authority and services throughout the country contribute to the low level of the rule of law and the population especially women’s access to basic social services. The country is facing increasing insecurity in the central and northern regions. There is an increase in many inter-community conflicts, marked by acts of violence and serious violations of the human rights of women and girls. Acts of terrorism and violent extremism, crime, arms, drugs and human trafficking are widespread. All these problems have increased the number of internally displaced persons since 2018 (168,515 at the end of July 2019),</w:t>
      </w:r>
      <w:hyperlink r:id="rId14" w:anchor="_ftn6" w:history="1">
        <w:r>
          <w:rPr>
            <w:rFonts w:ascii="Arial" w:eastAsia="Arial" w:hAnsi="Arial" w:cs="Arial"/>
            <w:color w:val="000000"/>
            <w:sz w:val="17"/>
            <w:szCs w:val="17"/>
            <w:u w:val="single" w:color="0000EE"/>
            <w:vertAlign w:val="superscript"/>
            <w:lang w:val="en-GB" w:eastAsia="en-GB"/>
          </w:rPr>
          <w:t>[6]</w:t>
        </w:r>
      </w:hyperlink>
      <w:r>
        <w:rPr>
          <w:rFonts w:ascii="Arial" w:eastAsia="Arial" w:hAnsi="Arial" w:cs="Arial"/>
          <w:color w:val="000000"/>
          <w:sz w:val="20"/>
          <w:szCs w:val="20"/>
          <w:lang w:val="en-GB" w:eastAsia="en-GB"/>
        </w:rPr>
        <w:t> particularly in the northern and central regions of the country, as well as in the number of people in need of humanitarian aid.</w:t>
      </w:r>
    </w:p>
    <w:p w14:paraId="0FAE4337"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Mali's climate varies from subtropical to arid, characterised by low and unpredictable rainfall (400-1,000 mm/year) and a minimum of 8 months of dry season. For 30 years, Mali has suffered the adverse effects of climate change with a 0.7°C temperature increase and a 12% drop in rainfall, increasing desertification and inappropriate production techniques that reduce the availability and productivity of arable land, forests and pastoral resources.</w:t>
      </w:r>
      <w:hyperlink r:id="rId15" w:anchor="_ftn7" w:history="1">
        <w:r>
          <w:rPr>
            <w:rFonts w:ascii="Arial" w:eastAsia="Arial" w:hAnsi="Arial" w:cs="Arial"/>
            <w:color w:val="000000"/>
            <w:sz w:val="17"/>
            <w:szCs w:val="17"/>
            <w:u w:val="single" w:color="0000EE"/>
            <w:vertAlign w:val="superscript"/>
            <w:lang w:val="en-GB" w:eastAsia="en-GB"/>
          </w:rPr>
          <w:t>[7]</w:t>
        </w:r>
      </w:hyperlink>
      <w:r>
        <w:rPr>
          <w:rFonts w:ascii="Arial" w:eastAsia="Arial" w:hAnsi="Arial" w:cs="Arial"/>
          <w:color w:val="000000"/>
          <w:sz w:val="20"/>
          <w:szCs w:val="20"/>
          <w:lang w:val="en-GB" w:eastAsia="en-GB"/>
        </w:rPr>
        <w:t> For example, forests are disappearing at a rate of 400,000 to 500,000 ha/year.</w:t>
      </w:r>
      <w:hyperlink r:id="rId16" w:anchor="_ftn8" w:history="1">
        <w:r>
          <w:rPr>
            <w:rFonts w:ascii="Arial" w:eastAsia="Arial" w:hAnsi="Arial" w:cs="Arial"/>
            <w:color w:val="000000"/>
            <w:sz w:val="17"/>
            <w:szCs w:val="17"/>
            <w:u w:val="single" w:color="0000EE"/>
            <w:vertAlign w:val="superscript"/>
            <w:lang w:val="en-GB" w:eastAsia="en-GB"/>
          </w:rPr>
          <w:t>[8]</w:t>
        </w:r>
      </w:hyperlink>
      <w:r>
        <w:rPr>
          <w:rFonts w:ascii="Arial" w:eastAsia="Arial" w:hAnsi="Arial" w:cs="Arial"/>
          <w:color w:val="000000"/>
          <w:sz w:val="20"/>
          <w:szCs w:val="20"/>
          <w:lang w:val="en-GB" w:eastAsia="en-GB"/>
        </w:rPr>
        <w:t> This situation increases the unpaid workload of women (especially women in rural areas representing 78% of the total female population), further reduces their access to natural resources and harmful to their health. These phenomena accentuate the sources of conflict related to natural resource management in a context of global insecurity that undermines social relations and has a negative impact on the economy. The extent of environmental damage in Mali is estimated at about 21.3% of GDP (more than CFAF 680 billion), while the cost of prevention would only represent 10% of GDP (CFAF 340 billion).</w:t>
      </w:r>
    </w:p>
    <w:p w14:paraId="2B5540F7"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The Constitution of Mali clearly states the principle of equality and non-discrimination. Article 2 states that "Every Malian is born and remain free and equal in rights and obligations. All discrimination founded on social origin, colour, language, race, sex, religion and political opinion shall be prohibited”. In addition, Mali has ratified, often without reservations, several regional and international conventions and treaties relating to the protection and promotion of women's rights, such as the Convention on the Elimination of All Forms of Discrimination against Women and its additional protocol, as well as the protocol to the African Charter on Human and Peoples' Rights on the Rights of Women in Africa ("Maputo Protocol"). In 2010, with the support of UN-Women, Mali also adopted the national gender equality policy. At the sectoral level, a national strategy to combat gender-based violence (GBV) was developed in 2018. In addition, law no. 2015-052 was adopted in 2015 to promote gender equality in access to appointed and elected positions in the public administration. This law increased the percentage of </w:t>
      </w:r>
      <w:r>
        <w:rPr>
          <w:rFonts w:ascii="Arial" w:eastAsia="Arial" w:hAnsi="Arial" w:cs="Arial"/>
          <w:color w:val="000000"/>
          <w:sz w:val="20"/>
          <w:szCs w:val="20"/>
          <w:lang w:val="en-GB" w:eastAsia="en-GB"/>
        </w:rPr>
        <w:lastRenderedPageBreak/>
        <w:t>women in appointed positions from 10.4% in 2014 to 15.73% in 2017.</w:t>
      </w:r>
      <w:hyperlink r:id="rId17" w:anchor="_ftn9" w:history="1">
        <w:r>
          <w:rPr>
            <w:rFonts w:ascii="Arial" w:eastAsia="Arial" w:hAnsi="Arial" w:cs="Arial"/>
            <w:color w:val="000000"/>
            <w:sz w:val="17"/>
            <w:szCs w:val="17"/>
            <w:u w:val="single" w:color="0000EE"/>
            <w:vertAlign w:val="superscript"/>
            <w:lang w:val="en-GB" w:eastAsia="en-GB"/>
          </w:rPr>
          <w:t>[9]</w:t>
        </w:r>
      </w:hyperlink>
      <w:r>
        <w:rPr>
          <w:rFonts w:ascii="Arial" w:eastAsia="Arial" w:hAnsi="Arial" w:cs="Arial"/>
          <w:color w:val="000000"/>
          <w:sz w:val="20"/>
          <w:szCs w:val="20"/>
          <w:lang w:val="en-GB" w:eastAsia="en-GB"/>
        </w:rPr>
        <w:t> However, the minimum representation of 30% provided for by this law has not yet been respected.</w:t>
      </w:r>
    </w:p>
    <w:p w14:paraId="00AA0F1D"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Although these policy and legal frameworks bring considerable gains, many challenges remain, such as the integration of international and regional engagements into the national legal and policy framework, and most importantly, their effective implementation. The context remains marked by several sociocultural constraints, including extremist religious currents, which hinder these reforms.Economic growth is stagnant, with a slight decline in GDP (5.3% in 2017 and 5.0% in 2018). The 2017 Gender Inequality Index (GII) ranks Mali 157th out of 160. This shows the extent and depth of the inequalities that cover all development sectors of the country. In fact, the inequality-adjusted HDI is 0.282, almost 34% lower than the HDI (0.427), and the gross national income inequality is 15.4%.</w:t>
      </w:r>
      <w:hyperlink r:id="rId18" w:anchor="_ftn10" w:history="1">
        <w:r>
          <w:rPr>
            <w:rFonts w:ascii="Arial" w:eastAsia="Arial" w:hAnsi="Arial" w:cs="Arial"/>
            <w:color w:val="000000"/>
            <w:sz w:val="17"/>
            <w:szCs w:val="17"/>
            <w:u w:val="single" w:color="0000EE"/>
            <w:vertAlign w:val="superscript"/>
            <w:lang w:val="en-GB" w:eastAsia="en-GB"/>
          </w:rPr>
          <w:t>[10]</w:t>
        </w:r>
      </w:hyperlink>
      <w:r>
        <w:rPr>
          <w:rFonts w:ascii="Arial" w:eastAsia="Arial" w:hAnsi="Arial" w:cs="Arial"/>
          <w:color w:val="000000"/>
          <w:sz w:val="20"/>
          <w:szCs w:val="20"/>
          <w:lang w:val="en-GB" w:eastAsia="en-GB"/>
        </w:rPr>
        <w:t>  In terms of income, inequality between women and men is much more pronounced since women's income (US$ 1,345) is only 52% of men's (US$ 2,560).</w:t>
      </w:r>
      <w:hyperlink r:id="rId19" w:anchor="_ftn11" w:history="1">
        <w:r>
          <w:rPr>
            <w:rFonts w:ascii="Arial" w:eastAsia="Arial" w:hAnsi="Arial" w:cs="Arial"/>
            <w:color w:val="000000"/>
            <w:sz w:val="17"/>
            <w:szCs w:val="17"/>
            <w:u w:val="single" w:color="0000EE"/>
            <w:vertAlign w:val="superscript"/>
            <w:lang w:val="en-GB" w:eastAsia="en-GB"/>
          </w:rPr>
          <w:t>[11]</w:t>
        </w:r>
      </w:hyperlink>
      <w:r>
        <w:rPr>
          <w:rFonts w:ascii="Arial" w:eastAsia="Arial" w:hAnsi="Arial" w:cs="Arial"/>
          <w:color w:val="000000"/>
          <w:sz w:val="20"/>
          <w:szCs w:val="20"/>
          <w:lang w:val="en-GB" w:eastAsia="en-GB"/>
        </w:rPr>
        <w:t> The economic activities recorded in Mali's GDP are in the primary sector with an average contribution of 39.6% over the period 2010-2016, followed by the tertiary sector (39%) and the secondary sector (21.1%). Women-owned companies represent only 14% of the total number of companies registered at the API and APCAM level.</w:t>
      </w:r>
      <w:hyperlink r:id="rId20" w:anchor="_ftn12" w:history="1">
        <w:r>
          <w:rPr>
            <w:rFonts w:ascii="Arial" w:eastAsia="Arial" w:hAnsi="Arial" w:cs="Arial"/>
            <w:color w:val="000000"/>
            <w:sz w:val="17"/>
            <w:szCs w:val="17"/>
            <w:u w:val="single" w:color="0000EE"/>
            <w:vertAlign w:val="superscript"/>
            <w:lang w:val="en-GB" w:eastAsia="en-GB"/>
          </w:rPr>
          <w:t>[12]</w:t>
        </w:r>
      </w:hyperlink>
      <w:r>
        <w:rPr>
          <w:rFonts w:ascii="Arial" w:eastAsia="Arial" w:hAnsi="Arial" w:cs="Arial"/>
          <w:color w:val="000000"/>
          <w:sz w:val="20"/>
          <w:szCs w:val="20"/>
          <w:lang w:val="en-GB" w:eastAsia="en-GB"/>
        </w:rPr>
        <w:t>  The percentage of women in paid employment is estimated at 60.8% compared to 82.5% for men. The percentage of women working in the secondary sector has decreased by about 50% over the past 17 years to 4.2%.</w:t>
      </w:r>
      <w:hyperlink r:id="rId21" w:anchor="_ftn13" w:history="1">
        <w:r>
          <w:rPr>
            <w:rFonts w:ascii="Arial" w:eastAsia="Arial" w:hAnsi="Arial" w:cs="Arial"/>
            <w:color w:val="000000"/>
            <w:sz w:val="17"/>
            <w:szCs w:val="17"/>
            <w:u w:val="single" w:color="0000EE"/>
            <w:vertAlign w:val="superscript"/>
            <w:lang w:val="en-GB" w:eastAsia="en-GB"/>
          </w:rPr>
          <w:t>[13]</w:t>
        </w:r>
      </w:hyperlink>
      <w:r>
        <w:rPr>
          <w:rFonts w:ascii="Arial" w:eastAsia="Arial" w:hAnsi="Arial" w:cs="Arial"/>
          <w:color w:val="000000"/>
          <w:sz w:val="20"/>
          <w:szCs w:val="20"/>
          <w:lang w:val="en-GB" w:eastAsia="en-GB"/>
        </w:rPr>
        <w:t> Women constitute the majority of actors in the informal sector, characterised by precariousness and low or non-existent social welfare.</w:t>
      </w:r>
    </w:p>
    <w:p w14:paraId="171274AC"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agricultural sector, which remains dependent on rainfall and the effects of climate change, employs 57.6% of the economically active population.</w:t>
      </w:r>
      <w:hyperlink r:id="rId22" w:anchor="_ftn14" w:history="1">
        <w:r>
          <w:rPr>
            <w:rFonts w:ascii="Arial" w:eastAsia="Arial" w:hAnsi="Arial" w:cs="Arial"/>
            <w:color w:val="000000"/>
            <w:sz w:val="17"/>
            <w:szCs w:val="17"/>
            <w:u w:val="single" w:color="0000EE"/>
            <w:vertAlign w:val="superscript"/>
            <w:lang w:val="en-GB" w:eastAsia="en-GB"/>
          </w:rPr>
          <w:t>[14]</w:t>
        </w:r>
      </w:hyperlink>
      <w:r>
        <w:rPr>
          <w:rFonts w:ascii="Arial" w:eastAsia="Arial" w:hAnsi="Arial" w:cs="Arial"/>
          <w:color w:val="000000"/>
          <w:sz w:val="20"/>
          <w:szCs w:val="20"/>
          <w:lang w:val="en-GB" w:eastAsia="en-GB"/>
        </w:rPr>
        <w:t> Agricultural production (particularly food production) played a key role in the 2014 economic recovery by stabilising food prices and increasing exports, following the 2012 crises that had caused economic stagnation.</w:t>
      </w:r>
      <w:hyperlink r:id="rId23" w:anchor="_ftn15" w:history="1">
        <w:r>
          <w:rPr>
            <w:rFonts w:ascii="Arial" w:eastAsia="Arial" w:hAnsi="Arial" w:cs="Arial"/>
            <w:color w:val="000000"/>
            <w:sz w:val="17"/>
            <w:szCs w:val="17"/>
            <w:u w:val="single" w:color="0000EE"/>
            <w:vertAlign w:val="superscript"/>
            <w:lang w:val="en-GB" w:eastAsia="en-GB"/>
          </w:rPr>
          <w:t>[15]</w:t>
        </w:r>
      </w:hyperlink>
      <w:r>
        <w:rPr>
          <w:rFonts w:ascii="Arial" w:eastAsia="Arial" w:hAnsi="Arial" w:cs="Arial"/>
          <w:color w:val="000000"/>
          <w:sz w:val="20"/>
          <w:szCs w:val="20"/>
          <w:lang w:val="en-GB" w:eastAsia="en-GB"/>
        </w:rPr>
        <w:t>The illiteracy rate for women is higher than for men (69.8% versus 51.8%). Such a gap in illiteracy rates is due to the significant drop out of girls from the school system, child marriage, domestic work, household poverty, long distances to school, gender-insensitive school infrastructure, insufficient number of adult literacy centres, insecurity and forced displacement. Women's access to health services is low in rural areas. For example, 93% of women in urban areas consulted a health professional, compared to only 69% in rural areas.</w:t>
      </w:r>
      <w:hyperlink r:id="rId24" w:anchor="_ftn16" w:history="1">
        <w:r>
          <w:rPr>
            <w:rFonts w:ascii="Arial" w:eastAsia="Arial" w:hAnsi="Arial" w:cs="Arial"/>
            <w:color w:val="000000"/>
            <w:sz w:val="17"/>
            <w:szCs w:val="17"/>
            <w:u w:val="single" w:color="0000EE"/>
            <w:vertAlign w:val="superscript"/>
            <w:lang w:val="en-GB" w:eastAsia="en-GB"/>
          </w:rPr>
          <w:t>[16]</w:t>
        </w:r>
      </w:hyperlink>
      <w:r>
        <w:rPr>
          <w:rFonts w:ascii="Arial" w:eastAsia="Arial" w:hAnsi="Arial" w:cs="Arial"/>
          <w:color w:val="000000"/>
          <w:sz w:val="20"/>
          <w:szCs w:val="20"/>
          <w:lang w:val="en-GB" w:eastAsia="en-GB"/>
        </w:rPr>
        <w:t> Their poor access to health services is attributed to the absence and quality of services, lack of information, poverty, male dominated household decisions, gender of the health worker, etc. The HIV seroprevalence rate among women aged 15-24 is estimated at 2%, higher than that observed among men in the same age group (1%).</w:t>
      </w:r>
      <w:hyperlink r:id="rId25" w:anchor="_ftn17" w:history="1">
        <w:r>
          <w:rPr>
            <w:rFonts w:ascii="Arial" w:eastAsia="Arial" w:hAnsi="Arial" w:cs="Arial"/>
            <w:color w:val="000000"/>
            <w:sz w:val="17"/>
            <w:szCs w:val="17"/>
            <w:u w:val="single" w:color="0000EE"/>
            <w:vertAlign w:val="superscript"/>
            <w:lang w:val="en-GB" w:eastAsia="en-GB"/>
          </w:rPr>
          <w:t>[17]</w:t>
        </w:r>
      </w:hyperlink>
      <w:r>
        <w:rPr>
          <w:rFonts w:ascii="Arial" w:eastAsia="Arial" w:hAnsi="Arial" w:cs="Arial"/>
          <w:color w:val="000000"/>
          <w:sz w:val="20"/>
          <w:szCs w:val="20"/>
          <w:lang w:val="en-GB" w:eastAsia="en-GB"/>
        </w:rPr>
        <w:t> Morbidity levels are closely related to the nutritional condition of mothers. In addition, 12% of women of childbearing age suffer from a chronic energy deficiency. This deficiency is more frequent among adolescents aged 15 to 19 (19%) and more widespread in rural areas.</w:t>
      </w:r>
    </w:p>
    <w:p w14:paraId="3A12B99C" w14:textId="77777777" w:rsidR="007118E1" w:rsidRDefault="00000000">
      <w:pPr>
        <w:spacing w:after="0" w:line="240" w:lineRule="auto"/>
        <w:rPr>
          <w:rFonts w:ascii="Arial" w:eastAsia="Arial" w:hAnsi="Arial" w:cs="Arial"/>
          <w:sz w:val="20"/>
          <w:szCs w:val="20"/>
          <w:lang w:val="en-GB" w:eastAsia="en-GB"/>
        </w:rPr>
      </w:pPr>
      <w:r>
        <w:rPr>
          <w:rFonts w:ascii="Arial" w:eastAsia="Arial" w:hAnsi="Arial" w:cs="Arial"/>
          <w:sz w:val="20"/>
          <w:szCs w:val="20"/>
          <w:lang w:val="en-GB" w:eastAsia="en-GB"/>
        </w:rPr>
        <w:t>The extent of GBV was exacerbated by the political and security crises that began in 2012 and by the persistence of conflicts. At least 13% of women aged 15 to 49 reported having been sexually abused and 38% physically abused. Seven out of ten women who have experienced physical or sexual violence have never sought help.</w:t>
      </w:r>
      <w:hyperlink r:id="rId26" w:anchor="_ftn18" w:history="1">
        <w:r>
          <w:rPr>
            <w:rFonts w:ascii="Arial" w:eastAsia="Arial" w:hAnsi="Arial" w:cs="Arial"/>
            <w:color w:val="000000"/>
            <w:sz w:val="17"/>
            <w:szCs w:val="17"/>
            <w:u w:val="single" w:color="0000EE"/>
            <w:vertAlign w:val="superscript"/>
            <w:lang w:val="en-GB" w:eastAsia="en-GB"/>
          </w:rPr>
          <w:t>[18]</w:t>
        </w:r>
      </w:hyperlink>
      <w:r>
        <w:rPr>
          <w:rFonts w:ascii="Arial" w:eastAsia="Arial" w:hAnsi="Arial" w:cs="Arial"/>
          <w:sz w:val="20"/>
          <w:szCs w:val="20"/>
          <w:lang w:val="en-GB" w:eastAsia="en-GB"/>
        </w:rPr>
        <w:t> According to MICS 2015, female genital mutilation is the most common form of GBV in Mali (83% of women aged 15 to 49) and 48.8% of girls were married before the age of 18. GBVIMS recorded 3,330 cases in 2018 compared to 2,882 in 2017.</w:t>
      </w:r>
      <w:hyperlink r:id="rId27" w:anchor="_ftn19" w:history="1">
        <w:r>
          <w:rPr>
            <w:rFonts w:ascii="Arial" w:eastAsia="Arial" w:hAnsi="Arial" w:cs="Arial"/>
            <w:color w:val="000000"/>
            <w:sz w:val="17"/>
            <w:szCs w:val="17"/>
            <w:u w:val="single" w:color="0000EE"/>
            <w:vertAlign w:val="superscript"/>
            <w:lang w:val="en-GB" w:eastAsia="en-GB"/>
          </w:rPr>
          <w:t>[19]</w:t>
        </w:r>
      </w:hyperlink>
      <w:r>
        <w:rPr>
          <w:rFonts w:ascii="Arial" w:eastAsia="Arial" w:hAnsi="Arial" w:cs="Arial"/>
          <w:sz w:val="20"/>
          <w:szCs w:val="20"/>
          <w:lang w:val="en-GB" w:eastAsia="en-GB"/>
        </w:rPr>
        <w:t> These figures only partially reflect the real situation of GBV in the country, given the weakness of the judicial system and impunity. Women have very limited access to justice services (4%), compared to men (9%). A special bill prepared and validated in 2017 by a multisectoral and multi-stakeholder national committee under the leadership of MPFEF is still being internally adopted at the executive level</w:t>
      </w:r>
    </w:p>
    <w:p w14:paraId="7B6773D1" w14:textId="77777777" w:rsidR="007118E1" w:rsidRDefault="007118E1">
      <w:pPr>
        <w:numPr>
          <w:ilvl w:val="0"/>
          <w:numId w:val="1"/>
        </w:numPr>
        <w:spacing w:after="0" w:line="240" w:lineRule="auto"/>
        <w:ind w:hanging="280"/>
        <w:rPr>
          <w:rFonts w:ascii="Times New Roman" w:eastAsia="Times New Roman" w:hAnsi="Times New Roman" w:cs="Times New Roman"/>
          <w:sz w:val="24"/>
          <w:szCs w:val="24"/>
        </w:rPr>
      </w:pPr>
    </w:p>
    <w:p w14:paraId="4AD30EDD" w14:textId="77777777" w:rsidR="007118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
          <w:szCs w:val="2"/>
        </w:rPr>
        <w:br w:type="textWrapping" w:clear="all"/>
      </w:r>
    </w:p>
    <w:p w14:paraId="1DEE0A61" w14:textId="77777777" w:rsidR="007118E1" w:rsidRDefault="00000000">
      <w:pPr>
        <w:spacing w:before="240" w:after="240" w:line="240" w:lineRule="auto"/>
        <w:rPr>
          <w:rFonts w:ascii="Times New Roman" w:eastAsia="Times New Roman" w:hAnsi="Times New Roman" w:cs="Times New Roman"/>
          <w:sz w:val="24"/>
          <w:szCs w:val="24"/>
        </w:rPr>
      </w:pPr>
      <w:hyperlink r:id="rId28" w:anchor="_ftnref1" w:history="1">
        <w:bookmarkStart w:id="1" w:name="_ftn1"/>
        <w:r>
          <w:rPr>
            <w:rFonts w:ascii="Arial" w:eastAsia="Arial" w:hAnsi="Arial" w:cs="Arial"/>
            <w:color w:val="0000EE"/>
            <w:sz w:val="18"/>
            <w:szCs w:val="18"/>
            <w:u w:val="single" w:color="0000EE"/>
            <w:lang w:val="en-US" w:eastAsia="en-US"/>
          </w:rPr>
          <w:t>[1]</w:t>
        </w:r>
      </w:hyperlink>
      <w:bookmarkEnd w:id="1"/>
      <w:r>
        <w:rPr>
          <w:rFonts w:ascii="Arial" w:eastAsia="Arial" w:hAnsi="Arial" w:cs="Arial"/>
          <w:sz w:val="18"/>
          <w:szCs w:val="18"/>
          <w:lang w:val="en-US" w:eastAsia="en-US"/>
        </w:rPr>
        <w:t xml:space="preserve"> Common Country Assessment 2019: Final report 23 May 2019: United Nations System.</w:t>
      </w:r>
    </w:p>
    <w:p w14:paraId="5010F9C3" w14:textId="77777777" w:rsidR="007118E1" w:rsidRDefault="00000000">
      <w:pPr>
        <w:spacing w:before="240" w:after="240" w:line="240" w:lineRule="auto"/>
        <w:rPr>
          <w:rFonts w:ascii="Times New Roman" w:eastAsia="Times New Roman" w:hAnsi="Times New Roman" w:cs="Times New Roman"/>
          <w:sz w:val="24"/>
          <w:szCs w:val="24"/>
        </w:rPr>
      </w:pPr>
      <w:hyperlink r:id="rId29" w:anchor="_ftnref2" w:history="1">
        <w:bookmarkStart w:id="2" w:name="_ftn2"/>
        <w:r>
          <w:rPr>
            <w:rFonts w:ascii="Arial" w:eastAsia="Arial" w:hAnsi="Arial" w:cs="Arial"/>
            <w:color w:val="0000EE"/>
            <w:sz w:val="18"/>
            <w:szCs w:val="18"/>
            <w:u w:val="single" w:color="0000EE"/>
            <w:lang w:val="en-US" w:eastAsia="en-US"/>
          </w:rPr>
          <w:t>[2]</w:t>
        </w:r>
      </w:hyperlink>
      <w:bookmarkEnd w:id="2"/>
      <w:r>
        <w:rPr>
          <w:rFonts w:ascii="Arial" w:eastAsia="Arial" w:hAnsi="Arial" w:cs="Arial"/>
          <w:sz w:val="18"/>
          <w:szCs w:val="18"/>
          <w:lang w:val="en-US" w:eastAsia="en-US"/>
        </w:rPr>
        <w:t xml:space="preserve"> Common Country Assessment 2019: Final report 23 May 2019: United Nations System.</w:t>
      </w:r>
    </w:p>
    <w:p w14:paraId="364A9577" w14:textId="77777777" w:rsidR="007118E1" w:rsidRDefault="00000000">
      <w:pPr>
        <w:spacing w:before="240" w:after="240" w:line="240" w:lineRule="auto"/>
        <w:rPr>
          <w:rFonts w:ascii="Times New Roman" w:eastAsia="Times New Roman" w:hAnsi="Times New Roman" w:cs="Times New Roman"/>
          <w:sz w:val="24"/>
          <w:szCs w:val="24"/>
        </w:rPr>
      </w:pPr>
      <w:hyperlink r:id="rId30" w:anchor="_ftnref3" w:history="1">
        <w:bookmarkStart w:id="3" w:name="_ftn3"/>
        <w:r>
          <w:rPr>
            <w:rFonts w:ascii="Arial" w:eastAsia="Arial" w:hAnsi="Arial" w:cs="Arial"/>
            <w:color w:val="0000EE"/>
            <w:sz w:val="18"/>
            <w:szCs w:val="18"/>
            <w:u w:val="single" w:color="0000EE"/>
            <w:vertAlign w:val="superscript"/>
            <w:lang w:val="en-US" w:eastAsia="en-US"/>
          </w:rPr>
          <w:t>[3]</w:t>
        </w:r>
      </w:hyperlink>
      <w:bookmarkEnd w:id="3"/>
      <w:r>
        <w:rPr>
          <w:rFonts w:ascii="Arial" w:eastAsia="Arial" w:hAnsi="Arial" w:cs="Arial"/>
          <w:sz w:val="18"/>
          <w:szCs w:val="18"/>
          <w:lang w:val="en-US" w:eastAsia="en-US"/>
        </w:rPr>
        <w:t xml:space="preserve"> World Population Review 2019</w:t>
      </w:r>
    </w:p>
    <w:p w14:paraId="6654D816" w14:textId="77777777" w:rsidR="007118E1" w:rsidRDefault="00000000">
      <w:pPr>
        <w:spacing w:before="240" w:after="240" w:line="240" w:lineRule="auto"/>
        <w:rPr>
          <w:rFonts w:ascii="Times New Roman" w:eastAsia="Times New Roman" w:hAnsi="Times New Roman" w:cs="Times New Roman"/>
          <w:sz w:val="24"/>
          <w:szCs w:val="24"/>
        </w:rPr>
      </w:pPr>
      <w:hyperlink r:id="rId31" w:anchor="_ftnref4" w:history="1">
        <w:bookmarkStart w:id="4" w:name="_ftn4"/>
        <w:r>
          <w:rPr>
            <w:rFonts w:ascii="Arial" w:eastAsia="Arial" w:hAnsi="Arial" w:cs="Arial"/>
            <w:color w:val="0000EE"/>
            <w:sz w:val="18"/>
            <w:szCs w:val="18"/>
            <w:u w:val="single" w:color="0000EE"/>
            <w:lang w:val="en-US" w:eastAsia="en-US"/>
          </w:rPr>
          <w:t>[4]</w:t>
        </w:r>
      </w:hyperlink>
      <w:bookmarkEnd w:id="4"/>
      <w:r>
        <w:rPr>
          <w:rFonts w:ascii="Arial" w:eastAsia="Arial" w:hAnsi="Arial" w:cs="Arial"/>
          <w:sz w:val="18"/>
          <w:szCs w:val="18"/>
          <w:lang w:val="en-US" w:eastAsia="en-US"/>
        </w:rPr>
        <w:t xml:space="preserve"> PRODAFFE I, 2020-2024.</w:t>
      </w:r>
    </w:p>
    <w:p w14:paraId="5FF2A65F" w14:textId="77777777" w:rsidR="007118E1" w:rsidRDefault="00000000">
      <w:pPr>
        <w:spacing w:before="240" w:after="240" w:line="240" w:lineRule="auto"/>
        <w:rPr>
          <w:rFonts w:ascii="Times New Roman" w:eastAsia="Times New Roman" w:hAnsi="Times New Roman" w:cs="Times New Roman"/>
          <w:sz w:val="24"/>
          <w:szCs w:val="24"/>
        </w:rPr>
      </w:pPr>
      <w:hyperlink r:id="rId32" w:anchor="_ftnref5" w:history="1">
        <w:bookmarkStart w:id="5" w:name="_ftn5"/>
        <w:r>
          <w:rPr>
            <w:rFonts w:ascii="Arial" w:eastAsia="Arial" w:hAnsi="Arial" w:cs="Arial"/>
            <w:color w:val="0000EE"/>
            <w:sz w:val="18"/>
            <w:szCs w:val="18"/>
            <w:u w:val="single" w:color="0000EE"/>
            <w:lang w:val="en-US" w:eastAsia="en-US"/>
          </w:rPr>
          <w:t>[5]</w:t>
        </w:r>
      </w:hyperlink>
      <w:bookmarkEnd w:id="5"/>
      <w:r>
        <w:rPr>
          <w:rFonts w:ascii="Arial" w:eastAsia="Arial" w:hAnsi="Arial" w:cs="Arial"/>
          <w:sz w:val="18"/>
          <w:szCs w:val="18"/>
          <w:lang w:val="en-US" w:eastAsia="en-US"/>
        </w:rPr>
        <w:t xml:space="preserve"> Common Country Assessment 2019: Final report 23 May 2019, United Nations System.</w:t>
      </w:r>
    </w:p>
    <w:p w14:paraId="7AE5774E" w14:textId="77777777" w:rsidR="007118E1" w:rsidRDefault="00000000">
      <w:pPr>
        <w:spacing w:before="240" w:after="240" w:line="240" w:lineRule="auto"/>
        <w:rPr>
          <w:rFonts w:ascii="Times New Roman" w:eastAsia="Times New Roman" w:hAnsi="Times New Roman" w:cs="Times New Roman"/>
          <w:sz w:val="24"/>
          <w:szCs w:val="24"/>
        </w:rPr>
      </w:pPr>
      <w:hyperlink r:id="rId33" w:anchor="_ftnref6" w:history="1">
        <w:bookmarkStart w:id="6" w:name="_ftn6"/>
        <w:r>
          <w:rPr>
            <w:rFonts w:ascii="Arial" w:eastAsia="Arial" w:hAnsi="Arial" w:cs="Arial"/>
            <w:color w:val="0000EE"/>
            <w:sz w:val="18"/>
            <w:szCs w:val="18"/>
            <w:u w:val="single" w:color="0000EE"/>
            <w:lang w:val="en-US" w:eastAsia="en-US"/>
          </w:rPr>
          <w:t>[6]</w:t>
        </w:r>
      </w:hyperlink>
      <w:bookmarkEnd w:id="6"/>
      <w:r>
        <w:rPr>
          <w:rFonts w:ascii="Arial" w:eastAsia="Arial" w:hAnsi="Arial" w:cs="Arial"/>
          <w:sz w:val="18"/>
          <w:szCs w:val="18"/>
          <w:lang w:val="en-US" w:eastAsia="en-US"/>
        </w:rPr>
        <w:t xml:space="preserve"> Cluster Protection, Report on Population Movement, 8 August 2019</w:t>
      </w:r>
    </w:p>
    <w:p w14:paraId="501EE1A6" w14:textId="77777777" w:rsidR="007118E1" w:rsidRDefault="00000000">
      <w:pPr>
        <w:spacing w:before="240" w:after="240" w:line="240" w:lineRule="auto"/>
        <w:rPr>
          <w:rFonts w:ascii="Times New Roman" w:eastAsia="Times New Roman" w:hAnsi="Times New Roman" w:cs="Times New Roman"/>
          <w:sz w:val="24"/>
          <w:szCs w:val="24"/>
        </w:rPr>
      </w:pPr>
      <w:hyperlink r:id="rId34" w:anchor="_ftnref7" w:history="1">
        <w:bookmarkStart w:id="7" w:name="_ftn7"/>
        <w:r>
          <w:rPr>
            <w:rFonts w:ascii="Arial" w:eastAsia="Arial" w:hAnsi="Arial" w:cs="Arial"/>
            <w:color w:val="0000EE"/>
            <w:sz w:val="18"/>
            <w:szCs w:val="18"/>
            <w:u w:val="single" w:color="0000EE"/>
            <w:lang w:val="en-US" w:eastAsia="en-US"/>
          </w:rPr>
          <w:t>[7]</w:t>
        </w:r>
      </w:hyperlink>
      <w:bookmarkEnd w:id="7"/>
      <w:r>
        <w:rPr>
          <w:rFonts w:ascii="Arial" w:eastAsia="Arial" w:hAnsi="Arial" w:cs="Arial"/>
          <w:sz w:val="18"/>
          <w:szCs w:val="18"/>
          <w:lang w:val="en-US" w:eastAsia="en-US"/>
        </w:rPr>
        <w:t xml:space="preserve"> 5th National Report of the Convention on Biodiversity: DNEA, 2013.</w:t>
      </w:r>
    </w:p>
    <w:p w14:paraId="4BC36FF3" w14:textId="77777777" w:rsidR="007118E1" w:rsidRDefault="00000000">
      <w:pPr>
        <w:spacing w:before="240" w:after="240" w:line="240" w:lineRule="auto"/>
        <w:rPr>
          <w:rFonts w:ascii="Times New Roman" w:eastAsia="Times New Roman" w:hAnsi="Times New Roman" w:cs="Times New Roman"/>
          <w:sz w:val="24"/>
          <w:szCs w:val="24"/>
        </w:rPr>
      </w:pPr>
      <w:hyperlink r:id="rId35" w:anchor="_ftnref8" w:history="1">
        <w:bookmarkStart w:id="8" w:name="_ftn8"/>
        <w:r>
          <w:rPr>
            <w:rFonts w:ascii="Arial" w:eastAsia="Arial" w:hAnsi="Arial" w:cs="Arial"/>
            <w:color w:val="0000EE"/>
            <w:sz w:val="18"/>
            <w:szCs w:val="18"/>
            <w:u w:val="single" w:color="0000EE"/>
            <w:lang w:val="en-US" w:eastAsia="en-US"/>
          </w:rPr>
          <w:t>[8]</w:t>
        </w:r>
      </w:hyperlink>
      <w:bookmarkEnd w:id="8"/>
      <w:r>
        <w:rPr>
          <w:rFonts w:ascii="Arial" w:eastAsia="Arial" w:hAnsi="Arial" w:cs="Arial"/>
          <w:sz w:val="18"/>
          <w:szCs w:val="18"/>
          <w:lang w:val="en-US" w:eastAsia="en-US"/>
        </w:rPr>
        <w:t xml:space="preserve"> Common Country Assessment 2019: Final report 23 May 2019: United Nations System.</w:t>
      </w:r>
    </w:p>
    <w:p w14:paraId="23AAA488" w14:textId="77777777" w:rsidR="007118E1" w:rsidRDefault="00000000">
      <w:pPr>
        <w:spacing w:before="240" w:after="240" w:line="240" w:lineRule="auto"/>
        <w:rPr>
          <w:rFonts w:ascii="Times New Roman" w:eastAsia="Times New Roman" w:hAnsi="Times New Roman" w:cs="Times New Roman"/>
          <w:sz w:val="24"/>
          <w:szCs w:val="24"/>
        </w:rPr>
      </w:pPr>
      <w:hyperlink r:id="rId36" w:anchor="_ftnref9" w:history="1">
        <w:bookmarkStart w:id="9" w:name="_ftn9"/>
        <w:r>
          <w:rPr>
            <w:rFonts w:ascii="Arial" w:eastAsia="Arial" w:hAnsi="Arial" w:cs="Arial"/>
            <w:color w:val="0000EE"/>
            <w:sz w:val="18"/>
            <w:szCs w:val="18"/>
            <w:u w:val="single" w:color="0000EE"/>
            <w:lang w:val="en-US" w:eastAsia="en-US"/>
          </w:rPr>
          <w:t>[9]</w:t>
        </w:r>
      </w:hyperlink>
      <w:bookmarkEnd w:id="9"/>
      <w:r>
        <w:rPr>
          <w:rFonts w:ascii="Arial" w:eastAsia="Arial" w:hAnsi="Arial" w:cs="Arial"/>
          <w:sz w:val="18"/>
          <w:szCs w:val="18"/>
          <w:lang w:val="en-US" w:eastAsia="en-US"/>
        </w:rPr>
        <w:t xml:space="preserve"> World Bank Report 2017.</w:t>
      </w:r>
    </w:p>
    <w:p w14:paraId="6476B46B" w14:textId="77777777" w:rsidR="007118E1" w:rsidRDefault="00000000">
      <w:pPr>
        <w:spacing w:before="240" w:after="240" w:line="240" w:lineRule="auto"/>
        <w:rPr>
          <w:rFonts w:ascii="Times New Roman" w:eastAsia="Times New Roman" w:hAnsi="Times New Roman" w:cs="Times New Roman"/>
          <w:sz w:val="24"/>
          <w:szCs w:val="24"/>
        </w:rPr>
      </w:pPr>
      <w:hyperlink r:id="rId37" w:anchor="_ftnref10" w:history="1">
        <w:bookmarkStart w:id="10" w:name="_ftn10"/>
        <w:r>
          <w:rPr>
            <w:rFonts w:ascii="Arial" w:eastAsia="Arial" w:hAnsi="Arial" w:cs="Arial"/>
            <w:color w:val="0000EE"/>
            <w:sz w:val="18"/>
            <w:szCs w:val="18"/>
            <w:u w:val="single" w:color="0000EE"/>
            <w:vertAlign w:val="superscript"/>
            <w:lang w:val="en-US" w:eastAsia="en-US"/>
          </w:rPr>
          <w:t>[10]</w:t>
        </w:r>
      </w:hyperlink>
      <w:bookmarkEnd w:id="10"/>
      <w:r>
        <w:rPr>
          <w:rFonts w:ascii="Arial" w:eastAsia="Arial" w:hAnsi="Arial" w:cs="Arial"/>
          <w:sz w:val="18"/>
          <w:szCs w:val="18"/>
          <w:lang w:val="en-US" w:eastAsia="en-US"/>
        </w:rPr>
        <w:t>UNDP (2018), Human Development Indices and Indicators: 2018 Statistical Update.</w:t>
      </w:r>
    </w:p>
    <w:p w14:paraId="38F463DC" w14:textId="77777777" w:rsidR="007118E1" w:rsidRDefault="00000000">
      <w:pPr>
        <w:spacing w:before="240" w:after="240" w:line="240" w:lineRule="auto"/>
        <w:rPr>
          <w:rFonts w:ascii="Times New Roman" w:eastAsia="Times New Roman" w:hAnsi="Times New Roman" w:cs="Times New Roman"/>
          <w:sz w:val="24"/>
          <w:szCs w:val="24"/>
        </w:rPr>
      </w:pPr>
      <w:hyperlink r:id="rId38" w:anchor="_ftnref11" w:history="1">
        <w:bookmarkStart w:id="11" w:name="_ftn11"/>
        <w:r>
          <w:rPr>
            <w:rFonts w:ascii="Arial" w:eastAsia="Arial" w:hAnsi="Arial" w:cs="Arial"/>
            <w:color w:val="0000EE"/>
            <w:sz w:val="18"/>
            <w:szCs w:val="18"/>
            <w:u w:val="single" w:color="0000EE"/>
            <w:vertAlign w:val="superscript"/>
            <w:lang w:val="en-US" w:eastAsia="en-US"/>
          </w:rPr>
          <w:t>[11]</w:t>
        </w:r>
      </w:hyperlink>
      <w:bookmarkEnd w:id="11"/>
      <w:r>
        <w:rPr>
          <w:rFonts w:ascii="Arial" w:eastAsia="Arial" w:hAnsi="Arial" w:cs="Arial"/>
          <w:sz w:val="18"/>
          <w:szCs w:val="18"/>
          <w:lang w:val="en-US" w:eastAsia="en-US"/>
        </w:rPr>
        <w:t xml:space="preserve"> UNDP (2018): Idem.</w:t>
      </w:r>
    </w:p>
    <w:p w14:paraId="12A7B37C" w14:textId="77777777" w:rsidR="007118E1" w:rsidRDefault="00000000">
      <w:pPr>
        <w:spacing w:before="240" w:after="240" w:line="240" w:lineRule="auto"/>
        <w:rPr>
          <w:rFonts w:ascii="Times New Roman" w:eastAsia="Times New Roman" w:hAnsi="Times New Roman" w:cs="Times New Roman"/>
          <w:sz w:val="24"/>
          <w:szCs w:val="24"/>
        </w:rPr>
      </w:pPr>
      <w:hyperlink r:id="rId39" w:anchor="_ftnref12" w:history="1">
        <w:bookmarkStart w:id="12" w:name="_ftn12"/>
        <w:r>
          <w:rPr>
            <w:rFonts w:ascii="Arial" w:eastAsia="Arial" w:hAnsi="Arial" w:cs="Arial"/>
            <w:color w:val="0000EE"/>
            <w:sz w:val="18"/>
            <w:szCs w:val="18"/>
            <w:u w:val="single" w:color="0000EE"/>
            <w:lang w:val="en-US" w:eastAsia="en-US"/>
          </w:rPr>
          <w:t>[12]</w:t>
        </w:r>
      </w:hyperlink>
      <w:bookmarkEnd w:id="12"/>
      <w:r>
        <w:rPr>
          <w:rFonts w:ascii="Arial" w:eastAsia="Arial" w:hAnsi="Arial" w:cs="Arial"/>
          <w:sz w:val="18"/>
          <w:szCs w:val="18"/>
          <w:lang w:val="en-US" w:eastAsia="en-US"/>
        </w:rPr>
        <w:t xml:space="preserve"> Situation of women's entrepreneurship in Mali, 2017.</w:t>
      </w:r>
    </w:p>
    <w:p w14:paraId="469D573D" w14:textId="77777777" w:rsidR="007118E1" w:rsidRDefault="00000000">
      <w:pPr>
        <w:spacing w:before="240" w:after="240" w:line="240" w:lineRule="auto"/>
        <w:rPr>
          <w:rFonts w:ascii="Times New Roman" w:eastAsia="Times New Roman" w:hAnsi="Times New Roman" w:cs="Times New Roman"/>
          <w:sz w:val="24"/>
          <w:szCs w:val="24"/>
        </w:rPr>
      </w:pPr>
      <w:hyperlink r:id="rId40" w:anchor="_ftnref13" w:history="1">
        <w:bookmarkStart w:id="13" w:name="_ftn13"/>
        <w:r>
          <w:rPr>
            <w:rFonts w:ascii="Arial" w:eastAsia="Arial" w:hAnsi="Arial" w:cs="Arial"/>
            <w:color w:val="0000EE"/>
            <w:sz w:val="18"/>
            <w:szCs w:val="18"/>
            <w:u w:val="single" w:color="0000EE"/>
            <w:lang w:val="en-US" w:eastAsia="en-US"/>
          </w:rPr>
          <w:t>[13]</w:t>
        </w:r>
      </w:hyperlink>
      <w:bookmarkEnd w:id="13"/>
      <w:r>
        <w:rPr>
          <w:rFonts w:ascii="Arial" w:eastAsia="Arial" w:hAnsi="Arial" w:cs="Arial"/>
          <w:sz w:val="18"/>
          <w:szCs w:val="18"/>
          <w:lang w:val="en-US" w:eastAsia="en-US"/>
        </w:rPr>
        <w:t xml:space="preserve"> The World Bank (2018): World Development Indicators: Employment by sector.</w:t>
      </w:r>
    </w:p>
    <w:p w14:paraId="1D28AC09" w14:textId="77777777" w:rsidR="007118E1" w:rsidRDefault="00000000">
      <w:pPr>
        <w:spacing w:before="240" w:after="240" w:line="240" w:lineRule="auto"/>
        <w:rPr>
          <w:rFonts w:ascii="Times New Roman" w:eastAsia="Times New Roman" w:hAnsi="Times New Roman" w:cs="Times New Roman"/>
          <w:sz w:val="24"/>
          <w:szCs w:val="24"/>
        </w:rPr>
      </w:pPr>
      <w:hyperlink r:id="rId41" w:anchor="_ftnref14" w:history="1">
        <w:bookmarkStart w:id="14" w:name="_ftn14"/>
        <w:r>
          <w:rPr>
            <w:rFonts w:ascii="Arial" w:eastAsia="Arial" w:hAnsi="Arial" w:cs="Arial"/>
            <w:color w:val="0000EE"/>
            <w:sz w:val="18"/>
            <w:szCs w:val="18"/>
            <w:u w:val="single" w:color="0000EE"/>
            <w:lang w:val="en-US" w:eastAsia="en-US"/>
          </w:rPr>
          <w:t>[14]</w:t>
        </w:r>
      </w:hyperlink>
      <w:bookmarkEnd w:id="14"/>
      <w:r>
        <w:rPr>
          <w:rFonts w:ascii="Arial" w:eastAsia="Arial" w:hAnsi="Arial" w:cs="Arial"/>
          <w:sz w:val="18"/>
          <w:szCs w:val="18"/>
          <w:lang w:val="en-US" w:eastAsia="en-US"/>
        </w:rPr>
        <w:t xml:space="preserve"> World Bank, 2018.</w:t>
      </w:r>
    </w:p>
    <w:p w14:paraId="3C5C85D3" w14:textId="77777777" w:rsidR="007118E1" w:rsidRDefault="00000000">
      <w:pPr>
        <w:spacing w:before="240" w:after="240" w:line="240" w:lineRule="auto"/>
        <w:rPr>
          <w:rFonts w:ascii="Times New Roman" w:eastAsia="Times New Roman" w:hAnsi="Times New Roman" w:cs="Times New Roman"/>
          <w:sz w:val="24"/>
          <w:szCs w:val="24"/>
        </w:rPr>
      </w:pPr>
      <w:hyperlink r:id="rId42" w:anchor="_ftnref15" w:history="1">
        <w:bookmarkStart w:id="15" w:name="_ftn15"/>
        <w:r>
          <w:rPr>
            <w:rFonts w:ascii="Arial" w:eastAsia="Arial" w:hAnsi="Arial" w:cs="Arial"/>
            <w:color w:val="0000EE"/>
            <w:sz w:val="18"/>
            <w:szCs w:val="18"/>
            <w:u w:val="single" w:color="0000EE"/>
            <w:lang w:val="en-US" w:eastAsia="en-US"/>
          </w:rPr>
          <w:t>[15]</w:t>
        </w:r>
      </w:hyperlink>
      <w:bookmarkEnd w:id="15"/>
      <w:r>
        <w:rPr>
          <w:rFonts w:ascii="Arial" w:eastAsia="Arial" w:hAnsi="Arial" w:cs="Arial"/>
          <w:sz w:val="18"/>
          <w:szCs w:val="18"/>
          <w:lang w:val="en-US" w:eastAsia="en-US"/>
        </w:rPr>
        <w:t xml:space="preserve"> ADB &amp; ADF (2015): Bank Group 2015-2019 Country Strategy Paper for Mali.</w:t>
      </w:r>
    </w:p>
    <w:p w14:paraId="4486BE1A" w14:textId="77777777" w:rsidR="007118E1" w:rsidRDefault="00000000">
      <w:pPr>
        <w:spacing w:before="240" w:after="240" w:line="240" w:lineRule="auto"/>
        <w:rPr>
          <w:rFonts w:ascii="Times New Roman" w:eastAsia="Times New Roman" w:hAnsi="Times New Roman" w:cs="Times New Roman"/>
          <w:sz w:val="24"/>
          <w:szCs w:val="24"/>
        </w:rPr>
      </w:pPr>
      <w:hyperlink r:id="rId43" w:anchor="_ftnref16" w:history="1">
        <w:bookmarkStart w:id="16" w:name="_ftn16"/>
        <w:r>
          <w:rPr>
            <w:rFonts w:ascii="Arial" w:eastAsia="Arial" w:hAnsi="Arial" w:cs="Arial"/>
            <w:color w:val="0000EE"/>
            <w:sz w:val="18"/>
            <w:szCs w:val="18"/>
            <w:u w:val="single" w:color="0000EE"/>
            <w:lang w:val="en-US" w:eastAsia="en-US"/>
          </w:rPr>
          <w:t>[16]</w:t>
        </w:r>
      </w:hyperlink>
      <w:bookmarkEnd w:id="16"/>
      <w:r>
        <w:rPr>
          <w:rFonts w:ascii="Arial" w:eastAsia="Arial" w:hAnsi="Arial" w:cs="Arial"/>
          <w:sz w:val="18"/>
          <w:szCs w:val="18"/>
          <w:lang w:val="en-US" w:eastAsia="en-US"/>
        </w:rPr>
        <w:t xml:space="preserve"> Protection Cluster Mali, Population Movement Report, October 2018 “Data on internally displaced persons following the conflict from 2012 to September 2018 and on intercommunity conflicts and various forms of violence, particularly in the regions of Ségou, Mopti, Timbuktu and Ménaka".</w:t>
      </w:r>
    </w:p>
    <w:p w14:paraId="0037CC1B" w14:textId="77777777" w:rsidR="007118E1" w:rsidRDefault="00000000">
      <w:pPr>
        <w:spacing w:before="240" w:after="240" w:line="240" w:lineRule="auto"/>
        <w:rPr>
          <w:rFonts w:ascii="Times New Roman" w:eastAsia="Times New Roman" w:hAnsi="Times New Roman" w:cs="Times New Roman"/>
          <w:sz w:val="24"/>
          <w:szCs w:val="24"/>
        </w:rPr>
      </w:pPr>
      <w:hyperlink r:id="rId44" w:anchor="_ftnref17" w:history="1">
        <w:bookmarkStart w:id="17" w:name="_ftn17"/>
        <w:r>
          <w:rPr>
            <w:rFonts w:ascii="Arial" w:eastAsia="Arial" w:hAnsi="Arial" w:cs="Arial"/>
            <w:color w:val="0000EE"/>
            <w:sz w:val="18"/>
            <w:szCs w:val="18"/>
            <w:u w:val="single" w:color="0000EE"/>
            <w:lang w:val="en-US" w:eastAsia="en-US"/>
          </w:rPr>
          <w:t>[17]</w:t>
        </w:r>
      </w:hyperlink>
      <w:bookmarkEnd w:id="17"/>
      <w:r>
        <w:rPr>
          <w:rFonts w:ascii="Arial" w:eastAsia="Arial" w:hAnsi="Arial" w:cs="Arial"/>
          <w:sz w:val="18"/>
          <w:szCs w:val="18"/>
          <w:lang w:val="en-US" w:eastAsia="en-US"/>
        </w:rPr>
        <w:t xml:space="preserve"> World Bank Report 2017.</w:t>
      </w:r>
    </w:p>
    <w:p w14:paraId="779DE76B" w14:textId="77777777" w:rsidR="007118E1" w:rsidRDefault="00000000">
      <w:pPr>
        <w:spacing w:before="240" w:after="240" w:line="240" w:lineRule="auto"/>
        <w:rPr>
          <w:rFonts w:ascii="Times New Roman" w:eastAsia="Times New Roman" w:hAnsi="Times New Roman" w:cs="Times New Roman"/>
          <w:sz w:val="24"/>
          <w:szCs w:val="24"/>
        </w:rPr>
      </w:pPr>
      <w:hyperlink r:id="rId45" w:anchor="_ftnref18" w:history="1">
        <w:bookmarkStart w:id="18" w:name="_ftn18"/>
        <w:r>
          <w:rPr>
            <w:rFonts w:ascii="Arial" w:eastAsia="Arial" w:hAnsi="Arial" w:cs="Arial"/>
            <w:color w:val="0000EE"/>
            <w:sz w:val="18"/>
            <w:szCs w:val="18"/>
            <w:u w:val="single" w:color="0000EE"/>
            <w:vertAlign w:val="superscript"/>
            <w:lang w:val="en-US" w:eastAsia="en-US"/>
          </w:rPr>
          <w:t>[18]</w:t>
        </w:r>
      </w:hyperlink>
      <w:bookmarkEnd w:id="18"/>
      <w:r>
        <w:rPr>
          <w:rFonts w:ascii="Arial" w:eastAsia="Arial" w:hAnsi="Arial" w:cs="Arial"/>
          <w:sz w:val="18"/>
          <w:szCs w:val="18"/>
          <w:lang w:val="en-US" w:eastAsia="en-US"/>
        </w:rPr>
        <w:t xml:space="preserve"> Demographic and Health Survey V (2012-2013).</w:t>
      </w:r>
    </w:p>
    <w:p w14:paraId="7FC3FC3D" w14:textId="77777777" w:rsidR="007118E1" w:rsidRDefault="00000000">
      <w:pPr>
        <w:spacing w:before="240" w:after="240" w:line="240" w:lineRule="auto"/>
        <w:rPr>
          <w:rFonts w:ascii="Times New Roman" w:eastAsia="Times New Roman" w:hAnsi="Times New Roman" w:cs="Times New Roman"/>
          <w:sz w:val="24"/>
          <w:szCs w:val="24"/>
        </w:rPr>
      </w:pPr>
      <w:hyperlink r:id="rId46" w:anchor="_ftnref19" w:history="1">
        <w:bookmarkStart w:id="19" w:name="_ftn19"/>
        <w:r>
          <w:rPr>
            <w:rFonts w:ascii="Arial" w:eastAsia="Arial" w:hAnsi="Arial" w:cs="Arial"/>
            <w:color w:val="0000EE"/>
            <w:sz w:val="18"/>
            <w:szCs w:val="18"/>
            <w:u w:val="single" w:color="0000EE"/>
            <w:lang w:val="en-US" w:eastAsia="en-US"/>
          </w:rPr>
          <w:t>[19]</w:t>
        </w:r>
      </w:hyperlink>
      <w:bookmarkEnd w:id="19"/>
      <w:r>
        <w:rPr>
          <w:rFonts w:ascii="Arial" w:eastAsia="Arial" w:hAnsi="Arial" w:cs="Arial"/>
          <w:sz w:val="18"/>
          <w:szCs w:val="18"/>
          <w:lang w:val="en-US" w:eastAsia="en-US"/>
        </w:rPr>
        <w:t xml:space="preserve"> Common Country Assessment 2019: Final report 23 May 2019: United Nations System.</w:t>
      </w:r>
    </w:p>
    <w:p w14:paraId="1CB0AEDE" w14:textId="77777777" w:rsidR="00C07D60" w:rsidRDefault="00C07D60" w:rsidP="00527AD0">
      <w:pPr>
        <w:rPr>
          <w:b/>
          <w:sz w:val="24"/>
          <w:u w:val="single"/>
        </w:rPr>
      </w:pPr>
    </w:p>
    <w:p w14:paraId="4131341E" w14:textId="77777777" w:rsidR="00C07D60" w:rsidRDefault="00C07D60" w:rsidP="00527AD0">
      <w:pPr>
        <w:rPr>
          <w:b/>
          <w:sz w:val="24"/>
          <w:u w:val="single"/>
        </w:rPr>
      </w:pPr>
    </w:p>
    <w:p w14:paraId="17A948F4" w14:textId="77777777" w:rsidR="00C07D60" w:rsidRDefault="00C07D60" w:rsidP="00527AD0">
      <w:pPr>
        <w:rPr>
          <w:b/>
          <w:sz w:val="24"/>
          <w:u w:val="single"/>
        </w:rPr>
      </w:pPr>
    </w:p>
    <w:p w14:paraId="54607B40" w14:textId="77777777" w:rsidR="00C07D60" w:rsidRDefault="00000000" w:rsidP="00527AD0">
      <w:pPr>
        <w:rPr>
          <w:b/>
          <w:sz w:val="24"/>
          <w:u w:val="single"/>
        </w:rPr>
      </w:pPr>
      <w:r>
        <w:rPr>
          <w:b/>
          <w:sz w:val="24"/>
          <w:u w:val="single"/>
        </w:rPr>
        <w:t>2. Lessons learned: :</w:t>
      </w:r>
    </w:p>
    <w:p w14:paraId="14653273" w14:textId="77777777" w:rsidR="007118E1" w:rsidRDefault="00000000">
      <w:pPr>
        <w:spacing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national consultation workshop with partners provided information on the alarming state of insecurity, the significant weight of traditional and religious leaders in the political, economic and social spheres and political and institutional instability. These elements could restrict the normal conduct of UN-Women interventions in Mali. The problem/solution tree analysis learned about women's lack of awareness of the importance of gender equality and their empowerment, communities' lack of engagement to the principle of equality and women's poor access to resources. The Act on the promotion of gender in appointed and elected positions adopted in 2015 by the Government of Mali with the support of UN-Women has changed the perception of women's participation in political institutions and bodies. However, the effects generated by the application of this Act are erratic and have not made it possible to achieve the expected objectives. The overall representation of women in the mechanisms of the Agreement for Peace and Reconciliation (CSA, DDR Commission, RSS, Integration, CVJR, MOC) was on average 3%, despite the advocacy for the respect of the law which requires a representation of at least 30%. Women's support programmes in the agricultural sector and on entrepreneurship have helped to better position rural women in certain non-traditional activities such as fish and organic production. Impact studies will help to better assess the impact of these programmes on women's economic empowerment. Greater involvement of the private sector in the financing of economic programmes is a good initiative that deserves to be strengthened while giving more visibility to these non-traditional donors for Mali.</w:t>
      </w:r>
    </w:p>
    <w:p w14:paraId="094D2459" w14:textId="77777777" w:rsidR="007118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p>
    <w:p w14:paraId="6F781124"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New information and communication technologies have made it possible to make effective advocacy to remove taboos on sensitive issues preventing the economic empowerment of women in rural areas. These tools disseminated with the involvement of administrative and traditional authorities allowing for better social mobilisation; this added to the establishment of UN-Women strategic partnerships with agricultural research structures, input and other production companies promoting women's access to means of production, including agricultural land. This approach must be strengthened to accelerate the achievement of gender equality at all levels.</w:t>
      </w:r>
    </w:p>
    <w:p w14:paraId="6C3695BA"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implementation of a Technical Coordination Unit for NAP R.1325 within the Ministry in charge of the Promotion of Women is a good experience to be strengthened and made more operational. Also, the implementation of gender focal points in ministerial departments is also considered a good experience.</w:t>
      </w:r>
      <w:r>
        <w:rPr>
          <w:rFonts w:ascii="Arial" w:eastAsia="Arial" w:hAnsi="Arial" w:cs="Arial"/>
          <w:color w:val="000000"/>
          <w:sz w:val="20"/>
          <w:szCs w:val="20"/>
          <w:u w:val="single" w:color="0000EE"/>
          <w:vertAlign w:val="superscript"/>
          <w:lang w:val="en-GB" w:eastAsia="en-GB"/>
        </w:rPr>
        <w:t>[1]</w:t>
      </w:r>
      <w:r>
        <w:rPr>
          <w:rStyle w:val="FootnoteReference"/>
        </w:rPr>
        <w:footnoteReference w:id="1"/>
      </w:r>
      <w:r>
        <w:rPr>
          <w:rFonts w:ascii="Arial" w:eastAsia="Arial" w:hAnsi="Arial" w:cs="Arial"/>
          <w:color w:val="000000"/>
          <w:sz w:val="20"/>
          <w:szCs w:val="20"/>
          <w:lang w:val="en-GB" w:eastAsia="en-GB"/>
        </w:rPr>
        <w:t xml:space="preserve"> However, these focal points are struggling to be fully operational due to the recurrent institutional change since 2013 and the lack of resources. At the community level, the creation of peace huts has been an important link in the implementation of local conflict prevention and resolution mechanisms with the leadership of women affected by conflict. These huts are considered a good practice that could be widely disseminated by UN-Women Mali and its partners. Interventions in the context of gender-based violence have yielded encouraging results, although the bill on GBV has suffered from its adoption by the Government since 2017. The introduction and activation of the toll-free number No. 803333 within the National Police was a practical and effective initiative. The creation of holistic and care centres has also made it possible to provide professional assistance to survivors and facilitate their rehabilitation into the socio-economic fabric. However, the most reported cases in this issue are rape, whereas the bill gives priority to female genital mutilation, which affects 89% of girls and women aged 15 to 49 in Mali (UNICEF Report, 2017). Awareness-raising campaigns on national television, community radio and through activists have not had a tangible effect on female genital mutilation practices, which have even increased in recent years.</w:t>
      </w:r>
    </w:p>
    <w:p w14:paraId="051ADFF5"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As part of the partnership with the private sector, UN-Women was able to quickly incorporate the entrepreneurial vision of our partners: creating wealth means monitoring, creating and seizing opportunities proactively, a culture of flexibility and adaptive intelligence of the Triple-P (Public-Private Partnership) in the context of Mali has enabled the office to transform the partnership into a source of competitiveness for women's businesses. This type of partnership, which is not only based on corporate social responsibility, but also and above all on the integration of women into the formal national economy, is quite new in Mali's development world. This proactive initiative is justified by the crucial role that the private sector could play in the economic empowerment of women on the basis of the involvement of women entrepreneurs in the business model of major Malian companies.The creation of informal thematic dialogue spaces on the Women, Peace and Security agenda is also a good practice in building relationships with partners and donors. These spaces make it possible to strengthen advocacy with influential actors in order to achieve results, to maintain a dialogue with the donors who finance our programmes and to strengthen relations with new donors interested in the theme. </w:t>
      </w:r>
    </w:p>
    <w:p w14:paraId="730E7652" w14:textId="77777777" w:rsidR="007118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
          <w:szCs w:val="2"/>
        </w:rPr>
        <w:br w:type="textWrapping" w:clear="all"/>
      </w:r>
    </w:p>
    <w:p w14:paraId="0CDE0A19" w14:textId="77777777" w:rsidR="007118E1" w:rsidRDefault="00000000">
      <w:pPr>
        <w:spacing w:before="240" w:after="240" w:line="240" w:lineRule="auto"/>
        <w:rPr>
          <w:rFonts w:ascii="Times New Roman" w:eastAsia="Times New Roman" w:hAnsi="Times New Roman" w:cs="Times New Roman"/>
          <w:sz w:val="24"/>
          <w:szCs w:val="24"/>
        </w:rPr>
      </w:pPr>
      <w:hyperlink r:id="rId47" w:anchor="_ftnref1" w:history="1">
        <w:r>
          <w:rPr>
            <w:rFonts w:ascii="Arial" w:eastAsia="Arial" w:hAnsi="Arial" w:cs="Arial"/>
            <w:color w:val="0000EE"/>
            <w:sz w:val="18"/>
            <w:szCs w:val="18"/>
            <w:u w:val="single" w:color="0000EE"/>
            <w:lang w:val="en-US" w:eastAsia="en-US"/>
          </w:rPr>
          <w:t>[1]</w:t>
        </w:r>
      </w:hyperlink>
      <w:r>
        <w:rPr>
          <w:rFonts w:ascii="Arial" w:eastAsia="Arial" w:hAnsi="Arial" w:cs="Arial"/>
          <w:sz w:val="18"/>
          <w:szCs w:val="18"/>
          <w:lang w:val="en-US" w:eastAsia="en-US"/>
        </w:rPr>
        <w:t xml:space="preserve"> UN-Women Mali 2016. Final Evaluation Report of the Global Programme "Women, Peace and Security": Assistance to women/girls affected by the conflict and women's participation in the peacebuilding process in Mali. </w:t>
      </w:r>
    </w:p>
    <w:p w14:paraId="3D36208C" w14:textId="77777777" w:rsidR="00C07D60" w:rsidRDefault="00C07D60" w:rsidP="00527AD0">
      <w:pPr>
        <w:rPr>
          <w:b/>
          <w:sz w:val="24"/>
          <w:u w:val="single"/>
        </w:rPr>
      </w:pPr>
    </w:p>
    <w:p w14:paraId="608B6EED" w14:textId="77777777" w:rsidR="00C07D60" w:rsidRDefault="00C07D60" w:rsidP="00527AD0">
      <w:pPr>
        <w:rPr>
          <w:b/>
          <w:sz w:val="24"/>
          <w:u w:val="single"/>
        </w:rPr>
      </w:pPr>
    </w:p>
    <w:p w14:paraId="602B72A8" w14:textId="77777777" w:rsidR="00C07D60" w:rsidRDefault="00C07D60" w:rsidP="00527AD0">
      <w:pPr>
        <w:rPr>
          <w:b/>
          <w:sz w:val="24"/>
          <w:u w:val="single"/>
        </w:rPr>
      </w:pPr>
    </w:p>
    <w:p w14:paraId="7DDA7AD5" w14:textId="77777777" w:rsidR="00C07D60" w:rsidRDefault="00000000" w:rsidP="00527AD0">
      <w:pPr>
        <w:rPr>
          <w:b/>
          <w:sz w:val="24"/>
          <w:u w:val="single"/>
        </w:rPr>
      </w:pPr>
      <w:r>
        <w:rPr>
          <w:b/>
          <w:sz w:val="24"/>
          <w:u w:val="single"/>
        </w:rPr>
        <w:t>3. Proposed Programme :</w:t>
      </w:r>
    </w:p>
    <w:p w14:paraId="41A73B7C" w14:textId="77777777" w:rsidR="007118E1" w:rsidRDefault="00000000">
      <w:pPr>
        <w:spacing w:after="120" w:line="240" w:lineRule="auto"/>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 xml:space="preserve">Vision </w:t>
      </w:r>
    </w:p>
    <w:p w14:paraId="47A1D27F" w14:textId="77777777" w:rsidR="007118E1" w:rsidRDefault="00000000">
      <w:pPr>
        <w:numPr>
          <w:ilvl w:val="0"/>
          <w:numId w:val="2"/>
        </w:numPr>
        <w:spacing w:before="240"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lastRenderedPageBreak/>
        <w:t xml:space="preserve">Together with UN Country Team, UN-Women supports the Government, civil society and local communities for a Mali where women, men and youth fully exercise their rights and play their roles for a peaceful, economically inclusive and reconciliated country because men and institutions are respectful and accountable for the human rights of women and support gender equality. </w:t>
      </w:r>
    </w:p>
    <w:p w14:paraId="261532CC" w14:textId="77777777" w:rsidR="007118E1" w:rsidRDefault="00000000">
      <w:pPr>
        <w:spacing w:before="240" w:after="120" w:line="240" w:lineRule="auto"/>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 xml:space="preserve">General theory of change </w:t>
      </w:r>
    </w:p>
    <w:p w14:paraId="164A7BBA" w14:textId="77777777" w:rsidR="007118E1" w:rsidRDefault="00000000">
      <w:pPr>
        <w:numPr>
          <w:ilvl w:val="0"/>
          <w:numId w:val="3"/>
        </w:numPr>
        <w:spacing w:before="240" w:after="240" w:line="240" w:lineRule="auto"/>
        <w:ind w:hanging="280"/>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 xml:space="preserve">If </w:t>
      </w:r>
      <w:r>
        <w:rPr>
          <w:rFonts w:ascii="Arial" w:eastAsia="Arial" w:hAnsi="Arial" w:cs="Arial"/>
          <w:color w:val="000000"/>
          <w:sz w:val="20"/>
          <w:szCs w:val="20"/>
          <w:lang w:val="en-GB" w:eastAsia="en-GB"/>
        </w:rPr>
        <w:t xml:space="preserve">men, women and youth participate actively and equitably in the management of public life through institutions with internal and external gender-sensitive control and accountability mechanisms and a transparent, egalitarian, credible democratic system and effective decentralisation; </w:t>
      </w:r>
      <w:r>
        <w:rPr>
          <w:rFonts w:ascii="Arial" w:eastAsia="Arial" w:hAnsi="Arial" w:cs="Arial"/>
          <w:b/>
          <w:bCs/>
          <w:color w:val="000000"/>
          <w:sz w:val="20"/>
          <w:szCs w:val="20"/>
          <w:lang w:val="en-GB" w:eastAsia="en-GB"/>
        </w:rPr>
        <w:t>then</w:t>
      </w:r>
      <w:r>
        <w:rPr>
          <w:rFonts w:ascii="Arial" w:eastAsia="Arial" w:hAnsi="Arial" w:cs="Arial"/>
          <w:color w:val="000000"/>
          <w:sz w:val="20"/>
          <w:szCs w:val="20"/>
          <w:lang w:val="en-GB" w:eastAsia="en-GB"/>
        </w:rPr>
        <w:t xml:space="preserve"> women access decision-making bodies and quality public services in an environment of good governance </w:t>
      </w:r>
      <w:r>
        <w:rPr>
          <w:rFonts w:ascii="Arial" w:eastAsia="Arial" w:hAnsi="Arial" w:cs="Arial"/>
          <w:b/>
          <w:bCs/>
          <w:color w:val="000000"/>
          <w:sz w:val="20"/>
          <w:szCs w:val="20"/>
          <w:lang w:val="en-GB" w:eastAsia="en-GB"/>
        </w:rPr>
        <w:t>because</w:t>
      </w:r>
      <w:r>
        <w:rPr>
          <w:rFonts w:ascii="Arial" w:eastAsia="Arial" w:hAnsi="Arial" w:cs="Arial"/>
          <w:color w:val="000000"/>
          <w:sz w:val="20"/>
          <w:szCs w:val="20"/>
          <w:lang w:val="en-GB" w:eastAsia="en-GB"/>
        </w:rPr>
        <w:t xml:space="preserve"> women will hold political power, be leaders in decision-making and the services provided will meet their specific needs;</w:t>
      </w:r>
    </w:p>
    <w:p w14:paraId="42794A37"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If</w:t>
      </w:r>
      <w:r>
        <w:rPr>
          <w:rFonts w:ascii="Arial" w:eastAsia="Arial" w:hAnsi="Arial" w:cs="Arial"/>
          <w:color w:val="000000"/>
          <w:sz w:val="20"/>
          <w:szCs w:val="20"/>
          <w:lang w:val="en-GB" w:eastAsia="en-GB"/>
        </w:rPr>
        <w:t xml:space="preserve"> an enabling environment for the implementation of Women, Peace and Security engagements is created to facilitate the effective participation of women in decision-making processes related to conflict prevention, management and resolution, reconstruction and rehabilitation and humanitarian action ensuring their safety, physical and mental health, as well as women's economic security and respect for their human rights, particularly by defence and security forces, </w:t>
      </w:r>
      <w:r>
        <w:rPr>
          <w:rFonts w:ascii="Arial" w:eastAsia="Arial" w:hAnsi="Arial" w:cs="Arial"/>
          <w:b/>
          <w:bCs/>
          <w:color w:val="000000"/>
          <w:sz w:val="20"/>
          <w:szCs w:val="20"/>
          <w:lang w:val="en-GB" w:eastAsia="en-GB"/>
        </w:rPr>
        <w:t>then</w:t>
      </w:r>
      <w:r>
        <w:rPr>
          <w:rFonts w:ascii="Arial" w:eastAsia="Arial" w:hAnsi="Arial" w:cs="Arial"/>
          <w:color w:val="000000"/>
          <w:sz w:val="20"/>
          <w:szCs w:val="20"/>
          <w:lang w:val="en-GB" w:eastAsia="en-GB"/>
        </w:rPr>
        <w:t xml:space="preserve"> societies will become more peaceful and egalitarian; </w:t>
      </w:r>
      <w:r>
        <w:rPr>
          <w:rFonts w:ascii="Arial" w:eastAsia="Arial" w:hAnsi="Arial" w:cs="Arial"/>
          <w:b/>
          <w:bCs/>
          <w:color w:val="000000"/>
          <w:sz w:val="20"/>
          <w:szCs w:val="20"/>
          <w:lang w:val="en-GB" w:eastAsia="en-GB"/>
        </w:rPr>
        <w:t>because</w:t>
      </w:r>
      <w:r>
        <w:rPr>
          <w:rFonts w:ascii="Arial" w:eastAsia="Arial" w:hAnsi="Arial" w:cs="Arial"/>
          <w:color w:val="000000"/>
          <w:sz w:val="20"/>
          <w:szCs w:val="20"/>
          <w:lang w:val="en-GB" w:eastAsia="en-GB"/>
        </w:rPr>
        <w:t xml:space="preserve"> the evidence shows that women are vectors of peace and security, because inclusive societies are more likely to be stable, and because post-conflict situations present opportunities to overcome the underlying obstacles to gender inequality;</w:t>
      </w:r>
    </w:p>
    <w:p w14:paraId="4220E9EF"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 xml:space="preserve">If </w:t>
      </w:r>
      <w:r>
        <w:rPr>
          <w:rFonts w:ascii="Arial" w:eastAsia="Arial" w:hAnsi="Arial" w:cs="Arial"/>
          <w:color w:val="000000"/>
          <w:sz w:val="20"/>
          <w:szCs w:val="20"/>
          <w:lang w:val="en-GB" w:eastAsia="en-GB"/>
        </w:rPr>
        <w:t xml:space="preserve">macroeconomic policies, including public and private, local, national and international procurement policies, are designed to increase employment and purchasing opportunities by enhancing unpaid care and domestic work (reduced and redistributed) through gender-sensitive investments in infrastructure, public services, decent work for women, the capacity of women entrepreneurs and innovative technologies, including those that reduce women's work to meet increased income levels; </w:t>
      </w:r>
      <w:r>
        <w:rPr>
          <w:rFonts w:ascii="Arial" w:eastAsia="Arial" w:hAnsi="Arial" w:cs="Arial"/>
          <w:b/>
          <w:bCs/>
          <w:color w:val="000000"/>
          <w:sz w:val="20"/>
          <w:szCs w:val="20"/>
          <w:lang w:val="en-GB" w:eastAsia="en-GB"/>
        </w:rPr>
        <w:t>then</w:t>
      </w:r>
      <w:r>
        <w:rPr>
          <w:rFonts w:ascii="Arial" w:eastAsia="Arial" w:hAnsi="Arial" w:cs="Arial"/>
          <w:color w:val="000000"/>
          <w:sz w:val="20"/>
          <w:szCs w:val="20"/>
          <w:lang w:val="en-GB" w:eastAsia="en-GB"/>
        </w:rPr>
        <w:t xml:space="preserve"> the gender gap in economic opportunities will be reduced; </w:t>
      </w:r>
      <w:r>
        <w:rPr>
          <w:rFonts w:ascii="Arial" w:eastAsia="Arial" w:hAnsi="Arial" w:cs="Arial"/>
          <w:b/>
          <w:bCs/>
          <w:color w:val="000000"/>
          <w:sz w:val="20"/>
          <w:szCs w:val="20"/>
          <w:lang w:val="en-GB" w:eastAsia="en-GB"/>
        </w:rPr>
        <w:t>because</w:t>
      </w:r>
      <w:r>
        <w:rPr>
          <w:rFonts w:ascii="Arial" w:eastAsia="Arial" w:hAnsi="Arial" w:cs="Arial"/>
          <w:color w:val="000000"/>
          <w:sz w:val="20"/>
          <w:szCs w:val="20"/>
          <w:lang w:val="en-GB" w:eastAsia="en-GB"/>
        </w:rPr>
        <w:t xml:space="preserve"> key structural barriers would be removed, equitable remuneration and working conditions more respectful of women's and women's rights and women entrepreneurs will have access to a more equitable share of the market;</w:t>
      </w:r>
    </w:p>
    <w:p w14:paraId="03BB5A62"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 xml:space="preserve">If </w:t>
      </w:r>
      <w:r>
        <w:rPr>
          <w:rFonts w:ascii="Arial" w:eastAsia="Arial" w:hAnsi="Arial" w:cs="Arial"/>
          <w:color w:val="000000"/>
          <w:sz w:val="20"/>
          <w:szCs w:val="20"/>
          <w:lang w:val="en-GB" w:eastAsia="en-GB"/>
        </w:rPr>
        <w:t xml:space="preserve">agricultural and environmental policies are gender-sensitive and women farmers apply climate-resilient farming techniques under a stable land tenure system and have equal access to the productive resources, services and technologies necessary to diversify their economic activities ensuring their full participation in value chains and lead markets; </w:t>
      </w:r>
      <w:r>
        <w:rPr>
          <w:rFonts w:ascii="Arial" w:eastAsia="Arial" w:hAnsi="Arial" w:cs="Arial"/>
          <w:b/>
          <w:bCs/>
          <w:color w:val="000000"/>
          <w:sz w:val="20"/>
          <w:szCs w:val="20"/>
          <w:lang w:val="en-GB" w:eastAsia="en-GB"/>
        </w:rPr>
        <w:t>then</w:t>
      </w:r>
      <w:r>
        <w:rPr>
          <w:rFonts w:ascii="Arial" w:eastAsia="Arial" w:hAnsi="Arial" w:cs="Arial"/>
          <w:color w:val="000000"/>
          <w:sz w:val="20"/>
          <w:szCs w:val="20"/>
          <w:lang w:val="en-GB" w:eastAsia="en-GB"/>
        </w:rPr>
        <w:t xml:space="preserve"> women farmers will be economically self-reliant and resilient to climate change;</w:t>
      </w:r>
      <w:r>
        <w:rPr>
          <w:rFonts w:ascii="Arial" w:eastAsia="Arial" w:hAnsi="Arial" w:cs="Arial"/>
          <w:b/>
          <w:bCs/>
          <w:color w:val="000000"/>
          <w:sz w:val="20"/>
          <w:szCs w:val="20"/>
          <w:lang w:val="en-GB" w:eastAsia="en-GB"/>
        </w:rPr>
        <w:t xml:space="preserve"> because</w:t>
      </w:r>
      <w:r>
        <w:rPr>
          <w:rFonts w:ascii="Arial" w:eastAsia="Arial" w:hAnsi="Arial" w:cs="Arial"/>
          <w:color w:val="000000"/>
          <w:sz w:val="20"/>
          <w:szCs w:val="20"/>
          <w:lang w:val="en-GB" w:eastAsia="en-GB"/>
        </w:rPr>
        <w:t xml:space="preserve"> the root causes and factors of gender inequality in agriculture have been eliminated;</w:t>
      </w:r>
    </w:p>
    <w:p w14:paraId="45870BF0"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If</w:t>
      </w:r>
      <w:r>
        <w:rPr>
          <w:rFonts w:ascii="Arial" w:eastAsia="Arial" w:hAnsi="Arial" w:cs="Arial"/>
          <w:color w:val="000000"/>
          <w:sz w:val="20"/>
          <w:szCs w:val="20"/>
          <w:lang w:val="en-GB" w:eastAsia="en-GB"/>
        </w:rPr>
        <w:t xml:space="preserve"> a favourable legislative and policy environment to end impunity and other forms of discrimination is in place and then translated into action promoting appropriate social norms, attitudes and behaviours at individual and community levels to prevent violence against women, and survivors of violence are empowered to use available and accessible quality basic services to recover from violence; </w:t>
      </w:r>
      <w:r>
        <w:rPr>
          <w:rFonts w:ascii="Arial" w:eastAsia="Arial" w:hAnsi="Arial" w:cs="Arial"/>
          <w:b/>
          <w:bCs/>
          <w:color w:val="000000"/>
          <w:sz w:val="20"/>
          <w:szCs w:val="20"/>
          <w:lang w:val="en-GB" w:eastAsia="en-GB"/>
        </w:rPr>
        <w:t>then</w:t>
      </w:r>
      <w:r>
        <w:rPr>
          <w:rFonts w:ascii="Arial" w:eastAsia="Arial" w:hAnsi="Arial" w:cs="Arial"/>
          <w:color w:val="000000"/>
          <w:sz w:val="20"/>
          <w:szCs w:val="20"/>
          <w:lang w:val="en-GB" w:eastAsia="en-GB"/>
        </w:rPr>
        <w:t xml:space="preserve"> there will be a substantial reduction in violence against women; </w:t>
      </w:r>
      <w:r>
        <w:rPr>
          <w:rFonts w:ascii="Arial" w:eastAsia="Arial" w:hAnsi="Arial" w:cs="Arial"/>
          <w:b/>
          <w:bCs/>
          <w:color w:val="000000"/>
          <w:sz w:val="20"/>
          <w:szCs w:val="20"/>
          <w:lang w:val="en-GB" w:eastAsia="en-GB"/>
        </w:rPr>
        <w:t>because</w:t>
      </w:r>
      <w:r>
        <w:rPr>
          <w:rFonts w:ascii="Arial" w:eastAsia="Arial" w:hAnsi="Arial" w:cs="Arial"/>
          <w:color w:val="000000"/>
          <w:sz w:val="20"/>
          <w:szCs w:val="20"/>
          <w:lang w:val="en-GB" w:eastAsia="en-GB"/>
        </w:rPr>
        <w:t xml:space="preserve"> violence has been prevented before it occurs or before it recurs, and survivors will be empowered to recover and rebuild.</w:t>
      </w:r>
    </w:p>
    <w:p w14:paraId="68E1C1B7"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 xml:space="preserve">Then </w:t>
      </w:r>
      <w:r>
        <w:rPr>
          <w:rFonts w:ascii="Arial" w:eastAsia="Arial" w:hAnsi="Arial" w:cs="Arial"/>
          <w:color w:val="000000"/>
          <w:sz w:val="20"/>
          <w:szCs w:val="20"/>
          <w:lang w:val="en-GB" w:eastAsia="en-GB"/>
        </w:rPr>
        <w:t>the people in Mali and particularly women will experience increased political, economic, social and environmental well-being ensuring that "No one is left behind".</w:t>
      </w:r>
    </w:p>
    <w:p w14:paraId="37D166EB" w14:textId="77777777" w:rsidR="007118E1" w:rsidRDefault="00000000">
      <w:pPr>
        <w:spacing w:before="240" w:after="240" w:line="240" w:lineRule="auto"/>
        <w:jc w:val="both"/>
        <w:rPr>
          <w:rFonts w:ascii="Times New Roman" w:eastAsia="Times New Roman" w:hAnsi="Times New Roman" w:cs="Times New Roman"/>
          <w:sz w:val="24"/>
          <w:szCs w:val="24"/>
        </w:rPr>
      </w:pPr>
      <w:r>
        <w:rPr>
          <w:rFonts w:ascii="Arial" w:eastAsia="Arial" w:hAnsi="Arial" w:cs="Arial"/>
          <w:color w:val="000000"/>
          <w:sz w:val="20"/>
          <w:szCs w:val="20"/>
          <w:lang w:val="en-GB" w:eastAsia="en-GB"/>
        </w:rPr>
        <w:t> </w:t>
      </w:r>
    </w:p>
    <w:p w14:paraId="77660C40" w14:textId="77777777" w:rsidR="007118E1" w:rsidRDefault="00000000">
      <w:pPr>
        <w:spacing w:after="120" w:line="240" w:lineRule="auto"/>
        <w:ind w:left="720"/>
        <w:jc w:val="both"/>
        <w:rPr>
          <w:rFonts w:ascii="Times New Roman" w:eastAsia="Times New Roman" w:hAnsi="Times New Roman" w:cs="Times New Roman"/>
          <w:sz w:val="24"/>
          <w:szCs w:val="24"/>
        </w:rPr>
      </w:pPr>
      <w:r>
        <w:rPr>
          <w:rFonts w:ascii="Arial" w:eastAsia="Arial" w:hAnsi="Arial" w:cs="Arial"/>
          <w:b/>
          <w:bCs/>
          <w:sz w:val="24"/>
          <w:szCs w:val="24"/>
          <w:lang w:val="en-GB" w:eastAsia="en-GB"/>
        </w:rPr>
        <w:t xml:space="preserve">Strategic alignment </w:t>
      </w:r>
    </w:p>
    <w:p w14:paraId="20F0ED03"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programmatic priorities proposed by UN-Women Mali are in perfect alignment with the United Nations Sustainable Development Cooperation Framework (UNSDCF) 2020-2024, which is itself based on Mali's new Strategic Framework for Economic Recovery and Sustainable Development (2019-2023). The proposal is perfectly in line with UN-Women Strategic Plan 2018-2021. The diagrams and paragraphs below clarify this strategic alignment.</w:t>
      </w:r>
    </w:p>
    <w:p w14:paraId="55C14602" w14:textId="77777777" w:rsidR="007118E1" w:rsidRDefault="00000000">
      <w:pPr>
        <w:spacing w:before="240" w:after="120" w:line="240" w:lineRule="auto"/>
        <w:jc w:val="both"/>
        <w:rPr>
          <w:rFonts w:ascii="Times New Roman" w:eastAsia="Times New Roman" w:hAnsi="Times New Roman" w:cs="Times New Roman"/>
          <w:sz w:val="24"/>
          <w:szCs w:val="24"/>
        </w:rPr>
      </w:pPr>
      <w:r>
        <w:rPr>
          <w:rFonts w:ascii="Arial" w:eastAsia="Arial" w:hAnsi="Arial" w:cs="Arial"/>
          <w:b/>
          <w:bCs/>
          <w:color w:val="000000"/>
          <w:sz w:val="20"/>
          <w:szCs w:val="20"/>
          <w:lang w:val="en-GB" w:eastAsia="en-GB"/>
        </w:rPr>
        <w:t>Results</w:t>
      </w:r>
    </w:p>
    <w:p w14:paraId="72A7A439" w14:textId="77777777" w:rsidR="007118E1" w:rsidRDefault="00000000">
      <w:pPr>
        <w:numPr>
          <w:ilvl w:val="0"/>
          <w:numId w:val="4"/>
        </w:numPr>
        <w:spacing w:before="240"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lastRenderedPageBreak/>
        <w:t xml:space="preserve">UN-Women will contribute to each of the 6 outcomes of UNSDCF. However, this will be an integrated contribution that will not address each outcome separately in the implementation. Thus, for example, the contribution to outcomes 5 and 6 will be made at the same time as that of outcome 2. </w:t>
      </w:r>
    </w:p>
    <w:p w14:paraId="24541552"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Through the outputs proposed in this Strategic Note, UN-Women Mali will make a specific contribution that, in synergy with those of other UNSDCF actors, will make it possible to achieve the results proposed in UNSDCF, including gender equality and women's empowerment.               UN-Women will address the needs and priorities of women/girls and the achievement of the full exercise of their human rights by targeting the most vulnerable (rural women, displaced women, very low income women like marker women and GBV survivors). </w:t>
      </w:r>
    </w:p>
    <w:p w14:paraId="48C2B2F2" w14:textId="77777777" w:rsidR="007118E1" w:rsidRDefault="00000000">
      <w:pPr>
        <w:numPr>
          <w:ilvl w:val="0"/>
          <w:numId w:val="5"/>
        </w:numPr>
        <w:spacing w:before="240"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proposed programme fulfils the triple mandate of UN-Women: normative, coordination and operational. It will contribute to the overall implementation of international and national frameworks such as SGD, CEDAW, Beijing Platform, Resolution 1325 and at the national level CREDD, UNSDCF.</w:t>
      </w:r>
    </w:p>
    <w:p w14:paraId="7057C4AE" w14:textId="77777777" w:rsidR="007118E1" w:rsidRDefault="00000000">
      <w:pPr>
        <w:numPr>
          <w:ilvl w:val="0"/>
          <w:numId w:val="5"/>
        </w:numPr>
        <w:spacing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UN-Women Mali's contributions to UNSDCF cover the priorities of UN-Women Strategic Plan (SP): 1. Gender equality and empowerment of women and girls, including women's full exercise of their human rights; 2. Political empowerment and women's leadership; 3. Women's economic empowerment; 4. Elimination of violence against women, and 5. Peace, security and humanitarian action. </w:t>
      </w:r>
    </w:p>
    <w:p w14:paraId="72212E16" w14:textId="77777777" w:rsidR="007118E1" w:rsidRDefault="00000000">
      <w:pPr>
        <w:spacing w:after="120" w:line="240" w:lineRule="auto"/>
        <w:ind w:left="426"/>
        <w:jc w:val="both"/>
        <w:rPr>
          <w:rFonts w:ascii="Times New Roman" w:eastAsia="Times New Roman" w:hAnsi="Times New Roman" w:cs="Times New Roman"/>
          <w:sz w:val="24"/>
          <w:szCs w:val="24"/>
        </w:rPr>
      </w:pPr>
      <w:r>
        <w:rPr>
          <w:rFonts w:ascii="Arial" w:eastAsia="Arial" w:hAnsi="Arial" w:cs="Arial"/>
          <w:color w:val="000000"/>
          <w:sz w:val="20"/>
          <w:szCs w:val="20"/>
          <w:lang w:val="en-GB" w:eastAsia="en-GB"/>
        </w:rPr>
        <w:t> </w:t>
      </w:r>
    </w:p>
    <w:p w14:paraId="7DF1EAF7" w14:textId="77777777" w:rsidR="007118E1" w:rsidRDefault="00000000">
      <w:pPr>
        <w:spacing w:before="240" w:after="120" w:line="240" w:lineRule="auto"/>
        <w:jc w:val="both"/>
        <w:rPr>
          <w:rFonts w:ascii="Times New Roman" w:eastAsia="Times New Roman" w:hAnsi="Times New Roman" w:cs="Times New Roman"/>
          <w:sz w:val="24"/>
          <w:szCs w:val="24"/>
        </w:rPr>
      </w:pPr>
      <w:r>
        <w:rPr>
          <w:rFonts w:ascii="Arial" w:eastAsia="Arial" w:hAnsi="Arial" w:cs="Arial"/>
          <w:color w:val="000000"/>
          <w:sz w:val="24"/>
          <w:szCs w:val="24"/>
          <w:lang w:val="en-GB" w:eastAsia="en-GB"/>
        </w:rPr>
        <w:t> </w:t>
      </w:r>
    </w:p>
    <w:p w14:paraId="44CFF200" w14:textId="77777777" w:rsidR="007118E1" w:rsidRDefault="00000000">
      <w:pPr>
        <w:spacing w:before="240" w:after="120" w:line="240" w:lineRule="auto"/>
        <w:jc w:val="both"/>
        <w:rPr>
          <w:rFonts w:ascii="Times New Roman" w:eastAsia="Times New Roman" w:hAnsi="Times New Roman" w:cs="Times New Roman"/>
          <w:sz w:val="24"/>
          <w:szCs w:val="24"/>
        </w:rPr>
      </w:pPr>
      <w:r>
        <w:rPr>
          <w:rFonts w:ascii="Arial" w:eastAsia="Arial" w:hAnsi="Arial" w:cs="Arial"/>
          <w:b/>
          <w:bCs/>
          <w:sz w:val="24"/>
          <w:szCs w:val="24"/>
          <w:lang w:val="en-GB" w:eastAsia="en-GB"/>
        </w:rPr>
        <w:t>UNSDCF/SN OUTCOME 1:</w:t>
      </w:r>
    </w:p>
    <w:p w14:paraId="7883D5F8" w14:textId="77777777" w:rsidR="007118E1" w:rsidRDefault="00000000">
      <w:pPr>
        <w:numPr>
          <w:ilvl w:val="0"/>
          <w:numId w:val="6"/>
        </w:numPr>
        <w:spacing w:before="240"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By 2024, people live in a rule of law, an environment of peace and accountability through strong public institutions, media and civil society exercising their roles and responsibilities for effective and inclusive governance.</w:t>
      </w:r>
    </w:p>
    <w:p w14:paraId="74B4817A" w14:textId="77777777" w:rsidR="007118E1"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16"/>
          <w:szCs w:val="16"/>
          <w:lang w:val="en-US" w:eastAsia="en-US"/>
        </w:rPr>
        <w:t>Outputs related to outcome 1 of the UNSDCF</w:t>
      </w:r>
    </w:p>
    <w:p w14:paraId="4BD82539" w14:textId="77777777" w:rsidR="007118E1" w:rsidRDefault="00000000">
      <w:pPr>
        <w:numPr>
          <w:ilvl w:val="0"/>
          <w:numId w:val="7"/>
        </w:numPr>
        <w:spacing w:before="240" w:after="240" w:line="240" w:lineRule="auto"/>
        <w:ind w:hanging="210"/>
        <w:rPr>
          <w:rFonts w:ascii="Times New Roman" w:eastAsia="Times New Roman" w:hAnsi="Times New Roman" w:cs="Times New Roman"/>
          <w:sz w:val="24"/>
          <w:szCs w:val="24"/>
        </w:rPr>
      </w:pPr>
      <w:r>
        <w:rPr>
          <w:rFonts w:ascii="Times New Roman" w:eastAsia="Times New Roman" w:hAnsi="Times New Roman" w:cs="Times New Roman"/>
          <w:b/>
          <w:bCs/>
          <w:sz w:val="16"/>
          <w:szCs w:val="16"/>
          <w:lang w:val="en-US" w:eastAsia="en-US"/>
        </w:rPr>
        <w:t xml:space="preserve">SN Output 1.1: </w:t>
      </w:r>
      <w:r>
        <w:rPr>
          <w:rFonts w:ascii="Times New Roman" w:eastAsia="Times New Roman" w:hAnsi="Times New Roman" w:cs="Times New Roman"/>
          <w:sz w:val="16"/>
          <w:szCs w:val="16"/>
          <w:lang w:val="en-US" w:eastAsia="en-US"/>
        </w:rPr>
        <w:t>State and non-state actors in charge of justice and the criminal justice system have strengthened capacities to develop a functioning and effective justice system accessible to the populations and especially specific groups (women, girls, victims of GBV, etc.)</w:t>
      </w:r>
    </w:p>
    <w:p w14:paraId="3E18D7F2" w14:textId="77777777" w:rsidR="007118E1"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bCs/>
          <w:sz w:val="16"/>
          <w:szCs w:val="16"/>
          <w:lang w:val="en-US" w:eastAsia="en-US"/>
        </w:rPr>
        <w:t xml:space="preserve">SN Output 1.2: </w:t>
      </w:r>
      <w:r>
        <w:rPr>
          <w:rFonts w:ascii="Times New Roman" w:eastAsia="Times New Roman" w:hAnsi="Times New Roman" w:cs="Times New Roman"/>
          <w:sz w:val="16"/>
          <w:szCs w:val="16"/>
          <w:lang w:val="en-US" w:eastAsia="en-US"/>
        </w:rPr>
        <w:t>The institutions and actors responsible for oversight and monitoring of the respect for the rule of law (National Assembly, National Human Rights Commission, the Auditor General, the Mediator of the Republic, the media, civil society, including women's organizations) have strengthened capacities to mainstream gender in their legislations, policies, strategies, programs, projects, service plans and budgets</w:t>
      </w:r>
    </w:p>
    <w:p w14:paraId="5A212964" w14:textId="77777777" w:rsidR="007118E1"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bCs/>
          <w:sz w:val="16"/>
          <w:szCs w:val="16"/>
          <w:lang w:val="en-US" w:eastAsia="en-US"/>
        </w:rPr>
        <w:t xml:space="preserve">SN Output 1.3: </w:t>
      </w:r>
      <w:r>
        <w:rPr>
          <w:rFonts w:ascii="Times New Roman" w:eastAsia="Times New Roman" w:hAnsi="Times New Roman" w:cs="Times New Roman"/>
          <w:sz w:val="16"/>
          <w:szCs w:val="16"/>
          <w:lang w:val="en-US" w:eastAsia="en-US"/>
        </w:rPr>
        <w:t xml:space="preserve">Men, women and young people participate more actively and equitably in the management of public life (electoral processes, forums and public debates, national dialogue, in the institutions of the defense, security and justice sectors) </w:t>
      </w:r>
    </w:p>
    <w:p w14:paraId="453DD04C" w14:textId="77777777" w:rsidR="007118E1"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bCs/>
          <w:sz w:val="16"/>
          <w:szCs w:val="16"/>
          <w:lang w:val="en-US" w:eastAsia="en-US"/>
        </w:rPr>
        <w:t xml:space="preserve">SN Output 1.4: </w:t>
      </w:r>
      <w:r>
        <w:rPr>
          <w:rFonts w:ascii="Times New Roman" w:eastAsia="Times New Roman" w:hAnsi="Times New Roman" w:cs="Times New Roman"/>
          <w:sz w:val="16"/>
          <w:szCs w:val="16"/>
          <w:lang w:val="en-US" w:eastAsia="en-US"/>
        </w:rPr>
        <w:t>State institutions and structures, political parties, civil society, the media have enhanced capacities to ensure transparent, egalitarian credible and inclusive democratic processes as well as internal and external gender responsive control and accountability mechanisms (institutional reforms, elections, decentralization, gender responsive planning and budgeting)</w:t>
      </w:r>
    </w:p>
    <w:p w14:paraId="6F6CCDD2" w14:textId="77777777" w:rsidR="007118E1"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bCs/>
          <w:sz w:val="16"/>
          <w:szCs w:val="16"/>
          <w:lang w:val="en-US" w:eastAsia="en-US"/>
        </w:rPr>
        <w:t xml:space="preserve">SN Output 1.5: </w:t>
      </w:r>
      <w:r>
        <w:rPr>
          <w:rFonts w:ascii="Times New Roman" w:eastAsia="Times New Roman" w:hAnsi="Times New Roman" w:cs="Times New Roman"/>
          <w:sz w:val="16"/>
          <w:szCs w:val="16"/>
          <w:lang w:val="en-US" w:eastAsia="en-US"/>
        </w:rPr>
        <w:t>Public institutions and civil society at national, regional and local level have reliable and disaggregated statistical data and analyzes to plan, budget, monitor and evaluate public policies, programs and plans focused on the SDGs</w:t>
      </w:r>
    </w:p>
    <w:p w14:paraId="3C20E5CE" w14:textId="77777777" w:rsidR="007118E1" w:rsidRDefault="00000000">
      <w:pPr>
        <w:spacing w:after="0" w:line="240" w:lineRule="auto"/>
        <w:rPr>
          <w:rFonts w:ascii="Calibri" w:eastAsia="Calibri" w:hAnsi="Calibri" w:cs="Calibri"/>
          <w:b/>
          <w:bCs/>
          <w:sz w:val="16"/>
          <w:szCs w:val="16"/>
          <w:lang w:val="en-US" w:eastAsia="en-US"/>
        </w:rPr>
      </w:pPr>
      <w:r>
        <w:rPr>
          <w:rFonts w:ascii="Calibri" w:eastAsia="Calibri" w:hAnsi="Calibri" w:cs="Calibri"/>
          <w:b/>
          <w:bCs/>
          <w:sz w:val="16"/>
          <w:szCs w:val="16"/>
          <w:lang w:val="en-US" w:eastAsia="en-US"/>
        </w:rPr>
        <w:t xml:space="preserve">SN Output 1.6: </w:t>
      </w:r>
      <w:r>
        <w:rPr>
          <w:rFonts w:ascii="Calibri" w:eastAsia="Calibri" w:hAnsi="Calibri" w:cs="Calibri"/>
          <w:sz w:val="16"/>
          <w:szCs w:val="16"/>
          <w:lang w:val="en-US" w:eastAsia="en-US"/>
        </w:rPr>
        <w:t>National and local structures in charge of developing and adopting national and local plans and budgets have capacities mainstream gender into their policies, strategies, programs, projects, service plans and budgets</w:t>
      </w:r>
    </w:p>
    <w:p w14:paraId="551CD4B2"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Through the Constitution and the ratified/signed conventions, texts, protocols, the Government of Mali shows its willingness to create a good governance environment conducive to the respect of women's and girls' rights. These conventions are unknown to the people, especially women, and are not applied by institutions.</w:t>
      </w:r>
    </w:p>
    <w:p w14:paraId="4E1887BB" w14:textId="77777777" w:rsidR="007118E1" w:rsidRDefault="00000000">
      <w:pPr>
        <w:shd w:val="clear" w:color="auto" w:fill="F8F9FA"/>
        <w:spacing w:after="120" w:line="240" w:lineRule="auto"/>
        <w:ind w:left="426"/>
        <w:jc w:val="both"/>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UN-Women will contribute through:  </w:t>
      </w:r>
    </w:p>
    <w:p w14:paraId="1E1BED53" w14:textId="77777777" w:rsidR="007118E1" w:rsidRDefault="00000000">
      <w:pPr>
        <w:spacing w:after="120" w:line="240"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0"/>
          <w:szCs w:val="20"/>
          <w:lang w:val="en-GB" w:eastAsia="en-GB"/>
        </w:rPr>
        <w:lastRenderedPageBreak/>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20"/>
          <w:szCs w:val="20"/>
          <w:lang w:val="en-GB" w:eastAsia="en-GB"/>
        </w:rPr>
        <w:t>Gender mainstreaming:</w:t>
      </w:r>
      <w:r>
        <w:rPr>
          <w:rFonts w:ascii="Arial" w:eastAsia="Arial" w:hAnsi="Arial" w:cs="Arial"/>
          <w:color w:val="000000"/>
          <w:sz w:val="20"/>
          <w:szCs w:val="20"/>
          <w:lang w:val="en-GB" w:eastAsia="en-GB"/>
        </w:rPr>
        <w:t xml:space="preserve">CEDAW, Beijing Platform and Resolution 1325 will be translated into national languages, distributed and disseminated. UN-Women will support all actors and stakeholders to set up mechanisms to identify the needs of people, monitoring, evaluation and accountability that are gender-sensitive. Justice (informal/formal) will be supported to facilitate its access to women/girls. Gender capacities of traditional and religious institutions will be strengthened to mitigate their negative influence. Ministry gender committees will be strengthened to participate in planning, budgeting and monitoring. Evidence-based advocacy campaigns will be conducted for the allocation of a budget line to Gender Committees (GSB) and the implementation of Act No. 052/2015. </w:t>
      </w:r>
    </w:p>
    <w:p w14:paraId="306C3B35" w14:textId="77777777" w:rsidR="007118E1" w:rsidRDefault="00000000">
      <w:pPr>
        <w:spacing w:after="120" w:line="240"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24"/>
          <w:szCs w:val="24"/>
          <w:lang w:val="en-GB" w:eastAsia="en-GB"/>
        </w:rPr>
        <w:t>Building women's confidence:</w:t>
      </w:r>
      <w:r>
        <w:rPr>
          <w:rFonts w:ascii="Arial" w:eastAsia="Arial" w:hAnsi="Arial" w:cs="Arial"/>
          <w:lang w:val="en-GB" w:eastAsia="en-GB"/>
        </w:rPr>
        <w:t xml:space="preserve"> </w:t>
      </w:r>
      <w:r>
        <w:rPr>
          <w:rFonts w:ascii="Arial" w:eastAsia="Arial" w:hAnsi="Arial" w:cs="Arial"/>
          <w:color w:val="000000"/>
          <w:sz w:val="24"/>
          <w:szCs w:val="24"/>
          <w:lang w:val="en-GB" w:eastAsia="en-GB"/>
        </w:rPr>
        <w:t>One of the observations made during the consultation and strategic planning workshops shows that women themselves are not sufficiently involved in ensuring that their rights are respected. To this end, a long-term programme for the development of women's leadership will be implemented to ensure that women have confidence in themselves for their full participation in the country's governance. A compendium of women leaders focusing on their skills and know-how will be developed to facilitate the application of Act No. 052-2015 during appointments. As part of the intergenerational issues, an innovative coaching/mentoring system will be mainstreamed for women/girls.</w:t>
      </w:r>
    </w:p>
    <w:p w14:paraId="4328209E" w14:textId="77777777" w:rsidR="007118E1" w:rsidRDefault="00000000">
      <w:pPr>
        <w:spacing w:after="120" w:line="240"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24"/>
          <w:szCs w:val="24"/>
          <w:lang w:val="en-GB" w:eastAsia="en-GB"/>
        </w:rPr>
        <w:t xml:space="preserve">Youth participation (especially young girls) and inclusive political dialogue: </w:t>
      </w:r>
      <w:r>
        <w:rPr>
          <w:rFonts w:ascii="Arial" w:eastAsia="Arial" w:hAnsi="Arial" w:cs="Arial"/>
          <w:color w:val="000000"/>
          <w:sz w:val="24"/>
          <w:szCs w:val="24"/>
          <w:lang w:val="en-GB" w:eastAsia="en-GB"/>
        </w:rPr>
        <w:t>Youth capacities will be strengthened; their participation in dialogues and processes will be facilitated while ensuring a synergy of actions.</w:t>
      </w:r>
    </w:p>
    <w:p w14:paraId="7578285C"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b/>
          <w:bCs/>
          <w:sz w:val="20"/>
          <w:szCs w:val="20"/>
          <w:lang w:val="en-GB" w:eastAsia="en-GB"/>
        </w:rPr>
        <w:t xml:space="preserve">UNSDCF/SN OUTCOME 2: </w:t>
      </w:r>
    </w:p>
    <w:p w14:paraId="1DB13EE5" w14:textId="77777777" w:rsidR="007118E1" w:rsidRDefault="00000000">
      <w:pPr>
        <w:numPr>
          <w:ilvl w:val="0"/>
          <w:numId w:val="8"/>
        </w:numPr>
        <w:spacing w:before="160" w:line="257" w:lineRule="auto"/>
        <w:ind w:hanging="220"/>
        <w:rPr>
          <w:rFonts w:ascii="Calibri" w:eastAsia="Calibri" w:hAnsi="Calibri" w:cs="Calibri"/>
          <w:sz w:val="16"/>
          <w:szCs w:val="16"/>
          <w:lang w:val="en-US" w:eastAsia="en-US"/>
        </w:rPr>
      </w:pPr>
      <w:r>
        <w:rPr>
          <w:rFonts w:ascii="Arial" w:eastAsia="Arial" w:hAnsi="Arial" w:cs="Arial"/>
          <w:color w:val="000000"/>
          <w:sz w:val="20"/>
          <w:szCs w:val="20"/>
          <w:lang w:val="en-GB" w:eastAsia="en-GB"/>
        </w:rPr>
        <w:t>By 2024, people are resilient to conflict, live reconciled and in harmony in a peaceful and secure environment that respects human rights and positive cultural traditions.</w:t>
      </w:r>
    </w:p>
    <w:p w14:paraId="33C69934" w14:textId="77777777" w:rsidR="007118E1" w:rsidRDefault="00000000">
      <w:pPr>
        <w:spacing w:before="160" w:after="120" w:line="257" w:lineRule="auto"/>
        <w:ind w:firstLine="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Output related to Outcome 2 of UNSDCF</w:t>
      </w:r>
    </w:p>
    <w:p w14:paraId="64F03AB4" w14:textId="77777777" w:rsidR="007118E1" w:rsidRDefault="007118E1">
      <w:pPr>
        <w:numPr>
          <w:ilvl w:val="0"/>
          <w:numId w:val="9"/>
        </w:numPr>
        <w:spacing w:after="0" w:line="257" w:lineRule="auto"/>
        <w:ind w:hanging="174"/>
        <w:rPr>
          <w:rFonts w:ascii="Calibri" w:eastAsia="Calibri" w:hAnsi="Calibri" w:cs="Calibri"/>
          <w:sz w:val="16"/>
          <w:szCs w:val="16"/>
          <w:lang w:val="en-US" w:eastAsia="en-US"/>
        </w:rPr>
      </w:pPr>
    </w:p>
    <w:p w14:paraId="6F08EAEC" w14:textId="77777777" w:rsidR="007118E1" w:rsidRDefault="00000000">
      <w:pPr>
        <w:numPr>
          <w:ilvl w:val="0"/>
          <w:numId w:val="10"/>
        </w:numPr>
        <w:spacing w:before="160"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National capacities (state structures and other signatory parties, peace mechanisms, political parties, civil society including women's organizations and youth, the media) are reinforced on the Women, Peace and Security agenda and the R1325 National Action Plan for the implementation and monitoring of the Peace Agreement and the National Strategy on Reconciliation</w:t>
      </w:r>
    </w:p>
    <w:p w14:paraId="44295047" w14:textId="77777777" w:rsidR="007118E1" w:rsidRDefault="00000000">
      <w:pPr>
        <w:numPr>
          <w:ilvl w:val="0"/>
          <w:numId w:val="10"/>
        </w:numPr>
        <w:spacing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Local actors, including women, have the necessary capacities, including through the promotion of traditional tools and positive cultural values, for the inclusive prevention and management of community conflicts, including those related to natural resources and violent extremism</w:t>
      </w:r>
    </w:p>
    <w:p w14:paraId="7FF986E3" w14:textId="77777777" w:rsidR="007118E1" w:rsidRDefault="00000000">
      <w:pPr>
        <w:numPr>
          <w:ilvl w:val="0"/>
          <w:numId w:val="10"/>
        </w:numPr>
        <w:spacing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Local and national actors including women and youth (men and women) have the capacity to strengthen social cohesion, mediation, reconciliation, dialogue and facilitate the integration / reintegration of returnees and internally displaced persons</w:t>
      </w:r>
    </w:p>
    <w:p w14:paraId="22B89D2A" w14:textId="77777777" w:rsidR="007118E1" w:rsidRDefault="00000000">
      <w:pPr>
        <w:numPr>
          <w:ilvl w:val="0"/>
          <w:numId w:val="10"/>
        </w:numPr>
        <w:spacing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Mechanisms to prevent violations and abuses of human rights (including GBV, women's rights, human rights defenders and media professionals) and protection are established and strengthened at national and local levels</w:t>
      </w:r>
    </w:p>
    <w:p w14:paraId="1F7220E9" w14:textId="77777777" w:rsidR="007118E1" w:rsidRDefault="00000000">
      <w:pPr>
        <w:numPr>
          <w:ilvl w:val="0"/>
          <w:numId w:val="10"/>
        </w:numPr>
        <w:spacing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National mechanisms, civil society organizations including women's organizations and survivor groups are fully equipped on gender approaches to engage in an active and informed manner in transitional justice and reconciliation processes with a particular attention on GBV including conflict-related sexual violence</w:t>
      </w:r>
    </w:p>
    <w:p w14:paraId="78655D83" w14:textId="77777777" w:rsidR="007118E1" w:rsidRDefault="00000000">
      <w:pPr>
        <w:numPr>
          <w:ilvl w:val="0"/>
          <w:numId w:val="10"/>
        </w:numPr>
        <w:spacing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 xml:space="preserve">The Government, public institutions and subregional coordination structures have enhanced technical and operational capabilities to respect women’s rights and ensure  their security, physical and mental health as well as their socio-economic resilience and their needs met in the security and justice processes, recovery and peacebuilding; </w:t>
      </w:r>
    </w:p>
    <w:p w14:paraId="63C166BF" w14:textId="77777777" w:rsidR="007118E1" w:rsidRDefault="00000000">
      <w:pPr>
        <w:numPr>
          <w:ilvl w:val="0"/>
          <w:numId w:val="10"/>
        </w:numPr>
        <w:spacing w:after="0"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 National  and United Nations including  humanitarian coordination and aid mechanisms are strengthened to identify, respond to, and monitor the needs of women and girls</w:t>
      </w:r>
    </w:p>
    <w:p w14:paraId="0D8F867B" w14:textId="77777777" w:rsidR="007118E1" w:rsidRDefault="00000000">
      <w:pPr>
        <w:numPr>
          <w:ilvl w:val="0"/>
          <w:numId w:val="10"/>
        </w:numPr>
        <w:spacing w:line="257" w:lineRule="auto"/>
        <w:ind w:hanging="174"/>
        <w:rPr>
          <w:rFonts w:ascii="Calibri" w:eastAsia="Calibri" w:hAnsi="Calibri" w:cs="Calibri"/>
          <w:sz w:val="16"/>
          <w:szCs w:val="16"/>
          <w:lang w:val="en-US" w:eastAsia="en-US"/>
        </w:rPr>
      </w:pPr>
      <w:r>
        <w:rPr>
          <w:rFonts w:ascii="Calibri" w:eastAsia="Calibri" w:hAnsi="Calibri" w:cs="Calibri"/>
          <w:sz w:val="16"/>
          <w:szCs w:val="16"/>
          <w:lang w:val="en-US" w:eastAsia="en-US"/>
        </w:rPr>
        <w:t>Women, girls and communities affected by conflict and crisis are strengthened for inclusive participation in peacebuilding, reconstruction and economic recovery efforts and to benefit from them</w:t>
      </w:r>
    </w:p>
    <w:p w14:paraId="5626CF09" w14:textId="77777777" w:rsidR="007118E1" w:rsidRDefault="00000000">
      <w:pPr>
        <w:spacing w:before="160" w:after="120" w:line="257" w:lineRule="auto"/>
        <w:ind w:firstLine="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UN-Women will contribute to the outcome through:</w:t>
      </w:r>
    </w:p>
    <w:p w14:paraId="29E16882" w14:textId="77777777" w:rsidR="007118E1" w:rsidRDefault="00000000">
      <w:pPr>
        <w:spacing w:after="120" w:line="257" w:lineRule="auto"/>
        <w:ind w:left="851" w:hanging="425"/>
        <w:jc w:val="both"/>
        <w:rPr>
          <w:rFonts w:ascii="Calibri" w:eastAsia="Calibri" w:hAnsi="Calibri" w:cs="Calibri"/>
          <w:sz w:val="16"/>
          <w:szCs w:val="16"/>
          <w:lang w:val="en-US" w:eastAsia="en-US"/>
        </w:rPr>
      </w:pPr>
      <w:r>
        <w:rPr>
          <w:rFonts w:ascii="Calibri" w:eastAsia="Calibri" w:hAnsi="Calibri" w:cs="Calibri"/>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Promoting women's participation and leadership:</w:t>
      </w:r>
      <w:r>
        <w:rPr>
          <w:rFonts w:ascii="Arial" w:eastAsia="Arial" w:hAnsi="Arial" w:cs="Arial"/>
          <w:lang w:val="en-GB" w:eastAsia="en-GB"/>
        </w:rPr>
        <w:t xml:space="preserve"> </w:t>
      </w:r>
      <w:r>
        <w:rPr>
          <w:rFonts w:ascii="Arial" w:eastAsia="Arial" w:hAnsi="Arial" w:cs="Arial"/>
          <w:color w:val="000000"/>
          <w:sz w:val="16"/>
          <w:szCs w:val="16"/>
          <w:lang w:val="en-GB" w:eastAsia="en-GB"/>
        </w:rPr>
        <w:t xml:space="preserve">For people to be resilient to conflict, be reconciled, live in harmony in a peaceful and secure environment, women must participate in all the functional mechanisms of the NAP 1325 in line with the Peace Agreement and the national reconciliation strategy. Gender inequalities must be reduced in processes and reforms related to the Peace Agreement; rational and inclusive management of natural resources, particularly in conflict-affected areas; and capacity building for local actors, including women with traditional tools and positive cultural values.  </w:t>
      </w:r>
    </w:p>
    <w:p w14:paraId="47730DB5" w14:textId="77777777" w:rsidR="007118E1" w:rsidRDefault="00000000">
      <w:pPr>
        <w:spacing w:after="120" w:line="257" w:lineRule="auto"/>
        <w:ind w:left="851" w:hanging="425"/>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lastRenderedPageBreak/>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Support to national and community mechanisms: </w:t>
      </w:r>
      <w:r>
        <w:rPr>
          <w:rFonts w:ascii="Arial" w:eastAsia="Arial" w:hAnsi="Arial" w:cs="Arial"/>
          <w:color w:val="000000"/>
          <w:sz w:val="16"/>
          <w:szCs w:val="16"/>
          <w:lang w:val="en-GB" w:eastAsia="en-GB"/>
        </w:rPr>
        <w:t>Support for the scaling up of peace huts; the transformation of these huts into development centres in conflict areas; gender integration in the transitional justice, reconciliation and social cohesion process.</w:t>
      </w:r>
    </w:p>
    <w:p w14:paraId="23E1A15D" w14:textId="77777777" w:rsidR="007118E1" w:rsidRDefault="00000000">
      <w:pPr>
        <w:spacing w:after="120" w:line="257" w:lineRule="auto"/>
        <w:ind w:left="851" w:hanging="425"/>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Support to security sector institutions: </w:t>
      </w:r>
      <w:r>
        <w:rPr>
          <w:rFonts w:ascii="Arial" w:eastAsia="Arial" w:hAnsi="Arial" w:cs="Arial"/>
          <w:sz w:val="16"/>
          <w:szCs w:val="16"/>
          <w:lang w:val="en-GB" w:eastAsia="en-GB"/>
        </w:rPr>
        <w:t>To make security sector institutions more representative in terms of women's participation, more accountable on gender issues and their services responsive to women's specific needs, the programme will support gender mainstreaming in sectoral reform processes and strengthen the institutional capacities of relevant gender actors.</w:t>
      </w:r>
    </w:p>
    <w:p w14:paraId="21F820A3" w14:textId="77777777" w:rsidR="007118E1" w:rsidRDefault="00000000">
      <w:pPr>
        <w:spacing w:after="120" w:line="257" w:lineRule="auto"/>
        <w:ind w:left="851" w:hanging="425"/>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Support to humanitarian coordination mechanisms: </w:t>
      </w:r>
      <w:r>
        <w:rPr>
          <w:rFonts w:ascii="Arial" w:eastAsia="Arial" w:hAnsi="Arial" w:cs="Arial"/>
          <w:color w:val="000000"/>
          <w:sz w:val="16"/>
          <w:szCs w:val="16"/>
          <w:lang w:val="en-GB" w:eastAsia="en-GB"/>
        </w:rPr>
        <w:t>Evidence-based advocacy campaigns to integrate the needs of women, girls, boys and men into these mechanisms.    UN- Women will support OCHA for gender-sensitive humanitarian programming cycle Gender Marker and Contribution to the Humanitarian Situation (SITREP).</w:t>
      </w:r>
    </w:p>
    <w:p w14:paraId="4708DB5D" w14:textId="77777777" w:rsidR="007118E1" w:rsidRDefault="00000000">
      <w:pPr>
        <w:spacing w:after="120" w:line="257" w:lineRule="auto"/>
        <w:ind w:left="851" w:hanging="425"/>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The promotion of Humanitarian Development-Peace Nexus:</w:t>
      </w:r>
      <w:r>
        <w:rPr>
          <w:rFonts w:ascii="Arial" w:eastAsia="Arial" w:hAnsi="Arial" w:cs="Arial"/>
          <w:color w:val="000000"/>
          <w:sz w:val="16"/>
          <w:szCs w:val="16"/>
          <w:lang w:val="en-GB" w:eastAsia="en-GB"/>
        </w:rPr>
        <w:t>Rehabilitation and socio-economic reintegration will include humanitarian support and protection for displaced and refugee persons; promotion of women's leadership; strengthening the socio-economic empowerment of women affected by the conflict; and improving women's access to services. The Women's Houses will be transformed into multipurpose integrated centres for the needs of women in our various fields of intervention.</w:t>
      </w:r>
    </w:p>
    <w:p w14:paraId="39D469EF"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 </w:t>
      </w:r>
    </w:p>
    <w:p w14:paraId="24F0C5ED"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b/>
          <w:bCs/>
          <w:sz w:val="16"/>
          <w:szCs w:val="16"/>
          <w:lang w:val="en-GB" w:eastAsia="en-GB"/>
        </w:rPr>
        <w:t xml:space="preserve">UNSDCF/SN OUTCOME 3: </w:t>
      </w:r>
    </w:p>
    <w:p w14:paraId="43E5CF3E" w14:textId="77777777" w:rsidR="007118E1" w:rsidRDefault="00000000">
      <w:pPr>
        <w:numPr>
          <w:ilvl w:val="0"/>
          <w:numId w:val="11"/>
        </w:numPr>
        <w:spacing w:before="160" w:line="257" w:lineRule="auto"/>
        <w:ind w:hanging="220"/>
        <w:rPr>
          <w:rFonts w:ascii="Calibri" w:eastAsia="Calibri" w:hAnsi="Calibri" w:cs="Calibri"/>
          <w:sz w:val="16"/>
          <w:szCs w:val="16"/>
          <w:lang w:val="en-US" w:eastAsia="en-US"/>
        </w:rPr>
      </w:pPr>
      <w:r>
        <w:rPr>
          <w:rFonts w:ascii="Arial" w:eastAsia="Arial" w:hAnsi="Arial" w:cs="Arial"/>
          <w:color w:val="000000"/>
          <w:sz w:val="20"/>
          <w:szCs w:val="20"/>
          <w:lang w:val="en-GB" w:eastAsia="en-GB"/>
        </w:rPr>
        <w:t>By 2024, Malian people, particularly the most vulnerable, are participating in the economy and benefiting from the rewards of strong, inclusive and resilient growth and the creation of decent jobs.</w:t>
      </w:r>
    </w:p>
    <w:p w14:paraId="624C5590"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w:t>
      </w:r>
    </w:p>
    <w:p w14:paraId="257B5F90"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Outputs related to Outcome 3 of UNSDCF</w:t>
      </w:r>
    </w:p>
    <w:p w14:paraId="090DE085" w14:textId="77777777" w:rsidR="007118E1" w:rsidRDefault="00000000">
      <w:pPr>
        <w:numPr>
          <w:ilvl w:val="0"/>
          <w:numId w:val="12"/>
        </w:numPr>
        <w:spacing w:before="160" w:after="0" w:line="257" w:lineRule="auto"/>
        <w:ind w:hanging="174"/>
        <w:rPr>
          <w:rFonts w:ascii="Calibri" w:eastAsia="Calibri" w:hAnsi="Calibri" w:cs="Calibri"/>
          <w:sz w:val="16"/>
          <w:szCs w:val="16"/>
          <w:lang w:val="en-US" w:eastAsia="en-US"/>
        </w:rPr>
      </w:pPr>
      <w:r>
        <w:rPr>
          <w:rFonts w:ascii="Calibri" w:eastAsia="Calibri" w:hAnsi="Calibri" w:cs="Calibri"/>
          <w:b/>
          <w:bCs/>
          <w:sz w:val="16"/>
          <w:szCs w:val="16"/>
          <w:lang w:val="en-US" w:eastAsia="en-US"/>
        </w:rPr>
        <w:t xml:space="preserve">SN Output 3.1: </w:t>
      </w:r>
      <w:r>
        <w:rPr>
          <w:rFonts w:ascii="Calibri" w:eastAsia="Calibri" w:hAnsi="Calibri" w:cs="Calibri"/>
          <w:sz w:val="16"/>
          <w:szCs w:val="16"/>
          <w:lang w:val="en-US" w:eastAsia="en-US"/>
        </w:rPr>
        <w:t>Organizational and innovation capacities, access to financing mechanisms for SMEs / Cooperatives and specifically those of women and youth, and public and private structures are reinforced in a context of improving business environment</w:t>
      </w:r>
    </w:p>
    <w:p w14:paraId="746B138C" w14:textId="77777777" w:rsidR="007118E1" w:rsidRDefault="00000000">
      <w:pPr>
        <w:numPr>
          <w:ilvl w:val="0"/>
          <w:numId w:val="12"/>
        </w:numPr>
        <w:spacing w:after="0" w:line="257" w:lineRule="auto"/>
        <w:ind w:hanging="174"/>
        <w:rPr>
          <w:rFonts w:ascii="Calibri" w:eastAsia="Calibri" w:hAnsi="Calibri" w:cs="Calibri"/>
          <w:sz w:val="16"/>
          <w:szCs w:val="16"/>
          <w:lang w:val="en-US" w:eastAsia="en-US"/>
        </w:rPr>
      </w:pPr>
      <w:r>
        <w:rPr>
          <w:rFonts w:ascii="Calibri" w:eastAsia="Calibri" w:hAnsi="Calibri" w:cs="Calibri"/>
          <w:b/>
          <w:bCs/>
          <w:sz w:val="16"/>
          <w:szCs w:val="16"/>
          <w:lang w:val="en-US" w:eastAsia="en-US"/>
        </w:rPr>
        <w:t xml:space="preserve">SN Output  3.2: </w:t>
      </w:r>
      <w:r>
        <w:rPr>
          <w:rFonts w:ascii="Calibri" w:eastAsia="Calibri" w:hAnsi="Calibri" w:cs="Calibri"/>
          <w:sz w:val="16"/>
          <w:szCs w:val="16"/>
          <w:lang w:val="en-US" w:eastAsia="en-US"/>
        </w:rPr>
        <w:t>National authorities and actors have enhanced capacities to design macroeconomic policies that increase employment opportunities for women, create an enabling environment for gender-sensitive public investment including gender responsive procurement practices, facilitates women’s access to finance and markets, ; promote innovative technologies that reduce women’s workload and valorize unpaid care work, monitor and evaluate gender, equity, crisis and shocks-sensitive measures in economic policies and strategies</w:t>
      </w:r>
    </w:p>
    <w:p w14:paraId="4AD9DBC4" w14:textId="77777777" w:rsidR="007118E1" w:rsidRDefault="00000000">
      <w:pPr>
        <w:numPr>
          <w:ilvl w:val="0"/>
          <w:numId w:val="12"/>
        </w:numPr>
        <w:spacing w:line="257" w:lineRule="auto"/>
        <w:ind w:hanging="174"/>
        <w:rPr>
          <w:rFonts w:ascii="Calibri" w:eastAsia="Calibri" w:hAnsi="Calibri" w:cs="Calibri"/>
          <w:sz w:val="16"/>
          <w:szCs w:val="16"/>
          <w:lang w:val="en-US" w:eastAsia="en-US"/>
        </w:rPr>
      </w:pPr>
      <w:r>
        <w:rPr>
          <w:rFonts w:ascii="Calibri" w:eastAsia="Calibri" w:hAnsi="Calibri" w:cs="Calibri"/>
          <w:b/>
          <w:bCs/>
          <w:sz w:val="16"/>
          <w:szCs w:val="16"/>
          <w:lang w:val="en-US" w:eastAsia="en-US"/>
        </w:rPr>
        <w:t xml:space="preserve">SN Output  3.3: </w:t>
      </w:r>
      <w:r>
        <w:rPr>
          <w:rFonts w:ascii="Calibri" w:eastAsia="Calibri" w:hAnsi="Calibri" w:cs="Calibri"/>
          <w:sz w:val="16"/>
          <w:szCs w:val="16"/>
          <w:lang w:val="en-US" w:eastAsia="en-US"/>
        </w:rPr>
        <w:t>Women's businesses especially  in the informal sector have increased access to social security and protection, equitable pay and working conditions that are more respectful of the rights of women.</w:t>
      </w:r>
    </w:p>
    <w:p w14:paraId="22D0DC6D" w14:textId="77777777" w:rsidR="007118E1" w:rsidRDefault="007118E1">
      <w:pPr>
        <w:spacing w:after="120" w:line="257" w:lineRule="auto"/>
        <w:ind w:left="426"/>
        <w:jc w:val="both"/>
        <w:rPr>
          <w:rFonts w:ascii="Calibri" w:eastAsia="Calibri" w:hAnsi="Calibri" w:cs="Calibri"/>
          <w:sz w:val="16"/>
          <w:szCs w:val="16"/>
          <w:lang w:val="en-US" w:eastAsia="en-US"/>
        </w:rPr>
      </w:pPr>
    </w:p>
    <w:p w14:paraId="41A4FC7E"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UN-Women will contribute to this through:</w:t>
      </w:r>
    </w:p>
    <w:p w14:paraId="71773EC5"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Support to ministries for the development of gender-sensitive economic policies:</w:t>
      </w:r>
      <w:r>
        <w:rPr>
          <w:rFonts w:ascii="Arial" w:eastAsia="Arial" w:hAnsi="Arial" w:cs="Arial"/>
          <w:lang w:val="en-GB" w:eastAsia="en-GB"/>
        </w:rPr>
        <w:t xml:space="preserve"> </w:t>
      </w:r>
      <w:r>
        <w:rPr>
          <w:rFonts w:ascii="Arial" w:eastAsia="Arial" w:hAnsi="Arial" w:cs="Arial"/>
          <w:color w:val="000000"/>
          <w:sz w:val="16"/>
          <w:szCs w:val="16"/>
          <w:lang w:val="en-GB" w:eastAsia="en-GB"/>
        </w:rPr>
        <w:t>Different approaches including advocacy for measures to promote gender-sensitive public and private procurement; capacity building for development planning actors; gender mainstreaming in economic policies; establishment of a one-stop shop for women's businesses and consideration of women's needs in relocation after mining.</w:t>
      </w:r>
    </w:p>
    <w:p w14:paraId="06AFF2F9"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Strengthening women's enterprise and cooperative financing mechanisms: </w:t>
      </w:r>
      <w:r>
        <w:rPr>
          <w:rFonts w:ascii="Arial" w:eastAsia="Arial" w:hAnsi="Arial" w:cs="Arial"/>
          <w:sz w:val="16"/>
          <w:szCs w:val="16"/>
          <w:lang w:val="en-GB" w:eastAsia="en-GB"/>
        </w:rPr>
        <w:t>Strong partnerships between private and public sector actors; strengthening women's capacities for access to credit and asset management; regular gathering and dissemination of information on economic opportunities; gender integration in private sector financing processes and procedures; and gender capacity building of credit committees.</w:t>
      </w:r>
    </w:p>
    <w:p w14:paraId="2708E10C"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Support for the development of production infrastructure and technologies and task reduction: </w:t>
      </w:r>
      <w:r>
        <w:rPr>
          <w:rFonts w:ascii="Arial" w:eastAsia="Arial" w:hAnsi="Arial" w:cs="Arial"/>
          <w:sz w:val="16"/>
          <w:szCs w:val="16"/>
          <w:lang w:val="en-GB" w:eastAsia="en-GB"/>
        </w:rPr>
        <w:t>Promotion of innovative technologies and digital platforms, promotion of the use of renewable energies; capacity building for women in public procurement; promotion of cross-border trade and women's shops.</w:t>
      </w:r>
    </w:p>
    <w:p w14:paraId="1AAE51BE"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Support for employment and informal sector: </w:t>
      </w:r>
      <w:r>
        <w:rPr>
          <w:rFonts w:ascii="Arial" w:eastAsia="Arial" w:hAnsi="Arial" w:cs="Arial"/>
          <w:color w:val="000000"/>
          <w:sz w:val="16"/>
          <w:szCs w:val="16"/>
          <w:lang w:val="en-GB" w:eastAsia="en-GB"/>
        </w:rPr>
        <w:t xml:space="preserve">Support for young women/girls in the informal sector and its formalisation. Several expected outcomes including the integration of gender, women's empowerment and the fight against GBV in the mining sector; vocational and technical training for girls and women in practical, high-demand occupations. Several approaches will be used, including capacity building in entrepreneurship; support for young women's initiatives; contribution to a guarantee fund for young women/girls; a study to identify and support the implementation of social security and social welfare measures for women; support for improving working conditions and respect for the rights of domestic workers; and the development of value chains.   </w:t>
      </w:r>
    </w:p>
    <w:p w14:paraId="2C82AB55" w14:textId="77777777" w:rsidR="007118E1" w:rsidRDefault="00000000">
      <w:pPr>
        <w:spacing w:after="120" w:line="257" w:lineRule="auto"/>
        <w:ind w:left="72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w:t>
      </w:r>
    </w:p>
    <w:p w14:paraId="2BF3B665"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b/>
          <w:bCs/>
          <w:sz w:val="16"/>
          <w:szCs w:val="16"/>
          <w:lang w:val="en-GB" w:eastAsia="en-GB"/>
        </w:rPr>
        <w:t xml:space="preserve">UNSDCF/SN OUTCOME 4: </w:t>
      </w:r>
    </w:p>
    <w:p w14:paraId="3FA9045A" w14:textId="77777777" w:rsidR="007118E1" w:rsidRDefault="00000000">
      <w:pPr>
        <w:numPr>
          <w:ilvl w:val="0"/>
          <w:numId w:val="13"/>
        </w:numPr>
        <w:spacing w:before="160" w:line="257" w:lineRule="auto"/>
        <w:ind w:hanging="220"/>
        <w:rPr>
          <w:rFonts w:ascii="Calibri" w:eastAsia="Calibri" w:hAnsi="Calibri" w:cs="Calibri"/>
          <w:sz w:val="16"/>
          <w:szCs w:val="16"/>
          <w:lang w:val="en-US" w:eastAsia="en-US"/>
        </w:rPr>
      </w:pPr>
      <w:r>
        <w:rPr>
          <w:rFonts w:ascii="Arial" w:eastAsia="Arial" w:hAnsi="Arial" w:cs="Arial"/>
          <w:color w:val="000000"/>
          <w:sz w:val="20"/>
          <w:szCs w:val="20"/>
          <w:lang w:val="en-GB" w:eastAsia="en-GB"/>
        </w:rPr>
        <w:t>By 2024, communities are managing natural resources and the environment in a sustainable and equitable manner and are more resilient to the adverse effects of climate change.</w:t>
      </w:r>
    </w:p>
    <w:p w14:paraId="5218CB5C"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lastRenderedPageBreak/>
        <w:t>Outputs related to outcome 4 of UNSDCF</w:t>
      </w:r>
    </w:p>
    <w:p w14:paraId="1C3E5A05" w14:textId="77777777" w:rsidR="007118E1" w:rsidRDefault="00000000">
      <w:pPr>
        <w:numPr>
          <w:ilvl w:val="0"/>
          <w:numId w:val="14"/>
        </w:numPr>
        <w:spacing w:before="160" w:after="0" w:line="257" w:lineRule="auto"/>
        <w:ind w:hanging="174"/>
        <w:rPr>
          <w:rFonts w:ascii="Calibri" w:eastAsia="Calibri" w:hAnsi="Calibri" w:cs="Calibri"/>
          <w:sz w:val="16"/>
          <w:szCs w:val="16"/>
          <w:lang w:val="en-US" w:eastAsia="en-US"/>
        </w:rPr>
      </w:pPr>
      <w:r>
        <w:rPr>
          <w:rFonts w:ascii="Calibri" w:eastAsia="Calibri" w:hAnsi="Calibri" w:cs="Calibri"/>
          <w:b/>
          <w:bCs/>
          <w:sz w:val="16"/>
          <w:szCs w:val="16"/>
          <w:lang w:val="en-US" w:eastAsia="en-US"/>
        </w:rPr>
        <w:t xml:space="preserve">SN Output 4.1: </w:t>
      </w:r>
      <w:r>
        <w:rPr>
          <w:rFonts w:ascii="Calibri" w:eastAsia="Calibri" w:hAnsi="Calibri" w:cs="Calibri"/>
          <w:sz w:val="16"/>
          <w:szCs w:val="16"/>
          <w:lang w:val="en-US" w:eastAsia="en-US"/>
        </w:rPr>
        <w:t>National actors</w:t>
      </w:r>
      <w:r>
        <w:rPr>
          <w:rFonts w:ascii="Calibri" w:eastAsia="Calibri" w:hAnsi="Calibri" w:cs="Calibri"/>
          <w:b/>
          <w:bCs/>
          <w:sz w:val="16"/>
          <w:szCs w:val="16"/>
          <w:lang w:val="en-US" w:eastAsia="en-US"/>
        </w:rPr>
        <w:t xml:space="preserve"> </w:t>
      </w:r>
      <w:r>
        <w:rPr>
          <w:rFonts w:ascii="Calibri" w:eastAsia="Calibri" w:hAnsi="Calibri" w:cs="Calibri"/>
          <w:sz w:val="16"/>
          <w:szCs w:val="16"/>
          <w:lang w:val="en-US" w:eastAsia="en-US"/>
        </w:rPr>
        <w:t>have enhanced</w:t>
      </w:r>
      <w:r>
        <w:rPr>
          <w:rFonts w:ascii="Calibri" w:eastAsia="Calibri" w:hAnsi="Calibri" w:cs="Calibri"/>
          <w:b/>
          <w:bCs/>
          <w:sz w:val="16"/>
          <w:szCs w:val="16"/>
          <w:lang w:val="en-US" w:eastAsia="en-US"/>
        </w:rPr>
        <w:t xml:space="preserve"> </w:t>
      </w:r>
      <w:r>
        <w:rPr>
          <w:rFonts w:ascii="Calibri" w:eastAsia="Calibri" w:hAnsi="Calibri" w:cs="Calibri"/>
          <w:sz w:val="16"/>
          <w:szCs w:val="16"/>
          <w:lang w:val="en-US" w:eastAsia="en-US"/>
        </w:rPr>
        <w:t>capacities to develop agricultural policies that enable women increase their access to production resources including security of women's land rights, services and technologies needed for climate smart agriculture thereby increasing women’s effective participation in the agricultural value chains and green markets,</w:t>
      </w:r>
    </w:p>
    <w:p w14:paraId="1F10443D" w14:textId="77777777" w:rsidR="007118E1" w:rsidRDefault="00000000">
      <w:pPr>
        <w:numPr>
          <w:ilvl w:val="0"/>
          <w:numId w:val="14"/>
        </w:numPr>
        <w:spacing w:after="0" w:line="257" w:lineRule="auto"/>
        <w:ind w:hanging="174"/>
        <w:rPr>
          <w:rFonts w:ascii="Calibri" w:eastAsia="Calibri" w:hAnsi="Calibri" w:cs="Calibri"/>
          <w:sz w:val="16"/>
          <w:szCs w:val="16"/>
          <w:lang w:val="en-US" w:eastAsia="en-US"/>
        </w:rPr>
      </w:pPr>
      <w:r>
        <w:rPr>
          <w:rFonts w:ascii="Calibri" w:eastAsia="Calibri" w:hAnsi="Calibri" w:cs="Calibri"/>
          <w:b/>
          <w:bCs/>
          <w:sz w:val="16"/>
          <w:szCs w:val="16"/>
          <w:lang w:val="en-US" w:eastAsia="en-US"/>
        </w:rPr>
        <w:t xml:space="preserve">SN Output 4.2: </w:t>
      </w:r>
      <w:r>
        <w:rPr>
          <w:rFonts w:ascii="Calibri" w:eastAsia="Calibri" w:hAnsi="Calibri" w:cs="Calibri"/>
          <w:sz w:val="16"/>
          <w:szCs w:val="16"/>
          <w:lang w:val="en-US" w:eastAsia="en-US"/>
        </w:rPr>
        <w:t>Women farmers' capacities strengthened to increase productivity and diversify their economic activities in a context of climate change and the physical burden of agricultural work has decreased through better access to production means</w:t>
      </w:r>
    </w:p>
    <w:p w14:paraId="4E16AA81" w14:textId="77777777" w:rsidR="007118E1" w:rsidRDefault="00000000">
      <w:pPr>
        <w:numPr>
          <w:ilvl w:val="0"/>
          <w:numId w:val="14"/>
        </w:numPr>
        <w:spacing w:line="257" w:lineRule="auto"/>
        <w:ind w:hanging="174"/>
        <w:rPr>
          <w:rFonts w:ascii="Calibri" w:eastAsia="Calibri" w:hAnsi="Calibri" w:cs="Calibri"/>
          <w:sz w:val="16"/>
          <w:szCs w:val="16"/>
          <w:lang w:val="en-US" w:eastAsia="en-US"/>
        </w:rPr>
      </w:pPr>
      <w:r>
        <w:rPr>
          <w:rFonts w:ascii="Calibri" w:eastAsia="Calibri" w:hAnsi="Calibri" w:cs="Calibri"/>
          <w:b/>
          <w:bCs/>
          <w:sz w:val="16"/>
          <w:szCs w:val="16"/>
          <w:lang w:val="en-US" w:eastAsia="en-US"/>
        </w:rPr>
        <w:t xml:space="preserve">SN Output 4.3: </w:t>
      </w:r>
      <w:r>
        <w:rPr>
          <w:rFonts w:ascii="Calibri" w:eastAsia="Calibri" w:hAnsi="Calibri" w:cs="Calibri"/>
          <w:sz w:val="16"/>
          <w:szCs w:val="16"/>
          <w:lang w:val="en-US" w:eastAsia="en-US"/>
        </w:rPr>
        <w:t>Small and medium-sized enterprises and women-led groups, including young women, have strengthened production capacities through increased availability and use of new and renewable energy at lower cost</w:t>
      </w:r>
    </w:p>
    <w:p w14:paraId="5698089A"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sz w:val="16"/>
          <w:szCs w:val="16"/>
          <w:lang w:val="en-US" w:eastAsia="en-US"/>
        </w:rPr>
        <w:t>UN-Women will contribute to this through:</w:t>
      </w:r>
    </w:p>
    <w:p w14:paraId="218EF1CF"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Support to Ministries of Agriculture and Environment: </w:t>
      </w:r>
      <w:r>
        <w:rPr>
          <w:rFonts w:ascii="Arial" w:eastAsia="Arial" w:hAnsi="Arial" w:cs="Arial"/>
          <w:color w:val="000000"/>
          <w:sz w:val="16"/>
          <w:szCs w:val="16"/>
          <w:lang w:val="en-GB" w:eastAsia="en-GB"/>
        </w:rPr>
        <w:t>Strengthened capacities for gender integration and diversification of economic activities; facilitation of women's access to technologies, energy and services adapted to climate change as well as to their land rights for sustainable agriculture.</w:t>
      </w:r>
    </w:p>
    <w:p w14:paraId="03DF6154"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Capacity building for actors: </w:t>
      </w:r>
      <w:r>
        <w:rPr>
          <w:rFonts w:ascii="Arial" w:eastAsia="Arial" w:hAnsi="Arial" w:cs="Arial"/>
          <w:color w:val="000000"/>
          <w:sz w:val="16"/>
          <w:szCs w:val="16"/>
          <w:lang w:val="en-GB" w:eastAsia="en-GB"/>
        </w:rPr>
        <w:t xml:space="preserve">Technical capacities strengthened for women, equipment on promising agricultural value chains, production and use of organic fertilisers in collaboration with professionals. Introduction of technologies adapted to climate change and those developed by young nationals. </w:t>
      </w:r>
    </w:p>
    <w:p w14:paraId="2BA57FCD"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Improving women's access to finance and markets: </w:t>
      </w:r>
      <w:r>
        <w:rPr>
          <w:rFonts w:ascii="Arial" w:eastAsia="Arial" w:hAnsi="Arial" w:cs="Arial"/>
          <w:color w:val="000000"/>
          <w:sz w:val="16"/>
          <w:szCs w:val="16"/>
          <w:lang w:val="en-GB" w:eastAsia="en-GB"/>
        </w:rPr>
        <w:t>Provision of expertise to support women/girls in product quality traceability and certification; dissemination of BuyFromWomen to women in urban markets; linking women farmers' cooperatives/groups with women heads of SMEs and women sellers in markets; strengthening networks on employability in the agricultural sector, in collaboration with other actors.</w:t>
      </w:r>
    </w:p>
    <w:p w14:paraId="07249C5D"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Improving communication: </w:t>
      </w:r>
      <w:r>
        <w:rPr>
          <w:rFonts w:ascii="Arial" w:eastAsia="Arial" w:hAnsi="Arial" w:cs="Arial"/>
          <w:color w:val="000000"/>
          <w:sz w:val="16"/>
          <w:szCs w:val="16"/>
          <w:lang w:val="en-GB" w:eastAsia="en-GB"/>
        </w:rPr>
        <w:t>Production of statistical evidence through exploratory research and evaluations, production and dissemination of a magazine on women's achievements in agriculture (with the Ministry of Agriculture). Such agricultural practices will serve as a platform for the exchange of experiences resilient to climate change.</w:t>
      </w:r>
    </w:p>
    <w:p w14:paraId="228F5ACD"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20"/>
          <w:szCs w:val="20"/>
          <w:lang w:val="en-GB" w:eastAsia="en-GB"/>
        </w:rPr>
        <w:t>Regional programming:</w:t>
      </w:r>
      <w:r>
        <w:rPr>
          <w:rFonts w:ascii="Arial" w:eastAsia="Arial" w:hAnsi="Arial" w:cs="Arial"/>
          <w:color w:val="000000"/>
          <w:sz w:val="20"/>
          <w:szCs w:val="20"/>
          <w:lang w:val="en-GB" w:eastAsia="en-GB"/>
        </w:rPr>
        <w:t xml:space="preserve">Design of a joint sub-regional programme on agriculture resilient to climate change integrating components of the UNISS plan and Strategy 2063.  </w:t>
      </w:r>
    </w:p>
    <w:p w14:paraId="709B3B18"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w:t>
      </w:r>
    </w:p>
    <w:p w14:paraId="0E36F2A5"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b/>
          <w:bCs/>
          <w:sz w:val="20"/>
          <w:szCs w:val="20"/>
          <w:lang w:val="en-GB" w:eastAsia="en-GB"/>
        </w:rPr>
        <w:t xml:space="preserve">UNSDCF/SN OUTCOME 5: </w:t>
      </w:r>
    </w:p>
    <w:p w14:paraId="6D075F35" w14:textId="77777777" w:rsidR="007118E1" w:rsidRDefault="00000000">
      <w:pPr>
        <w:numPr>
          <w:ilvl w:val="0"/>
          <w:numId w:val="15"/>
        </w:numPr>
        <w:spacing w:before="160" w:line="257" w:lineRule="auto"/>
        <w:ind w:hanging="220"/>
        <w:rPr>
          <w:rFonts w:ascii="Calibri" w:eastAsia="Calibri" w:hAnsi="Calibri" w:cs="Calibri"/>
          <w:sz w:val="16"/>
          <w:szCs w:val="16"/>
          <w:lang w:val="en-US" w:eastAsia="en-US"/>
        </w:rPr>
      </w:pPr>
      <w:r>
        <w:rPr>
          <w:rFonts w:ascii="Arial" w:eastAsia="Arial" w:hAnsi="Arial" w:cs="Arial"/>
          <w:color w:val="000000"/>
          <w:sz w:val="20"/>
          <w:szCs w:val="20"/>
          <w:lang w:val="en-GB" w:eastAsia="en-GB"/>
        </w:rPr>
        <w:t>By 2024, vulnerable groups, including women, children, adolescents and youth, have more equitable access to quality basic social services, according to their age and gender-specific needs, including in humanitarian situations.</w:t>
      </w:r>
    </w:p>
    <w:p w14:paraId="4EDC6818"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Outputs related to Outcome 5:</w:t>
      </w:r>
    </w:p>
    <w:p w14:paraId="78923383" w14:textId="77777777" w:rsidR="007118E1" w:rsidRDefault="00000000">
      <w:pPr>
        <w:numPr>
          <w:ilvl w:val="0"/>
          <w:numId w:val="16"/>
        </w:numPr>
        <w:spacing w:before="160" w:after="0" w:line="257" w:lineRule="auto"/>
        <w:ind w:hanging="174"/>
        <w:rPr>
          <w:rFonts w:ascii="Calibri" w:eastAsia="Calibri" w:hAnsi="Calibri" w:cs="Calibri"/>
          <w:sz w:val="16"/>
          <w:szCs w:val="16"/>
          <w:lang w:val="en-US" w:eastAsia="en-US"/>
        </w:rPr>
      </w:pPr>
      <w:r>
        <w:rPr>
          <w:rFonts w:ascii="Calibri" w:eastAsia="Calibri" w:hAnsi="Calibri" w:cs="Calibri"/>
          <w:b/>
          <w:bCs/>
          <w:sz w:val="20"/>
          <w:szCs w:val="20"/>
          <w:lang w:val="en-US" w:eastAsia="en-US"/>
        </w:rPr>
        <w:t>SN Output 5.1:</w:t>
      </w:r>
      <w:r>
        <w:rPr>
          <w:rFonts w:ascii="Calibri" w:eastAsia="Calibri" w:hAnsi="Calibri" w:cs="Calibri"/>
          <w:sz w:val="20"/>
          <w:szCs w:val="20"/>
          <w:lang w:val="en-US" w:eastAsia="en-US"/>
        </w:rPr>
        <w:t xml:space="preserve"> Institutional capacities are strengthened to develop and implement laws to end violence against women and girls and other forms of discrimination</w:t>
      </w:r>
    </w:p>
    <w:p w14:paraId="1BCF1DC8" w14:textId="77777777" w:rsidR="007118E1" w:rsidRDefault="00000000">
      <w:pPr>
        <w:numPr>
          <w:ilvl w:val="0"/>
          <w:numId w:val="16"/>
        </w:numPr>
        <w:spacing w:after="0" w:line="257" w:lineRule="auto"/>
        <w:ind w:hanging="174"/>
        <w:rPr>
          <w:rFonts w:ascii="Calibri" w:eastAsia="Calibri" w:hAnsi="Calibri" w:cs="Calibri"/>
          <w:sz w:val="16"/>
          <w:szCs w:val="16"/>
          <w:lang w:val="en-US" w:eastAsia="en-US"/>
        </w:rPr>
      </w:pPr>
      <w:r>
        <w:rPr>
          <w:rFonts w:ascii="Calibri" w:eastAsia="Calibri" w:hAnsi="Calibri" w:cs="Calibri"/>
          <w:b/>
          <w:bCs/>
          <w:sz w:val="20"/>
          <w:szCs w:val="20"/>
          <w:lang w:val="en-US" w:eastAsia="en-US"/>
        </w:rPr>
        <w:t xml:space="preserve">SN Output 5.2: </w:t>
      </w:r>
      <w:r>
        <w:rPr>
          <w:rFonts w:ascii="Calibri" w:eastAsia="Calibri" w:hAnsi="Calibri" w:cs="Calibri"/>
          <w:sz w:val="20"/>
          <w:szCs w:val="20"/>
          <w:lang w:val="en-US" w:eastAsia="en-US"/>
        </w:rPr>
        <w:t>Communities appropriate social norms, attitudes and behaviors are promoted at individual and community levels to prevent VAW and women victims of violence are empowered to use accessible and accessible quality basic services to recover from violence;</w:t>
      </w:r>
    </w:p>
    <w:p w14:paraId="73B6386D" w14:textId="77777777" w:rsidR="007118E1" w:rsidRDefault="00000000">
      <w:pPr>
        <w:numPr>
          <w:ilvl w:val="0"/>
          <w:numId w:val="16"/>
        </w:numPr>
        <w:spacing w:after="0" w:line="257" w:lineRule="auto"/>
        <w:ind w:hanging="174"/>
        <w:rPr>
          <w:rFonts w:ascii="Calibri" w:eastAsia="Calibri" w:hAnsi="Calibri" w:cs="Calibri"/>
          <w:sz w:val="16"/>
          <w:szCs w:val="16"/>
          <w:lang w:val="en-US" w:eastAsia="en-US"/>
        </w:rPr>
      </w:pPr>
      <w:r>
        <w:rPr>
          <w:rFonts w:ascii="Calibri" w:eastAsia="Calibri" w:hAnsi="Calibri" w:cs="Calibri"/>
          <w:b/>
          <w:bCs/>
          <w:sz w:val="20"/>
          <w:szCs w:val="20"/>
          <w:lang w:val="en-US" w:eastAsia="en-US"/>
        </w:rPr>
        <w:t xml:space="preserve">SN Output 5.3:  </w:t>
      </w:r>
      <w:r>
        <w:rPr>
          <w:rFonts w:ascii="Calibri" w:eastAsia="Calibri" w:hAnsi="Calibri" w:cs="Calibri"/>
          <w:sz w:val="20"/>
          <w:szCs w:val="20"/>
          <w:lang w:val="en-US" w:eastAsia="en-US"/>
        </w:rPr>
        <w:t>The capacity of civil society organizations is strengthened to advocate for the development and implementation of laws and policies on ending violence against women and girls.</w:t>
      </w:r>
    </w:p>
    <w:p w14:paraId="309FA556" w14:textId="77777777" w:rsidR="007118E1" w:rsidRDefault="00000000">
      <w:pPr>
        <w:numPr>
          <w:ilvl w:val="0"/>
          <w:numId w:val="16"/>
        </w:numPr>
        <w:spacing w:after="0" w:line="257" w:lineRule="auto"/>
        <w:ind w:hanging="174"/>
        <w:rPr>
          <w:rFonts w:ascii="Calibri" w:eastAsia="Calibri" w:hAnsi="Calibri" w:cs="Calibri"/>
          <w:sz w:val="16"/>
          <w:szCs w:val="16"/>
          <w:lang w:val="en-US" w:eastAsia="en-US"/>
        </w:rPr>
      </w:pPr>
      <w:r>
        <w:rPr>
          <w:rFonts w:ascii="Calibri" w:eastAsia="Calibri" w:hAnsi="Calibri" w:cs="Calibri"/>
          <w:b/>
          <w:bCs/>
          <w:sz w:val="20"/>
          <w:szCs w:val="20"/>
          <w:lang w:val="en-US" w:eastAsia="en-US"/>
        </w:rPr>
        <w:t xml:space="preserve">SN Output 5.4: </w:t>
      </w:r>
      <w:r>
        <w:rPr>
          <w:rFonts w:ascii="Calibri" w:eastAsia="Calibri" w:hAnsi="Calibri" w:cs="Calibri"/>
          <w:sz w:val="20"/>
          <w:szCs w:val="20"/>
          <w:lang w:val="en-US" w:eastAsia="en-US"/>
        </w:rPr>
        <w:t>Communities and actors in education have enhanced capacities to prevent gender-based violence and to promote education rights fairly.</w:t>
      </w:r>
    </w:p>
    <w:p w14:paraId="779691C1" w14:textId="77777777" w:rsidR="007118E1" w:rsidRDefault="00000000">
      <w:pPr>
        <w:numPr>
          <w:ilvl w:val="0"/>
          <w:numId w:val="16"/>
        </w:numPr>
        <w:spacing w:line="257" w:lineRule="auto"/>
        <w:ind w:hanging="174"/>
        <w:rPr>
          <w:rFonts w:ascii="Calibri" w:eastAsia="Calibri" w:hAnsi="Calibri" w:cs="Calibri"/>
          <w:sz w:val="16"/>
          <w:szCs w:val="16"/>
          <w:lang w:val="en-US" w:eastAsia="en-US"/>
        </w:rPr>
      </w:pPr>
      <w:r>
        <w:rPr>
          <w:rFonts w:ascii="Calibri" w:eastAsia="Calibri" w:hAnsi="Calibri" w:cs="Calibri"/>
          <w:b/>
          <w:bCs/>
          <w:sz w:val="20"/>
          <w:szCs w:val="20"/>
          <w:lang w:val="en-US" w:eastAsia="en-US"/>
        </w:rPr>
        <w:t>SN output. 5.5</w:t>
      </w:r>
      <w:r>
        <w:rPr>
          <w:rFonts w:ascii="Calibri" w:eastAsia="Calibri" w:hAnsi="Calibri" w:cs="Calibri"/>
          <w:sz w:val="20"/>
          <w:szCs w:val="20"/>
          <w:lang w:val="en-US" w:eastAsia="en-US"/>
        </w:rPr>
        <w:t> : Actors, women and girls have capacities on improved   menstrual hygiene in schools, markets and communities</w:t>
      </w:r>
    </w:p>
    <w:p w14:paraId="66629E2F"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 </w:t>
      </w:r>
    </w:p>
    <w:p w14:paraId="705B61B0"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UN-Women will contribute to this through:</w:t>
      </w:r>
    </w:p>
    <w:p w14:paraId="7CBF9D5C"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20"/>
          <w:szCs w:val="20"/>
          <w:lang w:val="en-GB" w:eastAsia="en-GB"/>
        </w:rPr>
        <w:t xml:space="preserve">Prevention: </w:t>
      </w:r>
      <w:r>
        <w:rPr>
          <w:rFonts w:ascii="Arial" w:eastAsia="Arial" w:hAnsi="Arial" w:cs="Arial"/>
          <w:color w:val="000000"/>
          <w:sz w:val="20"/>
          <w:szCs w:val="20"/>
          <w:lang w:val="en-GB" w:eastAsia="en-GB"/>
        </w:rPr>
        <w:t xml:space="preserve">Which includes the strengthening of the legal and regulatory framework, including a start of implementation with the Spotlight programme. Capacity building for CSO and rights-holders and duty-bearers to prevent and combat GBV, promoting an enabling environment for women's rights. It would therefore be most necessary to work with traditional and religious leaders to promote these gender equality norms, attitudes and behaviours. </w:t>
      </w:r>
    </w:p>
    <w:p w14:paraId="5E04DF5C" w14:textId="77777777" w:rsidR="007118E1" w:rsidRDefault="00000000">
      <w:pPr>
        <w:spacing w:after="120" w:line="257" w:lineRule="auto"/>
        <w:ind w:left="851" w:hanging="360"/>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lastRenderedPageBreak/>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20"/>
          <w:szCs w:val="20"/>
          <w:lang w:val="en-GB" w:eastAsia="en-GB"/>
        </w:rPr>
        <w:t>The answer:</w:t>
      </w:r>
      <w:r>
        <w:rPr>
          <w:rFonts w:ascii="Arial" w:eastAsia="Arial" w:hAnsi="Arial" w:cs="Arial"/>
          <w:color w:val="000000"/>
          <w:sz w:val="20"/>
          <w:szCs w:val="20"/>
          <w:lang w:val="en-GB" w:eastAsia="en-GB"/>
        </w:rPr>
        <w:t xml:space="preserve">Capacity building of service providers with high quality standards for victims of gender-based violence. Survivors' capacities will be strengthened to facilitate ownership of services. To combat early marriage, strategies will be developed in collaboration with UNICEF to keep girls in school. </w:t>
      </w:r>
    </w:p>
    <w:p w14:paraId="7BF9BFE2" w14:textId="77777777" w:rsidR="007118E1" w:rsidRDefault="00000000">
      <w:pPr>
        <w:spacing w:after="120" w:line="257" w:lineRule="auto"/>
        <w:ind w:left="360"/>
        <w:jc w:val="both"/>
        <w:rPr>
          <w:rFonts w:ascii="Calibri" w:eastAsia="Calibri" w:hAnsi="Calibri" w:cs="Calibri"/>
          <w:sz w:val="16"/>
          <w:szCs w:val="16"/>
          <w:lang w:val="en-US" w:eastAsia="en-US"/>
        </w:rPr>
      </w:pPr>
      <w:r>
        <w:rPr>
          <w:rFonts w:ascii="Arial" w:eastAsia="Arial" w:hAnsi="Arial" w:cs="Arial"/>
          <w:color w:val="000000"/>
          <w:sz w:val="20"/>
          <w:szCs w:val="20"/>
          <w:lang w:val="en-GB" w:eastAsia="en-GB"/>
        </w:rPr>
        <w:t> </w:t>
      </w:r>
    </w:p>
    <w:p w14:paraId="37433DC8" w14:textId="77777777" w:rsidR="007118E1" w:rsidRDefault="00000000">
      <w:pPr>
        <w:spacing w:before="160" w:after="120" w:line="257" w:lineRule="auto"/>
        <w:jc w:val="both"/>
        <w:rPr>
          <w:rFonts w:ascii="Calibri" w:eastAsia="Calibri" w:hAnsi="Calibri" w:cs="Calibri"/>
          <w:sz w:val="16"/>
          <w:szCs w:val="16"/>
          <w:lang w:val="en-US" w:eastAsia="en-US"/>
        </w:rPr>
      </w:pPr>
      <w:bookmarkStart w:id="20" w:name="_Hlk19256834"/>
      <w:r>
        <w:rPr>
          <w:rFonts w:ascii="Arial" w:eastAsia="Arial" w:hAnsi="Arial" w:cs="Arial"/>
          <w:b/>
          <w:bCs/>
          <w:sz w:val="20"/>
          <w:szCs w:val="20"/>
          <w:lang w:val="en-GB" w:eastAsia="en-GB"/>
        </w:rPr>
        <w:t>UNSDCF/SN Outcome 6: </w:t>
      </w:r>
      <w:bookmarkEnd w:id="20"/>
      <w:r>
        <w:rPr>
          <w:rFonts w:ascii="Verdana" w:eastAsia="Verdana" w:hAnsi="Verdana" w:cs="Verdana"/>
          <w:b/>
          <w:bCs/>
          <w:sz w:val="16"/>
          <w:szCs w:val="16"/>
          <w:lang w:val="en-US" w:eastAsia="en-US"/>
        </w:rPr>
        <w:t> </w:t>
      </w:r>
      <w:r>
        <w:rPr>
          <w:rFonts w:ascii="Verdana" w:eastAsia="Verdana" w:hAnsi="Verdana" w:cs="Verdana"/>
          <w:sz w:val="16"/>
          <w:szCs w:val="16"/>
          <w:lang w:val="en-US" w:eastAsia="en-US"/>
        </w:rPr>
        <w:t>By 2024, vulnerable people have improved access to social welfare services, including in humanitarian situations</w:t>
      </w:r>
    </w:p>
    <w:p w14:paraId="29A60516"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w:t>
      </w:r>
    </w:p>
    <w:p w14:paraId="611DF841"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Outputs related to outcome 6 of UNSDCF</w:t>
      </w:r>
    </w:p>
    <w:p w14:paraId="55C9B898" w14:textId="77777777" w:rsidR="007118E1" w:rsidRDefault="00000000">
      <w:pPr>
        <w:spacing w:after="0" w:line="240" w:lineRule="auto"/>
        <w:rPr>
          <w:rFonts w:ascii="Calibri" w:eastAsia="Calibri" w:hAnsi="Calibri" w:cs="Calibri"/>
          <w:sz w:val="16"/>
          <w:szCs w:val="16"/>
          <w:lang w:val="en-US" w:eastAsia="en-US"/>
        </w:rPr>
      </w:pPr>
      <w:r>
        <w:rPr>
          <w:rFonts w:ascii="Arial" w:eastAsia="Arial" w:hAnsi="Arial" w:cs="Arial"/>
          <w:b/>
          <w:bCs/>
          <w:color w:val="000000"/>
          <w:sz w:val="18"/>
          <w:szCs w:val="18"/>
          <w:lang w:val="en-US" w:eastAsia="en-US"/>
        </w:rPr>
        <w:t xml:space="preserve">SN output 6.1: </w:t>
      </w:r>
      <w:r>
        <w:rPr>
          <w:rFonts w:ascii="Arial" w:eastAsia="Arial" w:hAnsi="Arial" w:cs="Arial"/>
          <w:color w:val="000000"/>
          <w:sz w:val="18"/>
          <w:szCs w:val="18"/>
          <w:lang w:val="en-US" w:eastAsia="en-US"/>
        </w:rPr>
        <w:t xml:space="preserve">Communities and services have more capacities to prevent GBVs, identify and orient victims and provide essential quality services </w:t>
      </w:r>
    </w:p>
    <w:p w14:paraId="36BB7709"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w:t>
      </w:r>
    </w:p>
    <w:p w14:paraId="50D2699D" w14:textId="77777777" w:rsidR="007118E1" w:rsidRDefault="00000000">
      <w:pPr>
        <w:spacing w:after="120" w:line="257" w:lineRule="auto"/>
        <w:ind w:left="426"/>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xml:space="preserve">UN-Women and its partners, building on the experiences and lessons of past and ongoing programmes, will implement the following actions: </w:t>
      </w:r>
    </w:p>
    <w:p w14:paraId="332A819B" w14:textId="77777777" w:rsidR="007118E1" w:rsidRDefault="00000000">
      <w:pPr>
        <w:spacing w:after="120" w:line="257" w:lineRule="auto"/>
        <w:ind w:left="709" w:hanging="284"/>
        <w:jc w:val="both"/>
        <w:rPr>
          <w:rFonts w:ascii="Calibri" w:eastAsia="Calibri" w:hAnsi="Calibri" w:cs="Calibri"/>
          <w:sz w:val="16"/>
          <w:szCs w:val="16"/>
          <w:lang w:val="en-US" w:eastAsia="en-US"/>
        </w:rPr>
      </w:pPr>
      <w:r>
        <w:rPr>
          <w:rFonts w:ascii="Calibri" w:eastAsia="Calibri" w:hAnsi="Calibri" w:cs="Calibri"/>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 xml:space="preserve">Behaviour change communication: </w:t>
      </w:r>
      <w:r>
        <w:rPr>
          <w:rFonts w:ascii="Arial" w:eastAsia="Arial" w:hAnsi="Arial" w:cs="Arial"/>
          <w:color w:val="000000"/>
          <w:sz w:val="16"/>
          <w:szCs w:val="16"/>
          <w:lang w:val="en-GB" w:eastAsia="en-GB"/>
        </w:rPr>
        <w:t>In the prevention and control of GBV; capacity building for all actors as needed. The UN-Women services package will be implemented to increase women's access to basic social services. This package is based on a mapping of existing services, evaluation of beneficiary satisfaction, support for providers to take into account their specific needs and implement holistic services (SOP), and literacy training for women to access services.</w:t>
      </w:r>
    </w:p>
    <w:p w14:paraId="00BADB6C" w14:textId="77777777" w:rsidR="007118E1" w:rsidRDefault="00000000">
      <w:pPr>
        <w:spacing w:after="120" w:line="257" w:lineRule="auto"/>
        <w:ind w:left="709" w:hanging="284"/>
        <w:jc w:val="both"/>
        <w:rPr>
          <w:rFonts w:ascii="Calibri" w:eastAsia="Calibri" w:hAnsi="Calibri" w:cs="Calibri"/>
          <w:sz w:val="16"/>
          <w:szCs w:val="16"/>
          <w:lang w:val="en-US" w:eastAsia="en-US"/>
        </w:rPr>
      </w:pPr>
      <w:r>
        <w:rPr>
          <w:rFonts w:ascii="Calibri" w:eastAsia="Calibri" w:hAnsi="Calibri" w:cs="Calibri"/>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Data and knowledge generation/management:</w:t>
      </w:r>
      <w:r>
        <w:rPr>
          <w:rFonts w:ascii="Arial" w:eastAsia="Arial" w:hAnsi="Arial" w:cs="Arial"/>
          <w:color w:val="000000"/>
          <w:lang w:val="en-GB" w:eastAsia="en-GB"/>
        </w:rPr>
        <w:t xml:space="preserve">Studies and research will be conducted to understand the difficulties of survivors or people and their level of satisfaction. A framework for periodic exchange and sharing between CSO care centres and the One Stop Centre will be established. Visits to exchange experiences of survivors will be organised to benefit from the expertise of other countries.  </w:t>
      </w:r>
    </w:p>
    <w:p w14:paraId="1B8075FC" w14:textId="77777777" w:rsidR="007118E1" w:rsidRDefault="00000000">
      <w:pPr>
        <w:spacing w:after="120" w:line="257" w:lineRule="auto"/>
        <w:ind w:left="709" w:hanging="284"/>
        <w:jc w:val="both"/>
        <w:rPr>
          <w:rFonts w:ascii="Calibri" w:eastAsia="Calibri" w:hAnsi="Calibri" w:cs="Calibri"/>
          <w:sz w:val="16"/>
          <w:szCs w:val="16"/>
          <w:lang w:val="en-US" w:eastAsia="en-US"/>
        </w:rPr>
      </w:pPr>
      <w:r>
        <w:rPr>
          <w:rFonts w:ascii="Calibri" w:eastAsia="Calibri" w:hAnsi="Calibri" w:cs="Calibri"/>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Strengthening the economic and political leadership of survivors:</w:t>
      </w:r>
      <w:r>
        <w:rPr>
          <w:rFonts w:ascii="Arial" w:eastAsia="Arial" w:hAnsi="Arial" w:cs="Arial"/>
          <w:color w:val="000000"/>
          <w:lang w:val="en-GB" w:eastAsia="en-GB"/>
        </w:rPr>
        <w:t>A coaching/mentoring system will be implemented as part of the comprehensive package of services for the social, economic and political reintegration of survivors with the support of a pool of psychologists.</w:t>
      </w:r>
    </w:p>
    <w:p w14:paraId="2A3AFD6C" w14:textId="77777777" w:rsidR="007118E1" w:rsidRDefault="00000000">
      <w:pPr>
        <w:spacing w:after="120" w:line="257" w:lineRule="auto"/>
        <w:ind w:left="709" w:hanging="284"/>
        <w:jc w:val="both"/>
        <w:rPr>
          <w:rFonts w:ascii="Calibri" w:eastAsia="Calibri" w:hAnsi="Calibri" w:cs="Calibri"/>
          <w:sz w:val="16"/>
          <w:szCs w:val="16"/>
          <w:lang w:val="en-US" w:eastAsia="en-US"/>
        </w:rPr>
      </w:pPr>
      <w:r>
        <w:rPr>
          <w:rFonts w:ascii="Calibri" w:eastAsia="Calibri" w:hAnsi="Calibri" w:cs="Calibri"/>
          <w:color w:val="000000"/>
          <w:sz w:val="16"/>
          <w:szCs w:val="16"/>
          <w:lang w:val="en-GB" w:eastAsia="en-GB"/>
        </w:rPr>
        <w:t>-</w:t>
      </w:r>
      <w:r>
        <w:rPr>
          <w:rFonts w:ascii="Times New Roman" w:eastAsia="Times New Roman" w:hAnsi="Times New Roman" w:cs="Times New Roman"/>
          <w:color w:val="000000"/>
          <w:sz w:val="14"/>
          <w:szCs w:val="14"/>
          <w:lang w:val="en-GB" w:eastAsia="en-GB"/>
        </w:rPr>
        <w:t xml:space="preserve">      </w:t>
      </w:r>
      <w:r>
        <w:rPr>
          <w:rFonts w:ascii="Arial" w:eastAsia="Arial" w:hAnsi="Arial" w:cs="Arial"/>
          <w:b/>
          <w:bCs/>
          <w:sz w:val="16"/>
          <w:szCs w:val="16"/>
          <w:lang w:val="en-GB" w:eastAsia="en-GB"/>
        </w:rPr>
        <w:t>Strengthening the coordination and synergy of actors' actions:</w:t>
      </w:r>
      <w:r>
        <w:rPr>
          <w:rFonts w:ascii="Arial" w:eastAsia="Arial" w:hAnsi="Arial" w:cs="Arial"/>
          <w:color w:val="000000"/>
          <w:lang w:val="en-GB" w:eastAsia="en-GB"/>
        </w:rPr>
        <w:t>The whole system will be enhanced by coordination and synergy of actions to ensure that no one is left behind.</w:t>
      </w:r>
    </w:p>
    <w:p w14:paraId="3418D20B" w14:textId="77777777" w:rsidR="007118E1" w:rsidRDefault="00000000">
      <w:pPr>
        <w:spacing w:before="160" w:after="120" w:line="257" w:lineRule="auto"/>
        <w:jc w:val="both"/>
        <w:rPr>
          <w:rFonts w:ascii="Calibri" w:eastAsia="Calibri" w:hAnsi="Calibri" w:cs="Calibri"/>
          <w:sz w:val="16"/>
          <w:szCs w:val="16"/>
          <w:lang w:val="en-US" w:eastAsia="en-US"/>
        </w:rPr>
      </w:pPr>
      <w:r>
        <w:rPr>
          <w:rFonts w:ascii="Arial" w:eastAsia="Arial" w:hAnsi="Arial" w:cs="Arial"/>
          <w:color w:val="000000"/>
          <w:sz w:val="16"/>
          <w:szCs w:val="16"/>
          <w:lang w:val="en-GB" w:eastAsia="en-GB"/>
        </w:rPr>
        <w:t> </w:t>
      </w:r>
    </w:p>
    <w:p w14:paraId="373EBBDD" w14:textId="77777777" w:rsidR="007118E1" w:rsidRDefault="007118E1">
      <w:pPr>
        <w:numPr>
          <w:ilvl w:val="0"/>
          <w:numId w:val="17"/>
        </w:numPr>
        <w:spacing w:after="0" w:line="257" w:lineRule="auto"/>
        <w:ind w:hanging="174"/>
        <w:rPr>
          <w:rFonts w:ascii="Calibri" w:eastAsia="Calibri" w:hAnsi="Calibri" w:cs="Calibri"/>
          <w:sz w:val="16"/>
          <w:szCs w:val="16"/>
          <w:lang w:val="en-US" w:eastAsia="en-US"/>
        </w:rPr>
      </w:pPr>
    </w:p>
    <w:p w14:paraId="7CB9D088" w14:textId="77777777" w:rsidR="007118E1" w:rsidRDefault="00000000">
      <w:pPr>
        <w:spacing w:before="160" w:line="257" w:lineRule="auto"/>
        <w:rPr>
          <w:rFonts w:ascii="Calibri" w:eastAsia="Calibri" w:hAnsi="Calibri" w:cs="Calibri"/>
          <w:sz w:val="16"/>
          <w:szCs w:val="16"/>
          <w:lang w:val="en-US" w:eastAsia="en-US"/>
        </w:rPr>
      </w:pPr>
      <w:r>
        <w:rPr>
          <w:rFonts w:ascii="Calibri" w:eastAsia="Calibri" w:hAnsi="Calibri" w:cs="Calibri"/>
          <w:sz w:val="16"/>
          <w:szCs w:val="16"/>
          <w:lang w:val="en-US" w:eastAsia="en-US"/>
        </w:rPr>
        <w:t> </w:t>
      </w:r>
    </w:p>
    <w:p w14:paraId="7F81DF53" w14:textId="77777777" w:rsidR="007118E1" w:rsidRDefault="007118E1">
      <w:pPr>
        <w:spacing w:after="0" w:line="257" w:lineRule="auto"/>
        <w:rPr>
          <w:rFonts w:ascii="Calibri" w:eastAsia="Calibri" w:hAnsi="Calibri" w:cs="Calibri"/>
          <w:sz w:val="16"/>
          <w:szCs w:val="16"/>
          <w:lang w:val="en-US" w:eastAsia="en-US"/>
        </w:rPr>
      </w:pPr>
    </w:p>
    <w:p w14:paraId="34615EFA" w14:textId="77777777" w:rsidR="007118E1" w:rsidRDefault="007118E1">
      <w:pPr>
        <w:spacing w:after="0" w:line="257" w:lineRule="auto"/>
        <w:rPr>
          <w:rFonts w:ascii="Calibri" w:eastAsia="Calibri" w:hAnsi="Calibri" w:cs="Calibri"/>
          <w:sz w:val="16"/>
          <w:szCs w:val="16"/>
          <w:lang w:val="en-US" w:eastAsia="en-US"/>
        </w:rPr>
      </w:pPr>
    </w:p>
    <w:p w14:paraId="16855EFC" w14:textId="77777777" w:rsidR="00C07D60" w:rsidRDefault="00C07D60">
      <w:pPr>
        <w:spacing w:after="0" w:line="257" w:lineRule="auto"/>
        <w:rPr>
          <w:b/>
          <w:sz w:val="24"/>
          <w:u w:val="single"/>
        </w:rPr>
      </w:pPr>
    </w:p>
    <w:p w14:paraId="1599ABF0" w14:textId="77777777" w:rsidR="00C07D60" w:rsidRDefault="00C07D60">
      <w:pPr>
        <w:spacing w:after="0" w:line="257" w:lineRule="auto"/>
        <w:rPr>
          <w:b/>
          <w:sz w:val="24"/>
          <w:u w:val="single"/>
        </w:rPr>
      </w:pPr>
    </w:p>
    <w:p w14:paraId="4365C71E" w14:textId="77777777" w:rsidR="00C07D60" w:rsidRDefault="00000000">
      <w:pPr>
        <w:spacing w:after="0" w:line="257" w:lineRule="auto"/>
        <w:rPr>
          <w:b/>
          <w:sz w:val="24"/>
          <w:u w:val="single"/>
        </w:rPr>
      </w:pPr>
      <w:r>
        <w:rPr>
          <w:b/>
          <w:sz w:val="24"/>
          <w:u w:val="single"/>
        </w:rPr>
        <w:t>4. Management  and Operations  :</w:t>
      </w:r>
    </w:p>
    <w:p w14:paraId="329494D4" w14:textId="77777777" w:rsidR="007118E1" w:rsidRDefault="00000000">
      <w:pPr>
        <w:spacing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In the coming years, the UN-Women office in Mali plans to strengthen the principles of organisational effectiveness and management. As of 31 July 2019, the Mali office had a total of 61 employees, 92% of whom were recruited locally with 62% under service contracts. To ensure sustainability, representativeness and efficiency at the office level, but also at the level of the United Nations System and partners, it is necessary to recruit a Deputy Resident Representative in charge of programme management and an international operations manager. To meet the National Priorities of  rule of law and environmental protection and management of natural resources new staff will be recurited to implement related programmes. The funds to finance these posts will come from the institutional, non-core available and to be mobilized.  Discussions are being held for the funding of the whole SN.</w:t>
      </w:r>
    </w:p>
    <w:p w14:paraId="091E5512"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The high staff turnover rate may lead to significant instability, it is therefore necessary to transform the current types of contract (Service Contract) into FTA. This would help to secure knowledge and talent. Thus, we plan to transform/recruit all </w:t>
      </w:r>
      <w:r>
        <w:rPr>
          <w:rFonts w:ascii="Arial" w:eastAsia="Arial" w:hAnsi="Arial" w:cs="Arial"/>
          <w:color w:val="000000"/>
          <w:sz w:val="20"/>
          <w:szCs w:val="20"/>
          <w:lang w:val="en-GB" w:eastAsia="en-GB"/>
        </w:rPr>
        <w:lastRenderedPageBreak/>
        <w:t>key positions into FTAs (Deputy Representative, Security, ICT) The sustainability of statutory meetings (Programme, Operations, SMT and Coordination) will allow a better visibility of projects and programmes. Particular attention will be devoted to training, personal development and staff well-being. To this end, training for procurement programmes (CIPS Level 3 certification) is planned, as well as leadership training for staff.The professionalisation of procurement through the development of long-term purchasing strategies combined with the implementation of dynamic monitoring tools will allow a rapid and efficient implementation of activities.The revitalisation of the learning/knowledge committee will ensure the implementation of the office's learning plan with a precise budget and timetable and better monitoring of the completeness of the delegated courses. </w:t>
      </w:r>
    </w:p>
    <w:p w14:paraId="6BB25506"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Security measures will be proactive and will provide each staff member with the necessary training and equipment. Raising staff awareness of the anti-fraud policy, the PSEA and the monitoring of the office's risk register. The Business Continuity Plan (BCP) will be aligned with the SRM approved by the SRSG in August 2019 and particular attention will be paid to the security of personnel and assets (UN-Women Office at the level of the United Nations joint offices in Bamako as well as the Gao sub-office).The opening of a joint office with UNDP in Mopti will allow an increased presence in the central part of the country where resilience, peace and security and economic empowerment activities are becoming important in our portfolio.The Office will continue to work with the Operations Management Team (OMT) to harmonise best practices, strategies to reduce common service costs (including the implementation of LTAs) in line with the recommendations of United Nations reform. We specifically plan to develop the partnership with MINUSMA on gender-sensitive procurement. </w:t>
      </w:r>
    </w:p>
    <w:p w14:paraId="3374BDF1"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establishment of the Management Support Unit (MSU) in charge of the preparation, conduct and implementation of audit recommendations, financial management of the programme, monitoring of performance indicators and capacity building of implementing partners will enable the objectives set to be achieved efficiently.</w:t>
      </w:r>
    </w:p>
    <w:p w14:paraId="20A79CA5" w14:textId="77777777" w:rsidR="00C07D60" w:rsidRDefault="00C07D60">
      <w:pPr>
        <w:spacing w:after="0" w:line="257" w:lineRule="auto"/>
        <w:rPr>
          <w:b/>
          <w:sz w:val="24"/>
          <w:u w:val="single"/>
        </w:rPr>
      </w:pPr>
    </w:p>
    <w:p w14:paraId="59313477" w14:textId="77777777" w:rsidR="00C07D60" w:rsidRDefault="00C07D60">
      <w:pPr>
        <w:spacing w:after="0" w:line="257" w:lineRule="auto"/>
        <w:rPr>
          <w:b/>
          <w:sz w:val="24"/>
          <w:u w:val="single"/>
        </w:rPr>
      </w:pPr>
    </w:p>
    <w:p w14:paraId="4FB6A0DB" w14:textId="77777777" w:rsidR="00C07D60" w:rsidRDefault="00C07D60">
      <w:pPr>
        <w:spacing w:after="0" w:line="257" w:lineRule="auto"/>
        <w:rPr>
          <w:b/>
          <w:sz w:val="24"/>
          <w:u w:val="single"/>
        </w:rPr>
      </w:pPr>
    </w:p>
    <w:p w14:paraId="2C45D36B" w14:textId="77777777" w:rsidR="00C07D60" w:rsidRDefault="00000000">
      <w:pPr>
        <w:spacing w:after="0" w:line="257" w:lineRule="auto"/>
        <w:rPr>
          <w:b/>
          <w:sz w:val="24"/>
          <w:u w:val="single"/>
        </w:rPr>
      </w:pPr>
      <w:r>
        <w:rPr>
          <w:b/>
          <w:sz w:val="24"/>
          <w:u w:val="single"/>
        </w:rPr>
        <w:t>5. Monitoring and Evaluation :</w:t>
      </w:r>
    </w:p>
    <w:p w14:paraId="0DCC6BE4" w14:textId="77777777" w:rsidR="007118E1" w:rsidRDefault="00000000">
      <w:pPr>
        <w:spacing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The monitoring and evaluation system for the implementation of the Strategic Note is based on the modalities and tools agreed by UN-Women. It strengthens the practice of results-based management and contributes to resource mobilisation efforts. It is oriented towards the achievement of output cluster 3 of the OEEF matrix of the Strategic Plan "High quality of programmes through knowledge, innovation, results-based management and evaluation". It focuses on collecting monitoring data, preparing reports, carrying out studies/research and evaluations, and monitoring the implementation of recommendations based on management's responses. A monitoring, research and evaluation plan is developed for this purpose and specifies the main activities concerned with implementation dates and budgets over the entire implementation period of the Strategic Note.  </w:t>
      </w:r>
    </w:p>
    <w:p w14:paraId="7653D042"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Programmes and projects will use M&amp;E tools based on SMART indicators, both qualitative and quantitative, aligned with the indicators of the Strategic Plan 2018-2021 and taking into account those of UNSDCF 2020-2024. The annual work plans for the annual implementation of the Strategic Note will also be accompanied by an annual research and evaluation monitoring plan. The review of the implementation of these annual plans and the preparation of annual reports will make it possible to capture and analyse the annual performance of the Strategic Note. The lessons learned and recommendations from these exercises will guide each new annual planning and ensure their quality. </w:t>
      </w:r>
    </w:p>
    <w:p w14:paraId="08696A4B"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UN-Women will produce quarterly and annual results-oriented and gender-sensitive reports in both narrative and online formats. These reports will be posted on the RMS. The planned evaluations will be carried out in accordance with the rules of gender-sensitive evaluation. The evaluation of the Strategic Note will serve as a basis for the development of the next Strategic Note. Lessons learned will be documented to promote knowledge management and improve the quality of programming and management exercises.  </w:t>
      </w:r>
    </w:p>
    <w:p w14:paraId="4F1F6B87"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The monitoring and evaluation system also take into account joint monitoring, reporting and evaluation within the United Nations Country Team in the context of "Delivering as one" and joint projects and programmes. UNSDCF, the joint </w:t>
      </w:r>
      <w:r>
        <w:rPr>
          <w:rFonts w:ascii="Arial" w:eastAsia="Arial" w:hAnsi="Arial" w:cs="Arial"/>
          <w:color w:val="000000"/>
          <w:sz w:val="20"/>
          <w:szCs w:val="20"/>
          <w:lang w:val="en-GB" w:eastAsia="en-GB"/>
        </w:rPr>
        <w:lastRenderedPageBreak/>
        <w:t>programming of the United Nations Country Team to support the government in the implementation of Agenda 2030, is the joint programme at its best.</w:t>
      </w:r>
    </w:p>
    <w:p w14:paraId="036D014C"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 </w:t>
      </w:r>
    </w:p>
    <w:p w14:paraId="07D77FA1" w14:textId="77777777" w:rsidR="007118E1" w:rsidRDefault="00000000">
      <w:pPr>
        <w:spacing w:after="120" w:line="240" w:lineRule="auto"/>
        <w:jc w:val="both"/>
        <w:rPr>
          <w:rFonts w:ascii="Times New Roman" w:eastAsia="Times New Roman" w:hAnsi="Times New Roman" w:cs="Times New Roman"/>
          <w:sz w:val="24"/>
          <w:szCs w:val="24"/>
        </w:rPr>
      </w:pPr>
      <w:r>
        <w:rPr>
          <w:rFonts w:ascii="Arial" w:eastAsia="Arial" w:hAnsi="Arial" w:cs="Arial"/>
          <w:b/>
          <w:bCs/>
          <w:sz w:val="20"/>
          <w:szCs w:val="20"/>
          <w:lang w:val="en-GB" w:eastAsia="en-GB"/>
        </w:rPr>
        <w:t>Innovation strategy</w:t>
      </w:r>
    </w:p>
    <w:p w14:paraId="7147EDBF" w14:textId="77777777" w:rsidR="007118E1" w:rsidRDefault="00000000">
      <w:pPr>
        <w:numPr>
          <w:ilvl w:val="0"/>
          <w:numId w:val="18"/>
        </w:numPr>
        <w:spacing w:before="240"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Mali country office will focus its interventions on innovation and the use of new technologies in order to find non-standard solutions for the promotion of gender equality. In this sense, the office in partnership with national parties has developed the "Buy From Women" platform and the digital website of women's businesses in Mali to list them.</w:t>
      </w:r>
    </w:p>
    <w:p w14:paraId="6F78A34F" w14:textId="77777777" w:rsidR="007118E1" w:rsidRDefault="00000000">
      <w:pPr>
        <w:numPr>
          <w:ilvl w:val="0"/>
          <w:numId w:val="18"/>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The challenges related to gender equality are growing exponentially. Thus, as part of the implementation of its holistic approach and building on what has been achieved, the office plans to develop non-traditional partnerships (incubators, media professionals, influencers, slammers, artists, academics, youth, etc.) to develop the "Gender Integrator Lab" in order to provide space for new approaches to work and initiate transformative changes towards achieving the 2030 SGDs. UN-Women will rely on partnerships with national actors to develop solutions and scale-up. </w:t>
      </w:r>
    </w:p>
    <w:p w14:paraId="021DEF56" w14:textId="77777777" w:rsidR="007118E1" w:rsidRDefault="00000000">
      <w:pPr>
        <w:numPr>
          <w:ilvl w:val="0"/>
          <w:numId w:val="18"/>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In addition, these non-traditional partnerships will be developed with cultural and religious actors (cultural associations, cultural enterprises, religious organizations), research (Sociology, Anthropology and Theology Departments of the University of Mali, Research Institutions, etc.) in order to better understand the positive values in favour of the promotion of human rights and gender in Mali and to support UN-Women in better adapting strategies and actions according to the context. </w:t>
      </w:r>
    </w:p>
    <w:p w14:paraId="51735D6E" w14:textId="77777777" w:rsidR="007118E1" w:rsidRDefault="00000000">
      <w:pPr>
        <w:numPr>
          <w:ilvl w:val="0"/>
          <w:numId w:val="18"/>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In terms of monitoring evaluation and communication, specific partners (e.g. the Multimedia Arts and Crafts Conservatory) could be identified to support UN-Women in monitoring progress, particularly in areas of insecurity and relevant elements in terms of internal and external communication and visibility with the Government and donors. They will also be innovative tools to bring up the voices of beneficiaries who are difficult to access ("Leave no one behind") with media that could be adapted (videos and radios in national languages, mobile cinema, comic strip report syntheses, etc.). This dimension will strengthen UN-Women accountability to key programme actors. The partnership with the academic world (University of Mali, Training Institutes such as the National Judicial Training Institute, Community Development Institute, Statistical Training Institute, National Arts Institute) and the Ministries in charge of Education and Higher Education to develop gender-sensitive curricula and a Gender Master's degree at the University of Mali are catalytic and scale-up opportunities to educate and train new generations of young Malians.</w:t>
      </w:r>
    </w:p>
    <w:p w14:paraId="51D41EBA" w14:textId="77777777" w:rsidR="007118E1" w:rsidRDefault="00000000">
      <w:pPr>
        <w:numPr>
          <w:ilvl w:val="0"/>
          <w:numId w:val="18"/>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These partnerships could also provide UN-Women with the opportunity to host interns or volunteers from these structures, which would allow us to create strong gender-sensitive capacities that could then influence the work of their respective structures and disseminate young people's interest in women's rights advocacy issues.</w:t>
      </w:r>
    </w:p>
    <w:p w14:paraId="51ABA747" w14:textId="77777777" w:rsidR="007118E1" w:rsidRDefault="00000000">
      <w:pPr>
        <w:numPr>
          <w:ilvl w:val="0"/>
          <w:numId w:val="18"/>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A networking of various actors and a community of practice could also be organised to foster innovative and multidimensional gender mainstreaming in all programmes and maximize potential synergies and  innovative cross-initiatives. A dedicated space will be provided in UN-Women offices (e.g. on walls in publicly accessible spaces) that could materialise the visual, cultural and artistic productions of the Gender Integrator Labs, and an annual event could also be organised to promote them. UN-Women offices will be vibrant spaces on gender and women's empowerment in Mali.</w:t>
      </w:r>
    </w:p>
    <w:p w14:paraId="413D233D" w14:textId="77777777" w:rsidR="007118E1" w:rsidRDefault="00000000">
      <w:pPr>
        <w:numPr>
          <w:ilvl w:val="0"/>
          <w:numId w:val="18"/>
        </w:numPr>
        <w:spacing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This strategy should at all levels promote a balance of intergenerational representation in order to promote the very active participation of young women and men in the Gender Integrator Lab.</w:t>
      </w:r>
    </w:p>
    <w:p w14:paraId="617DA9D5" w14:textId="77777777" w:rsidR="00C07D60" w:rsidRDefault="00C07D60">
      <w:pPr>
        <w:spacing w:after="0" w:line="257" w:lineRule="auto"/>
        <w:rPr>
          <w:b/>
          <w:sz w:val="24"/>
          <w:u w:val="single"/>
        </w:rPr>
      </w:pPr>
    </w:p>
    <w:p w14:paraId="2CE945F1" w14:textId="77777777" w:rsidR="00C07D60" w:rsidRDefault="00C07D60">
      <w:pPr>
        <w:spacing w:after="0" w:line="257" w:lineRule="auto"/>
        <w:rPr>
          <w:b/>
          <w:sz w:val="24"/>
          <w:u w:val="single"/>
        </w:rPr>
      </w:pPr>
    </w:p>
    <w:p w14:paraId="0C2D082B" w14:textId="77777777" w:rsidR="00C07D60" w:rsidRDefault="007B52CD">
      <w:pPr>
        <w:spacing w:after="0" w:line="257" w:lineRule="auto"/>
        <w:rPr>
          <w:b/>
          <w:sz w:val="24"/>
          <w:u w:val="single"/>
        </w:rPr>
      </w:pPr>
      <w:r>
        <w:rPr>
          <w:b/>
          <w:sz w:val="24"/>
          <w:u w:val="single"/>
        </w:rPr>
        <w:object w:dxaOrig="1440" w:dyaOrig="1440" w14:anchorId="358D3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itle: MERP 2020.docx" style="position:absolute;margin-left:0;margin-top:0;width:40pt;height:40pt;z-index:-251657216;mso-wrap-edited:f;mso-width-percent:0;mso-height-percent:0;mso-position-vertical:bottom;mso-width-percent:0;mso-height-percent:0" o:oleicon="t">
            <v:imagedata r:id="rId48" o:title=""/>
          </v:shape>
          <o:OLEObject Type="Embed" ProgID="Package" ShapeID="_x0000_s1027" DrawAspect="Icon" ObjectID="_1756704653" r:id="rId49"/>
        </w:object>
      </w:r>
    </w:p>
    <w:p w14:paraId="369F1664" w14:textId="77777777" w:rsidR="00C07D60" w:rsidRDefault="00C07D60">
      <w:pPr>
        <w:spacing w:after="0" w:line="257" w:lineRule="auto"/>
        <w:rPr>
          <w:b/>
          <w:sz w:val="24"/>
          <w:u w:val="single"/>
        </w:rPr>
      </w:pPr>
    </w:p>
    <w:p w14:paraId="102AB9B9" w14:textId="77777777" w:rsidR="00C07D60" w:rsidRDefault="00000000">
      <w:pPr>
        <w:spacing w:after="0" w:line="257" w:lineRule="auto"/>
        <w:rPr>
          <w:sz w:val="24"/>
        </w:rPr>
      </w:pPr>
      <w:r>
        <w:rPr>
          <w:sz w:val="24"/>
        </w:rPr>
        <w:t>MERP 2020.docx</w:t>
      </w:r>
    </w:p>
    <w:p w14:paraId="522394F2" w14:textId="77777777" w:rsidR="00C07D60" w:rsidRDefault="00C07D60">
      <w:pPr>
        <w:spacing w:after="0" w:line="257" w:lineRule="auto"/>
        <w:rPr>
          <w:b/>
          <w:sz w:val="24"/>
          <w:u w:val="single"/>
        </w:rPr>
      </w:pPr>
    </w:p>
    <w:p w14:paraId="3A15DE3B" w14:textId="77777777" w:rsidR="00C07D60" w:rsidRDefault="00C07D60">
      <w:pPr>
        <w:spacing w:after="0" w:line="257" w:lineRule="auto"/>
        <w:rPr>
          <w:b/>
          <w:sz w:val="24"/>
          <w:u w:val="single"/>
        </w:rPr>
      </w:pPr>
    </w:p>
    <w:p w14:paraId="73FB60DC" w14:textId="77777777" w:rsidR="00C07D60" w:rsidRDefault="00C07D60">
      <w:pPr>
        <w:spacing w:after="0" w:line="257" w:lineRule="auto"/>
        <w:rPr>
          <w:b/>
          <w:sz w:val="24"/>
          <w:u w:val="single"/>
        </w:rPr>
      </w:pPr>
    </w:p>
    <w:p w14:paraId="0DBFD98D" w14:textId="77777777" w:rsidR="00C07D60" w:rsidRDefault="00000000">
      <w:pPr>
        <w:spacing w:after="0" w:line="257" w:lineRule="auto"/>
        <w:rPr>
          <w:b/>
          <w:sz w:val="24"/>
          <w:u w:val="single"/>
        </w:rPr>
      </w:pPr>
      <w:r>
        <w:rPr>
          <w:b/>
          <w:sz w:val="24"/>
          <w:u w:val="single"/>
        </w:rPr>
        <w:lastRenderedPageBreak/>
        <w:t>6. Strategic Partnerships :</w:t>
      </w:r>
    </w:p>
    <w:p w14:paraId="1409B2D8" w14:textId="77777777" w:rsidR="007118E1" w:rsidRDefault="00000000">
      <w:pPr>
        <w:spacing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For the implementation of the Strategic Note and the achievement of results, UN-Women Mali will strengthen partnerships and alliances with donors, government institutions, civil society organizations, including women's associations, United Nations entities, the private sector and beneficiary target groups. The latter are privileged partners who will contribute to the achievement of the objectives mainly through their positioning as models in the community. UN-Women will continue to intensify partnerships with donors, including Sweden, Denmark, Luxembourg, Belgium, France, Germany, PBF and the European Union. Opportunities will be analysed such as the one related to financing through the G5 Sahel Priority Investment Programme and the UNISS programme. And unconventional donors such as Qatar.  And non-conventional donors such as UN-Women Mali will work with Mali's institutions, including Ministries such as: i) Agriculture; ii) Finance; iii) Promotion of Women, Children and the Family; iv) Health and Social Affairs; v) Justice and Human Rights; vi) National Education; vii) Security and Civil Protection; viii) Defence and Veterans; ix) Social Cohesion, Peace and National Reconciliation; and x) Religious Affairs and Worship; xi) Foreign Affairs and International Cooperation; xii) Environment and Sustainable Development; xiii) Youth and Sports. In addition, there are the National Assembly, the Mediator of the Republic, BHRPR, HCC, the National Human Rights Commission, CVJR, CRSS, the National Youth Council, the National Council of Civil Society and the University of Mali. Cooperation will cover all areas of the Strategic Note: This will involve integrating gender into the electoral process (DRF 1), and into peace mechanisms (DRF 4) and increasing women's access to justice. The implementation of laws relating to women's access to land and credit, as well as innovative technologies to reduce women's workload and gender-sensitive public procurement (DRF 2) and the fight against GBV (DRF 3) will be objectives of this partnership. Interventions will consist of strengthening alignment with national gender priorities and facilitating government ownership of UN-Women projects (see also section E. Exit strategies).</w:t>
      </w:r>
    </w:p>
    <w:p w14:paraId="531EB9EC"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Civil Society Networks and Organizations are key partners of UN-Women Mali both in the implementation of activities on the field and as strategic partners in the defence of women's rights and gender advocacy. They are selected based on their expertise in the different impact areas. The involvement of youth organizations will be strengthened to fulfil the promise of "leave no one behind", while partnerships with religious and customary leaders will be crucial in achieving behaviour change objectives. Their contributions focus on citizen monitoring, behaviour change in all areas of UN-Women work, and advocacy, especially DRF 3. Partnership opportunities may be explored with other Civil Society Organizations whose expertise meets UN-Women mandate.Partnerships will also be developed with national research and statistical structures such as INSTAT, IER to improve the production of disaggregated and reliable data and make statistics gender-sensitive.</w:t>
      </w:r>
    </w:p>
    <w:p w14:paraId="5CCF6814"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private sector supports UN-Women Mali's efforts through targeted studies and research in the agricultural and mining sectors, technical support in integrating aspects of women's economic empowerment, the development of techniques and innovations, and the sharing of good practices. These partners are: CNPM, AMAQ, 4E-CONFORM, Mali Shi, Kledu Group, SAER, Entreprise Eléphant Vert, Compagnie internationale RANDGOLD and Entreprise AFOVERT. Their contributions will also be made through strong commitments (e.g., purchasing for women), corporate social responsibility and pro-bono or financial contributions (e.g. funding for the care of GBV survivors through the One Stop Centre).</w:t>
      </w:r>
    </w:p>
    <w:p w14:paraId="1BD89CD6" w14:textId="77777777" w:rsidR="007118E1"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Arial" w:eastAsia="Arial" w:hAnsi="Arial" w:cs="Arial"/>
          <w:color w:val="000000"/>
          <w:sz w:val="20"/>
          <w:szCs w:val="20"/>
          <w:lang w:val="en-GB" w:eastAsia="en-GB"/>
        </w:rPr>
        <w:t>Partnerships with the media are of paramount importance to ensure the visibility of UN-Women activities and outcomes. In addition, partnerships with the media and journalists will amplify the impact of Communication for Development (C4D) for all the outcomes of the Strategic Note, by providing access to information for the general public and encouraging behaviour change.</w:t>
      </w:r>
    </w:p>
    <w:p w14:paraId="600581DA" w14:textId="77777777" w:rsidR="007118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Arial" w:eastAsia="Arial" w:hAnsi="Arial" w:cs="Arial"/>
          <w:color w:val="000000"/>
          <w:sz w:val="20"/>
          <w:szCs w:val="20"/>
          <w:lang w:val="en-GB" w:eastAsia="en-GB"/>
        </w:rPr>
        <w:t xml:space="preserve">In line with UN reforms, UN-Women Mali will strengthen collaboration with other UN entities in a complementary manner to strengthen synergy and increase its impact, including through the Joint Chapter with UNFPA, UNICEF and UNDP. In addition to targeted UN-Women interventions, UN-Women will work within the framework of peace and security, especially with MINUSMA, OCHA, UNDP, UNODC, PBF, and the Global Focal Point for Rule of Law. In addition, UN-Women Mali will continue to energise the focal points of the SNU Gender theme group and co-chair with MINUSMA the rule of law thematic group and security initiatives of the Integrated Strategic Framework (ISF). </w:t>
      </w:r>
    </w:p>
    <w:p w14:paraId="4E53664E" w14:textId="77777777" w:rsidR="00C07D60" w:rsidRDefault="00C07D60">
      <w:pPr>
        <w:spacing w:after="0" w:line="240" w:lineRule="auto"/>
        <w:rPr>
          <w:b/>
          <w:sz w:val="24"/>
          <w:u w:val="single"/>
        </w:rPr>
      </w:pPr>
    </w:p>
    <w:p w14:paraId="70889D91" w14:textId="77777777" w:rsidR="00C07D60" w:rsidRDefault="00C07D60">
      <w:pPr>
        <w:spacing w:after="0" w:line="240" w:lineRule="auto"/>
        <w:rPr>
          <w:b/>
          <w:sz w:val="24"/>
          <w:u w:val="single"/>
        </w:rPr>
      </w:pPr>
    </w:p>
    <w:p w14:paraId="4411BEB5" w14:textId="77777777" w:rsidR="00C07D60" w:rsidRDefault="00000000">
      <w:pPr>
        <w:spacing w:after="0" w:line="240" w:lineRule="auto"/>
        <w:rPr>
          <w:b/>
          <w:sz w:val="24"/>
          <w:u w:val="single"/>
        </w:rPr>
      </w:pPr>
      <w:r>
        <w:rPr>
          <w:b/>
          <w:sz w:val="24"/>
          <w:u w:val="single"/>
        </w:rPr>
        <w:t>7. Resource Mobilization Strategy :</w:t>
      </w:r>
    </w:p>
    <w:p w14:paraId="77CE0955" w14:textId="77777777" w:rsidR="007118E1" w:rsidRDefault="00000000">
      <w:pPr>
        <w:spacing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lastRenderedPageBreak/>
        <w:t xml:space="preserve">UN-Women Mali plans to gradually increase its resources by at least 10% each year during 2020-2024 period, based on a baseline budget of US$12.4 million in 2019. Non-core resources will continue to represent about 90% of the budget. The action plan specifies the activities planned to achieve the goal of expanding funding opportunities through the promotion of UN-Women results and expertise and donor efforts.             UN-Women Mali plans to strengthen existing partnerships by improving and/or developing closer and more regular communication with existing donors, partners and beneficiaries.  To ensure strong promotion of results to partners, UN-Women has planned annual sessions to present results and pipeline projects to donors. In addition, field visits will help donors to understand joint efforts and see the results of their engagement with UN-Women. </w:t>
      </w:r>
    </w:p>
    <w:p w14:paraId="3648EB14"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office is also committed to increasing the visibility of donors and partners and promoting their efforts, particularly through factsheets and other communication tools. In addition, ad hoc meetings will be organised as necessary to ensure that donor feedback is taken into account, and that their confidence in UN-Women can be strengthened. A catalogue of projects to be funded will be developed and updated so that donors have a better understanding of UN-Women projects and can join forces more effectively. Because resource mobilisation is a team effort, it will continue to involve every staff member. Therefore, teams must be immersed in the strategy. In this logic, updates for all staff will ensure that each UN-Women Mali member has an understanding of the office's MR situation, as well as the main issues in the relationship with donors.</w:t>
      </w:r>
    </w:p>
    <w:p w14:paraId="266F3901" w14:textId="77777777" w:rsidR="007118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13EAB3EE"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color w:val="000000"/>
          <w:sz w:val="20"/>
          <w:szCs w:val="20"/>
          <w:lang w:val="en-GB" w:eastAsia="en-GB"/>
        </w:rPr>
        <w:t>UN-Women Mali will strengthen its partnership with government structures involved in the peace and reconciliation process, such as the Peace Agreement Monitoring Committee (PMC) and ECOWAS. UN-Women Mali is also considering supporting women's economic empowerment by mobilising financial institutions to support women's businesses. The financial institutions concerned are UBA and BNDA. An expanded partnership with bilateral cooperation agencies such as GIZ, USAID and development banks (AfDB, WBI, etc.) will enable UN-Women Mali to have a greater impact on local people. UN-Women will seize such opportunities with the Government of Mali and the respective Ministries (Agriculture, Gender, Innovation, etc.).</w:t>
      </w:r>
    </w:p>
    <w:p w14:paraId="2E057FC3" w14:textId="77777777" w:rsidR="00C07D60" w:rsidRDefault="00C07D60">
      <w:pPr>
        <w:spacing w:after="0" w:line="240" w:lineRule="auto"/>
        <w:rPr>
          <w:b/>
          <w:sz w:val="24"/>
          <w:u w:val="single"/>
        </w:rPr>
      </w:pPr>
    </w:p>
    <w:p w14:paraId="24032E90" w14:textId="77777777" w:rsidR="00C07D60" w:rsidRDefault="00C07D60">
      <w:pPr>
        <w:spacing w:after="0" w:line="240" w:lineRule="auto"/>
        <w:rPr>
          <w:b/>
          <w:sz w:val="24"/>
          <w:u w:val="single"/>
        </w:rPr>
      </w:pPr>
    </w:p>
    <w:p w14:paraId="291E122C" w14:textId="77777777" w:rsidR="00C07D60" w:rsidRDefault="00C07D60">
      <w:pPr>
        <w:spacing w:after="0" w:line="240" w:lineRule="auto"/>
        <w:rPr>
          <w:b/>
          <w:sz w:val="24"/>
          <w:u w:val="single"/>
        </w:rPr>
      </w:pPr>
    </w:p>
    <w:p w14:paraId="01ABDCE2" w14:textId="77777777" w:rsidR="00C07D60" w:rsidRDefault="00000000">
      <w:pPr>
        <w:spacing w:after="0" w:line="240" w:lineRule="auto"/>
        <w:rPr>
          <w:b/>
          <w:sz w:val="24"/>
          <w:u w:val="single"/>
        </w:rPr>
      </w:pPr>
      <w:r>
        <w:rPr>
          <w:b/>
          <w:sz w:val="24"/>
          <w:u w:val="single"/>
        </w:rPr>
        <w:t>8. Communication and Advocacy :</w:t>
      </w:r>
    </w:p>
    <w:p w14:paraId="394574BD" w14:textId="77777777" w:rsidR="007118E1" w:rsidRDefault="00000000">
      <w:pPr>
        <w:numPr>
          <w:ilvl w:val="0"/>
          <w:numId w:val="19"/>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Institutional communication (through traditional and social media; UN-Women website etc.) aims to increase the visibility of UN-Women results, and a greater understanding of its mandate.</w:t>
      </w:r>
    </w:p>
    <w:p w14:paraId="389C37B3" w14:textId="77777777" w:rsidR="007118E1" w:rsidRDefault="00000000">
      <w:pPr>
        <w:numPr>
          <w:ilvl w:val="0"/>
          <w:numId w:val="19"/>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In addition, there are communication for development activities which, through a perception study</w:t>
      </w:r>
      <w:r>
        <w:rPr>
          <w:rFonts w:ascii="Arial" w:eastAsia="Arial" w:hAnsi="Arial" w:cs="Arial"/>
          <w:color w:val="000000"/>
          <w:sz w:val="20"/>
          <w:szCs w:val="20"/>
          <w:u w:val="single" w:color="0000EE"/>
          <w:vertAlign w:val="superscript"/>
          <w:lang w:val="en-GB" w:eastAsia="en-GB"/>
        </w:rPr>
        <w:t>[1]</w:t>
      </w:r>
      <w:r>
        <w:rPr>
          <w:rStyle w:val="FootnoteReference"/>
        </w:rPr>
        <w:footnoteReference w:id="2"/>
      </w:r>
      <w:r>
        <w:rPr>
          <w:rFonts w:ascii="Arial" w:eastAsia="Arial" w:hAnsi="Arial" w:cs="Arial"/>
          <w:color w:val="000000"/>
          <w:sz w:val="20"/>
          <w:szCs w:val="20"/>
          <w:lang w:val="en-GB" w:eastAsia="en-GB"/>
        </w:rPr>
        <w:t>, discussion and debate sessions, and collaboration with gender leaders</w:t>
      </w:r>
      <w:r>
        <w:rPr>
          <w:rFonts w:ascii="Arial" w:eastAsia="Arial" w:hAnsi="Arial" w:cs="Arial"/>
          <w:color w:val="000000"/>
          <w:sz w:val="20"/>
          <w:szCs w:val="20"/>
          <w:u w:val="single" w:color="0000EE"/>
          <w:vertAlign w:val="superscript"/>
          <w:lang w:val="en-GB" w:eastAsia="en-GB"/>
        </w:rPr>
        <w:t>[2]</w:t>
      </w:r>
      <w:r>
        <w:rPr>
          <w:rStyle w:val="FootnoteReference"/>
        </w:rPr>
        <w:footnoteReference w:id="3"/>
      </w:r>
      <w:r>
        <w:rPr>
          <w:rFonts w:ascii="Arial" w:eastAsia="Arial" w:hAnsi="Arial" w:cs="Arial"/>
          <w:color w:val="000000"/>
          <w:sz w:val="20"/>
          <w:szCs w:val="20"/>
          <w:lang w:val="en-GB" w:eastAsia="en-GB"/>
        </w:rPr>
        <w:t xml:space="preserve"> among others, will work to ensure that communities adhere to gender equality and begin to change their behaviour. </w:t>
      </w:r>
    </w:p>
    <w:p w14:paraId="5C11B1FB" w14:textId="77777777" w:rsidR="007118E1" w:rsidRDefault="00000000">
      <w:pPr>
        <w:numPr>
          <w:ilvl w:val="0"/>
          <w:numId w:val="19"/>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Advocacy activities, such as training of journalists, will contribute to increased gender commitment, including through "HeForShe" campaign and by improving success stories and highlighting their impacts on communities. As such, strategic partnerships with institutions, civil society, the private sector, the media, religious and customary leaders and the United Nations System will be strengthened and expanded.</w:t>
      </w:r>
    </w:p>
    <w:p w14:paraId="2DE5CFDD" w14:textId="77777777" w:rsidR="007118E1" w:rsidRDefault="00000000">
      <w:pPr>
        <w:numPr>
          <w:ilvl w:val="0"/>
          <w:numId w:val="19"/>
        </w:numPr>
        <w:spacing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The political and security context, the high number of requests and the administrative slowness could pose obstacles to the implementation of these activities.</w:t>
      </w:r>
    </w:p>
    <w:p w14:paraId="6464176B" w14:textId="77777777" w:rsidR="007118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
          <w:szCs w:val="2"/>
        </w:rPr>
        <w:br w:type="textWrapping" w:clear="all"/>
      </w:r>
    </w:p>
    <w:p w14:paraId="6EE33E4F" w14:textId="77777777" w:rsidR="007118E1" w:rsidRDefault="00000000">
      <w:pPr>
        <w:spacing w:before="240" w:after="240" w:line="240" w:lineRule="auto"/>
        <w:rPr>
          <w:rFonts w:ascii="Times New Roman" w:eastAsia="Times New Roman" w:hAnsi="Times New Roman" w:cs="Times New Roman"/>
          <w:sz w:val="24"/>
          <w:szCs w:val="24"/>
        </w:rPr>
      </w:pPr>
      <w:hyperlink r:id="rId50" w:anchor="_ftnref1" w:history="1">
        <w:r>
          <w:rPr>
            <w:rFonts w:ascii="Arial" w:eastAsia="Arial" w:hAnsi="Arial" w:cs="Arial"/>
            <w:color w:val="0000EE"/>
            <w:sz w:val="18"/>
            <w:szCs w:val="18"/>
            <w:u w:val="single" w:color="0000EE"/>
            <w:lang w:val="en-US" w:eastAsia="en-US"/>
          </w:rPr>
          <w:t>[1]</w:t>
        </w:r>
      </w:hyperlink>
      <w:r>
        <w:rPr>
          <w:rFonts w:ascii="Arial" w:eastAsia="Arial" w:hAnsi="Arial" w:cs="Arial"/>
          <w:sz w:val="18"/>
          <w:szCs w:val="18"/>
          <w:lang w:val="en-US" w:eastAsia="en-US"/>
        </w:rPr>
        <w:t xml:space="preserve"> Proposed study on the perception of UN-Women in communities.</w:t>
      </w:r>
    </w:p>
    <w:p w14:paraId="1EDA3FC2" w14:textId="77777777" w:rsidR="007118E1" w:rsidRDefault="00000000">
      <w:pPr>
        <w:spacing w:before="240" w:after="240" w:line="240" w:lineRule="auto"/>
        <w:rPr>
          <w:rFonts w:ascii="Times New Roman" w:eastAsia="Times New Roman" w:hAnsi="Times New Roman" w:cs="Times New Roman"/>
          <w:sz w:val="24"/>
          <w:szCs w:val="24"/>
        </w:rPr>
      </w:pPr>
      <w:hyperlink r:id="rId51" w:anchor="_ftnref2" w:history="1">
        <w:r>
          <w:rPr>
            <w:rFonts w:ascii="Arial" w:eastAsia="Arial" w:hAnsi="Arial" w:cs="Arial"/>
            <w:color w:val="0000EE"/>
            <w:sz w:val="18"/>
            <w:szCs w:val="18"/>
            <w:u w:val="single" w:color="0000EE"/>
            <w:lang w:val="en-US" w:eastAsia="en-US"/>
          </w:rPr>
          <w:t>[2]</w:t>
        </w:r>
      </w:hyperlink>
      <w:r>
        <w:rPr>
          <w:rFonts w:ascii="Arial" w:eastAsia="Arial" w:hAnsi="Arial" w:cs="Arial"/>
          <w:sz w:val="18"/>
          <w:szCs w:val="18"/>
          <w:lang w:val="en-US" w:eastAsia="en-US"/>
        </w:rPr>
        <w:t xml:space="preserve"> People who are role models for gender equality.</w:t>
      </w:r>
    </w:p>
    <w:p w14:paraId="35CCADE6" w14:textId="77777777" w:rsidR="00C07D60" w:rsidRDefault="00C07D60">
      <w:pPr>
        <w:spacing w:after="0" w:line="240" w:lineRule="auto"/>
        <w:rPr>
          <w:b/>
          <w:sz w:val="24"/>
          <w:u w:val="single"/>
        </w:rPr>
      </w:pPr>
    </w:p>
    <w:p w14:paraId="083821C8" w14:textId="77777777" w:rsidR="00C07D60" w:rsidRDefault="00C07D60">
      <w:pPr>
        <w:spacing w:after="0" w:line="240" w:lineRule="auto"/>
        <w:rPr>
          <w:b/>
          <w:sz w:val="24"/>
          <w:u w:val="single"/>
        </w:rPr>
      </w:pPr>
    </w:p>
    <w:p w14:paraId="6C74A53C" w14:textId="77777777" w:rsidR="00C07D60" w:rsidRDefault="00C07D60">
      <w:pPr>
        <w:spacing w:after="0" w:line="240" w:lineRule="auto"/>
        <w:rPr>
          <w:b/>
          <w:sz w:val="24"/>
          <w:u w:val="single"/>
        </w:rPr>
      </w:pPr>
    </w:p>
    <w:p w14:paraId="51F3D5BF" w14:textId="77777777" w:rsidR="00C07D60" w:rsidRDefault="00000000">
      <w:pPr>
        <w:spacing w:after="0" w:line="240" w:lineRule="auto"/>
        <w:rPr>
          <w:b/>
          <w:sz w:val="24"/>
          <w:u w:val="single"/>
        </w:rPr>
      </w:pPr>
      <w:r>
        <w:rPr>
          <w:b/>
          <w:sz w:val="24"/>
          <w:u w:val="single"/>
        </w:rPr>
        <w:t>9. Key Risks and Risk Mitigation :</w:t>
      </w:r>
    </w:p>
    <w:p w14:paraId="125BF042" w14:textId="77777777" w:rsidR="007118E1" w:rsidRDefault="00000000">
      <w:pPr>
        <w:numPr>
          <w:ilvl w:val="0"/>
          <w:numId w:val="20"/>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 xml:space="preserve">Of all the risks, those related to the context appear to be the most serious. They are associated with inter-community conflicts in the centre of the country (Mopti, Ségou), attacks by jihadist and terrorist groups in the North. </w:t>
      </w:r>
      <w:bookmarkStart w:id="21" w:name="_Hlk488148836"/>
      <w:r>
        <w:rPr>
          <w:rFonts w:ascii="Arial" w:eastAsia="Arial" w:hAnsi="Arial" w:cs="Arial"/>
          <w:color w:val="000000"/>
          <w:sz w:val="20"/>
          <w:szCs w:val="20"/>
          <w:lang w:val="en-GB" w:eastAsia="en-GB"/>
        </w:rPr>
        <w:t>It would be important to assess the effectiveness of the security measures under way at UN-Women Mali and to open the door to other options for better staff protection in the field. Programmatic risks will be further addressed through the strengthening of the implementation of the Agreement for Peace and Reconciliation and at the community level through the involvement of traditional and religious leaders, women in peace huts for prevention and management of inter-community conflicts.</w:t>
      </w:r>
      <w:bookmarkEnd w:id="21"/>
    </w:p>
    <w:p w14:paraId="6C1CCEB8" w14:textId="77777777" w:rsidR="007118E1" w:rsidRDefault="00000000">
      <w:pPr>
        <w:numPr>
          <w:ilvl w:val="0"/>
          <w:numId w:val="20"/>
        </w:numPr>
        <w:spacing w:after="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In addition, the instability of the focal points at the level of ministerial departments constitutes an institutional risk to be contained for the sustainability of programmes. Written engagements assigning these agents to the different programmes for a well-defined duration must be kept and validated.</w:t>
      </w:r>
    </w:p>
    <w:p w14:paraId="28335245" w14:textId="77777777" w:rsidR="007118E1" w:rsidRDefault="00000000">
      <w:pPr>
        <w:numPr>
          <w:ilvl w:val="0"/>
          <w:numId w:val="20"/>
        </w:numPr>
        <w:spacing w:after="240" w:line="240" w:lineRule="auto"/>
        <w:ind w:hanging="280"/>
        <w:rPr>
          <w:rFonts w:ascii="Times New Roman" w:eastAsia="Times New Roman" w:hAnsi="Times New Roman" w:cs="Times New Roman"/>
          <w:sz w:val="24"/>
          <w:szCs w:val="24"/>
        </w:rPr>
      </w:pPr>
      <w:r>
        <w:rPr>
          <w:rFonts w:ascii="Arial" w:eastAsia="Arial" w:hAnsi="Arial" w:cs="Arial"/>
          <w:color w:val="000000"/>
          <w:sz w:val="20"/>
          <w:szCs w:val="20"/>
          <w:lang w:val="en-GB" w:eastAsia="en-GB"/>
        </w:rPr>
        <w:t>Finally, with the escalation of religious radicalism, it is important that young Muslim Imams be approached for awareness-raising and training activities on all principles related to gender equality and women's empowerment so that good practices can be disseminated.</w:t>
      </w:r>
    </w:p>
    <w:p w14:paraId="53E7EA6C" w14:textId="77777777" w:rsidR="00C07D60" w:rsidRDefault="00C07D60">
      <w:pPr>
        <w:spacing w:after="0" w:line="240" w:lineRule="auto"/>
        <w:rPr>
          <w:b/>
          <w:sz w:val="24"/>
          <w:u w:val="single"/>
        </w:rPr>
      </w:pPr>
    </w:p>
    <w:p w14:paraId="03190469" w14:textId="77777777" w:rsidR="00C07D60" w:rsidRDefault="00C07D60">
      <w:pPr>
        <w:spacing w:after="0" w:line="240" w:lineRule="auto"/>
        <w:rPr>
          <w:b/>
          <w:sz w:val="24"/>
          <w:u w:val="single"/>
        </w:rPr>
      </w:pPr>
    </w:p>
    <w:p w14:paraId="71CAD515" w14:textId="77777777" w:rsidR="00C07D60" w:rsidRDefault="007B52CD">
      <w:pPr>
        <w:spacing w:after="0" w:line="240" w:lineRule="auto"/>
        <w:rPr>
          <w:b/>
          <w:sz w:val="24"/>
          <w:u w:val="single"/>
        </w:rPr>
      </w:pPr>
      <w:r>
        <w:rPr>
          <w:b/>
          <w:sz w:val="24"/>
          <w:u w:val="single"/>
        </w:rPr>
        <w:object w:dxaOrig="1440" w:dyaOrig="1440" w14:anchorId="014AE617">
          <v:shape id="_x0000_s1026" type="#_x0000_t75" alt="Title: Risk Register UNW MALI 2019.xlsx" style="position:absolute;margin-left:0;margin-top:0;width:40pt;height:40pt;z-index:-251656192;mso-wrap-edited:f;mso-width-percent:0;mso-height-percent:0;mso-position-vertical:bottom;mso-width-percent:0;mso-height-percent:0" o:oleicon="t">
            <v:imagedata r:id="rId52" o:title=""/>
          </v:shape>
          <o:OLEObject Type="Embed" ProgID="Package" ShapeID="_x0000_s1026" DrawAspect="Icon" ObjectID="_1756704652" r:id="rId53"/>
        </w:object>
      </w:r>
    </w:p>
    <w:p w14:paraId="0D5D7587" w14:textId="77777777" w:rsidR="00C07D60" w:rsidRDefault="00C07D60">
      <w:pPr>
        <w:spacing w:after="0" w:line="240" w:lineRule="auto"/>
        <w:rPr>
          <w:b/>
          <w:sz w:val="24"/>
          <w:u w:val="single"/>
        </w:rPr>
      </w:pPr>
    </w:p>
    <w:p w14:paraId="55727FDA" w14:textId="77777777" w:rsidR="00C07D60" w:rsidRDefault="00000000">
      <w:pPr>
        <w:spacing w:after="0" w:line="240" w:lineRule="auto"/>
        <w:rPr>
          <w:sz w:val="24"/>
        </w:rPr>
      </w:pPr>
      <w:r>
        <w:rPr>
          <w:sz w:val="24"/>
        </w:rPr>
        <w:t>Risk Register UNW MALI 2019.xlsx</w:t>
      </w:r>
    </w:p>
    <w:p w14:paraId="249FB6CC" w14:textId="77777777" w:rsidR="00C07D60" w:rsidRDefault="00C07D60">
      <w:pPr>
        <w:spacing w:after="0" w:line="240" w:lineRule="auto"/>
        <w:rPr>
          <w:b/>
          <w:sz w:val="24"/>
          <w:u w:val="single"/>
        </w:rPr>
      </w:pPr>
    </w:p>
    <w:p w14:paraId="1E347977" w14:textId="77777777" w:rsidR="00C07D60" w:rsidRDefault="00C07D60">
      <w:pPr>
        <w:spacing w:after="0" w:line="240" w:lineRule="auto"/>
        <w:rPr>
          <w:b/>
          <w:sz w:val="24"/>
          <w:u w:val="single"/>
        </w:rPr>
      </w:pPr>
    </w:p>
    <w:p w14:paraId="5E249D66" w14:textId="77777777" w:rsidR="00C07D60" w:rsidRDefault="00C07D60">
      <w:pPr>
        <w:spacing w:after="0" w:line="240" w:lineRule="auto"/>
        <w:rPr>
          <w:b/>
          <w:sz w:val="24"/>
          <w:u w:val="single"/>
        </w:rPr>
      </w:pPr>
    </w:p>
    <w:p w14:paraId="3DB743B9" w14:textId="77777777" w:rsidR="00C07D60" w:rsidRDefault="00000000">
      <w:pPr>
        <w:spacing w:after="0" w:line="240" w:lineRule="auto"/>
        <w:rPr>
          <w:b/>
          <w:sz w:val="24"/>
          <w:u w:val="single"/>
        </w:rPr>
      </w:pPr>
      <w:r>
        <w:rPr>
          <w:b/>
          <w:sz w:val="24"/>
          <w:u w:val="single"/>
        </w:rPr>
        <w:t>10. Sustainability :</w:t>
      </w:r>
    </w:p>
    <w:p w14:paraId="3AADD8BD" w14:textId="77777777" w:rsidR="007118E1" w:rsidRDefault="00000000">
      <w:pPr>
        <w:spacing w:after="240" w:line="240" w:lineRule="auto"/>
        <w:rPr>
          <w:rFonts w:ascii="Times New Roman" w:eastAsia="Times New Roman" w:hAnsi="Times New Roman" w:cs="Times New Roman"/>
          <w:sz w:val="24"/>
          <w:szCs w:val="24"/>
        </w:rPr>
      </w:pPr>
      <w:r>
        <w:rPr>
          <w:rFonts w:ascii="Arial" w:eastAsia="Arial" w:hAnsi="Arial" w:cs="Arial"/>
          <w:sz w:val="20"/>
          <w:szCs w:val="20"/>
          <w:lang w:val="en-GB" w:eastAsia="en-GB"/>
        </w:rPr>
        <w:t>UN-Women Mali's sustainability strategy will take into account the current situation and a thorough reflection on the status of women on which any initiative and intervention will be based from the preparation and implementation phase of projects and programmes. UN-Women Mali will use the country's gradual exit from the crisis to increase its interventions and actions for women's capacity building and advocacy through national and local civil society organizations and movements. The opportunity will also be seized to support the increased participation of women in decision-making processes leading to their systematic involvement in the management of public affairs at all levels. UN-Women Mali will strengthen women's access to resources and the protection of their rights.</w:t>
      </w:r>
    </w:p>
    <w:p w14:paraId="3A609DE8"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sz w:val="20"/>
          <w:szCs w:val="20"/>
          <w:lang w:val="en-GB" w:eastAsia="en-GB"/>
        </w:rPr>
        <w:t>UN-Women Mali will contribute to the development of a gender-sensitive electorate and give priority to working with national institutions such as the National Assembly to ensure the progressive implementation of a legislative environment conducive to women's access to exercise and political mandates as well as gender-responsive budgeting. Work with young people, awareness-raising and capacity-building will be continued to accelerate positive and gender-sensitive behavioural changes in society;</w:t>
      </w:r>
    </w:p>
    <w:p w14:paraId="27969F8E" w14:textId="77777777" w:rsidR="007118E1" w:rsidRDefault="00000000">
      <w:pPr>
        <w:spacing w:before="240" w:after="240" w:line="240" w:lineRule="auto"/>
        <w:rPr>
          <w:rFonts w:ascii="Times New Roman" w:eastAsia="Times New Roman" w:hAnsi="Times New Roman" w:cs="Times New Roman"/>
          <w:sz w:val="24"/>
          <w:szCs w:val="24"/>
        </w:rPr>
      </w:pPr>
      <w:r>
        <w:rPr>
          <w:rFonts w:ascii="Arial" w:eastAsia="Arial" w:hAnsi="Arial" w:cs="Arial"/>
          <w:sz w:val="20"/>
          <w:szCs w:val="20"/>
          <w:lang w:val="en-GB" w:eastAsia="en-GB"/>
        </w:rPr>
        <w:t>UN-Women Mali will strengthen its role in coordinating and supporting the work of national actors and the United Nations System in support of gender equality. UN-Women Mali will place particular emphasis on building the capacity of national authorities and civil society actors to ensure the provision of improved access to quality protection and care services for women and girls for all victims of conflict-related gender-based violence, including sexual violence.UN-Women will focus on rigorous monitoring and evaluation work that is more oriented towards collecting gender-related information and statistics in Mali.</w:t>
      </w:r>
    </w:p>
    <w:p w14:paraId="5873CEFF" w14:textId="77777777" w:rsidR="007118E1" w:rsidRDefault="00000000">
      <w:pPr>
        <w:spacing w:after="0" w:line="240" w:lineRule="auto"/>
        <w:rPr>
          <w:rFonts w:ascii="Arial" w:eastAsia="Arial" w:hAnsi="Arial" w:cs="Arial"/>
          <w:sz w:val="20"/>
          <w:szCs w:val="20"/>
          <w:lang w:val="en-GB" w:eastAsia="en-GB"/>
        </w:rPr>
      </w:pPr>
      <w:r>
        <w:rPr>
          <w:rFonts w:ascii="Arial" w:eastAsia="Arial" w:hAnsi="Arial" w:cs="Arial"/>
          <w:sz w:val="20"/>
          <w:szCs w:val="20"/>
          <w:lang w:val="en-GB" w:eastAsia="en-GB"/>
        </w:rPr>
        <w:lastRenderedPageBreak/>
        <w:t>Overall, the sustainability and exit strategy will ultimately be based on the achievement of national objectives and priorities in terms of availability and access to services and equality for all, accelerating the strengthening of national capacities in terms of both integration and systematic gender mainstreaming. To this end, UN-Women will prioritise resource mobilisation, internal capacity building and skills transfer</w:t>
      </w:r>
    </w:p>
    <w:p w14:paraId="6DD8E041" w14:textId="77777777" w:rsidR="00C07D60" w:rsidRDefault="00C07D60">
      <w:pPr>
        <w:spacing w:after="0" w:line="240" w:lineRule="auto"/>
        <w:rPr>
          <w:b/>
          <w:sz w:val="24"/>
          <w:u w:val="single"/>
        </w:rPr>
      </w:pPr>
    </w:p>
    <w:p w14:paraId="342012BA" w14:textId="77777777" w:rsidR="00C07D60" w:rsidRDefault="00C07D60">
      <w:pPr>
        <w:spacing w:after="0" w:line="240" w:lineRule="auto"/>
        <w:rPr>
          <w:b/>
          <w:sz w:val="24"/>
          <w:u w:val="single"/>
        </w:rPr>
      </w:pPr>
    </w:p>
    <w:sectPr w:rsidR="00C07D60">
      <w:pgSz w:w="14800" w:h="14860"/>
      <w:pgMar w:top="1208" w:right="1820" w:bottom="1208" w:left="18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BDC83" w14:textId="77777777" w:rsidR="007B52CD" w:rsidRDefault="007B52CD">
      <w:pPr>
        <w:spacing w:after="0" w:line="240" w:lineRule="auto"/>
      </w:pPr>
      <w:r>
        <w:separator/>
      </w:r>
    </w:p>
  </w:endnote>
  <w:endnote w:type="continuationSeparator" w:id="0">
    <w:p w14:paraId="045D82C8" w14:textId="77777777" w:rsidR="007B52CD" w:rsidRDefault="007B5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1F10" w14:textId="77777777" w:rsidR="007B52CD" w:rsidRDefault="007B52CD">
      <w:pPr>
        <w:spacing w:after="0" w:line="240" w:lineRule="auto"/>
      </w:pPr>
      <w:r>
        <w:separator/>
      </w:r>
    </w:p>
  </w:footnote>
  <w:footnote w:type="continuationSeparator" w:id="0">
    <w:p w14:paraId="7E8200BF" w14:textId="77777777" w:rsidR="007B52CD" w:rsidRDefault="007B52CD">
      <w:pPr>
        <w:spacing w:after="0" w:line="240" w:lineRule="auto"/>
      </w:pPr>
      <w:r>
        <w:continuationSeparator/>
      </w:r>
    </w:p>
  </w:footnote>
  <w:footnote w:id="1">
    <w:p w14:paraId="155CBD4B" w14:textId="77777777" w:rsidR="007118E1" w:rsidRDefault="007118E1">
      <w:pPr>
        <w:pStyle w:val="FootnoteText"/>
      </w:pPr>
    </w:p>
  </w:footnote>
  <w:footnote w:id="2">
    <w:p w14:paraId="21D6A590" w14:textId="77777777" w:rsidR="007118E1" w:rsidRDefault="007118E1">
      <w:pPr>
        <w:pStyle w:val="FootnoteText"/>
      </w:pPr>
    </w:p>
  </w:footnote>
  <w:footnote w:id="3">
    <w:p w14:paraId="429A4B72" w14:textId="77777777" w:rsidR="007118E1" w:rsidRDefault="007118E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hybridMultilevel"/>
    <w:tmpl w:val="00000007"/>
    <w:lvl w:ilvl="0" w:tplc="78E2EBA0">
      <w:start w:val="1"/>
      <w:numFmt w:val="bullet"/>
      <w:lvlText w:val=""/>
      <w:lvlJc w:val="left"/>
      <w:pPr>
        <w:ind w:left="720" w:hanging="360"/>
      </w:pPr>
      <w:rPr>
        <w:rFonts w:ascii="Symbol" w:hAnsi="Symbol"/>
      </w:rPr>
    </w:lvl>
    <w:lvl w:ilvl="1" w:tplc="1EB42914">
      <w:start w:val="1"/>
      <w:numFmt w:val="bullet"/>
      <w:lvlText w:val="o"/>
      <w:lvlJc w:val="left"/>
      <w:pPr>
        <w:tabs>
          <w:tab w:val="num" w:pos="1440"/>
        </w:tabs>
        <w:ind w:left="1440" w:hanging="360"/>
      </w:pPr>
      <w:rPr>
        <w:rFonts w:ascii="Courier New" w:hAnsi="Courier New"/>
      </w:rPr>
    </w:lvl>
    <w:lvl w:ilvl="2" w:tplc="388844F8">
      <w:start w:val="1"/>
      <w:numFmt w:val="bullet"/>
      <w:lvlText w:val=""/>
      <w:lvlJc w:val="left"/>
      <w:pPr>
        <w:tabs>
          <w:tab w:val="num" w:pos="2160"/>
        </w:tabs>
        <w:ind w:left="2160" w:hanging="360"/>
      </w:pPr>
      <w:rPr>
        <w:rFonts w:ascii="Wingdings" w:hAnsi="Wingdings"/>
      </w:rPr>
    </w:lvl>
    <w:lvl w:ilvl="3" w:tplc="3A5A188C">
      <w:start w:val="1"/>
      <w:numFmt w:val="bullet"/>
      <w:lvlText w:val=""/>
      <w:lvlJc w:val="left"/>
      <w:pPr>
        <w:tabs>
          <w:tab w:val="num" w:pos="2880"/>
        </w:tabs>
        <w:ind w:left="2880" w:hanging="360"/>
      </w:pPr>
      <w:rPr>
        <w:rFonts w:ascii="Symbol" w:hAnsi="Symbol"/>
      </w:rPr>
    </w:lvl>
    <w:lvl w:ilvl="4" w:tplc="166EE378">
      <w:start w:val="1"/>
      <w:numFmt w:val="bullet"/>
      <w:lvlText w:val="o"/>
      <w:lvlJc w:val="left"/>
      <w:pPr>
        <w:tabs>
          <w:tab w:val="num" w:pos="3600"/>
        </w:tabs>
        <w:ind w:left="3600" w:hanging="360"/>
      </w:pPr>
      <w:rPr>
        <w:rFonts w:ascii="Courier New" w:hAnsi="Courier New"/>
      </w:rPr>
    </w:lvl>
    <w:lvl w:ilvl="5" w:tplc="1EBC67B8">
      <w:start w:val="1"/>
      <w:numFmt w:val="bullet"/>
      <w:lvlText w:val=""/>
      <w:lvlJc w:val="left"/>
      <w:pPr>
        <w:tabs>
          <w:tab w:val="num" w:pos="4320"/>
        </w:tabs>
        <w:ind w:left="4320" w:hanging="360"/>
      </w:pPr>
      <w:rPr>
        <w:rFonts w:ascii="Wingdings" w:hAnsi="Wingdings"/>
      </w:rPr>
    </w:lvl>
    <w:lvl w:ilvl="6" w:tplc="7E5CF932">
      <w:start w:val="1"/>
      <w:numFmt w:val="bullet"/>
      <w:lvlText w:val=""/>
      <w:lvlJc w:val="left"/>
      <w:pPr>
        <w:tabs>
          <w:tab w:val="num" w:pos="5040"/>
        </w:tabs>
        <w:ind w:left="5040" w:hanging="360"/>
      </w:pPr>
      <w:rPr>
        <w:rFonts w:ascii="Symbol" w:hAnsi="Symbol"/>
      </w:rPr>
    </w:lvl>
    <w:lvl w:ilvl="7" w:tplc="86DC176E">
      <w:start w:val="1"/>
      <w:numFmt w:val="bullet"/>
      <w:lvlText w:val="o"/>
      <w:lvlJc w:val="left"/>
      <w:pPr>
        <w:tabs>
          <w:tab w:val="num" w:pos="5760"/>
        </w:tabs>
        <w:ind w:left="5760" w:hanging="360"/>
      </w:pPr>
      <w:rPr>
        <w:rFonts w:ascii="Courier New" w:hAnsi="Courier New"/>
      </w:rPr>
    </w:lvl>
    <w:lvl w:ilvl="8" w:tplc="31B201E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multilevel"/>
    <w:tmpl w:val="0000000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00000009"/>
    <w:lvl w:ilvl="0" w:tplc="ACCC97EE">
      <w:start w:val="1"/>
      <w:numFmt w:val="bullet"/>
      <w:lvlText w:val=""/>
      <w:lvlJc w:val="left"/>
      <w:pPr>
        <w:ind w:left="720" w:hanging="360"/>
      </w:pPr>
      <w:rPr>
        <w:rFonts w:ascii="Symbol" w:hAnsi="Symbol"/>
      </w:rPr>
    </w:lvl>
    <w:lvl w:ilvl="1" w:tplc="24C064AE">
      <w:start w:val="1"/>
      <w:numFmt w:val="bullet"/>
      <w:lvlText w:val="o"/>
      <w:lvlJc w:val="left"/>
      <w:pPr>
        <w:tabs>
          <w:tab w:val="num" w:pos="1440"/>
        </w:tabs>
        <w:ind w:left="1440" w:hanging="360"/>
      </w:pPr>
      <w:rPr>
        <w:rFonts w:ascii="Courier New" w:hAnsi="Courier New"/>
      </w:rPr>
    </w:lvl>
    <w:lvl w:ilvl="2" w:tplc="CF74182A">
      <w:start w:val="1"/>
      <w:numFmt w:val="bullet"/>
      <w:lvlText w:val=""/>
      <w:lvlJc w:val="left"/>
      <w:pPr>
        <w:tabs>
          <w:tab w:val="num" w:pos="2160"/>
        </w:tabs>
        <w:ind w:left="2160" w:hanging="360"/>
      </w:pPr>
      <w:rPr>
        <w:rFonts w:ascii="Wingdings" w:hAnsi="Wingdings"/>
      </w:rPr>
    </w:lvl>
    <w:lvl w:ilvl="3" w:tplc="81D08828">
      <w:start w:val="1"/>
      <w:numFmt w:val="bullet"/>
      <w:lvlText w:val=""/>
      <w:lvlJc w:val="left"/>
      <w:pPr>
        <w:tabs>
          <w:tab w:val="num" w:pos="2880"/>
        </w:tabs>
        <w:ind w:left="2880" w:hanging="360"/>
      </w:pPr>
      <w:rPr>
        <w:rFonts w:ascii="Symbol" w:hAnsi="Symbol"/>
      </w:rPr>
    </w:lvl>
    <w:lvl w:ilvl="4" w:tplc="0296A49E">
      <w:start w:val="1"/>
      <w:numFmt w:val="bullet"/>
      <w:lvlText w:val="o"/>
      <w:lvlJc w:val="left"/>
      <w:pPr>
        <w:tabs>
          <w:tab w:val="num" w:pos="3600"/>
        </w:tabs>
        <w:ind w:left="3600" w:hanging="360"/>
      </w:pPr>
      <w:rPr>
        <w:rFonts w:ascii="Courier New" w:hAnsi="Courier New"/>
      </w:rPr>
    </w:lvl>
    <w:lvl w:ilvl="5" w:tplc="C97AF0DA">
      <w:start w:val="1"/>
      <w:numFmt w:val="bullet"/>
      <w:lvlText w:val=""/>
      <w:lvlJc w:val="left"/>
      <w:pPr>
        <w:tabs>
          <w:tab w:val="num" w:pos="4320"/>
        </w:tabs>
        <w:ind w:left="4320" w:hanging="360"/>
      </w:pPr>
      <w:rPr>
        <w:rFonts w:ascii="Wingdings" w:hAnsi="Wingdings"/>
      </w:rPr>
    </w:lvl>
    <w:lvl w:ilvl="6" w:tplc="63ECD69A">
      <w:start w:val="1"/>
      <w:numFmt w:val="bullet"/>
      <w:lvlText w:val=""/>
      <w:lvlJc w:val="left"/>
      <w:pPr>
        <w:tabs>
          <w:tab w:val="num" w:pos="5040"/>
        </w:tabs>
        <w:ind w:left="5040" w:hanging="360"/>
      </w:pPr>
      <w:rPr>
        <w:rFonts w:ascii="Symbol" w:hAnsi="Symbol"/>
      </w:rPr>
    </w:lvl>
    <w:lvl w:ilvl="7" w:tplc="8728903E">
      <w:start w:val="1"/>
      <w:numFmt w:val="bullet"/>
      <w:lvlText w:val="o"/>
      <w:lvlJc w:val="left"/>
      <w:pPr>
        <w:tabs>
          <w:tab w:val="num" w:pos="5760"/>
        </w:tabs>
        <w:ind w:left="5760" w:hanging="360"/>
      </w:pPr>
      <w:rPr>
        <w:rFonts w:ascii="Courier New" w:hAnsi="Courier New"/>
      </w:rPr>
    </w:lvl>
    <w:lvl w:ilvl="8" w:tplc="4236938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DDE4318A">
      <w:start w:val="1"/>
      <w:numFmt w:val="bullet"/>
      <w:lvlText w:val=""/>
      <w:lvlJc w:val="left"/>
      <w:pPr>
        <w:ind w:left="720" w:hanging="360"/>
      </w:pPr>
      <w:rPr>
        <w:rFonts w:ascii="Symbol" w:hAnsi="Symbol"/>
      </w:rPr>
    </w:lvl>
    <w:lvl w:ilvl="1" w:tplc="03541886">
      <w:start w:val="1"/>
      <w:numFmt w:val="bullet"/>
      <w:lvlText w:val="o"/>
      <w:lvlJc w:val="left"/>
      <w:pPr>
        <w:tabs>
          <w:tab w:val="num" w:pos="1440"/>
        </w:tabs>
        <w:ind w:left="1440" w:hanging="360"/>
      </w:pPr>
      <w:rPr>
        <w:rFonts w:ascii="Courier New" w:hAnsi="Courier New"/>
      </w:rPr>
    </w:lvl>
    <w:lvl w:ilvl="2" w:tplc="48E4AD04">
      <w:start w:val="1"/>
      <w:numFmt w:val="bullet"/>
      <w:lvlText w:val=""/>
      <w:lvlJc w:val="left"/>
      <w:pPr>
        <w:tabs>
          <w:tab w:val="num" w:pos="2160"/>
        </w:tabs>
        <w:ind w:left="2160" w:hanging="360"/>
      </w:pPr>
      <w:rPr>
        <w:rFonts w:ascii="Wingdings" w:hAnsi="Wingdings"/>
      </w:rPr>
    </w:lvl>
    <w:lvl w:ilvl="3" w:tplc="E69A5D2C">
      <w:start w:val="1"/>
      <w:numFmt w:val="bullet"/>
      <w:lvlText w:val=""/>
      <w:lvlJc w:val="left"/>
      <w:pPr>
        <w:tabs>
          <w:tab w:val="num" w:pos="2880"/>
        </w:tabs>
        <w:ind w:left="2880" w:hanging="360"/>
      </w:pPr>
      <w:rPr>
        <w:rFonts w:ascii="Symbol" w:hAnsi="Symbol"/>
      </w:rPr>
    </w:lvl>
    <w:lvl w:ilvl="4" w:tplc="C344A04A">
      <w:start w:val="1"/>
      <w:numFmt w:val="bullet"/>
      <w:lvlText w:val="o"/>
      <w:lvlJc w:val="left"/>
      <w:pPr>
        <w:tabs>
          <w:tab w:val="num" w:pos="3600"/>
        </w:tabs>
        <w:ind w:left="3600" w:hanging="360"/>
      </w:pPr>
      <w:rPr>
        <w:rFonts w:ascii="Courier New" w:hAnsi="Courier New"/>
      </w:rPr>
    </w:lvl>
    <w:lvl w:ilvl="5" w:tplc="9E604A24">
      <w:start w:val="1"/>
      <w:numFmt w:val="bullet"/>
      <w:lvlText w:val=""/>
      <w:lvlJc w:val="left"/>
      <w:pPr>
        <w:tabs>
          <w:tab w:val="num" w:pos="4320"/>
        </w:tabs>
        <w:ind w:left="4320" w:hanging="360"/>
      </w:pPr>
      <w:rPr>
        <w:rFonts w:ascii="Wingdings" w:hAnsi="Wingdings"/>
      </w:rPr>
    </w:lvl>
    <w:lvl w:ilvl="6" w:tplc="B150BAC8">
      <w:start w:val="1"/>
      <w:numFmt w:val="bullet"/>
      <w:lvlText w:val=""/>
      <w:lvlJc w:val="left"/>
      <w:pPr>
        <w:tabs>
          <w:tab w:val="num" w:pos="5040"/>
        </w:tabs>
        <w:ind w:left="5040" w:hanging="360"/>
      </w:pPr>
      <w:rPr>
        <w:rFonts w:ascii="Symbol" w:hAnsi="Symbol"/>
      </w:rPr>
    </w:lvl>
    <w:lvl w:ilvl="7" w:tplc="0BBEE09C">
      <w:start w:val="1"/>
      <w:numFmt w:val="bullet"/>
      <w:lvlText w:val="o"/>
      <w:lvlJc w:val="left"/>
      <w:pPr>
        <w:tabs>
          <w:tab w:val="num" w:pos="5760"/>
        </w:tabs>
        <w:ind w:left="5760" w:hanging="360"/>
      </w:pPr>
      <w:rPr>
        <w:rFonts w:ascii="Courier New" w:hAnsi="Courier New"/>
      </w:rPr>
    </w:lvl>
    <w:lvl w:ilvl="8" w:tplc="60306CB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multilevel"/>
    <w:tmpl w:val="0000000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hybridMultilevel"/>
    <w:tmpl w:val="0000000C"/>
    <w:lvl w:ilvl="0" w:tplc="A3382696">
      <w:start w:val="1"/>
      <w:numFmt w:val="bullet"/>
      <w:lvlText w:val=""/>
      <w:lvlJc w:val="left"/>
      <w:pPr>
        <w:ind w:left="720" w:hanging="360"/>
      </w:pPr>
      <w:rPr>
        <w:rFonts w:ascii="Symbol" w:hAnsi="Symbol"/>
      </w:rPr>
    </w:lvl>
    <w:lvl w:ilvl="1" w:tplc="C13CD498">
      <w:start w:val="1"/>
      <w:numFmt w:val="bullet"/>
      <w:lvlText w:val="o"/>
      <w:lvlJc w:val="left"/>
      <w:pPr>
        <w:tabs>
          <w:tab w:val="num" w:pos="1440"/>
        </w:tabs>
        <w:ind w:left="1440" w:hanging="360"/>
      </w:pPr>
      <w:rPr>
        <w:rFonts w:ascii="Courier New" w:hAnsi="Courier New"/>
      </w:rPr>
    </w:lvl>
    <w:lvl w:ilvl="2" w:tplc="50BCBD10">
      <w:start w:val="1"/>
      <w:numFmt w:val="bullet"/>
      <w:lvlText w:val=""/>
      <w:lvlJc w:val="left"/>
      <w:pPr>
        <w:tabs>
          <w:tab w:val="num" w:pos="2160"/>
        </w:tabs>
        <w:ind w:left="2160" w:hanging="360"/>
      </w:pPr>
      <w:rPr>
        <w:rFonts w:ascii="Wingdings" w:hAnsi="Wingdings"/>
      </w:rPr>
    </w:lvl>
    <w:lvl w:ilvl="3" w:tplc="96ACE8C6">
      <w:start w:val="1"/>
      <w:numFmt w:val="bullet"/>
      <w:lvlText w:val=""/>
      <w:lvlJc w:val="left"/>
      <w:pPr>
        <w:tabs>
          <w:tab w:val="num" w:pos="2880"/>
        </w:tabs>
        <w:ind w:left="2880" w:hanging="360"/>
      </w:pPr>
      <w:rPr>
        <w:rFonts w:ascii="Symbol" w:hAnsi="Symbol"/>
      </w:rPr>
    </w:lvl>
    <w:lvl w:ilvl="4" w:tplc="877AC88A">
      <w:start w:val="1"/>
      <w:numFmt w:val="bullet"/>
      <w:lvlText w:val="o"/>
      <w:lvlJc w:val="left"/>
      <w:pPr>
        <w:tabs>
          <w:tab w:val="num" w:pos="3600"/>
        </w:tabs>
        <w:ind w:left="3600" w:hanging="360"/>
      </w:pPr>
      <w:rPr>
        <w:rFonts w:ascii="Courier New" w:hAnsi="Courier New"/>
      </w:rPr>
    </w:lvl>
    <w:lvl w:ilvl="5" w:tplc="D430C5E8">
      <w:start w:val="1"/>
      <w:numFmt w:val="bullet"/>
      <w:lvlText w:val=""/>
      <w:lvlJc w:val="left"/>
      <w:pPr>
        <w:tabs>
          <w:tab w:val="num" w:pos="4320"/>
        </w:tabs>
        <w:ind w:left="4320" w:hanging="360"/>
      </w:pPr>
      <w:rPr>
        <w:rFonts w:ascii="Wingdings" w:hAnsi="Wingdings"/>
      </w:rPr>
    </w:lvl>
    <w:lvl w:ilvl="6" w:tplc="EE327AFA">
      <w:start w:val="1"/>
      <w:numFmt w:val="bullet"/>
      <w:lvlText w:val=""/>
      <w:lvlJc w:val="left"/>
      <w:pPr>
        <w:tabs>
          <w:tab w:val="num" w:pos="5040"/>
        </w:tabs>
        <w:ind w:left="5040" w:hanging="360"/>
      </w:pPr>
      <w:rPr>
        <w:rFonts w:ascii="Symbol" w:hAnsi="Symbol"/>
      </w:rPr>
    </w:lvl>
    <w:lvl w:ilvl="7" w:tplc="61602D7C">
      <w:start w:val="1"/>
      <w:numFmt w:val="bullet"/>
      <w:lvlText w:val="o"/>
      <w:lvlJc w:val="left"/>
      <w:pPr>
        <w:tabs>
          <w:tab w:val="num" w:pos="5760"/>
        </w:tabs>
        <w:ind w:left="5760" w:hanging="360"/>
      </w:pPr>
      <w:rPr>
        <w:rFonts w:ascii="Courier New" w:hAnsi="Courier New"/>
      </w:rPr>
    </w:lvl>
    <w:lvl w:ilvl="8" w:tplc="7C78810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multilevel"/>
    <w:tmpl w:val="0000000D"/>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hybridMultilevel"/>
    <w:tmpl w:val="0000000E"/>
    <w:lvl w:ilvl="0" w:tplc="595460EA">
      <w:start w:val="1"/>
      <w:numFmt w:val="bullet"/>
      <w:lvlText w:val=""/>
      <w:lvlJc w:val="left"/>
      <w:pPr>
        <w:ind w:left="720" w:hanging="360"/>
      </w:pPr>
      <w:rPr>
        <w:rFonts w:ascii="Symbol" w:hAnsi="Symbol"/>
      </w:rPr>
    </w:lvl>
    <w:lvl w:ilvl="1" w:tplc="5ABEC5CA">
      <w:start w:val="1"/>
      <w:numFmt w:val="bullet"/>
      <w:lvlText w:val="o"/>
      <w:lvlJc w:val="left"/>
      <w:pPr>
        <w:tabs>
          <w:tab w:val="num" w:pos="1440"/>
        </w:tabs>
        <w:ind w:left="1440" w:hanging="360"/>
      </w:pPr>
      <w:rPr>
        <w:rFonts w:ascii="Courier New" w:hAnsi="Courier New"/>
      </w:rPr>
    </w:lvl>
    <w:lvl w:ilvl="2" w:tplc="6C043C96">
      <w:start w:val="1"/>
      <w:numFmt w:val="bullet"/>
      <w:lvlText w:val=""/>
      <w:lvlJc w:val="left"/>
      <w:pPr>
        <w:tabs>
          <w:tab w:val="num" w:pos="2160"/>
        </w:tabs>
        <w:ind w:left="2160" w:hanging="360"/>
      </w:pPr>
      <w:rPr>
        <w:rFonts w:ascii="Wingdings" w:hAnsi="Wingdings"/>
      </w:rPr>
    </w:lvl>
    <w:lvl w:ilvl="3" w:tplc="B92098E2">
      <w:start w:val="1"/>
      <w:numFmt w:val="bullet"/>
      <w:lvlText w:val=""/>
      <w:lvlJc w:val="left"/>
      <w:pPr>
        <w:tabs>
          <w:tab w:val="num" w:pos="2880"/>
        </w:tabs>
        <w:ind w:left="2880" w:hanging="360"/>
      </w:pPr>
      <w:rPr>
        <w:rFonts w:ascii="Symbol" w:hAnsi="Symbol"/>
      </w:rPr>
    </w:lvl>
    <w:lvl w:ilvl="4" w:tplc="90B608F2">
      <w:start w:val="1"/>
      <w:numFmt w:val="bullet"/>
      <w:lvlText w:val="o"/>
      <w:lvlJc w:val="left"/>
      <w:pPr>
        <w:tabs>
          <w:tab w:val="num" w:pos="3600"/>
        </w:tabs>
        <w:ind w:left="3600" w:hanging="360"/>
      </w:pPr>
      <w:rPr>
        <w:rFonts w:ascii="Courier New" w:hAnsi="Courier New"/>
      </w:rPr>
    </w:lvl>
    <w:lvl w:ilvl="5" w:tplc="74B83268">
      <w:start w:val="1"/>
      <w:numFmt w:val="bullet"/>
      <w:lvlText w:val=""/>
      <w:lvlJc w:val="left"/>
      <w:pPr>
        <w:tabs>
          <w:tab w:val="num" w:pos="4320"/>
        </w:tabs>
        <w:ind w:left="4320" w:hanging="360"/>
      </w:pPr>
      <w:rPr>
        <w:rFonts w:ascii="Wingdings" w:hAnsi="Wingdings"/>
      </w:rPr>
    </w:lvl>
    <w:lvl w:ilvl="6" w:tplc="43F0B6BC">
      <w:start w:val="1"/>
      <w:numFmt w:val="bullet"/>
      <w:lvlText w:val=""/>
      <w:lvlJc w:val="left"/>
      <w:pPr>
        <w:tabs>
          <w:tab w:val="num" w:pos="5040"/>
        </w:tabs>
        <w:ind w:left="5040" w:hanging="360"/>
      </w:pPr>
      <w:rPr>
        <w:rFonts w:ascii="Symbol" w:hAnsi="Symbol"/>
      </w:rPr>
    </w:lvl>
    <w:lvl w:ilvl="7" w:tplc="BE7291FA">
      <w:start w:val="1"/>
      <w:numFmt w:val="bullet"/>
      <w:lvlText w:val="o"/>
      <w:lvlJc w:val="left"/>
      <w:pPr>
        <w:tabs>
          <w:tab w:val="num" w:pos="5760"/>
        </w:tabs>
        <w:ind w:left="5760" w:hanging="360"/>
      </w:pPr>
      <w:rPr>
        <w:rFonts w:ascii="Courier New" w:hAnsi="Courier New"/>
      </w:rPr>
    </w:lvl>
    <w:lvl w:ilvl="8" w:tplc="97E6E15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multilevel"/>
    <w:tmpl w:val="0000000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hybridMultilevel"/>
    <w:tmpl w:val="00000010"/>
    <w:lvl w:ilvl="0" w:tplc="8EDCFC88">
      <w:start w:val="1"/>
      <w:numFmt w:val="bullet"/>
      <w:lvlText w:val=""/>
      <w:lvlJc w:val="left"/>
      <w:pPr>
        <w:ind w:left="720" w:hanging="360"/>
      </w:pPr>
      <w:rPr>
        <w:rFonts w:ascii="Symbol" w:hAnsi="Symbol"/>
      </w:rPr>
    </w:lvl>
    <w:lvl w:ilvl="1" w:tplc="A98E23C2">
      <w:start w:val="1"/>
      <w:numFmt w:val="bullet"/>
      <w:lvlText w:val="o"/>
      <w:lvlJc w:val="left"/>
      <w:pPr>
        <w:tabs>
          <w:tab w:val="num" w:pos="1440"/>
        </w:tabs>
        <w:ind w:left="1440" w:hanging="360"/>
      </w:pPr>
      <w:rPr>
        <w:rFonts w:ascii="Courier New" w:hAnsi="Courier New"/>
      </w:rPr>
    </w:lvl>
    <w:lvl w:ilvl="2" w:tplc="4DF40F20">
      <w:start w:val="1"/>
      <w:numFmt w:val="bullet"/>
      <w:lvlText w:val=""/>
      <w:lvlJc w:val="left"/>
      <w:pPr>
        <w:tabs>
          <w:tab w:val="num" w:pos="2160"/>
        </w:tabs>
        <w:ind w:left="2160" w:hanging="360"/>
      </w:pPr>
      <w:rPr>
        <w:rFonts w:ascii="Wingdings" w:hAnsi="Wingdings"/>
      </w:rPr>
    </w:lvl>
    <w:lvl w:ilvl="3" w:tplc="89366450">
      <w:start w:val="1"/>
      <w:numFmt w:val="bullet"/>
      <w:lvlText w:val=""/>
      <w:lvlJc w:val="left"/>
      <w:pPr>
        <w:tabs>
          <w:tab w:val="num" w:pos="2880"/>
        </w:tabs>
        <w:ind w:left="2880" w:hanging="360"/>
      </w:pPr>
      <w:rPr>
        <w:rFonts w:ascii="Symbol" w:hAnsi="Symbol"/>
      </w:rPr>
    </w:lvl>
    <w:lvl w:ilvl="4" w:tplc="B4A0D136">
      <w:start w:val="1"/>
      <w:numFmt w:val="bullet"/>
      <w:lvlText w:val="o"/>
      <w:lvlJc w:val="left"/>
      <w:pPr>
        <w:tabs>
          <w:tab w:val="num" w:pos="3600"/>
        </w:tabs>
        <w:ind w:left="3600" w:hanging="360"/>
      </w:pPr>
      <w:rPr>
        <w:rFonts w:ascii="Courier New" w:hAnsi="Courier New"/>
      </w:rPr>
    </w:lvl>
    <w:lvl w:ilvl="5" w:tplc="C4BC141C">
      <w:start w:val="1"/>
      <w:numFmt w:val="bullet"/>
      <w:lvlText w:val=""/>
      <w:lvlJc w:val="left"/>
      <w:pPr>
        <w:tabs>
          <w:tab w:val="num" w:pos="4320"/>
        </w:tabs>
        <w:ind w:left="4320" w:hanging="360"/>
      </w:pPr>
      <w:rPr>
        <w:rFonts w:ascii="Wingdings" w:hAnsi="Wingdings"/>
      </w:rPr>
    </w:lvl>
    <w:lvl w:ilvl="6" w:tplc="BDA86A94">
      <w:start w:val="1"/>
      <w:numFmt w:val="bullet"/>
      <w:lvlText w:val=""/>
      <w:lvlJc w:val="left"/>
      <w:pPr>
        <w:tabs>
          <w:tab w:val="num" w:pos="5040"/>
        </w:tabs>
        <w:ind w:left="5040" w:hanging="360"/>
      </w:pPr>
      <w:rPr>
        <w:rFonts w:ascii="Symbol" w:hAnsi="Symbol"/>
      </w:rPr>
    </w:lvl>
    <w:lvl w:ilvl="7" w:tplc="2138BB86">
      <w:start w:val="1"/>
      <w:numFmt w:val="bullet"/>
      <w:lvlText w:val="o"/>
      <w:lvlJc w:val="left"/>
      <w:pPr>
        <w:tabs>
          <w:tab w:val="num" w:pos="5760"/>
        </w:tabs>
        <w:ind w:left="5760" w:hanging="360"/>
      </w:pPr>
      <w:rPr>
        <w:rFonts w:ascii="Courier New" w:hAnsi="Courier New"/>
      </w:rPr>
    </w:lvl>
    <w:lvl w:ilvl="8" w:tplc="765E7EE8">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FE23816">
      <w:start w:val="1"/>
      <w:numFmt w:val="bullet"/>
      <w:lvlText w:val=""/>
      <w:lvlJc w:val="left"/>
      <w:pPr>
        <w:ind w:left="720" w:hanging="360"/>
      </w:pPr>
      <w:rPr>
        <w:rFonts w:ascii="Symbol" w:hAnsi="Symbol"/>
      </w:rPr>
    </w:lvl>
    <w:lvl w:ilvl="1" w:tplc="F6A4A676">
      <w:start w:val="1"/>
      <w:numFmt w:val="bullet"/>
      <w:lvlText w:val="o"/>
      <w:lvlJc w:val="left"/>
      <w:pPr>
        <w:tabs>
          <w:tab w:val="num" w:pos="1440"/>
        </w:tabs>
        <w:ind w:left="1440" w:hanging="360"/>
      </w:pPr>
      <w:rPr>
        <w:rFonts w:ascii="Courier New" w:hAnsi="Courier New"/>
      </w:rPr>
    </w:lvl>
    <w:lvl w:ilvl="2" w:tplc="9A72A3CC">
      <w:start w:val="1"/>
      <w:numFmt w:val="bullet"/>
      <w:lvlText w:val=""/>
      <w:lvlJc w:val="left"/>
      <w:pPr>
        <w:tabs>
          <w:tab w:val="num" w:pos="2160"/>
        </w:tabs>
        <w:ind w:left="2160" w:hanging="360"/>
      </w:pPr>
      <w:rPr>
        <w:rFonts w:ascii="Wingdings" w:hAnsi="Wingdings"/>
      </w:rPr>
    </w:lvl>
    <w:lvl w:ilvl="3" w:tplc="72966088">
      <w:start w:val="1"/>
      <w:numFmt w:val="bullet"/>
      <w:lvlText w:val=""/>
      <w:lvlJc w:val="left"/>
      <w:pPr>
        <w:tabs>
          <w:tab w:val="num" w:pos="2880"/>
        </w:tabs>
        <w:ind w:left="2880" w:hanging="360"/>
      </w:pPr>
      <w:rPr>
        <w:rFonts w:ascii="Symbol" w:hAnsi="Symbol"/>
      </w:rPr>
    </w:lvl>
    <w:lvl w:ilvl="4" w:tplc="DA84AEAC">
      <w:start w:val="1"/>
      <w:numFmt w:val="bullet"/>
      <w:lvlText w:val="o"/>
      <w:lvlJc w:val="left"/>
      <w:pPr>
        <w:tabs>
          <w:tab w:val="num" w:pos="3600"/>
        </w:tabs>
        <w:ind w:left="3600" w:hanging="360"/>
      </w:pPr>
      <w:rPr>
        <w:rFonts w:ascii="Courier New" w:hAnsi="Courier New"/>
      </w:rPr>
    </w:lvl>
    <w:lvl w:ilvl="5" w:tplc="6A444AF0">
      <w:start w:val="1"/>
      <w:numFmt w:val="bullet"/>
      <w:lvlText w:val=""/>
      <w:lvlJc w:val="left"/>
      <w:pPr>
        <w:tabs>
          <w:tab w:val="num" w:pos="4320"/>
        </w:tabs>
        <w:ind w:left="4320" w:hanging="360"/>
      </w:pPr>
      <w:rPr>
        <w:rFonts w:ascii="Wingdings" w:hAnsi="Wingdings"/>
      </w:rPr>
    </w:lvl>
    <w:lvl w:ilvl="6" w:tplc="34A03482">
      <w:start w:val="1"/>
      <w:numFmt w:val="bullet"/>
      <w:lvlText w:val=""/>
      <w:lvlJc w:val="left"/>
      <w:pPr>
        <w:tabs>
          <w:tab w:val="num" w:pos="5040"/>
        </w:tabs>
        <w:ind w:left="5040" w:hanging="360"/>
      </w:pPr>
      <w:rPr>
        <w:rFonts w:ascii="Symbol" w:hAnsi="Symbol"/>
      </w:rPr>
    </w:lvl>
    <w:lvl w:ilvl="7" w:tplc="B090F8BE">
      <w:start w:val="1"/>
      <w:numFmt w:val="bullet"/>
      <w:lvlText w:val="o"/>
      <w:lvlJc w:val="left"/>
      <w:pPr>
        <w:tabs>
          <w:tab w:val="num" w:pos="5760"/>
        </w:tabs>
        <w:ind w:left="5760" w:hanging="360"/>
      </w:pPr>
      <w:rPr>
        <w:rFonts w:ascii="Courier New" w:hAnsi="Courier New"/>
      </w:rPr>
    </w:lvl>
    <w:lvl w:ilvl="8" w:tplc="1EA89800">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multilevel"/>
    <w:tmpl w:val="0000001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4"/>
    <w:multiLevelType w:val="multilevel"/>
    <w:tmpl w:val="0000001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82144180">
    <w:abstractNumId w:val="0"/>
  </w:num>
  <w:num w:numId="2" w16cid:durableId="691226455">
    <w:abstractNumId w:val="1"/>
  </w:num>
  <w:num w:numId="3" w16cid:durableId="836967014">
    <w:abstractNumId w:val="2"/>
  </w:num>
  <w:num w:numId="4" w16cid:durableId="112601819">
    <w:abstractNumId w:val="3"/>
  </w:num>
  <w:num w:numId="5" w16cid:durableId="1903832700">
    <w:abstractNumId w:val="4"/>
  </w:num>
  <w:num w:numId="6" w16cid:durableId="559825875">
    <w:abstractNumId w:val="5"/>
  </w:num>
  <w:num w:numId="7" w16cid:durableId="769202775">
    <w:abstractNumId w:val="6"/>
  </w:num>
  <w:num w:numId="8" w16cid:durableId="245653651">
    <w:abstractNumId w:val="7"/>
  </w:num>
  <w:num w:numId="9" w16cid:durableId="512109134">
    <w:abstractNumId w:val="8"/>
  </w:num>
  <w:num w:numId="10" w16cid:durableId="857239623">
    <w:abstractNumId w:val="9"/>
  </w:num>
  <w:num w:numId="11" w16cid:durableId="27802407">
    <w:abstractNumId w:val="10"/>
  </w:num>
  <w:num w:numId="12" w16cid:durableId="1534996389">
    <w:abstractNumId w:val="11"/>
  </w:num>
  <w:num w:numId="13" w16cid:durableId="1718772931">
    <w:abstractNumId w:val="12"/>
  </w:num>
  <w:num w:numId="14" w16cid:durableId="1460995519">
    <w:abstractNumId w:val="13"/>
  </w:num>
  <w:num w:numId="15" w16cid:durableId="474951915">
    <w:abstractNumId w:val="14"/>
  </w:num>
  <w:num w:numId="16" w16cid:durableId="235366151">
    <w:abstractNumId w:val="15"/>
  </w:num>
  <w:num w:numId="17" w16cid:durableId="1887257940">
    <w:abstractNumId w:val="16"/>
  </w:num>
  <w:num w:numId="18" w16cid:durableId="2130277675">
    <w:abstractNumId w:val="17"/>
  </w:num>
  <w:num w:numId="19" w16cid:durableId="1441416438">
    <w:abstractNumId w:val="18"/>
  </w:num>
  <w:num w:numId="20" w16cid:durableId="12780290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defaultTabStop w:val="720"/>
  <w:drawingGridHorizontalSpacing w:val="181"/>
  <w:drawingGridVerticalSpacing w:val="18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C79"/>
    <w:rsid w:val="001B6783"/>
    <w:rsid w:val="0028089B"/>
    <w:rsid w:val="00440CF8"/>
    <w:rsid w:val="00527AD0"/>
    <w:rsid w:val="005D51BE"/>
    <w:rsid w:val="007118E1"/>
    <w:rsid w:val="00717011"/>
    <w:rsid w:val="007B52CD"/>
    <w:rsid w:val="008E03F6"/>
    <w:rsid w:val="00B75C79"/>
    <w:rsid w:val="00C07D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CED903"/>
  <w15:docId w15:val="{57A72ACC-0C4E-4899-A157-C8DA9D8B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sid w:val="00805BCE"/>
    <w:rPr>
      <w:vertAlign w:val="superscript"/>
    </w:rPr>
  </w:style>
  <w:style w:type="paragraph" w:styleId="FootnoteText">
    <w:name w:val="footnote text"/>
    <w:basedOn w:val="Normal"/>
    <w:link w:val="FootnoteTextChar"/>
    <w:uiPriority w:val="99"/>
    <w:rsid w:val="000F3DF7"/>
    <w:pPr>
      <w:spacing w:after="0" w:line="240" w:lineRule="auto"/>
    </w:pPr>
    <w:rPr>
      <w:sz w:val="20"/>
      <w:szCs w:val="20"/>
    </w:rPr>
  </w:style>
  <w:style w:type="character" w:customStyle="1" w:styleId="FootnoteTextChar">
    <w:name w:val="Footnote Text Char"/>
    <w:basedOn w:val="DefaultParagraphFont"/>
    <w:link w:val="FootnoteText"/>
    <w:uiPriority w:val="99"/>
    <w:rsid w:val="000F3DF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file:///C:/Users/beatrice.eyong/Documents/Note%20Strategique/Note%20strategique%202020%202024%20V1.%20ONU%20Femmes%20Mali%20complet%20clean%2023_2019%2009%20English_.._.docx" TargetMode="External"/><Relationship Id="rId18" Type="http://schemas.openxmlformats.org/officeDocument/2006/relationships/hyperlink" Target="file:///C:/Users/beatrice.eyong/Documents/Note%20Strategique/Note%20strategique%202020%202024%20V1.%20ONU%20Femmes%20Mali%20complet%20clean%2023_2019%2009%20English_.._.docx" TargetMode="External"/><Relationship Id="rId26" Type="http://schemas.openxmlformats.org/officeDocument/2006/relationships/hyperlink" Target="file:///C:/Users/beatrice.eyong/Documents/Note%20Strategique/Note%20strategique%202020%202024%20V1.%20ONU%20Femmes%20Mali%20complet%20clean%2023_2019%2009%20English_.._.docx" TargetMode="External"/><Relationship Id="rId39" Type="http://schemas.openxmlformats.org/officeDocument/2006/relationships/hyperlink" Target="file:///C:/Users/beatrice.eyong/Documents/Note%20Strategique/Note%20strategique%202020%202024%20V1.%20ONU%20Femmes%20Mali%20complet%20clean%2023_2019%2009%20English_.._.docx" TargetMode="External"/><Relationship Id="rId21" Type="http://schemas.openxmlformats.org/officeDocument/2006/relationships/hyperlink" Target="file:///C:/Users/beatrice.eyong/Documents/Note%20Strategique/Note%20strategique%202020%202024%20V1.%20ONU%20Femmes%20Mali%20complet%20clean%2023_2019%2009%20English_.._.docx" TargetMode="External"/><Relationship Id="rId34" Type="http://schemas.openxmlformats.org/officeDocument/2006/relationships/hyperlink" Target="file:///C:/Users/beatrice.eyong/Documents/Note%20Strategique/Note%20strategique%202020%202024%20V1.%20ONU%20Femmes%20Mali%20complet%20clean%2023_2019%2009%20English_.._.docx" TargetMode="External"/><Relationship Id="rId42" Type="http://schemas.openxmlformats.org/officeDocument/2006/relationships/hyperlink" Target="file:///C:/Users/beatrice.eyong/Documents/Note%20Strategique/Note%20strategique%202020%202024%20V1.%20ONU%20Femmes%20Mali%20complet%20clean%2023_2019%2009%20English_.._.docx" TargetMode="External"/><Relationship Id="rId47" Type="http://schemas.openxmlformats.org/officeDocument/2006/relationships/hyperlink" Target="file:///C:/Users/beatrice.eyong/Documents/Note%20Strategique/Note%20strategique%202020%202024%20V1.%20ONU%20Femmes%20Mali%20complet%20clean%2023_2019%2009%20English_.._.docx" TargetMode="External"/><Relationship Id="rId50" Type="http://schemas.openxmlformats.org/officeDocument/2006/relationships/hyperlink" Target="file:///C:/Users/beatrice.eyong/Documents/Note%20Strategique/Note%20strategique%202020%202024%20V1.%20ONU%20Femmes%20Mali%20complet%20clean%2023_2019%2009%20English_.._.docx"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beatrice.eyong/Documents/Note%20Strategique/Note%20strategique%202020%202024%20V1.%20ONU%20Femmes%20Mali%20complet%20clean%2023_2019%2009%20English_.._.docx" TargetMode="External"/><Relationship Id="rId29" Type="http://schemas.openxmlformats.org/officeDocument/2006/relationships/hyperlink" Target="file:///C:/Users/beatrice.eyong/Documents/Note%20Strategique/Note%20strategique%202020%202024%20V1.%20ONU%20Femmes%20Mali%20complet%20clean%2023_2019%2009%20English_.._.docx" TargetMode="External"/><Relationship Id="rId11" Type="http://schemas.openxmlformats.org/officeDocument/2006/relationships/hyperlink" Target="file:///C:/Users/beatrice.eyong/Documents/Note%20Strategique/Note%20strategique%202020%202024%20V1.%20ONU%20Femmes%20Mali%20complet%20clean%2023_2019%2009%20English_.._.docx" TargetMode="External"/><Relationship Id="rId24" Type="http://schemas.openxmlformats.org/officeDocument/2006/relationships/hyperlink" Target="file:///C:/Users/beatrice.eyong/Documents/Note%20Strategique/Note%20strategique%202020%202024%20V1.%20ONU%20Femmes%20Mali%20complet%20clean%2023_2019%2009%20English_.._.docx" TargetMode="External"/><Relationship Id="rId32" Type="http://schemas.openxmlformats.org/officeDocument/2006/relationships/hyperlink" Target="file:///C:/Users/beatrice.eyong/Documents/Note%20Strategique/Note%20strategique%202020%202024%20V1.%20ONU%20Femmes%20Mali%20complet%20clean%2023_2019%2009%20English_.._.docx" TargetMode="External"/><Relationship Id="rId37" Type="http://schemas.openxmlformats.org/officeDocument/2006/relationships/hyperlink" Target="file:///C:/Users/beatrice.eyong/Documents/Note%20Strategique/Note%20strategique%202020%202024%20V1.%20ONU%20Femmes%20Mali%20complet%20clean%2023_2019%2009%20English_.._.docx" TargetMode="External"/><Relationship Id="rId40" Type="http://schemas.openxmlformats.org/officeDocument/2006/relationships/hyperlink" Target="file:///C:/Users/beatrice.eyong/Documents/Note%20Strategique/Note%20strategique%202020%202024%20V1.%20ONU%20Femmes%20Mali%20complet%20clean%2023_2019%2009%20English_.._.docx" TargetMode="External"/><Relationship Id="rId45" Type="http://schemas.openxmlformats.org/officeDocument/2006/relationships/hyperlink" Target="file:///C:/Users/beatrice.eyong/Documents/Note%20Strategique/Note%20strategique%202020%202024%20V1.%20ONU%20Femmes%20Mali%20complet%20clean%2023_2019%2009%20English_.._.docx" TargetMode="External"/><Relationship Id="rId53"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hyperlink" Target="file:///C:/Users/beatrice.eyong/Documents/Note%20Strategique/Note%20strategique%202020%202024%20V1.%20ONU%20Femmes%20Mali%20complet%20clean%2023_2019%2009%20English_.._.docx" TargetMode="External"/><Relationship Id="rId19" Type="http://schemas.openxmlformats.org/officeDocument/2006/relationships/hyperlink" Target="file:///C:/Users/beatrice.eyong/Documents/Note%20Strategique/Note%20strategique%202020%202024%20V1.%20ONU%20Femmes%20Mali%20complet%20clean%2023_2019%2009%20English_.._.docx" TargetMode="External"/><Relationship Id="rId31" Type="http://schemas.openxmlformats.org/officeDocument/2006/relationships/hyperlink" Target="file:///C:/Users/beatrice.eyong/Documents/Note%20Strategique/Note%20strategique%202020%202024%20V1.%20ONU%20Femmes%20Mali%20complet%20clean%2023_2019%2009%20English_.._.docx" TargetMode="External"/><Relationship Id="rId44" Type="http://schemas.openxmlformats.org/officeDocument/2006/relationships/hyperlink" Target="file:///C:/Users/beatrice.eyong/Documents/Note%20Strategique/Note%20strategique%202020%202024%20V1.%20ONU%20Femmes%20Mali%20complet%20clean%2023_2019%2009%20English_.._.docx" TargetMode="External"/><Relationship Id="rId52"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beatrice.eyong/Documents/Note%20Strategique/Note%20strategique%202020%202024%20V1.%20ONU%20Femmes%20Mali%20complet%20clean%2023_2019%2009%20English_.._.docx" TargetMode="External"/><Relationship Id="rId22" Type="http://schemas.openxmlformats.org/officeDocument/2006/relationships/hyperlink" Target="file:///C:/Users/beatrice.eyong/Documents/Note%20Strategique/Note%20strategique%202020%202024%20V1.%20ONU%20Femmes%20Mali%20complet%20clean%2023_2019%2009%20English_.._.docx" TargetMode="External"/><Relationship Id="rId27" Type="http://schemas.openxmlformats.org/officeDocument/2006/relationships/hyperlink" Target="file:///C:/Users/beatrice.eyong/Documents/Note%20Strategique/Note%20strategique%202020%202024%20V1.%20ONU%20Femmes%20Mali%20complet%20clean%2023_2019%2009%20English_.._.docx" TargetMode="External"/><Relationship Id="rId30" Type="http://schemas.openxmlformats.org/officeDocument/2006/relationships/hyperlink" Target="file:///C:/Users/beatrice.eyong/Documents/Note%20Strategique/Note%20strategique%202020%202024%20V1.%20ONU%20Femmes%20Mali%20complet%20clean%2023_2019%2009%20English_.._.docx" TargetMode="External"/><Relationship Id="rId35" Type="http://schemas.openxmlformats.org/officeDocument/2006/relationships/hyperlink" Target="file:///C:/Users/beatrice.eyong/Documents/Note%20Strategique/Note%20strategique%202020%202024%20V1.%20ONU%20Femmes%20Mali%20complet%20clean%2023_2019%2009%20English_.._.docx" TargetMode="External"/><Relationship Id="rId43" Type="http://schemas.openxmlformats.org/officeDocument/2006/relationships/hyperlink" Target="file:///C:/Users/beatrice.eyong/Documents/Note%20Strategique/Note%20strategique%202020%202024%20V1.%20ONU%20Femmes%20Mali%20complet%20clean%2023_2019%2009%20English_.._.docx" TargetMode="External"/><Relationship Id="rId48" Type="http://schemas.openxmlformats.org/officeDocument/2006/relationships/image" Target="media/image3.png"/><Relationship Id="rId8" Type="http://schemas.openxmlformats.org/officeDocument/2006/relationships/image" Target="media/image1.png"/><Relationship Id="rId51" Type="http://schemas.openxmlformats.org/officeDocument/2006/relationships/hyperlink" Target="file:///C:/Users/beatrice.eyong/Documents/Note%20Strategique/Note%20strategique%202020%202024%20V1.%20ONU%20Femmes%20Mali%20complet%20clean%2023_2019%2009%20English_.._.docx" TargetMode="External"/><Relationship Id="rId3" Type="http://schemas.openxmlformats.org/officeDocument/2006/relationships/styles" Target="styles.xml"/><Relationship Id="rId12" Type="http://schemas.openxmlformats.org/officeDocument/2006/relationships/hyperlink" Target="file:///C:/Users/beatrice.eyong/Documents/Note%20Strategique/Note%20strategique%202020%202024%20V1.%20ONU%20Femmes%20Mali%20complet%20clean%2023_2019%2009%20English_.._.docx" TargetMode="External"/><Relationship Id="rId17" Type="http://schemas.openxmlformats.org/officeDocument/2006/relationships/hyperlink" Target="file:///C:/Users/beatrice.eyong/Documents/Note%20Strategique/Note%20strategique%202020%202024%20V1.%20ONU%20Femmes%20Mali%20complet%20clean%2023_2019%2009%20English_.._.docx" TargetMode="External"/><Relationship Id="rId25" Type="http://schemas.openxmlformats.org/officeDocument/2006/relationships/hyperlink" Target="file:///C:/Users/beatrice.eyong/Documents/Note%20Strategique/Note%20strategique%202020%202024%20V1.%20ONU%20Femmes%20Mali%20complet%20clean%2023_2019%2009%20English_.._.docx" TargetMode="External"/><Relationship Id="rId33" Type="http://schemas.openxmlformats.org/officeDocument/2006/relationships/hyperlink" Target="file:///C:/Users/beatrice.eyong/Documents/Note%20Strategique/Note%20strategique%202020%202024%20V1.%20ONU%20Femmes%20Mali%20complet%20clean%2023_2019%2009%20English_.._.docx" TargetMode="External"/><Relationship Id="rId38" Type="http://schemas.openxmlformats.org/officeDocument/2006/relationships/hyperlink" Target="file:///C:/Users/beatrice.eyong/Documents/Note%20Strategique/Note%20strategique%202020%202024%20V1.%20ONU%20Femmes%20Mali%20complet%20clean%2023_2019%2009%20English_.._.docx" TargetMode="External"/><Relationship Id="rId46" Type="http://schemas.openxmlformats.org/officeDocument/2006/relationships/hyperlink" Target="file:///C:/Users/beatrice.eyong/Documents/Note%20Strategique/Note%20strategique%202020%202024%20V1.%20ONU%20Femmes%20Mali%20complet%20clean%2023_2019%2009%20English_.._.docx" TargetMode="External"/><Relationship Id="rId20" Type="http://schemas.openxmlformats.org/officeDocument/2006/relationships/hyperlink" Target="file:///C:/Users/beatrice.eyong/Documents/Note%20Strategique/Note%20strategique%202020%202024%20V1.%20ONU%20Femmes%20Mali%20complet%20clean%2023_2019%2009%20English_.._.docx" TargetMode="External"/><Relationship Id="rId41" Type="http://schemas.openxmlformats.org/officeDocument/2006/relationships/hyperlink" Target="file:///C:/Users/beatrice.eyong/Documents/Note%20Strategique/Note%20strategique%202020%202024%20V1.%20ONU%20Femmes%20Mali%20complet%20clean%2023_2019%2009%20English_.._.docx"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beatrice.eyong/Documents/Note%20Strategique/Note%20strategique%202020%202024%20V1.%20ONU%20Femmes%20Mali%20complet%20clean%2023_2019%2009%20English_.._.docx" TargetMode="External"/><Relationship Id="rId23" Type="http://schemas.openxmlformats.org/officeDocument/2006/relationships/hyperlink" Target="file:///C:/Users/beatrice.eyong/Documents/Note%20Strategique/Note%20strategique%202020%202024%20V1.%20ONU%20Femmes%20Mali%20complet%20clean%2023_2019%2009%20English_.._.docx" TargetMode="External"/><Relationship Id="rId28" Type="http://schemas.openxmlformats.org/officeDocument/2006/relationships/hyperlink" Target="file:///C:/Users/beatrice.eyong/Documents/Note%20Strategique/Note%20strategique%202020%202024%20V1.%20ONU%20Femmes%20Mali%20complet%20clean%2023_2019%2009%20English_.._.docx" TargetMode="External"/><Relationship Id="rId36" Type="http://schemas.openxmlformats.org/officeDocument/2006/relationships/hyperlink" Target="file:///C:/Users/beatrice.eyong/Documents/Note%20Strategique/Note%20strategique%202020%202024%20V1.%20ONU%20Femmes%20Mali%20complet%20clean%2023_2019%2009%20English_.._.docx" TargetMode="External"/><Relationship Id="rId4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D6846-5C24-4063-A4A5-0D7BACE62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10613</Words>
  <Characters>60497</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Cyuma Mbayiha</cp:lastModifiedBy>
  <cp:revision>2</cp:revision>
  <dcterms:created xsi:type="dcterms:W3CDTF">2023-09-20T08:44:00Z</dcterms:created>
  <dcterms:modified xsi:type="dcterms:W3CDTF">2023-09-20T08:44:00Z</dcterms:modified>
</cp:coreProperties>
</file>