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C2ACD" w14:textId="10407796" w:rsidR="00F634AF" w:rsidRPr="00F754EF" w:rsidRDefault="009435F3" w:rsidP="005831BD">
      <w:pPr>
        <w:suppressAutoHyphens w:val="0"/>
        <w:autoSpaceDE/>
        <w:autoSpaceDN/>
        <w:adjustRightInd/>
        <w:spacing w:line="240" w:lineRule="auto"/>
        <w:jc w:val="left"/>
      </w:pPr>
      <w:r w:rsidRPr="00F754EF">
        <w:rPr>
          <w:noProof/>
        </w:rPr>
        <w:drawing>
          <wp:anchor distT="0" distB="0" distL="118745" distR="118745" simplePos="0" relativeHeight="251658248" behindDoc="1" locked="0" layoutInCell="1" allowOverlap="1" wp14:anchorId="4A73A6DD" wp14:editId="2F76C374">
            <wp:simplePos x="0" y="0"/>
            <wp:positionH relativeFrom="page">
              <wp:posOffset>-544877</wp:posOffset>
            </wp:positionH>
            <wp:positionV relativeFrom="page">
              <wp:posOffset>-374847</wp:posOffset>
            </wp:positionV>
            <wp:extent cx="8098616" cy="11441925"/>
            <wp:effectExtent l="57150" t="0" r="55245" b="121920"/>
            <wp:wrapNone/>
            <wp:docPr id="1480946644" name="Picture 1480946644" descr="A4_COVE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_COVERS2.jpg"/>
                    <pic:cNvPicPr/>
                  </pic:nvPicPr>
                  <pic:blipFill rotWithShape="1">
                    <a:blip r:embed="rId11"/>
                    <a:srcRect r="4612"/>
                    <a:stretch/>
                  </pic:blipFill>
                  <pic:spPr bwMode="auto">
                    <a:xfrm>
                      <a:off x="0" y="0"/>
                      <a:ext cx="8125096" cy="11479336"/>
                    </a:xfrm>
                    <a:prstGeom prst="rect">
                      <a:avLst/>
                    </a:prstGeom>
                    <a:solidFill>
                      <a:srgbClr val="78D1D1"/>
                    </a:solidFill>
                    <a:ln>
                      <a:noFill/>
                    </a:ln>
                    <a:effectLst>
                      <a:outerShdw blurRad="50800" dist="50800" dir="5400000" algn="ctr" rotWithShape="0">
                        <a:srgbClr val="78D1D1"/>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CA9A9C" w14:textId="71A6DE72" w:rsidR="006504F6" w:rsidRPr="00F754EF" w:rsidRDefault="00A13D63" w:rsidP="005831BD">
      <w:pPr>
        <w:suppressAutoHyphens w:val="0"/>
        <w:autoSpaceDE/>
        <w:autoSpaceDN/>
        <w:adjustRightInd/>
        <w:spacing w:line="240" w:lineRule="auto"/>
        <w:jc w:val="left"/>
        <w:sectPr w:rsidR="006504F6" w:rsidRPr="00F754EF" w:rsidSect="005831BD">
          <w:headerReference w:type="default" r:id="rId12"/>
          <w:footerReference w:type="default" r:id="rId13"/>
          <w:pgSz w:w="11899" w:h="16840"/>
          <w:pgMar w:top="1440" w:right="1080" w:bottom="1440" w:left="1080" w:header="720" w:footer="720" w:gutter="0"/>
          <w:cols w:space="720"/>
        </w:sectPr>
      </w:pPr>
      <w:r w:rsidRPr="00F754EF">
        <w:rPr>
          <w:noProof/>
        </w:rPr>
        <mc:AlternateContent>
          <mc:Choice Requires="wps">
            <w:drawing>
              <wp:anchor distT="0" distB="0" distL="114300" distR="114300" simplePos="0" relativeHeight="251658241" behindDoc="0" locked="0" layoutInCell="1" allowOverlap="1" wp14:anchorId="009653EC" wp14:editId="0B6E17B5">
                <wp:simplePos x="0" y="0"/>
                <wp:positionH relativeFrom="page">
                  <wp:posOffset>819150</wp:posOffset>
                </wp:positionH>
                <wp:positionV relativeFrom="page">
                  <wp:posOffset>2562225</wp:posOffset>
                </wp:positionV>
                <wp:extent cx="6067425" cy="2694297"/>
                <wp:effectExtent l="0" t="0" r="9525" b="11430"/>
                <wp:wrapTight wrapText="bothSides">
                  <wp:wrapPolygon edited="0">
                    <wp:start x="0" y="0"/>
                    <wp:lineTo x="0" y="21539"/>
                    <wp:lineTo x="21566" y="21539"/>
                    <wp:lineTo x="21566" y="0"/>
                    <wp:lineTo x="0" y="0"/>
                  </wp:wrapPolygon>
                </wp:wrapTight>
                <wp:docPr id="59" name="Text Box 6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6942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84565E" w14:textId="410545B8" w:rsidR="003D77DF" w:rsidRPr="00F754EF" w:rsidRDefault="0008656D" w:rsidP="007C6860">
                            <w:pPr>
                              <w:spacing w:after="0" w:line="240" w:lineRule="auto"/>
                              <w:jc w:val="left"/>
                              <w:rPr>
                                <w:rFonts w:ascii="Calibri" w:hAnsi="Calibri" w:cs="Calibri"/>
                                <w:b/>
                                <w:bCs/>
                                <w:color w:val="FFFFFF" w:themeColor="background1"/>
                                <w:sz w:val="56"/>
                                <w:szCs w:val="56"/>
                                <w:u w:val="single"/>
                              </w:rPr>
                            </w:pPr>
                            <w:r w:rsidRPr="00F754EF">
                              <w:rPr>
                                <w:rFonts w:ascii="Calibri" w:hAnsi="Calibri" w:cs="Calibri"/>
                                <w:b/>
                                <w:bCs/>
                                <w:color w:val="FFFFFF" w:themeColor="background1"/>
                                <w:sz w:val="56"/>
                                <w:szCs w:val="56"/>
                                <w:u w:val="single"/>
                              </w:rPr>
                              <w:t>REPORT</w:t>
                            </w:r>
                            <w:r w:rsidR="0074059A" w:rsidRPr="00F754EF">
                              <w:rPr>
                                <w:rFonts w:ascii="Calibri" w:hAnsi="Calibri" w:cs="Calibri"/>
                                <w:b/>
                                <w:bCs/>
                                <w:color w:val="FFFFFF" w:themeColor="background1"/>
                                <w:sz w:val="56"/>
                                <w:szCs w:val="56"/>
                                <w:u w:val="single"/>
                              </w:rPr>
                              <w:t>E DE EVALUACIÓN</w:t>
                            </w:r>
                          </w:p>
                          <w:p w14:paraId="6D3B0339" w14:textId="77777777" w:rsidR="00A13D63" w:rsidRPr="00F754EF" w:rsidRDefault="00A13D63" w:rsidP="007C6860">
                            <w:pPr>
                              <w:spacing w:after="0" w:line="240" w:lineRule="auto"/>
                              <w:jc w:val="left"/>
                              <w:rPr>
                                <w:rFonts w:ascii="Calibri" w:hAnsi="Calibri" w:cs="Calibri"/>
                                <w:b/>
                                <w:bCs/>
                                <w:color w:val="FFFFFF" w:themeColor="background1"/>
                                <w:sz w:val="56"/>
                                <w:szCs w:val="56"/>
                              </w:rPr>
                            </w:pPr>
                          </w:p>
                          <w:p w14:paraId="2F72B812" w14:textId="77777777" w:rsidR="00EA0C87" w:rsidRPr="00F754EF" w:rsidRDefault="0074059A" w:rsidP="007C6860">
                            <w:pPr>
                              <w:spacing w:after="0" w:line="240" w:lineRule="auto"/>
                              <w:jc w:val="left"/>
                              <w:rPr>
                                <w:rFonts w:ascii="Calibri" w:hAnsi="Calibri" w:cs="Calibri"/>
                                <w:b/>
                                <w:bCs/>
                                <w:color w:val="FFFFFF" w:themeColor="background1"/>
                                <w:sz w:val="72"/>
                                <w:szCs w:val="72"/>
                              </w:rPr>
                            </w:pPr>
                            <w:r w:rsidRPr="00F754EF">
                              <w:rPr>
                                <w:rFonts w:ascii="Calibri" w:hAnsi="Calibri" w:cs="Calibri"/>
                                <w:b/>
                                <w:bCs/>
                                <w:color w:val="FFFFFF" w:themeColor="background1"/>
                                <w:sz w:val="72"/>
                                <w:szCs w:val="72"/>
                              </w:rPr>
                              <w:t xml:space="preserve">EVALUACION FINAL </w:t>
                            </w:r>
                          </w:p>
                          <w:p w14:paraId="1575B0BE" w14:textId="66411938" w:rsidR="006B6D21" w:rsidRPr="00F754EF" w:rsidRDefault="00EA0C87" w:rsidP="007C6860">
                            <w:pPr>
                              <w:spacing w:after="0" w:line="240" w:lineRule="auto"/>
                              <w:jc w:val="left"/>
                              <w:rPr>
                                <w:rFonts w:ascii="Calibri" w:hAnsi="Calibri" w:cs="Calibri"/>
                                <w:b/>
                                <w:bCs/>
                                <w:color w:val="FFFFFF" w:themeColor="background1"/>
                                <w:sz w:val="72"/>
                                <w:szCs w:val="72"/>
                              </w:rPr>
                            </w:pPr>
                            <w:r w:rsidRPr="00F754EF">
                              <w:rPr>
                                <w:rFonts w:ascii="Calibri" w:hAnsi="Calibri" w:cs="Calibri"/>
                                <w:b/>
                                <w:bCs/>
                                <w:color w:val="FFFFFF" w:themeColor="background1"/>
                                <w:sz w:val="72"/>
                                <w:szCs w:val="72"/>
                              </w:rPr>
                              <w:t>Nota Estratégica</w:t>
                            </w:r>
                            <w:r w:rsidR="00696B04" w:rsidRPr="00F754EF">
                              <w:rPr>
                                <w:rFonts w:ascii="Calibri" w:hAnsi="Calibri" w:cs="Calibri"/>
                                <w:b/>
                                <w:bCs/>
                                <w:color w:val="FFFFFF" w:themeColor="background1"/>
                                <w:sz w:val="72"/>
                                <w:szCs w:val="72"/>
                              </w:rPr>
                              <w:t xml:space="preserve"> 202</w:t>
                            </w:r>
                            <w:r w:rsidR="00CF3318" w:rsidRPr="00F754EF">
                              <w:rPr>
                                <w:rFonts w:ascii="Calibri" w:hAnsi="Calibri" w:cs="Calibri"/>
                                <w:b/>
                                <w:bCs/>
                                <w:color w:val="FFFFFF" w:themeColor="background1"/>
                                <w:sz w:val="72"/>
                                <w:szCs w:val="72"/>
                              </w:rPr>
                              <w:t>3</w:t>
                            </w:r>
                            <w:r w:rsidR="009326A2" w:rsidRPr="00F754EF">
                              <w:rPr>
                                <w:rFonts w:ascii="Calibri" w:hAnsi="Calibri" w:cs="Calibri"/>
                                <w:b/>
                                <w:bCs/>
                                <w:color w:val="FFFFFF" w:themeColor="background1"/>
                                <w:sz w:val="72"/>
                                <w:szCs w:val="72"/>
                              </w:rPr>
                              <w:t>–</w:t>
                            </w:r>
                            <w:r w:rsidR="00696B04" w:rsidRPr="00F754EF">
                              <w:rPr>
                                <w:rFonts w:ascii="Calibri" w:hAnsi="Calibri" w:cs="Calibri"/>
                                <w:b/>
                                <w:bCs/>
                                <w:color w:val="FFFFFF" w:themeColor="background1"/>
                                <w:sz w:val="72"/>
                                <w:szCs w:val="72"/>
                              </w:rPr>
                              <w:t>2026</w:t>
                            </w:r>
                            <w:r w:rsidRPr="00F754EF">
                              <w:rPr>
                                <w:rFonts w:ascii="Calibri" w:hAnsi="Calibri" w:cs="Calibri"/>
                                <w:b/>
                                <w:bCs/>
                                <w:color w:val="FFFFFF" w:themeColor="background1"/>
                                <w:sz w:val="72"/>
                                <w:szCs w:val="72"/>
                              </w:rPr>
                              <w:t xml:space="preserve"> (ONU Mujeres Ecuador)</w:t>
                            </w:r>
                          </w:p>
                          <w:p w14:paraId="660A57E8" w14:textId="77777777" w:rsidR="00B443C6" w:rsidRPr="00F754EF" w:rsidRDefault="00B443C6" w:rsidP="007C6860">
                            <w:pPr>
                              <w:spacing w:after="0" w:line="240" w:lineRule="auto"/>
                              <w:jc w:val="left"/>
                              <w:rPr>
                                <w:rFonts w:ascii="Calibri" w:hAnsi="Calibri" w:cs="Calibri"/>
                                <w:b/>
                                <w:bCs/>
                                <w:color w:val="FFFFFF" w:themeColor="background1"/>
                                <w:sz w:val="56"/>
                                <w:szCs w:val="5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9653EC" id="_x0000_t202" coordsize="21600,21600" o:spt="202" path="m,l,21600r21600,l21600,xe">
                <v:stroke joinstyle="miter"/>
                <v:path gradientshapeok="t" o:connecttype="rect"/>
              </v:shapetype>
              <v:shape id="Text Box 632" o:spid="_x0000_s1026" type="#_x0000_t202" style="position:absolute;margin-left:64.5pt;margin-top:201.75pt;width:477.75pt;height:212.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" filled="f" stroked="f">
                <v:textbox inset="0,0,0,0">
                  <w:txbxContent>
                    <w:p w14:paraId="1784565E" w14:textId="410545B8" w:rsidR="003D77DF" w:rsidRPr="00F754EF" w:rsidRDefault="0008656D" w:rsidP="007C6860">
                      <w:pPr>
                        <w:spacing w:after="0" w:line="240" w:lineRule="auto"/>
                        <w:jc w:val="left"/>
                        <w:rPr>
                          <w:rFonts w:ascii="Calibri" w:hAnsi="Calibri" w:cs="Calibri"/>
                          <w:b/>
                          <w:bCs/>
                          <w:color w:val="FFFFFF" w:themeColor="background1"/>
                          <w:sz w:val="56"/>
                          <w:szCs w:val="56"/>
                          <w:u w:val="single"/>
                        </w:rPr>
                      </w:pPr>
                      <w:r w:rsidRPr="00F754EF">
                        <w:rPr>
                          <w:rFonts w:ascii="Calibri" w:hAnsi="Calibri" w:cs="Calibri"/>
                          <w:b/>
                          <w:bCs/>
                          <w:color w:val="FFFFFF" w:themeColor="background1"/>
                          <w:sz w:val="56"/>
                          <w:szCs w:val="56"/>
                          <w:u w:val="single"/>
                        </w:rPr>
                        <w:t>REPORT</w:t>
                      </w:r>
                      <w:r w:rsidR="0074059A" w:rsidRPr="00F754EF">
                        <w:rPr>
                          <w:rFonts w:ascii="Calibri" w:hAnsi="Calibri" w:cs="Calibri"/>
                          <w:b/>
                          <w:bCs/>
                          <w:color w:val="FFFFFF" w:themeColor="background1"/>
                          <w:sz w:val="56"/>
                          <w:szCs w:val="56"/>
                          <w:u w:val="single"/>
                        </w:rPr>
                        <w:t>E DE EVALUACIÓN</w:t>
                      </w:r>
                    </w:p>
                    <w:p w14:paraId="6D3B0339" w14:textId="77777777" w:rsidR="00A13D63" w:rsidRPr="00F754EF" w:rsidRDefault="00A13D63" w:rsidP="007C6860">
                      <w:pPr>
                        <w:spacing w:after="0" w:line="240" w:lineRule="auto"/>
                        <w:jc w:val="left"/>
                        <w:rPr>
                          <w:rFonts w:ascii="Calibri" w:hAnsi="Calibri" w:cs="Calibri"/>
                          <w:b/>
                          <w:bCs/>
                          <w:color w:val="FFFFFF" w:themeColor="background1"/>
                          <w:sz w:val="56"/>
                          <w:szCs w:val="56"/>
                        </w:rPr>
                      </w:pPr>
                    </w:p>
                    <w:p w14:paraId="2F72B812" w14:textId="77777777" w:rsidR="00EA0C87" w:rsidRPr="00F754EF" w:rsidRDefault="0074059A" w:rsidP="007C6860">
                      <w:pPr>
                        <w:spacing w:after="0" w:line="240" w:lineRule="auto"/>
                        <w:jc w:val="left"/>
                        <w:rPr>
                          <w:rFonts w:ascii="Calibri" w:hAnsi="Calibri" w:cs="Calibri"/>
                          <w:b/>
                          <w:bCs/>
                          <w:color w:val="FFFFFF" w:themeColor="background1"/>
                          <w:sz w:val="72"/>
                          <w:szCs w:val="72"/>
                        </w:rPr>
                      </w:pPr>
                      <w:r w:rsidRPr="00F754EF">
                        <w:rPr>
                          <w:rFonts w:ascii="Calibri" w:hAnsi="Calibri" w:cs="Calibri"/>
                          <w:b/>
                          <w:bCs/>
                          <w:color w:val="FFFFFF" w:themeColor="background1"/>
                          <w:sz w:val="72"/>
                          <w:szCs w:val="72"/>
                        </w:rPr>
                        <w:t xml:space="preserve">EVALUACION FINAL </w:t>
                      </w:r>
                    </w:p>
                    <w:p w14:paraId="1575B0BE" w14:textId="66411938" w:rsidR="006B6D21" w:rsidRPr="00F754EF" w:rsidRDefault="00EA0C87" w:rsidP="007C6860">
                      <w:pPr>
                        <w:spacing w:after="0" w:line="240" w:lineRule="auto"/>
                        <w:jc w:val="left"/>
                        <w:rPr>
                          <w:rFonts w:ascii="Calibri" w:hAnsi="Calibri" w:cs="Calibri"/>
                          <w:b/>
                          <w:bCs/>
                          <w:color w:val="FFFFFF" w:themeColor="background1"/>
                          <w:sz w:val="72"/>
                          <w:szCs w:val="72"/>
                        </w:rPr>
                      </w:pPr>
                      <w:r w:rsidRPr="00F754EF">
                        <w:rPr>
                          <w:rFonts w:ascii="Calibri" w:hAnsi="Calibri" w:cs="Calibri"/>
                          <w:b/>
                          <w:bCs/>
                          <w:color w:val="FFFFFF" w:themeColor="background1"/>
                          <w:sz w:val="72"/>
                          <w:szCs w:val="72"/>
                        </w:rPr>
                        <w:t>Nota Estratégica</w:t>
                      </w:r>
                      <w:r w:rsidR="00696B04" w:rsidRPr="00F754EF">
                        <w:rPr>
                          <w:rFonts w:ascii="Calibri" w:hAnsi="Calibri" w:cs="Calibri"/>
                          <w:b/>
                          <w:bCs/>
                          <w:color w:val="FFFFFF" w:themeColor="background1"/>
                          <w:sz w:val="72"/>
                          <w:szCs w:val="72"/>
                        </w:rPr>
                        <w:t xml:space="preserve"> 202</w:t>
                      </w:r>
                      <w:r w:rsidR="00CF3318" w:rsidRPr="00F754EF">
                        <w:rPr>
                          <w:rFonts w:ascii="Calibri" w:hAnsi="Calibri" w:cs="Calibri"/>
                          <w:b/>
                          <w:bCs/>
                          <w:color w:val="FFFFFF" w:themeColor="background1"/>
                          <w:sz w:val="72"/>
                          <w:szCs w:val="72"/>
                        </w:rPr>
                        <w:t>3</w:t>
                      </w:r>
                      <w:r w:rsidR="009326A2" w:rsidRPr="00F754EF">
                        <w:rPr>
                          <w:rFonts w:ascii="Calibri" w:hAnsi="Calibri" w:cs="Calibri"/>
                          <w:b/>
                          <w:bCs/>
                          <w:color w:val="FFFFFF" w:themeColor="background1"/>
                          <w:sz w:val="72"/>
                          <w:szCs w:val="72"/>
                        </w:rPr>
                        <w:t>–</w:t>
                      </w:r>
                      <w:r w:rsidR="00696B04" w:rsidRPr="00F754EF">
                        <w:rPr>
                          <w:rFonts w:ascii="Calibri" w:hAnsi="Calibri" w:cs="Calibri"/>
                          <w:b/>
                          <w:bCs/>
                          <w:color w:val="FFFFFF" w:themeColor="background1"/>
                          <w:sz w:val="72"/>
                          <w:szCs w:val="72"/>
                        </w:rPr>
                        <w:t>2026</w:t>
                      </w:r>
                      <w:r w:rsidRPr="00F754EF">
                        <w:rPr>
                          <w:rFonts w:ascii="Calibri" w:hAnsi="Calibri" w:cs="Calibri"/>
                          <w:b/>
                          <w:bCs/>
                          <w:color w:val="FFFFFF" w:themeColor="background1"/>
                          <w:sz w:val="72"/>
                          <w:szCs w:val="72"/>
                        </w:rPr>
                        <w:t xml:space="preserve"> (ONU Mujeres Ecuador)</w:t>
                      </w:r>
                    </w:p>
                    <w:p w14:paraId="660A57E8" w14:textId="77777777" w:rsidR="00B443C6" w:rsidRPr="00F754EF" w:rsidRDefault="00B443C6" w:rsidP="007C6860">
                      <w:pPr>
                        <w:spacing w:after="0" w:line="240" w:lineRule="auto"/>
                        <w:jc w:val="left"/>
                        <w:rPr>
                          <w:rFonts w:ascii="Calibri" w:hAnsi="Calibri" w:cs="Calibri"/>
                          <w:b/>
                          <w:bCs/>
                          <w:color w:val="FFFFFF" w:themeColor="background1"/>
                          <w:sz w:val="56"/>
                          <w:szCs w:val="56"/>
                        </w:rPr>
                      </w:pPr>
                    </w:p>
                  </w:txbxContent>
                </v:textbox>
                <w10:wrap type="tight" anchorx="page" anchory="page"/>
              </v:shape>
            </w:pict>
          </mc:Fallback>
        </mc:AlternateContent>
      </w:r>
      <w:r w:rsidR="009435F3" w:rsidRPr="00F754EF">
        <w:rPr>
          <w:noProof/>
        </w:rPr>
        <w:drawing>
          <wp:anchor distT="0" distB="0" distL="118745" distR="118745" simplePos="0" relativeHeight="251658240" behindDoc="0" locked="0" layoutInCell="1" allowOverlap="1" wp14:anchorId="7A0B0263" wp14:editId="03E5B66F">
            <wp:simplePos x="0" y="0"/>
            <wp:positionH relativeFrom="page">
              <wp:posOffset>-181744</wp:posOffset>
            </wp:positionH>
            <wp:positionV relativeFrom="page">
              <wp:posOffset>2038942</wp:posOffset>
            </wp:positionV>
            <wp:extent cx="7735022" cy="4239895"/>
            <wp:effectExtent l="0" t="0" r="0" b="8255"/>
            <wp:wrapTight wrapText="bothSides">
              <wp:wrapPolygon edited="0">
                <wp:start x="0" y="0"/>
                <wp:lineTo x="0" y="21545"/>
                <wp:lineTo x="21545" y="21545"/>
                <wp:lineTo x="21545" y="0"/>
                <wp:lineTo x="0" y="0"/>
              </wp:wrapPolygon>
            </wp:wrapTight>
            <wp:docPr id="32" name="Picture 32" descr="A4_COVER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_COVERS7.jpg"/>
                    <pic:cNvPicPr/>
                  </pic:nvPicPr>
                  <pic:blipFill rotWithShape="1">
                    <a:blip r:embed="rId14"/>
                    <a:srcRect l="4764" t="21227" r="4860" b="43311"/>
                    <a:stretch/>
                  </pic:blipFill>
                  <pic:spPr bwMode="auto">
                    <a:xfrm>
                      <a:off x="0" y="0"/>
                      <a:ext cx="7735196" cy="4239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140F" w:rsidRPr="00F754EF">
        <w:rPr>
          <w:noProof/>
        </w:rPr>
        <w:drawing>
          <wp:anchor distT="0" distB="0" distL="114300" distR="114300" simplePos="0" relativeHeight="251658242" behindDoc="0" locked="0" layoutInCell="1" allowOverlap="1" wp14:anchorId="6D4380C8" wp14:editId="534655CD">
            <wp:simplePos x="0" y="0"/>
            <wp:positionH relativeFrom="page">
              <wp:posOffset>903370</wp:posOffset>
            </wp:positionH>
            <wp:positionV relativeFrom="page">
              <wp:posOffset>5315913</wp:posOffset>
            </wp:positionV>
            <wp:extent cx="912999" cy="663597"/>
            <wp:effectExtent l="0" t="0" r="1905" b="3175"/>
            <wp:wrapTight wrapText="bothSides">
              <wp:wrapPolygon edited="0">
                <wp:start x="0" y="0"/>
                <wp:lineTo x="0" y="21083"/>
                <wp:lineTo x="21194" y="21083"/>
                <wp:lineTo x="21194" y="0"/>
                <wp:lineTo x="0" y="0"/>
              </wp:wrapPolygon>
            </wp:wrapTight>
            <wp:docPr id="2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8"/>
                    <pic:cNvPicPr/>
                  </pic:nvPicPr>
                  <pic:blipFill rotWithShape="1">
                    <a:blip r:embed="rId15" cstate="print">
                      <a:extLst>
                        <a:ext uri="{28A0092B-C50C-407E-A947-70E740481C1C}">
                          <a14:useLocalDpi xmlns:a14="http://schemas.microsoft.com/office/drawing/2010/main" val="0"/>
                        </a:ext>
                      </a:extLst>
                    </a:blip>
                    <a:srcRect l="84085" r="298"/>
                    <a:stretch/>
                  </pic:blipFill>
                  <pic:spPr bwMode="auto">
                    <a:xfrm>
                      <a:off x="0" y="0"/>
                      <a:ext cx="912999" cy="66359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9A4011" w14:textId="3AE0DBAA" w:rsidR="006504F6" w:rsidRPr="00F754EF" w:rsidRDefault="006504F6" w:rsidP="005831BD">
      <w:pPr>
        <w:spacing w:line="240" w:lineRule="auto"/>
      </w:pPr>
      <w:r w:rsidRPr="00F754EF">
        <w:rPr>
          <w:noProof/>
        </w:rPr>
        <w:lastRenderedPageBreak/>
        <mc:AlternateContent>
          <mc:Choice Requires="wps">
            <w:drawing>
              <wp:anchor distT="0" distB="0" distL="114300" distR="114300" simplePos="0" relativeHeight="251658246" behindDoc="0" locked="0" layoutInCell="1" allowOverlap="1" wp14:anchorId="17D49CAB" wp14:editId="7221F500">
                <wp:simplePos x="0" y="0"/>
                <wp:positionH relativeFrom="column">
                  <wp:posOffset>-953052</wp:posOffset>
                </wp:positionH>
                <wp:positionV relativeFrom="paragraph">
                  <wp:posOffset>-1246810</wp:posOffset>
                </wp:positionV>
                <wp:extent cx="7809632" cy="11026913"/>
                <wp:effectExtent l="0" t="0" r="20320" b="22225"/>
                <wp:wrapNone/>
                <wp:docPr id="271" name="Rectangle 271"/>
                <wp:cNvGraphicFramePr/>
                <a:graphic xmlns:a="http://schemas.openxmlformats.org/drawingml/2006/main">
                  <a:graphicData uri="http://schemas.microsoft.com/office/word/2010/wordprocessingShape">
                    <wps:wsp>
                      <wps:cNvSpPr/>
                      <wps:spPr>
                        <a:xfrm>
                          <a:off x="0" y="0"/>
                          <a:ext cx="7809632" cy="11026913"/>
                        </a:xfrm>
                        <a:prstGeom prst="rect">
                          <a:avLst/>
                        </a:prstGeom>
                        <a:solidFill>
                          <a:srgbClr val="009CDB"/>
                        </a:solidFill>
                        <a:ln w="635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7127FE" id="Rectangle 271" o:spid="_x0000_s1026" style="position:absolute;margin-left:-75.05pt;margin-top:-98.15pt;width:614.95pt;height:868.2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" fillcolor="#009cdb" strokecolor="#4472c4" strokeweight=".5pt"/>
            </w:pict>
          </mc:Fallback>
        </mc:AlternateContent>
      </w:r>
    </w:p>
    <w:p w14:paraId="2AF6EDF5" w14:textId="4418C0B3" w:rsidR="006504F6" w:rsidRPr="00F754EF" w:rsidRDefault="006504F6" w:rsidP="005831BD">
      <w:pPr>
        <w:spacing w:line="240" w:lineRule="auto"/>
      </w:pPr>
      <w:r w:rsidRPr="00F754EF">
        <w:rPr>
          <w:noProof/>
        </w:rPr>
        <mc:AlternateContent>
          <mc:Choice Requires="wps">
            <w:drawing>
              <wp:anchor distT="0" distB="0" distL="114300" distR="114300" simplePos="0" relativeHeight="251658247" behindDoc="0" locked="0" layoutInCell="1" allowOverlap="1" wp14:anchorId="38D2C9E3" wp14:editId="5CBAF214">
                <wp:simplePos x="0" y="0"/>
                <wp:positionH relativeFrom="column">
                  <wp:posOffset>-5345</wp:posOffset>
                </wp:positionH>
                <wp:positionV relativeFrom="paragraph">
                  <wp:posOffset>6568424</wp:posOffset>
                </wp:positionV>
                <wp:extent cx="6317673" cy="2690446"/>
                <wp:effectExtent l="0" t="0" r="0" b="0"/>
                <wp:wrapNone/>
                <wp:docPr id="272" name="Text Box 272"/>
                <wp:cNvGraphicFramePr/>
                <a:graphic xmlns:a="http://schemas.openxmlformats.org/drawingml/2006/main">
                  <a:graphicData uri="http://schemas.microsoft.com/office/word/2010/wordprocessingShape">
                    <wps:wsp>
                      <wps:cNvSpPr txBox="1"/>
                      <wps:spPr>
                        <a:xfrm>
                          <a:off x="0" y="0"/>
                          <a:ext cx="6317673" cy="2690446"/>
                        </a:xfrm>
                        <a:prstGeom prst="rect">
                          <a:avLst/>
                        </a:prstGeom>
                        <a:noFill/>
                        <a:ln>
                          <a:noFill/>
                        </a:ln>
                        <a:effectLst/>
                      </wps:spPr>
                      <wps:txbx>
                        <w:txbxContent>
                          <w:p w14:paraId="46350B06" w14:textId="6C7EC58C" w:rsidR="008419E6" w:rsidRPr="00F754EF" w:rsidRDefault="008419E6" w:rsidP="00A5345B">
                            <w:pPr>
                              <w:snapToGrid w:val="0"/>
                              <w:spacing w:before="120"/>
                              <w:ind w:right="2016"/>
                              <w:rPr>
                                <w:rFonts w:ascii="The Sans Bold-" w:hAnsi="The Sans Bold-"/>
                                <w:color w:val="FFFFFF" w:themeColor="background1"/>
                                <w:sz w:val="24"/>
                                <w:szCs w:val="24"/>
                              </w:rPr>
                            </w:pPr>
                            <w:r w:rsidRPr="00F754EF">
                              <w:rPr>
                                <w:rFonts w:ascii="The Sans Bold-" w:hAnsi="The Sans Bold-"/>
                                <w:color w:val="FFFFFF" w:themeColor="background1"/>
                                <w:sz w:val="24"/>
                                <w:szCs w:val="24"/>
                              </w:rPr>
                              <w:t xml:space="preserve">© 2026. ONU Mujeres. Todos los derechos reservados. </w:t>
                            </w:r>
                          </w:p>
                          <w:p w14:paraId="161A473B" w14:textId="77777777" w:rsidR="008419E6" w:rsidRPr="00F754EF" w:rsidRDefault="008419E6" w:rsidP="001F27AF">
                            <w:pPr>
                              <w:snapToGrid w:val="0"/>
                              <w:spacing w:before="120"/>
                              <w:ind w:right="2016"/>
                              <w:rPr>
                                <w:rFonts w:ascii="The Sans Bold-" w:hAnsi="The Sans Bold-"/>
                                <w:color w:val="FFFFFF" w:themeColor="background1"/>
                                <w:sz w:val="24"/>
                                <w:szCs w:val="24"/>
                              </w:rPr>
                            </w:pPr>
                          </w:p>
                          <w:p w14:paraId="71B777B8" w14:textId="660D0C68" w:rsidR="006504F6" w:rsidRPr="00F754EF" w:rsidRDefault="00872F71" w:rsidP="003A3913">
                            <w:pPr>
                              <w:spacing w:after="0" w:line="240" w:lineRule="auto"/>
                              <w:rPr>
                                <w:color w:val="FFFFFF" w:themeColor="background1"/>
                                <w:sz w:val="24"/>
                                <w:szCs w:val="24"/>
                              </w:rPr>
                            </w:pPr>
                            <w:r w:rsidRPr="00872F71">
                              <w:rPr>
                                <w:color w:val="FFFFFF" w:themeColor="background1"/>
                                <w:sz w:val="24"/>
                                <w:szCs w:val="24"/>
                              </w:rPr>
                              <w:t>Esta publicación puede reproducirse total o parcialmente y en cualquier formato con fines educativos y/o sin fines de lucro sin necesidad de obtener un permiso especial del titular de los derechos de autor, siempre que se cite la fuente</w:t>
                            </w:r>
                            <w:r>
                              <w:rPr>
                                <w:color w:val="FFFFFF" w:themeColor="background1"/>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8D2C9E3" id="Text Box 272" o:spid="_x0000_s1027" type="#_x0000_t202" style="position:absolute;left:0;text-align:left;margin-left:-.4pt;margin-top:517.2pt;width:497.45pt;height:211.85pt;z-index:2516582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" filled="f" stroked="f">
                <v:textbox>
                  <w:txbxContent>
                    <w:p w14:paraId="46350B06" w14:textId="6C7EC58C" w:rsidR="008419E6" w:rsidRPr="00F754EF" w:rsidRDefault="008419E6" w:rsidP="00A5345B">
                      <w:pPr>
                        <w:snapToGrid w:val="0"/>
                        <w:spacing w:before="120"/>
                        <w:ind w:right="2016"/>
                        <w:rPr>
                          <w:rFonts w:ascii="The Sans Bold-" w:hAnsi="The Sans Bold-"/>
                          <w:color w:val="FFFFFF" w:themeColor="background1"/>
                          <w:sz w:val="24"/>
                          <w:szCs w:val="24"/>
                        </w:rPr>
                      </w:pPr>
                      <w:r w:rsidRPr="00F754EF">
                        <w:rPr>
                          <w:rFonts w:ascii="The Sans Bold-" w:hAnsi="The Sans Bold-"/>
                          <w:color w:val="FFFFFF" w:themeColor="background1"/>
                          <w:sz w:val="24"/>
                          <w:szCs w:val="24"/>
                        </w:rPr>
                        <w:t xml:space="preserve">© 2026. ONU Mujeres. Todos los derechos reservados. </w:t>
                      </w:r>
                    </w:p>
                    <w:p w14:paraId="161A473B" w14:textId="77777777" w:rsidR="008419E6" w:rsidRPr="00F754EF" w:rsidRDefault="008419E6" w:rsidP="001F27AF">
                      <w:pPr>
                        <w:snapToGrid w:val="0"/>
                        <w:spacing w:before="120"/>
                        <w:ind w:right="2016"/>
                        <w:rPr>
                          <w:rFonts w:ascii="The Sans Bold-" w:hAnsi="The Sans Bold-"/>
                          <w:color w:val="FFFFFF" w:themeColor="background1"/>
                          <w:sz w:val="24"/>
                          <w:szCs w:val="24"/>
                        </w:rPr>
                      </w:pPr>
                    </w:p>
                    <w:p w14:paraId="71B777B8" w14:textId="660D0C68" w:rsidR="006504F6" w:rsidRPr="00F754EF" w:rsidRDefault="00872F71" w:rsidP="003A3913">
                      <w:pPr>
                        <w:spacing w:after="0" w:line="240" w:lineRule="auto"/>
                        <w:rPr>
                          <w:color w:val="FFFFFF" w:themeColor="background1"/>
                          <w:sz w:val="24"/>
                          <w:szCs w:val="24"/>
                        </w:rPr>
                      </w:pPr>
                      <w:r w:rsidRPr="00872F71">
                        <w:rPr>
                          <w:color w:val="FFFFFF" w:themeColor="background1"/>
                          <w:sz w:val="24"/>
                          <w:szCs w:val="24"/>
                        </w:rPr>
                        <w:t>Esta publicación puede reproducirse total o parcialmente y en cualquier formato con fines educativos y/o sin fines de lucro sin necesidad de obtener un permiso especial del titular de los derechos de autor, siempre que se cite la fuente</w:t>
                      </w:r>
                      <w:r>
                        <w:rPr>
                          <w:color w:val="FFFFFF" w:themeColor="background1"/>
                          <w:sz w:val="24"/>
                          <w:szCs w:val="24"/>
                        </w:rPr>
                        <w:t>.</w:t>
                      </w:r>
                    </w:p>
                  </w:txbxContent>
                </v:textbox>
              </v:shape>
            </w:pict>
          </mc:Fallback>
        </mc:AlternateContent>
      </w:r>
      <w:r w:rsidR="00096D65" w:rsidRPr="00F754EF">
        <w:rPr>
          <w:noProof/>
        </w:rPr>
        <mc:AlternateContent>
          <mc:Choice Requires="wps">
            <w:drawing>
              <wp:anchor distT="0" distB="0" distL="114300" distR="114300" simplePos="0" relativeHeight="251658244" behindDoc="0" locked="0" layoutInCell="1" allowOverlap="1" wp14:anchorId="3A6513D8" wp14:editId="694892D9">
                <wp:simplePos x="0" y="0"/>
                <wp:positionH relativeFrom="column">
                  <wp:posOffset>45720</wp:posOffset>
                </wp:positionH>
                <wp:positionV relativeFrom="paragraph">
                  <wp:posOffset>137160</wp:posOffset>
                </wp:positionV>
                <wp:extent cx="5920740" cy="8608695"/>
                <wp:effectExtent l="0" t="0" r="0" b="1905"/>
                <wp:wrapNone/>
                <wp:docPr id="223614" name="Text Box 1"/>
                <wp:cNvGraphicFramePr/>
                <a:graphic xmlns:a="http://schemas.openxmlformats.org/drawingml/2006/main">
                  <a:graphicData uri="http://schemas.microsoft.com/office/word/2010/wordprocessingShape">
                    <wps:wsp>
                      <wps:cNvSpPr txBox="1"/>
                      <wps:spPr>
                        <a:xfrm>
                          <a:off x="0" y="0"/>
                          <a:ext cx="5920740" cy="8608695"/>
                        </a:xfrm>
                        <a:prstGeom prst="rect">
                          <a:avLst/>
                        </a:prstGeom>
                        <a:solidFill>
                          <a:srgbClr val="009CDB"/>
                        </a:solidFill>
                        <a:ln w="6350">
                          <a:noFill/>
                        </a:ln>
                      </wps:spPr>
                      <wps:txbx>
                        <w:txbxContent>
                          <w:p w14:paraId="072BBEFF" w14:textId="77777777" w:rsidR="006504F6" w:rsidRPr="00F754EF" w:rsidRDefault="006504F6" w:rsidP="00BD1B95"/>
                          <w:p w14:paraId="3B09CD46" w14:textId="210AAE1F" w:rsidR="006504F6" w:rsidRPr="003A3913" w:rsidRDefault="006504F6" w:rsidP="00BD1B95">
                            <w:pPr>
                              <w:pStyle w:val="BOXHEADERBIG"/>
                              <w:rPr>
                                <w:rFonts w:cstheme="minorBidi"/>
                                <w:lang w:val="en-US"/>
                              </w:rPr>
                            </w:pPr>
                            <w:r w:rsidRPr="003A3913">
                              <w:rPr>
                                <w:lang w:val="en-US"/>
                              </w:rPr>
                              <w:t>SELF-REVIEW CHECKLIST</w:t>
                            </w:r>
                          </w:p>
                          <w:p w14:paraId="0214D9B7" w14:textId="77777777" w:rsidR="006504F6" w:rsidRPr="003A3913" w:rsidRDefault="006504F6" w:rsidP="00BD1B95">
                            <w:pPr>
                              <w:pStyle w:val="BOXSTYLE"/>
                              <w:spacing w:before="240" w:line="312" w:lineRule="auto"/>
                              <w:ind w:left="1008"/>
                              <w:rPr>
                                <w:sz w:val="24"/>
                                <w:szCs w:val="24"/>
                                <w:lang w:val="en-US"/>
                              </w:rPr>
                            </w:pPr>
                            <w:r w:rsidRPr="003A3913">
                              <w:rPr>
                                <w:sz w:val="24"/>
                                <w:szCs w:val="24"/>
                                <w:lang w:val="en-US"/>
                              </w:rPr>
                              <w:t>The purpose, objectives, and scope of the evaluation have been described.</w:t>
                            </w:r>
                          </w:p>
                          <w:p w14:paraId="74F0E871" w14:textId="77777777" w:rsidR="006504F6" w:rsidRPr="003A3913" w:rsidRDefault="006504F6" w:rsidP="00BD1B95">
                            <w:pPr>
                              <w:pStyle w:val="BOXSTYLE"/>
                              <w:spacing w:before="240" w:line="312" w:lineRule="auto"/>
                              <w:ind w:left="1008"/>
                              <w:rPr>
                                <w:sz w:val="24"/>
                                <w:szCs w:val="24"/>
                                <w:lang w:val="en-US"/>
                              </w:rPr>
                            </w:pPr>
                            <w:r w:rsidRPr="003A3913">
                              <w:rPr>
                                <w:sz w:val="24"/>
                                <w:szCs w:val="24"/>
                                <w:lang w:val="en-US"/>
                              </w:rPr>
                              <w:t>The cover page includes names of evaluators, key dates, and relevant organizations.</w:t>
                            </w:r>
                          </w:p>
                          <w:p w14:paraId="59122246" w14:textId="092F5802" w:rsidR="006504F6" w:rsidRPr="003A3913" w:rsidRDefault="006504F6" w:rsidP="00BD1B95">
                            <w:pPr>
                              <w:pStyle w:val="BOXSTYLE"/>
                              <w:spacing w:before="240" w:line="312" w:lineRule="auto"/>
                              <w:ind w:left="1008"/>
                              <w:rPr>
                                <w:sz w:val="24"/>
                                <w:szCs w:val="24"/>
                                <w:lang w:val="en-US"/>
                              </w:rPr>
                            </w:pPr>
                            <w:r w:rsidRPr="003A3913">
                              <w:rPr>
                                <w:sz w:val="24"/>
                                <w:szCs w:val="24"/>
                                <w:lang w:val="en-US"/>
                              </w:rPr>
                              <w:t>A</w:t>
                            </w:r>
                            <w:r w:rsidR="001F27AF" w:rsidRPr="003A3913">
                              <w:rPr>
                                <w:sz w:val="24"/>
                                <w:szCs w:val="24"/>
                                <w:lang w:val="en-US"/>
                              </w:rPr>
                              <w:t>ll</w:t>
                            </w:r>
                            <w:r w:rsidRPr="003A3913">
                              <w:rPr>
                                <w:sz w:val="24"/>
                                <w:szCs w:val="24"/>
                                <w:lang w:val="en-US"/>
                              </w:rPr>
                              <w:t xml:space="preserve"> key evaluation questions have been addressed.</w:t>
                            </w:r>
                          </w:p>
                          <w:p w14:paraId="27B9C580" w14:textId="124D0644" w:rsidR="006504F6" w:rsidRPr="003A3913" w:rsidRDefault="006504F6" w:rsidP="00BD1B95">
                            <w:pPr>
                              <w:pStyle w:val="BOXSTYLE"/>
                              <w:spacing w:before="240" w:line="312" w:lineRule="auto"/>
                              <w:ind w:left="1008"/>
                              <w:rPr>
                                <w:sz w:val="24"/>
                                <w:szCs w:val="24"/>
                                <w:lang w:val="en-US"/>
                              </w:rPr>
                            </w:pPr>
                            <w:r w:rsidRPr="003A3913">
                              <w:rPr>
                                <w:sz w:val="24"/>
                                <w:szCs w:val="24"/>
                                <w:lang w:val="en-US"/>
                              </w:rPr>
                              <w:t xml:space="preserve">Findings statements are complete and can stand on their own. </w:t>
                            </w:r>
                          </w:p>
                          <w:p w14:paraId="1CDA92D3" w14:textId="77777777" w:rsidR="006504F6" w:rsidRPr="003A3913" w:rsidRDefault="006504F6" w:rsidP="00BD1B95">
                            <w:pPr>
                              <w:pStyle w:val="BOXSTYLE"/>
                              <w:spacing w:before="240" w:line="312" w:lineRule="auto"/>
                              <w:ind w:left="1008"/>
                              <w:rPr>
                                <w:sz w:val="24"/>
                                <w:szCs w:val="24"/>
                                <w:lang w:val="en-US"/>
                              </w:rPr>
                            </w:pPr>
                            <w:r w:rsidRPr="003A3913">
                              <w:rPr>
                                <w:sz w:val="24"/>
                                <w:szCs w:val="24"/>
                                <w:lang w:val="en-US"/>
                              </w:rPr>
                              <w:t>Findings are substantiated with evidence triangulated from multiple sources.</w:t>
                            </w:r>
                          </w:p>
                          <w:p w14:paraId="083F5B88" w14:textId="77777777" w:rsidR="006504F6" w:rsidRPr="003A3913" w:rsidRDefault="006504F6" w:rsidP="00BD1B95">
                            <w:pPr>
                              <w:pStyle w:val="BOXSTYLE"/>
                              <w:spacing w:before="240" w:line="312" w:lineRule="auto"/>
                              <w:ind w:left="1008"/>
                              <w:rPr>
                                <w:sz w:val="24"/>
                                <w:szCs w:val="24"/>
                                <w:lang w:val="en-US"/>
                              </w:rPr>
                            </w:pPr>
                            <w:r w:rsidRPr="003A3913">
                              <w:rPr>
                                <w:sz w:val="24"/>
                                <w:szCs w:val="24"/>
                                <w:lang w:val="en-US"/>
                              </w:rPr>
                              <w:t>Conclusions are substantiated by evidence and logically connected to the findings.</w:t>
                            </w:r>
                          </w:p>
                          <w:p w14:paraId="01A730B3" w14:textId="77777777" w:rsidR="006504F6" w:rsidRPr="003A3913" w:rsidRDefault="006504F6" w:rsidP="00BD1B95">
                            <w:pPr>
                              <w:pStyle w:val="BOXSTYLE"/>
                              <w:spacing w:before="240" w:line="312" w:lineRule="auto"/>
                              <w:ind w:left="1008"/>
                              <w:rPr>
                                <w:sz w:val="24"/>
                                <w:szCs w:val="24"/>
                                <w:lang w:val="en-US"/>
                              </w:rPr>
                            </w:pPr>
                            <w:r w:rsidRPr="003A3913">
                              <w:rPr>
                                <w:sz w:val="24"/>
                                <w:szCs w:val="24"/>
                                <w:lang w:val="en-US"/>
                              </w:rPr>
                              <w:t>Recommendations are well grounded in the evaluation, logically derived from the findings and/or conclusions, are clear, realistic, and actionable.</w:t>
                            </w:r>
                          </w:p>
                          <w:p w14:paraId="0603F0AA" w14:textId="77777777" w:rsidR="006504F6" w:rsidRPr="003A3913" w:rsidRDefault="006504F6" w:rsidP="00BD1B95">
                            <w:pPr>
                              <w:pStyle w:val="BOXSTYLE"/>
                              <w:spacing w:before="240" w:line="312" w:lineRule="auto"/>
                              <w:ind w:left="1008"/>
                              <w:rPr>
                                <w:sz w:val="24"/>
                                <w:szCs w:val="24"/>
                                <w:lang w:val="en-US"/>
                              </w:rPr>
                            </w:pPr>
                            <w:r w:rsidRPr="003A3913">
                              <w:rPr>
                                <w:sz w:val="24"/>
                                <w:szCs w:val="24"/>
                                <w:lang w:val="en-US"/>
                              </w:rPr>
                              <w:t>Lessons learned stem logically from the findings, comprise the new knowledge gained that is applicable to and useful in other similar contexts.</w:t>
                            </w:r>
                          </w:p>
                          <w:p w14:paraId="60344E9F" w14:textId="77777777" w:rsidR="006504F6" w:rsidRPr="003A3913" w:rsidRDefault="006504F6" w:rsidP="00BD1B95">
                            <w:pPr>
                              <w:pStyle w:val="BOXSTYLE"/>
                              <w:spacing w:before="240" w:line="312" w:lineRule="auto"/>
                              <w:ind w:left="1008"/>
                              <w:rPr>
                                <w:sz w:val="24"/>
                                <w:szCs w:val="24"/>
                                <w:lang w:val="en-US"/>
                              </w:rPr>
                            </w:pPr>
                            <w:r w:rsidRPr="003A3913">
                              <w:rPr>
                                <w:sz w:val="24"/>
                                <w:szCs w:val="24"/>
                                <w:lang w:val="en-US"/>
                              </w:rPr>
                              <w:t>Required Annexes as per GERAAS guidelines are included.</w:t>
                            </w:r>
                          </w:p>
                          <w:p w14:paraId="51B91D2F" w14:textId="77777777" w:rsidR="006504F6" w:rsidRPr="003A3913" w:rsidRDefault="006504F6" w:rsidP="00BD1B95">
                            <w:pPr>
                              <w:pStyle w:val="BOXSTYLE"/>
                              <w:spacing w:before="240" w:line="312" w:lineRule="auto"/>
                              <w:ind w:left="1008"/>
                              <w:rPr>
                                <w:sz w:val="24"/>
                                <w:szCs w:val="24"/>
                                <w:lang w:val="en-US"/>
                              </w:rPr>
                            </w:pPr>
                            <w:r w:rsidRPr="003A3913">
                              <w:rPr>
                                <w:sz w:val="24"/>
                                <w:szCs w:val="24"/>
                                <w:lang w:val="en-US"/>
                              </w:rPr>
                              <w:t>Information on data collection includes disaggregated data by sex.</w:t>
                            </w:r>
                          </w:p>
                          <w:p w14:paraId="45A1727C" w14:textId="528FB115" w:rsidR="006504F6" w:rsidRPr="003A3913" w:rsidRDefault="006504F6" w:rsidP="00BD1B95">
                            <w:pPr>
                              <w:pStyle w:val="BOXSTYLE"/>
                              <w:spacing w:before="240" w:line="312" w:lineRule="auto"/>
                              <w:ind w:left="1008"/>
                              <w:rPr>
                                <w:sz w:val="24"/>
                                <w:szCs w:val="24"/>
                                <w:lang w:val="en-US"/>
                              </w:rPr>
                            </w:pPr>
                            <w:r w:rsidRPr="003A3913">
                              <w:rPr>
                                <w:sz w:val="24"/>
                                <w:szCs w:val="24"/>
                                <w:lang w:val="en-US"/>
                              </w:rPr>
                              <w:t>A</w:t>
                            </w:r>
                            <w:r w:rsidR="00096FB1" w:rsidRPr="003A3913">
                              <w:rPr>
                                <w:sz w:val="24"/>
                                <w:szCs w:val="24"/>
                                <w:lang w:val="en-US"/>
                              </w:rPr>
                              <w:t>ll</w:t>
                            </w:r>
                            <w:r w:rsidRPr="003A3913">
                              <w:rPr>
                                <w:sz w:val="24"/>
                                <w:szCs w:val="24"/>
                                <w:lang w:val="en-US"/>
                              </w:rPr>
                              <w:t xml:space="preserve"> figures, tables, graphs, and boxes are properly presented with sources and referenced in-text.</w:t>
                            </w:r>
                          </w:p>
                          <w:p w14:paraId="5DB1D3CA" w14:textId="77777777" w:rsidR="006504F6" w:rsidRPr="003A3913" w:rsidRDefault="006504F6" w:rsidP="00BD1B95">
                            <w:pPr>
                              <w:pStyle w:val="BOXSTYLE"/>
                              <w:spacing w:before="240" w:line="312" w:lineRule="auto"/>
                              <w:ind w:left="1008"/>
                              <w:rPr>
                                <w:sz w:val="24"/>
                                <w:szCs w:val="24"/>
                                <w:lang w:val="en-US"/>
                              </w:rPr>
                            </w:pPr>
                            <w:r w:rsidRPr="003A3913">
                              <w:rPr>
                                <w:sz w:val="24"/>
                                <w:szCs w:val="24"/>
                                <w:lang w:val="en-US"/>
                              </w:rPr>
                              <w:t>Values are presented as both numbers and percentages, where applicable.</w:t>
                            </w:r>
                          </w:p>
                          <w:p w14:paraId="0A16D6EF" w14:textId="77777777" w:rsidR="006504F6" w:rsidRPr="003A3913" w:rsidRDefault="006504F6" w:rsidP="00BD1B95">
                            <w:pPr>
                              <w:pStyle w:val="BOXSTYLE"/>
                              <w:spacing w:before="240" w:line="312" w:lineRule="auto"/>
                              <w:ind w:left="1008"/>
                              <w:rPr>
                                <w:sz w:val="24"/>
                                <w:szCs w:val="24"/>
                                <w:lang w:val="en-US"/>
                              </w:rPr>
                            </w:pPr>
                            <w:r w:rsidRPr="003A3913">
                              <w:rPr>
                                <w:sz w:val="24"/>
                                <w:szCs w:val="24"/>
                                <w:lang w:val="en-US"/>
                              </w:rPr>
                              <w:t>Acronyms have been spelled out and only included when required.</w:t>
                            </w:r>
                          </w:p>
                          <w:p w14:paraId="29404D8A" w14:textId="3676913B" w:rsidR="006504F6" w:rsidRPr="003A3913" w:rsidRDefault="006504F6" w:rsidP="00BD1B95">
                            <w:pPr>
                              <w:pStyle w:val="BOXSTYLE"/>
                              <w:spacing w:before="240" w:line="312" w:lineRule="auto"/>
                              <w:ind w:left="1008"/>
                              <w:rPr>
                                <w:sz w:val="24"/>
                                <w:szCs w:val="24"/>
                                <w:lang w:val="en-US"/>
                              </w:rPr>
                            </w:pPr>
                            <w:r w:rsidRPr="003A3913">
                              <w:rPr>
                                <w:sz w:val="24"/>
                                <w:szCs w:val="24"/>
                                <w:lang w:val="en-US"/>
                              </w:rPr>
                              <w:t>The evaluation report is 25,000 words or less, including footnotes</w:t>
                            </w:r>
                            <w:r w:rsidR="001469FF" w:rsidRPr="003A3913">
                              <w:rPr>
                                <w:sz w:val="24"/>
                                <w:szCs w:val="24"/>
                                <w:lang w:val="en-US"/>
                              </w:rPr>
                              <w:t xml:space="preserve"> and Executive Summary</w:t>
                            </w:r>
                            <w:r w:rsidRPr="003A3913">
                              <w:rPr>
                                <w:sz w:val="24"/>
                                <w:szCs w:val="24"/>
                                <w:lang w:val="en-US"/>
                              </w:rPr>
                              <w:t>.</w:t>
                            </w:r>
                          </w:p>
                          <w:p w14:paraId="22EB823F" w14:textId="77777777" w:rsidR="006504F6" w:rsidRPr="003A3913" w:rsidRDefault="006504F6" w:rsidP="00BD1B95">
                            <w:pPr>
                              <w:pStyle w:val="BOXSTYLE"/>
                              <w:spacing w:before="240" w:line="312" w:lineRule="auto"/>
                              <w:ind w:left="1008"/>
                              <w:rPr>
                                <w:sz w:val="24"/>
                                <w:szCs w:val="24"/>
                                <w:lang w:val="en-US"/>
                              </w:rPr>
                            </w:pPr>
                            <w:r w:rsidRPr="003A3913">
                              <w:rPr>
                                <w:sz w:val="24"/>
                                <w:szCs w:val="24"/>
                                <w:lang w:val="en-US"/>
                              </w:rPr>
                              <w:t>Footnotes have been reviewed for proper citations.</w:t>
                            </w:r>
                          </w:p>
                          <w:p w14:paraId="0875A333" w14:textId="3524F5B0" w:rsidR="006947FB" w:rsidRPr="003A3913" w:rsidRDefault="006947FB" w:rsidP="00BD1B95">
                            <w:pPr>
                              <w:pStyle w:val="BOXSTYLE"/>
                              <w:spacing w:before="240" w:line="312" w:lineRule="auto"/>
                              <w:ind w:left="1008"/>
                              <w:rPr>
                                <w:sz w:val="24"/>
                                <w:szCs w:val="24"/>
                                <w:lang w:val="en-US"/>
                              </w:rPr>
                            </w:pPr>
                            <w:r w:rsidRPr="003A3913">
                              <w:rPr>
                                <w:sz w:val="24"/>
                                <w:szCs w:val="24"/>
                                <w:lang w:val="en-US"/>
                              </w:rPr>
                              <w:t xml:space="preserve"> </w:t>
                            </w:r>
                            <w:r w:rsidR="0034367C" w:rsidRPr="003A3913">
                              <w:rPr>
                                <w:sz w:val="24"/>
                                <w:szCs w:val="24"/>
                                <w:lang w:val="en-US"/>
                              </w:rPr>
                              <w:t xml:space="preserve">Checklist </w:t>
                            </w:r>
                            <w:r w:rsidR="0000422E" w:rsidRPr="003A3913">
                              <w:rPr>
                                <w:sz w:val="24"/>
                                <w:szCs w:val="24"/>
                                <w:lang w:val="en-US"/>
                              </w:rPr>
                              <w:t>completed by</w:t>
                            </w:r>
                            <w:r w:rsidR="007E7F4E" w:rsidRPr="003A3913">
                              <w:rPr>
                                <w:sz w:val="24"/>
                                <w:szCs w:val="24"/>
                                <w:lang w:val="en-US"/>
                              </w:rPr>
                              <w:t xml:space="preserve"> </w:t>
                            </w:r>
                            <w:r w:rsidRPr="003A3913">
                              <w:rPr>
                                <w:sz w:val="24"/>
                                <w:szCs w:val="24"/>
                                <w:lang w:val="en-US"/>
                              </w:rPr>
                              <w:t>Team Leader:</w:t>
                            </w:r>
                            <w:r w:rsidR="0095495F" w:rsidRPr="003A3913">
                              <w:rPr>
                                <w:sz w:val="24"/>
                                <w:szCs w:val="24"/>
                                <w:lang w:val="en-US"/>
                              </w:rPr>
                              <w:t xml:space="preserve"> Violeta Leiva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513D8" id="Text Box 1" o:spid="_x0000_s1028" type="#_x0000_t202" style="position:absolute;left:0;text-align:left;margin-left:3.6pt;margin-top:10.8pt;width:466.2pt;height:677.8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" fillcolor="#009cdb" stroked="f" strokeweight=".5pt">
                <v:textbox>
                  <w:txbxContent>
                    <w:p w14:paraId="072BBEFF" w14:textId="77777777" w:rsidR="006504F6" w:rsidRPr="00F754EF" w:rsidRDefault="006504F6" w:rsidP="00BD1B95"/>
                    <w:p w14:paraId="3B09CD46" w14:textId="210AAE1F" w:rsidR="006504F6" w:rsidRPr="003A3913" w:rsidRDefault="006504F6" w:rsidP="00BD1B95">
                      <w:pPr>
                        <w:pStyle w:val="BOXHEADERBIG"/>
                        <w:rPr>
                          <w:rFonts w:cstheme="minorBidi"/>
                          <w:lang w:val="en-US"/>
                        </w:rPr>
                      </w:pPr>
                      <w:r w:rsidRPr="003A3913">
                        <w:rPr>
                          <w:lang w:val="en-US"/>
                        </w:rPr>
                        <w:t>SELF-REVIEW CHECKLIST</w:t>
                      </w:r>
                    </w:p>
                    <w:p w14:paraId="0214D9B7" w14:textId="77777777" w:rsidR="006504F6" w:rsidRPr="003A3913" w:rsidRDefault="006504F6" w:rsidP="00BD1B95">
                      <w:pPr>
                        <w:pStyle w:val="BOXSTYLE"/>
                        <w:spacing w:before="240" w:line="312" w:lineRule="auto"/>
                        <w:ind w:left="1008"/>
                        <w:rPr>
                          <w:sz w:val="24"/>
                          <w:szCs w:val="24"/>
                          <w:lang w:val="en-US"/>
                        </w:rPr>
                      </w:pPr>
                      <w:r w:rsidRPr="003A3913">
                        <w:rPr>
                          <w:sz w:val="24"/>
                          <w:szCs w:val="24"/>
                          <w:lang w:val="en-US"/>
                        </w:rPr>
                        <w:t>The purpose, objectives, and scope of the evaluation have been described.</w:t>
                      </w:r>
                    </w:p>
                    <w:p w14:paraId="74F0E871" w14:textId="77777777" w:rsidR="006504F6" w:rsidRPr="003A3913" w:rsidRDefault="006504F6" w:rsidP="00BD1B95">
                      <w:pPr>
                        <w:pStyle w:val="BOXSTYLE"/>
                        <w:spacing w:before="240" w:line="312" w:lineRule="auto"/>
                        <w:ind w:left="1008"/>
                        <w:rPr>
                          <w:sz w:val="24"/>
                          <w:szCs w:val="24"/>
                          <w:lang w:val="en-US"/>
                        </w:rPr>
                      </w:pPr>
                      <w:r w:rsidRPr="003A3913">
                        <w:rPr>
                          <w:sz w:val="24"/>
                          <w:szCs w:val="24"/>
                          <w:lang w:val="en-US"/>
                        </w:rPr>
                        <w:t>The cover page includes names of evaluators, key dates, and relevant organizations.</w:t>
                      </w:r>
                    </w:p>
                    <w:p w14:paraId="59122246" w14:textId="092F5802" w:rsidR="006504F6" w:rsidRPr="003A3913" w:rsidRDefault="006504F6" w:rsidP="00BD1B95">
                      <w:pPr>
                        <w:pStyle w:val="BOXSTYLE"/>
                        <w:spacing w:before="240" w:line="312" w:lineRule="auto"/>
                        <w:ind w:left="1008"/>
                        <w:rPr>
                          <w:sz w:val="24"/>
                          <w:szCs w:val="24"/>
                          <w:lang w:val="en-US"/>
                        </w:rPr>
                      </w:pPr>
                      <w:r w:rsidRPr="003A3913">
                        <w:rPr>
                          <w:sz w:val="24"/>
                          <w:szCs w:val="24"/>
                          <w:lang w:val="en-US"/>
                        </w:rPr>
                        <w:t>A</w:t>
                      </w:r>
                      <w:r w:rsidR="001F27AF" w:rsidRPr="003A3913">
                        <w:rPr>
                          <w:sz w:val="24"/>
                          <w:szCs w:val="24"/>
                          <w:lang w:val="en-US"/>
                        </w:rPr>
                        <w:t>ll</w:t>
                      </w:r>
                      <w:r w:rsidRPr="003A3913">
                        <w:rPr>
                          <w:sz w:val="24"/>
                          <w:szCs w:val="24"/>
                          <w:lang w:val="en-US"/>
                        </w:rPr>
                        <w:t xml:space="preserve"> key evaluation questions have been addressed.</w:t>
                      </w:r>
                    </w:p>
                    <w:p w14:paraId="27B9C580" w14:textId="124D0644" w:rsidR="006504F6" w:rsidRPr="003A3913" w:rsidRDefault="006504F6" w:rsidP="00BD1B95">
                      <w:pPr>
                        <w:pStyle w:val="BOXSTYLE"/>
                        <w:spacing w:before="240" w:line="312" w:lineRule="auto"/>
                        <w:ind w:left="1008"/>
                        <w:rPr>
                          <w:sz w:val="24"/>
                          <w:szCs w:val="24"/>
                          <w:lang w:val="en-US"/>
                        </w:rPr>
                      </w:pPr>
                      <w:r w:rsidRPr="003A3913">
                        <w:rPr>
                          <w:sz w:val="24"/>
                          <w:szCs w:val="24"/>
                          <w:lang w:val="en-US"/>
                        </w:rPr>
                        <w:t xml:space="preserve">Findings statements are complete and can stand on their own. </w:t>
                      </w:r>
                    </w:p>
                    <w:p w14:paraId="1CDA92D3" w14:textId="77777777" w:rsidR="006504F6" w:rsidRPr="003A3913" w:rsidRDefault="006504F6" w:rsidP="00BD1B95">
                      <w:pPr>
                        <w:pStyle w:val="BOXSTYLE"/>
                        <w:spacing w:before="240" w:line="312" w:lineRule="auto"/>
                        <w:ind w:left="1008"/>
                        <w:rPr>
                          <w:sz w:val="24"/>
                          <w:szCs w:val="24"/>
                          <w:lang w:val="en-US"/>
                        </w:rPr>
                      </w:pPr>
                      <w:r w:rsidRPr="003A3913">
                        <w:rPr>
                          <w:sz w:val="24"/>
                          <w:szCs w:val="24"/>
                          <w:lang w:val="en-US"/>
                        </w:rPr>
                        <w:t>Findings are substantiated with evidence triangulated from multiple sources.</w:t>
                      </w:r>
                    </w:p>
                    <w:p w14:paraId="083F5B88" w14:textId="77777777" w:rsidR="006504F6" w:rsidRPr="003A3913" w:rsidRDefault="006504F6" w:rsidP="00BD1B95">
                      <w:pPr>
                        <w:pStyle w:val="BOXSTYLE"/>
                        <w:spacing w:before="240" w:line="312" w:lineRule="auto"/>
                        <w:ind w:left="1008"/>
                        <w:rPr>
                          <w:sz w:val="24"/>
                          <w:szCs w:val="24"/>
                          <w:lang w:val="en-US"/>
                        </w:rPr>
                      </w:pPr>
                      <w:r w:rsidRPr="003A3913">
                        <w:rPr>
                          <w:sz w:val="24"/>
                          <w:szCs w:val="24"/>
                          <w:lang w:val="en-US"/>
                        </w:rPr>
                        <w:t>Conclusions are substantiated by evidence and logically connected to the findings.</w:t>
                      </w:r>
                    </w:p>
                    <w:p w14:paraId="01A730B3" w14:textId="77777777" w:rsidR="006504F6" w:rsidRPr="003A3913" w:rsidRDefault="006504F6" w:rsidP="00BD1B95">
                      <w:pPr>
                        <w:pStyle w:val="BOXSTYLE"/>
                        <w:spacing w:before="240" w:line="312" w:lineRule="auto"/>
                        <w:ind w:left="1008"/>
                        <w:rPr>
                          <w:sz w:val="24"/>
                          <w:szCs w:val="24"/>
                          <w:lang w:val="en-US"/>
                        </w:rPr>
                      </w:pPr>
                      <w:r w:rsidRPr="003A3913">
                        <w:rPr>
                          <w:sz w:val="24"/>
                          <w:szCs w:val="24"/>
                          <w:lang w:val="en-US"/>
                        </w:rPr>
                        <w:t>Recommendations are well grounded in the evaluation, logically derived from the findings and/or conclusions, are clear, realistic, and actionable.</w:t>
                      </w:r>
                    </w:p>
                    <w:p w14:paraId="0603F0AA" w14:textId="77777777" w:rsidR="006504F6" w:rsidRPr="003A3913" w:rsidRDefault="006504F6" w:rsidP="00BD1B95">
                      <w:pPr>
                        <w:pStyle w:val="BOXSTYLE"/>
                        <w:spacing w:before="240" w:line="312" w:lineRule="auto"/>
                        <w:ind w:left="1008"/>
                        <w:rPr>
                          <w:sz w:val="24"/>
                          <w:szCs w:val="24"/>
                          <w:lang w:val="en-US"/>
                        </w:rPr>
                      </w:pPr>
                      <w:r w:rsidRPr="003A3913">
                        <w:rPr>
                          <w:sz w:val="24"/>
                          <w:szCs w:val="24"/>
                          <w:lang w:val="en-US"/>
                        </w:rPr>
                        <w:t>Lessons learned stem logically from the findings, comprise the new knowledge gained that is applicable to and useful in other similar contexts.</w:t>
                      </w:r>
                    </w:p>
                    <w:p w14:paraId="60344E9F" w14:textId="77777777" w:rsidR="006504F6" w:rsidRPr="003A3913" w:rsidRDefault="006504F6" w:rsidP="00BD1B95">
                      <w:pPr>
                        <w:pStyle w:val="BOXSTYLE"/>
                        <w:spacing w:before="240" w:line="312" w:lineRule="auto"/>
                        <w:ind w:left="1008"/>
                        <w:rPr>
                          <w:sz w:val="24"/>
                          <w:szCs w:val="24"/>
                          <w:lang w:val="en-US"/>
                        </w:rPr>
                      </w:pPr>
                      <w:r w:rsidRPr="003A3913">
                        <w:rPr>
                          <w:sz w:val="24"/>
                          <w:szCs w:val="24"/>
                          <w:lang w:val="en-US"/>
                        </w:rPr>
                        <w:t>Required Annexes as per GERAAS guidelines are included.</w:t>
                      </w:r>
                    </w:p>
                    <w:p w14:paraId="51B91D2F" w14:textId="77777777" w:rsidR="006504F6" w:rsidRPr="003A3913" w:rsidRDefault="006504F6" w:rsidP="00BD1B95">
                      <w:pPr>
                        <w:pStyle w:val="BOXSTYLE"/>
                        <w:spacing w:before="240" w:line="312" w:lineRule="auto"/>
                        <w:ind w:left="1008"/>
                        <w:rPr>
                          <w:sz w:val="24"/>
                          <w:szCs w:val="24"/>
                          <w:lang w:val="en-US"/>
                        </w:rPr>
                      </w:pPr>
                      <w:r w:rsidRPr="003A3913">
                        <w:rPr>
                          <w:sz w:val="24"/>
                          <w:szCs w:val="24"/>
                          <w:lang w:val="en-US"/>
                        </w:rPr>
                        <w:t>Information on data collection includes disaggregated data by sex.</w:t>
                      </w:r>
                    </w:p>
                    <w:p w14:paraId="45A1727C" w14:textId="528FB115" w:rsidR="006504F6" w:rsidRPr="003A3913" w:rsidRDefault="006504F6" w:rsidP="00BD1B95">
                      <w:pPr>
                        <w:pStyle w:val="BOXSTYLE"/>
                        <w:spacing w:before="240" w:line="312" w:lineRule="auto"/>
                        <w:ind w:left="1008"/>
                        <w:rPr>
                          <w:sz w:val="24"/>
                          <w:szCs w:val="24"/>
                          <w:lang w:val="en-US"/>
                        </w:rPr>
                      </w:pPr>
                      <w:r w:rsidRPr="003A3913">
                        <w:rPr>
                          <w:sz w:val="24"/>
                          <w:szCs w:val="24"/>
                          <w:lang w:val="en-US"/>
                        </w:rPr>
                        <w:t>A</w:t>
                      </w:r>
                      <w:r w:rsidR="00096FB1" w:rsidRPr="003A3913">
                        <w:rPr>
                          <w:sz w:val="24"/>
                          <w:szCs w:val="24"/>
                          <w:lang w:val="en-US"/>
                        </w:rPr>
                        <w:t>ll</w:t>
                      </w:r>
                      <w:r w:rsidRPr="003A3913">
                        <w:rPr>
                          <w:sz w:val="24"/>
                          <w:szCs w:val="24"/>
                          <w:lang w:val="en-US"/>
                        </w:rPr>
                        <w:t xml:space="preserve"> figures, tables, graphs, and boxes are properly presented with sources and referenced in-text.</w:t>
                      </w:r>
                    </w:p>
                    <w:p w14:paraId="5DB1D3CA" w14:textId="77777777" w:rsidR="006504F6" w:rsidRPr="003A3913" w:rsidRDefault="006504F6" w:rsidP="00BD1B95">
                      <w:pPr>
                        <w:pStyle w:val="BOXSTYLE"/>
                        <w:spacing w:before="240" w:line="312" w:lineRule="auto"/>
                        <w:ind w:left="1008"/>
                        <w:rPr>
                          <w:sz w:val="24"/>
                          <w:szCs w:val="24"/>
                          <w:lang w:val="en-US"/>
                        </w:rPr>
                      </w:pPr>
                      <w:r w:rsidRPr="003A3913">
                        <w:rPr>
                          <w:sz w:val="24"/>
                          <w:szCs w:val="24"/>
                          <w:lang w:val="en-US"/>
                        </w:rPr>
                        <w:t>Values are presented as both numbers and percentages, where applicable.</w:t>
                      </w:r>
                    </w:p>
                    <w:p w14:paraId="0A16D6EF" w14:textId="77777777" w:rsidR="006504F6" w:rsidRPr="003A3913" w:rsidRDefault="006504F6" w:rsidP="00BD1B95">
                      <w:pPr>
                        <w:pStyle w:val="BOXSTYLE"/>
                        <w:spacing w:before="240" w:line="312" w:lineRule="auto"/>
                        <w:ind w:left="1008"/>
                        <w:rPr>
                          <w:sz w:val="24"/>
                          <w:szCs w:val="24"/>
                          <w:lang w:val="en-US"/>
                        </w:rPr>
                      </w:pPr>
                      <w:r w:rsidRPr="003A3913">
                        <w:rPr>
                          <w:sz w:val="24"/>
                          <w:szCs w:val="24"/>
                          <w:lang w:val="en-US"/>
                        </w:rPr>
                        <w:t>Acronyms have been spelled out and only included when required.</w:t>
                      </w:r>
                    </w:p>
                    <w:p w14:paraId="29404D8A" w14:textId="3676913B" w:rsidR="006504F6" w:rsidRPr="003A3913" w:rsidRDefault="006504F6" w:rsidP="00BD1B95">
                      <w:pPr>
                        <w:pStyle w:val="BOXSTYLE"/>
                        <w:spacing w:before="240" w:line="312" w:lineRule="auto"/>
                        <w:ind w:left="1008"/>
                        <w:rPr>
                          <w:sz w:val="24"/>
                          <w:szCs w:val="24"/>
                          <w:lang w:val="en-US"/>
                        </w:rPr>
                      </w:pPr>
                      <w:r w:rsidRPr="003A3913">
                        <w:rPr>
                          <w:sz w:val="24"/>
                          <w:szCs w:val="24"/>
                          <w:lang w:val="en-US"/>
                        </w:rPr>
                        <w:t>The evaluation report is 25,000 words or less, including footnotes</w:t>
                      </w:r>
                      <w:r w:rsidR="001469FF" w:rsidRPr="003A3913">
                        <w:rPr>
                          <w:sz w:val="24"/>
                          <w:szCs w:val="24"/>
                          <w:lang w:val="en-US"/>
                        </w:rPr>
                        <w:t xml:space="preserve"> and Executive Summary</w:t>
                      </w:r>
                      <w:r w:rsidRPr="003A3913">
                        <w:rPr>
                          <w:sz w:val="24"/>
                          <w:szCs w:val="24"/>
                          <w:lang w:val="en-US"/>
                        </w:rPr>
                        <w:t>.</w:t>
                      </w:r>
                    </w:p>
                    <w:p w14:paraId="22EB823F" w14:textId="77777777" w:rsidR="006504F6" w:rsidRPr="003A3913" w:rsidRDefault="006504F6" w:rsidP="00BD1B95">
                      <w:pPr>
                        <w:pStyle w:val="BOXSTYLE"/>
                        <w:spacing w:before="240" w:line="312" w:lineRule="auto"/>
                        <w:ind w:left="1008"/>
                        <w:rPr>
                          <w:sz w:val="24"/>
                          <w:szCs w:val="24"/>
                          <w:lang w:val="en-US"/>
                        </w:rPr>
                      </w:pPr>
                      <w:r w:rsidRPr="003A3913">
                        <w:rPr>
                          <w:sz w:val="24"/>
                          <w:szCs w:val="24"/>
                          <w:lang w:val="en-US"/>
                        </w:rPr>
                        <w:t>Footnotes have been reviewed for proper citations.</w:t>
                      </w:r>
                    </w:p>
                    <w:p w14:paraId="0875A333" w14:textId="3524F5B0" w:rsidR="006947FB" w:rsidRPr="003A3913" w:rsidRDefault="006947FB" w:rsidP="00BD1B95">
                      <w:pPr>
                        <w:pStyle w:val="BOXSTYLE"/>
                        <w:spacing w:before="240" w:line="312" w:lineRule="auto"/>
                        <w:ind w:left="1008"/>
                        <w:rPr>
                          <w:sz w:val="24"/>
                          <w:szCs w:val="24"/>
                          <w:lang w:val="en-US"/>
                        </w:rPr>
                      </w:pPr>
                      <w:r w:rsidRPr="003A3913">
                        <w:rPr>
                          <w:sz w:val="24"/>
                          <w:szCs w:val="24"/>
                          <w:lang w:val="en-US"/>
                        </w:rPr>
                        <w:t xml:space="preserve"> </w:t>
                      </w:r>
                      <w:r w:rsidR="0034367C" w:rsidRPr="003A3913">
                        <w:rPr>
                          <w:sz w:val="24"/>
                          <w:szCs w:val="24"/>
                          <w:lang w:val="en-US"/>
                        </w:rPr>
                        <w:t xml:space="preserve">Checklist </w:t>
                      </w:r>
                      <w:r w:rsidR="0000422E" w:rsidRPr="003A3913">
                        <w:rPr>
                          <w:sz w:val="24"/>
                          <w:szCs w:val="24"/>
                          <w:lang w:val="en-US"/>
                        </w:rPr>
                        <w:t>completed by</w:t>
                      </w:r>
                      <w:r w:rsidR="007E7F4E" w:rsidRPr="003A3913">
                        <w:rPr>
                          <w:sz w:val="24"/>
                          <w:szCs w:val="24"/>
                          <w:lang w:val="en-US"/>
                        </w:rPr>
                        <w:t xml:space="preserve"> </w:t>
                      </w:r>
                      <w:r w:rsidRPr="003A3913">
                        <w:rPr>
                          <w:sz w:val="24"/>
                          <w:szCs w:val="24"/>
                          <w:lang w:val="en-US"/>
                        </w:rPr>
                        <w:t>Team Leader:</w:t>
                      </w:r>
                      <w:r w:rsidR="0095495F" w:rsidRPr="003A3913">
                        <w:rPr>
                          <w:sz w:val="24"/>
                          <w:szCs w:val="24"/>
                          <w:lang w:val="en-US"/>
                        </w:rPr>
                        <w:t xml:space="preserve"> Violeta Leiva</w:t>
                      </w:r>
                    </w:p>
                  </w:txbxContent>
                </v:textbox>
              </v:shape>
            </w:pict>
          </mc:Fallback>
        </mc:AlternateContent>
      </w:r>
    </w:p>
    <w:p w14:paraId="3042B95A" w14:textId="3595BFE3" w:rsidR="006504F6" w:rsidRPr="00F754EF" w:rsidRDefault="006504F6" w:rsidP="005831BD">
      <w:pPr>
        <w:pStyle w:val="TITLEPAGEHEADER"/>
        <w:spacing w:line="240" w:lineRule="auto"/>
        <w:rPr>
          <w:rFonts w:ascii="Aptos Display" w:hAnsi="Aptos Display"/>
          <w:sz w:val="48"/>
          <w:szCs w:val="24"/>
        </w:rPr>
      </w:pPr>
      <w:r w:rsidRPr="00F754EF">
        <w:rPr>
          <w:sz w:val="48"/>
          <w:szCs w:val="24"/>
        </w:rPr>
        <w:br w:type="column"/>
      </w:r>
      <w:r w:rsidRPr="00F754EF">
        <w:rPr>
          <w:rFonts w:ascii="Aptos Display" w:hAnsi="Aptos Display"/>
        </w:rPr>
        <w:lastRenderedPageBreak/>
        <w:t>REPORT</w:t>
      </w:r>
      <w:r w:rsidR="00EA0C87" w:rsidRPr="00F754EF">
        <w:rPr>
          <w:rFonts w:ascii="Aptos Display" w:hAnsi="Aptos Display"/>
        </w:rPr>
        <w:t>E DE EVALUACIÓN</w:t>
      </w:r>
    </w:p>
    <w:p w14:paraId="0ACD8E16" w14:textId="1FCCAFBB" w:rsidR="006504F6" w:rsidRPr="00F754EF" w:rsidRDefault="0008656D" w:rsidP="005831BD">
      <w:pPr>
        <w:pStyle w:val="TITLEPAGEHEADER"/>
        <w:spacing w:line="240" w:lineRule="auto"/>
        <w:rPr>
          <w:rFonts w:asciiTheme="minorHAnsi" w:hAnsiTheme="minorHAnsi" w:cstheme="minorHAnsi"/>
          <w:b/>
          <w:bCs/>
          <w:sz w:val="48"/>
          <w:szCs w:val="48"/>
          <w:u w:val="none"/>
        </w:rPr>
      </w:pPr>
      <w:r w:rsidRPr="00F754EF">
        <w:rPr>
          <w:rFonts w:asciiTheme="minorHAnsi" w:hAnsiTheme="minorHAnsi" w:cstheme="minorHAnsi"/>
          <w:b/>
          <w:bCs/>
          <w:sz w:val="48"/>
          <w:szCs w:val="48"/>
          <w:u w:val="none"/>
        </w:rPr>
        <w:t>EVALUA</w:t>
      </w:r>
      <w:r w:rsidR="00EA0C87" w:rsidRPr="00F754EF">
        <w:rPr>
          <w:rFonts w:asciiTheme="minorHAnsi" w:hAnsiTheme="minorHAnsi" w:cstheme="minorHAnsi"/>
          <w:b/>
          <w:bCs/>
          <w:sz w:val="48"/>
          <w:szCs w:val="48"/>
          <w:u w:val="none"/>
        </w:rPr>
        <w:t xml:space="preserve">CION FINAL </w:t>
      </w:r>
      <w:r w:rsidR="00C06223" w:rsidRPr="00F754EF">
        <w:rPr>
          <w:rFonts w:asciiTheme="minorHAnsi" w:hAnsiTheme="minorHAnsi" w:cstheme="minorHAnsi"/>
          <w:b/>
          <w:bCs/>
          <w:sz w:val="48"/>
          <w:szCs w:val="48"/>
          <w:u w:val="none"/>
        </w:rPr>
        <w:t xml:space="preserve">NOTA ESTRATÉGICA </w:t>
      </w:r>
      <w:r w:rsidRPr="00F754EF">
        <w:rPr>
          <w:rFonts w:asciiTheme="minorHAnsi" w:hAnsiTheme="minorHAnsi" w:cstheme="minorHAnsi"/>
          <w:b/>
          <w:bCs/>
          <w:sz w:val="48"/>
          <w:szCs w:val="48"/>
          <w:u w:val="none"/>
        </w:rPr>
        <w:t>2023–2026</w:t>
      </w:r>
      <w:r w:rsidR="00C06223" w:rsidRPr="00F754EF">
        <w:rPr>
          <w:rFonts w:asciiTheme="minorHAnsi" w:hAnsiTheme="minorHAnsi" w:cstheme="minorHAnsi"/>
          <w:b/>
          <w:bCs/>
          <w:sz w:val="48"/>
          <w:szCs w:val="48"/>
          <w:u w:val="none"/>
        </w:rPr>
        <w:t xml:space="preserve"> (ONU MUJERES ECUADOR)</w:t>
      </w:r>
    </w:p>
    <w:p w14:paraId="0AD0940C" w14:textId="53682615" w:rsidR="006504F6" w:rsidRPr="00F754EF" w:rsidRDefault="006504F6" w:rsidP="005831BD">
      <w:pPr>
        <w:spacing w:line="240" w:lineRule="auto"/>
      </w:pPr>
    </w:p>
    <w:p w14:paraId="7ECC50B8" w14:textId="415A42D9" w:rsidR="006504F6" w:rsidRPr="00F754EF" w:rsidRDefault="00072B48" w:rsidP="005831BD">
      <w:pPr>
        <w:spacing w:line="240" w:lineRule="auto"/>
      </w:pPr>
      <w:r w:rsidRPr="00F754EF">
        <w:rPr>
          <w:caps/>
          <w:noProof/>
        </w:rPr>
        <w:drawing>
          <wp:anchor distT="0" distB="0" distL="114300" distR="114300" simplePos="0" relativeHeight="251658245" behindDoc="0" locked="0" layoutInCell="1" allowOverlap="1" wp14:anchorId="051A8CF6" wp14:editId="1CFF6C75">
            <wp:simplePos x="0" y="0"/>
            <wp:positionH relativeFrom="page">
              <wp:posOffset>675005</wp:posOffset>
            </wp:positionH>
            <wp:positionV relativeFrom="page">
              <wp:posOffset>2854496</wp:posOffset>
            </wp:positionV>
            <wp:extent cx="1151255" cy="708025"/>
            <wp:effectExtent l="0" t="0" r="4445" b="3175"/>
            <wp:wrapTight wrapText="bothSides">
              <wp:wrapPolygon edited="0">
                <wp:start x="0" y="0"/>
                <wp:lineTo x="0" y="21309"/>
                <wp:lineTo x="21445" y="21309"/>
                <wp:lineTo x="21445" y="0"/>
                <wp:lineTo x="0" y="0"/>
              </wp:wrapPolygon>
            </wp:wrapTight>
            <wp:docPr id="309" name="Picture 27" descr="A map of the wor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Picture 27" descr="A map of the world&#10;&#10;Description automatically generated with medium confidence"/>
                    <pic:cNvPicPr>
                      <a:picLocks noChangeAspect="1" noChangeArrowheads="1"/>
                    </pic:cNvPicPr>
                  </pic:nvPicPr>
                  <pic:blipFill>
                    <a:blip r:embed="rId16"/>
                    <a:stretch>
                      <a:fillRect/>
                    </a:stretch>
                  </pic:blipFill>
                  <pic:spPr bwMode="auto">
                    <a:xfrm>
                      <a:off x="0" y="0"/>
                      <a:ext cx="1151255" cy="708025"/>
                    </a:xfrm>
                    <a:prstGeom prst="rect">
                      <a:avLst/>
                    </a:prstGeom>
                    <a:noFill/>
                    <a:ln w="9525">
                      <a:noFill/>
                      <a:miter lim="800000"/>
                      <a:headEnd/>
                      <a:tailEnd/>
                    </a:ln>
                  </pic:spPr>
                </pic:pic>
              </a:graphicData>
            </a:graphic>
            <wp14:sizeRelV relativeFrom="margin">
              <wp14:pctHeight>0</wp14:pctHeight>
            </wp14:sizeRelV>
          </wp:anchor>
        </w:drawing>
      </w:r>
    </w:p>
    <w:p w14:paraId="7F41A42B" w14:textId="4B77B1C8" w:rsidR="006504F6" w:rsidRPr="00F754EF" w:rsidRDefault="006504F6" w:rsidP="005831BD">
      <w:pPr>
        <w:spacing w:line="240" w:lineRule="auto"/>
      </w:pPr>
    </w:p>
    <w:p w14:paraId="1443F33F" w14:textId="11A2DF4D" w:rsidR="006504F6" w:rsidRPr="00F754EF" w:rsidRDefault="006504F6" w:rsidP="005831BD">
      <w:pPr>
        <w:spacing w:line="240" w:lineRule="auto"/>
      </w:pPr>
    </w:p>
    <w:p w14:paraId="0DD7617A" w14:textId="3F085A94" w:rsidR="006504F6" w:rsidRPr="00F754EF" w:rsidRDefault="006504F6" w:rsidP="005831BD">
      <w:pPr>
        <w:spacing w:line="240" w:lineRule="auto"/>
      </w:pPr>
    </w:p>
    <w:p w14:paraId="0973104F" w14:textId="3E4FCF90" w:rsidR="000E7DF3" w:rsidRPr="00F754EF" w:rsidRDefault="000E7DF3" w:rsidP="005831BD">
      <w:pPr>
        <w:spacing w:line="240" w:lineRule="auto"/>
      </w:pPr>
    </w:p>
    <w:p w14:paraId="6553A582" w14:textId="3E87C37F" w:rsidR="000E7DF3" w:rsidRPr="00F754EF" w:rsidRDefault="00604E55" w:rsidP="005831BD">
      <w:pPr>
        <w:spacing w:line="240" w:lineRule="auto"/>
      </w:pPr>
      <w:r w:rsidRPr="00F754EF">
        <w:rPr>
          <w:caps/>
          <w:noProof/>
        </w:rPr>
        <mc:AlternateContent>
          <mc:Choice Requires="wps">
            <w:drawing>
              <wp:anchor distT="0" distB="0" distL="114300" distR="114300" simplePos="0" relativeHeight="251658243" behindDoc="0" locked="0" layoutInCell="1" allowOverlap="1" wp14:anchorId="6780239A" wp14:editId="4A94110B">
                <wp:simplePos x="0" y="0"/>
                <wp:positionH relativeFrom="page">
                  <wp:posOffset>679450</wp:posOffset>
                </wp:positionH>
                <wp:positionV relativeFrom="page">
                  <wp:posOffset>3721735</wp:posOffset>
                </wp:positionV>
                <wp:extent cx="3639185" cy="918845"/>
                <wp:effectExtent l="0" t="0" r="18415" b="14605"/>
                <wp:wrapTight wrapText="bothSides">
                  <wp:wrapPolygon edited="0">
                    <wp:start x="0" y="0"/>
                    <wp:lineTo x="0" y="21496"/>
                    <wp:lineTo x="21596" y="21496"/>
                    <wp:lineTo x="21596" y="0"/>
                    <wp:lineTo x="0" y="0"/>
                  </wp:wrapPolygon>
                </wp:wrapTight>
                <wp:docPr id="51"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9185" cy="918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D59BE9" w14:textId="6D18DF28" w:rsidR="006504F6" w:rsidRPr="00F754EF" w:rsidRDefault="004100BA" w:rsidP="00BD1B95">
                            <w:pPr>
                              <w:pStyle w:val="00UNWOMENTITLEPAGE"/>
                              <w:rPr>
                                <w:rFonts w:ascii="Aptos Display" w:hAnsi="Aptos Display"/>
                                <w:sz w:val="22"/>
                                <w:szCs w:val="22"/>
                              </w:rPr>
                            </w:pPr>
                            <w:r w:rsidRPr="00F754EF">
                              <w:rPr>
                                <w:rFonts w:ascii="Aptos Display" w:hAnsi="Aptos Display"/>
                                <w:sz w:val="22"/>
                                <w:szCs w:val="22"/>
                              </w:rPr>
                              <w:t>onu</w:t>
                            </w:r>
                            <w:r w:rsidR="006504F6" w:rsidRPr="00F754EF">
                              <w:rPr>
                                <w:rFonts w:ascii="Aptos Display" w:hAnsi="Aptos Display"/>
                                <w:sz w:val="22"/>
                                <w:szCs w:val="22"/>
                              </w:rPr>
                              <w:t xml:space="preserve"> </w:t>
                            </w:r>
                            <w:r w:rsidRPr="00F754EF">
                              <w:rPr>
                                <w:rFonts w:ascii="Aptos Display" w:hAnsi="Aptos Display"/>
                                <w:sz w:val="22"/>
                                <w:szCs w:val="22"/>
                              </w:rPr>
                              <w:t>mujeres</w:t>
                            </w:r>
                          </w:p>
                          <w:p w14:paraId="3A49A513" w14:textId="77777777" w:rsidR="008E456B" w:rsidRPr="00F754EF" w:rsidRDefault="008E456B" w:rsidP="00BD1B95">
                            <w:pPr>
                              <w:rPr>
                                <w:sz w:val="21"/>
                                <w:szCs w:val="21"/>
                                <w:lang w:eastAsia="en-G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80239A" id="Text Box 30" o:spid="_x0000_s1029" type="#_x0000_t202" style="position:absolute;left:0;text-align:left;margin-left:53.5pt;margin-top:293.05pt;width:286.55pt;height:72.3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" filled="f" stroked="f">
                <v:textbox inset="0,0,0,0">
                  <w:txbxContent>
                    <w:p w14:paraId="32D59BE9" w14:textId="6D18DF28" w:rsidR="006504F6" w:rsidRPr="00F754EF" w:rsidRDefault="004100BA" w:rsidP="00BD1B95">
                      <w:pPr>
                        <w:pStyle w:val="00UNWOMENTITLEPAGE"/>
                        <w:rPr>
                          <w:rFonts w:ascii="Aptos Display" w:hAnsi="Aptos Display"/>
                          <w:sz w:val="22"/>
                          <w:szCs w:val="22"/>
                        </w:rPr>
                      </w:pPr>
                      <w:r w:rsidRPr="00F754EF">
                        <w:rPr>
                          <w:rFonts w:ascii="Aptos Display" w:hAnsi="Aptos Display"/>
                          <w:sz w:val="22"/>
                          <w:szCs w:val="22"/>
                        </w:rPr>
                        <w:t>onu</w:t>
                      </w:r>
                      <w:r w:rsidR="006504F6" w:rsidRPr="00F754EF">
                        <w:rPr>
                          <w:rFonts w:ascii="Aptos Display" w:hAnsi="Aptos Display"/>
                          <w:sz w:val="22"/>
                          <w:szCs w:val="22"/>
                        </w:rPr>
                        <w:t xml:space="preserve"> </w:t>
                      </w:r>
                      <w:r w:rsidRPr="00F754EF">
                        <w:rPr>
                          <w:rFonts w:ascii="Aptos Display" w:hAnsi="Aptos Display"/>
                          <w:sz w:val="22"/>
                          <w:szCs w:val="22"/>
                        </w:rPr>
                        <w:t>mujeres</w:t>
                      </w:r>
                    </w:p>
                    <w:p w14:paraId="3A49A513" w14:textId="77777777" w:rsidR="008E456B" w:rsidRPr="00F754EF" w:rsidRDefault="008E456B" w:rsidP="00BD1B95">
                      <w:pPr>
                        <w:rPr>
                          <w:sz w:val="21"/>
                          <w:szCs w:val="21"/>
                          <w:lang w:eastAsia="en-GB"/>
                        </w:rPr>
                      </w:pPr>
                    </w:p>
                  </w:txbxContent>
                </v:textbox>
                <w10:wrap type="tight" anchorx="page" anchory="page"/>
              </v:shape>
            </w:pict>
          </mc:Fallback>
        </mc:AlternateContent>
      </w:r>
    </w:p>
    <w:p w14:paraId="4938E691" w14:textId="77777777" w:rsidR="00072B48" w:rsidRPr="00F754EF" w:rsidRDefault="00072B48" w:rsidP="005831BD">
      <w:pPr>
        <w:spacing w:line="240" w:lineRule="auto"/>
      </w:pPr>
    </w:p>
    <w:p w14:paraId="3408BDC5" w14:textId="77777777" w:rsidR="00072B48" w:rsidRPr="00F754EF" w:rsidRDefault="00072B48" w:rsidP="005831BD">
      <w:pPr>
        <w:spacing w:line="240" w:lineRule="auto"/>
      </w:pPr>
    </w:p>
    <w:p w14:paraId="140BFA73" w14:textId="77777777" w:rsidR="00072B48" w:rsidRPr="00F754EF" w:rsidRDefault="00072B48" w:rsidP="005831BD">
      <w:pPr>
        <w:spacing w:line="240" w:lineRule="auto"/>
      </w:pPr>
    </w:p>
    <w:tbl>
      <w:tblPr>
        <w:tblStyle w:val="GridTable5Dark-Accent5"/>
        <w:tblW w:w="0" w:type="auto"/>
        <w:tblLook w:val="0480" w:firstRow="0" w:lastRow="0" w:firstColumn="1" w:lastColumn="0" w:noHBand="0" w:noVBand="1"/>
      </w:tblPr>
      <w:tblGrid>
        <w:gridCol w:w="3114"/>
        <w:gridCol w:w="4961"/>
      </w:tblGrid>
      <w:tr w:rsidR="007B1B40" w:rsidRPr="00F754EF" w14:paraId="760FFCEC" w14:textId="77777777" w:rsidTr="0008656D">
        <w:trPr>
          <w:cnfStyle w:val="000000100000" w:firstRow="0" w:lastRow="0" w:firstColumn="0" w:lastColumn="0" w:oddVBand="0" w:evenVBand="0" w:oddHBand="1" w:evenHBand="0" w:firstRowFirstColumn="0" w:firstRowLastColumn="0" w:lastRowFirstColumn="0" w:lastRowLastColumn="0"/>
          <w:trHeight w:val="782"/>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64C457E4" w14:textId="3E713BDB" w:rsidR="00022595" w:rsidRPr="00F754EF" w:rsidRDefault="004100BA" w:rsidP="005831BD">
            <w:pPr>
              <w:spacing w:line="240" w:lineRule="auto"/>
              <w:jc w:val="left"/>
              <w:rPr>
                <w:rFonts w:ascii="Aptos Display" w:hAnsi="Aptos Display"/>
                <w:color w:val="FFFFFF" w:themeColor="background1"/>
              </w:rPr>
            </w:pPr>
            <w:r w:rsidRPr="00F754EF">
              <w:rPr>
                <w:rFonts w:ascii="Aptos Display" w:hAnsi="Aptos Display"/>
                <w:color w:val="FFFFFF" w:themeColor="background1"/>
              </w:rPr>
              <w:t>Fecha del reporte</w:t>
            </w:r>
          </w:p>
        </w:tc>
        <w:tc>
          <w:tcPr>
            <w:tcW w:w="4961" w:type="dxa"/>
            <w:vAlign w:val="center"/>
          </w:tcPr>
          <w:p w14:paraId="5B6CC009" w14:textId="5936705D" w:rsidR="00022595" w:rsidRPr="00F754EF" w:rsidRDefault="00797F30" w:rsidP="005831BD">
            <w:pPr>
              <w:spacing w:line="240" w:lineRule="auto"/>
              <w:jc w:val="left"/>
              <w:cnfStyle w:val="000000100000" w:firstRow="0" w:lastRow="0" w:firstColumn="0" w:lastColumn="0" w:oddVBand="0" w:evenVBand="0" w:oddHBand="1" w:evenHBand="0" w:firstRowFirstColumn="0" w:firstRowLastColumn="0" w:lastRowFirstColumn="0" w:lastRowLastColumn="0"/>
              <w:rPr>
                <w:rFonts w:ascii="Aptos Display" w:hAnsi="Aptos Display"/>
              </w:rPr>
            </w:pPr>
            <w:r>
              <w:rPr>
                <w:rFonts w:ascii="Aptos Display" w:hAnsi="Aptos Display"/>
              </w:rPr>
              <w:t>Julio</w:t>
            </w:r>
            <w:r w:rsidRPr="00F754EF">
              <w:rPr>
                <w:rFonts w:ascii="Aptos Display" w:hAnsi="Aptos Display"/>
              </w:rPr>
              <w:t xml:space="preserve"> </w:t>
            </w:r>
            <w:r w:rsidR="005B475E" w:rsidRPr="00F754EF">
              <w:rPr>
                <w:rFonts w:ascii="Aptos Display" w:hAnsi="Aptos Display"/>
              </w:rPr>
              <w:t>2026</w:t>
            </w:r>
          </w:p>
        </w:tc>
      </w:tr>
      <w:tr w:rsidR="00022595" w:rsidRPr="00F754EF" w14:paraId="48B69174" w14:textId="77777777" w:rsidTr="0008656D">
        <w:trPr>
          <w:trHeight w:val="692"/>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523EABC9" w14:textId="01558575" w:rsidR="00022595" w:rsidRPr="00F754EF" w:rsidRDefault="00714F5C" w:rsidP="005831BD">
            <w:pPr>
              <w:spacing w:line="240" w:lineRule="auto"/>
              <w:jc w:val="left"/>
              <w:rPr>
                <w:rFonts w:ascii="Aptos Display" w:hAnsi="Aptos Display"/>
                <w:color w:val="FFFFFF" w:themeColor="background1"/>
              </w:rPr>
            </w:pPr>
            <w:r w:rsidRPr="00F754EF">
              <w:rPr>
                <w:rFonts w:ascii="Aptos Display" w:hAnsi="Aptos Display"/>
                <w:color w:val="FFFFFF" w:themeColor="background1"/>
              </w:rPr>
              <w:t>Gestora de la evaluación</w:t>
            </w:r>
          </w:p>
        </w:tc>
        <w:tc>
          <w:tcPr>
            <w:tcW w:w="4961" w:type="dxa"/>
            <w:vAlign w:val="center"/>
          </w:tcPr>
          <w:p w14:paraId="495122F3" w14:textId="56EFD3BF" w:rsidR="00022595" w:rsidRPr="00F754EF" w:rsidRDefault="00022595" w:rsidP="005831BD">
            <w:pPr>
              <w:spacing w:line="240" w:lineRule="auto"/>
              <w:jc w:val="left"/>
              <w:cnfStyle w:val="000000000000" w:firstRow="0" w:lastRow="0" w:firstColumn="0" w:lastColumn="0" w:oddVBand="0" w:evenVBand="0" w:oddHBand="0" w:evenHBand="0" w:firstRowFirstColumn="0" w:firstRowLastColumn="0" w:lastRowFirstColumn="0" w:lastRowLastColumn="0"/>
              <w:rPr>
                <w:rFonts w:ascii="Aptos Display" w:hAnsi="Aptos Display"/>
              </w:rPr>
            </w:pPr>
            <w:r w:rsidRPr="00F754EF">
              <w:rPr>
                <w:rFonts w:ascii="Aptos Display" w:hAnsi="Aptos Display"/>
              </w:rPr>
              <w:t xml:space="preserve">Violeta Leiva, </w:t>
            </w:r>
            <w:r w:rsidR="004100BA" w:rsidRPr="00F754EF">
              <w:rPr>
                <w:rFonts w:ascii="Aptos Display" w:hAnsi="Aptos Display"/>
              </w:rPr>
              <w:t>Especialista Regional de Evaluación</w:t>
            </w:r>
          </w:p>
        </w:tc>
      </w:tr>
      <w:tr w:rsidR="007B1B40" w:rsidRPr="00F754EF" w14:paraId="156C4AAC" w14:textId="77777777" w:rsidTr="0008656D">
        <w:trPr>
          <w:cnfStyle w:val="000000100000" w:firstRow="0" w:lastRow="0" w:firstColumn="0" w:lastColumn="0" w:oddVBand="0" w:evenVBand="0" w:oddHBand="1" w:evenHBand="0" w:firstRowFirstColumn="0" w:firstRowLastColumn="0" w:lastRowFirstColumn="0" w:lastRowLastColumn="0"/>
          <w:trHeight w:val="1061"/>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1EF6EC6E" w14:textId="1C4C48C2" w:rsidR="00022595" w:rsidRPr="00F754EF" w:rsidRDefault="00714F5C" w:rsidP="005831BD">
            <w:pPr>
              <w:spacing w:line="240" w:lineRule="auto"/>
              <w:jc w:val="left"/>
              <w:rPr>
                <w:rFonts w:ascii="Aptos Display" w:hAnsi="Aptos Display"/>
                <w:color w:val="FFFFFF" w:themeColor="background1"/>
              </w:rPr>
            </w:pPr>
            <w:r w:rsidRPr="00F754EF">
              <w:rPr>
                <w:rFonts w:ascii="Aptos Display" w:hAnsi="Aptos Display"/>
                <w:color w:val="FFFFFF" w:themeColor="background1"/>
              </w:rPr>
              <w:t>Equipo de evaluación</w:t>
            </w:r>
            <w:r w:rsidR="00022595" w:rsidRPr="00F754EF">
              <w:rPr>
                <w:rFonts w:ascii="Aptos Display" w:hAnsi="Aptos Display"/>
                <w:color w:val="FFFFFF" w:themeColor="background1"/>
              </w:rPr>
              <w:t xml:space="preserve"> </w:t>
            </w:r>
          </w:p>
        </w:tc>
        <w:tc>
          <w:tcPr>
            <w:tcW w:w="4961" w:type="dxa"/>
            <w:vAlign w:val="center"/>
          </w:tcPr>
          <w:p w14:paraId="19E7CB68" w14:textId="371DEF5E" w:rsidR="006F5B44" w:rsidRPr="00F754EF" w:rsidRDefault="006F5B44" w:rsidP="005831BD">
            <w:pPr>
              <w:spacing w:line="240" w:lineRule="auto"/>
              <w:jc w:val="left"/>
              <w:cnfStyle w:val="000000100000" w:firstRow="0" w:lastRow="0" w:firstColumn="0" w:lastColumn="0" w:oddVBand="0" w:evenVBand="0" w:oddHBand="1" w:evenHBand="0" w:firstRowFirstColumn="0" w:firstRowLastColumn="0" w:lastRowFirstColumn="0" w:lastRowLastColumn="0"/>
              <w:rPr>
                <w:rFonts w:ascii="Aptos Display" w:hAnsi="Aptos Display"/>
              </w:rPr>
            </w:pPr>
            <w:r w:rsidRPr="00F754EF">
              <w:rPr>
                <w:rFonts w:ascii="Aptos Display" w:hAnsi="Aptos Display"/>
              </w:rPr>
              <w:t>Violeta Leiva, Especialista Regional de Evaluación</w:t>
            </w:r>
          </w:p>
          <w:p w14:paraId="1AE051FA" w14:textId="10F4C9A0" w:rsidR="00912A4C" w:rsidRPr="00F754EF" w:rsidRDefault="00D8454F" w:rsidP="005831BD">
            <w:pPr>
              <w:spacing w:line="240" w:lineRule="auto"/>
              <w:jc w:val="left"/>
              <w:cnfStyle w:val="000000100000" w:firstRow="0" w:lastRow="0" w:firstColumn="0" w:lastColumn="0" w:oddVBand="0" w:evenVBand="0" w:oddHBand="1" w:evenHBand="0" w:firstRowFirstColumn="0" w:firstRowLastColumn="0" w:lastRowFirstColumn="0" w:lastRowLastColumn="0"/>
              <w:rPr>
                <w:rFonts w:ascii="Aptos Display" w:hAnsi="Aptos Display"/>
              </w:rPr>
            </w:pPr>
            <w:r w:rsidRPr="00F754EF">
              <w:rPr>
                <w:rFonts w:ascii="Aptos Display" w:hAnsi="Aptos Display"/>
              </w:rPr>
              <w:t>Paola Vela</w:t>
            </w:r>
            <w:r w:rsidR="00912A4C" w:rsidRPr="00F754EF">
              <w:rPr>
                <w:rFonts w:ascii="Aptos Display" w:hAnsi="Aptos Display"/>
              </w:rPr>
              <w:t xml:space="preserve">, </w:t>
            </w:r>
            <w:r w:rsidR="00C73F1B" w:rsidRPr="00F754EF">
              <w:rPr>
                <w:rFonts w:ascii="Aptos Display" w:hAnsi="Aptos Display"/>
              </w:rPr>
              <w:t>Especialista</w:t>
            </w:r>
            <w:r w:rsidR="00714F5C" w:rsidRPr="00F754EF">
              <w:rPr>
                <w:rFonts w:ascii="Aptos Display" w:hAnsi="Aptos Display"/>
              </w:rPr>
              <w:t xml:space="preserve"> en evaluación</w:t>
            </w:r>
          </w:p>
          <w:p w14:paraId="399B49D5" w14:textId="6FCACEBD" w:rsidR="00022595" w:rsidRPr="00F754EF" w:rsidRDefault="2EE6B308" w:rsidP="005831BD">
            <w:pPr>
              <w:spacing w:line="240" w:lineRule="auto"/>
              <w:jc w:val="left"/>
              <w:cnfStyle w:val="000000100000" w:firstRow="0" w:lastRow="0" w:firstColumn="0" w:lastColumn="0" w:oddVBand="0" w:evenVBand="0" w:oddHBand="1" w:evenHBand="0" w:firstRowFirstColumn="0" w:firstRowLastColumn="0" w:lastRowFirstColumn="0" w:lastRowLastColumn="0"/>
              <w:rPr>
                <w:rFonts w:ascii="Aptos Display" w:hAnsi="Aptos Display"/>
              </w:rPr>
            </w:pPr>
            <w:r w:rsidRPr="00F754EF">
              <w:rPr>
                <w:rFonts w:ascii="Aptos Display" w:hAnsi="Aptos Display"/>
              </w:rPr>
              <w:t xml:space="preserve">Carolina De Anda, </w:t>
            </w:r>
            <w:r w:rsidR="00714F5C" w:rsidRPr="00F754EF">
              <w:rPr>
                <w:rFonts w:ascii="Aptos Display" w:hAnsi="Aptos Display"/>
              </w:rPr>
              <w:t>Analista d</w:t>
            </w:r>
            <w:r w:rsidR="00C73F1B" w:rsidRPr="00F754EF">
              <w:rPr>
                <w:rFonts w:ascii="Aptos Display" w:hAnsi="Aptos Display"/>
              </w:rPr>
              <w:t>e evaluación</w:t>
            </w:r>
            <w:r w:rsidRPr="00F754EF">
              <w:rPr>
                <w:rFonts w:ascii="Aptos Display" w:hAnsi="Aptos Display"/>
              </w:rPr>
              <w:t xml:space="preserve"> </w:t>
            </w:r>
          </w:p>
        </w:tc>
      </w:tr>
      <w:tr w:rsidR="00022595" w:rsidRPr="00F754EF" w14:paraId="3B384FFC" w14:textId="77777777" w:rsidTr="0008656D">
        <w:trPr>
          <w:trHeight w:val="850"/>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7679573D" w14:textId="60C723EF" w:rsidR="00022595" w:rsidRPr="00F754EF" w:rsidRDefault="00714F5C" w:rsidP="005831BD">
            <w:pPr>
              <w:spacing w:line="240" w:lineRule="auto"/>
              <w:jc w:val="left"/>
              <w:rPr>
                <w:rFonts w:ascii="Aptos Display" w:hAnsi="Aptos Display"/>
                <w:color w:val="FFFFFF" w:themeColor="background1"/>
              </w:rPr>
            </w:pPr>
            <w:r w:rsidRPr="00F754EF">
              <w:rPr>
                <w:rFonts w:ascii="Aptos Display" w:hAnsi="Aptos Display"/>
                <w:color w:val="FFFFFF" w:themeColor="background1"/>
              </w:rPr>
              <w:t>Datos de contacto</w:t>
            </w:r>
          </w:p>
        </w:tc>
        <w:tc>
          <w:tcPr>
            <w:tcW w:w="4961" w:type="dxa"/>
            <w:vAlign w:val="center"/>
          </w:tcPr>
          <w:p w14:paraId="2814A630" w14:textId="77777777" w:rsidR="00022595" w:rsidRPr="00F754EF" w:rsidRDefault="00022595" w:rsidP="005831BD">
            <w:pPr>
              <w:spacing w:line="240" w:lineRule="auto"/>
              <w:jc w:val="left"/>
              <w:cnfStyle w:val="000000000000" w:firstRow="0" w:lastRow="0" w:firstColumn="0" w:lastColumn="0" w:oddVBand="0" w:evenVBand="0" w:oddHBand="0" w:evenHBand="0" w:firstRowFirstColumn="0" w:firstRowLastColumn="0" w:lastRowFirstColumn="0" w:lastRowLastColumn="0"/>
              <w:rPr>
                <w:rFonts w:ascii="Aptos Display" w:hAnsi="Aptos Display"/>
              </w:rPr>
            </w:pPr>
            <w:hyperlink r:id="rId17" w:history="1">
              <w:r w:rsidRPr="00F754EF">
                <w:rPr>
                  <w:rStyle w:val="Hyperlink"/>
                  <w:rFonts w:ascii="Aptos Display" w:hAnsi="Aptos Display"/>
                </w:rPr>
                <w:t>Violeta.Leiva@unwomen.org</w:t>
              </w:r>
            </w:hyperlink>
            <w:r w:rsidRPr="00F754EF">
              <w:rPr>
                <w:rFonts w:ascii="Aptos Display" w:hAnsi="Aptos Display"/>
              </w:rPr>
              <w:t xml:space="preserve"> </w:t>
            </w:r>
          </w:p>
        </w:tc>
      </w:tr>
    </w:tbl>
    <w:p w14:paraId="0D90A1A8" w14:textId="1FAC5203" w:rsidR="006504F6" w:rsidRPr="00F754EF" w:rsidRDefault="006504F6" w:rsidP="005831BD">
      <w:pPr>
        <w:spacing w:line="240" w:lineRule="auto"/>
        <w:sectPr w:rsidR="006504F6" w:rsidRPr="00F754EF" w:rsidSect="005831BD">
          <w:headerReference w:type="even" r:id="rId18"/>
          <w:headerReference w:type="default" r:id="rId19"/>
          <w:footerReference w:type="even" r:id="rId20"/>
          <w:footerReference w:type="default" r:id="rId21"/>
          <w:headerReference w:type="first" r:id="rId22"/>
          <w:footerReference w:type="first" r:id="rId23"/>
          <w:pgSz w:w="11899" w:h="16840"/>
          <w:pgMar w:top="1440" w:right="1080" w:bottom="1440" w:left="1080" w:header="720" w:footer="720" w:gutter="0"/>
          <w:cols w:space="720"/>
        </w:sectPr>
      </w:pPr>
    </w:p>
    <w:bookmarkStart w:id="0" w:name="_Toc206056379" w:displacedByCustomXml="next"/>
    <w:bookmarkStart w:id="1" w:name="_Toc207184469" w:displacedByCustomXml="next"/>
    <w:sdt>
      <w:sdtPr>
        <w:rPr>
          <w:rFonts w:cstheme="majorBidi"/>
          <w:b/>
          <w:bCs/>
          <w:caps/>
          <w:color w:val="auto"/>
        </w:rPr>
        <w:id w:val="-1983221255"/>
        <w:docPartObj>
          <w:docPartGallery w:val="Table of Contents"/>
          <w:docPartUnique/>
        </w:docPartObj>
      </w:sdtPr>
      <w:sdtEndPr>
        <w:rPr>
          <w:b w:val="0"/>
          <w:bCs w:val="0"/>
          <w:caps w:val="0"/>
          <w:color w:val="000000"/>
        </w:rPr>
      </w:sdtEndPr>
      <w:sdtContent>
        <w:bookmarkEnd w:id="1" w:displacedByCustomXml="prev"/>
        <w:bookmarkEnd w:id="0" w:displacedByCustomXml="prev"/>
        <w:p w14:paraId="5F708A6E" w14:textId="0AC9B359" w:rsidR="0037283A" w:rsidRPr="00F754EF" w:rsidRDefault="0023762A" w:rsidP="005831BD">
          <w:pPr>
            <w:pStyle w:val="TOC1"/>
            <w:spacing w:after="120"/>
            <w:rPr>
              <w:rFonts w:ascii="Aptos Display" w:hAnsi="Aptos Display" w:cs="Gotham-Book"/>
              <w:b/>
              <w:bCs/>
              <w:caps/>
              <w:color w:val="009CDB"/>
              <w:sz w:val="40"/>
              <w:szCs w:val="54"/>
              <w:u w:val="thick"/>
            </w:rPr>
          </w:pPr>
          <w:r>
            <w:rPr>
              <w:rFonts w:ascii="Aptos Display" w:hAnsi="Aptos Display" w:cs="Gotham-Book"/>
              <w:b/>
              <w:bCs/>
              <w:caps/>
              <w:color w:val="009CDB"/>
              <w:sz w:val="40"/>
              <w:szCs w:val="54"/>
              <w:u w:val="thick"/>
            </w:rPr>
            <w:t>TABLA DE CONTENIDOS</w:t>
          </w:r>
        </w:p>
        <w:p w14:paraId="10230A32" w14:textId="692F1B9F" w:rsidR="006116DD" w:rsidRPr="003A3913" w:rsidRDefault="00F34A63">
          <w:pPr>
            <w:pStyle w:val="TOC1"/>
            <w:rPr>
              <w:rFonts w:ascii="Aptos Display" w:hAnsi="Aptos Display" w:cstheme="minorBidi"/>
              <w:noProof/>
              <w:color w:val="auto"/>
              <w:kern w:val="2"/>
              <w:sz w:val="24"/>
              <w:szCs w:val="24"/>
              <w:lang w:val="en-US" w:eastAsia="en-US"/>
              <w14:ligatures w14:val="standardContextual"/>
            </w:rPr>
          </w:pPr>
          <w:r w:rsidRPr="003A3913">
            <w:rPr>
              <w:rFonts w:ascii="Aptos Display" w:hAnsi="Aptos Display" w:cstheme="minorHAnsi"/>
              <w:color w:val="auto"/>
              <w:sz w:val="20"/>
              <w:szCs w:val="20"/>
            </w:rPr>
            <w:fldChar w:fldCharType="begin"/>
          </w:r>
          <w:r w:rsidRPr="003A3913">
            <w:rPr>
              <w:rFonts w:ascii="Aptos Display" w:hAnsi="Aptos Display" w:cstheme="minorHAnsi"/>
              <w:color w:val="auto"/>
              <w:sz w:val="20"/>
              <w:szCs w:val="20"/>
            </w:rPr>
            <w:instrText xml:space="preserve"> TOC \o "1-3" \h \z \u </w:instrText>
          </w:r>
          <w:r w:rsidRPr="003A3913">
            <w:rPr>
              <w:rFonts w:ascii="Aptos Display" w:hAnsi="Aptos Display" w:cstheme="minorHAnsi"/>
              <w:color w:val="auto"/>
              <w:sz w:val="20"/>
              <w:szCs w:val="20"/>
            </w:rPr>
            <w:fldChar w:fldCharType="separate"/>
          </w:r>
          <w:hyperlink w:anchor="_Toc233830025" w:history="1">
            <w:r w:rsidR="006116DD" w:rsidRPr="00797F30">
              <w:rPr>
                <w:rStyle w:val="Hyperlink"/>
                <w:rFonts w:ascii="Aptos Display" w:eastAsia="Times New Roman" w:hAnsi="Aptos Display"/>
                <w:noProof/>
                <w:color w:val="auto"/>
              </w:rPr>
              <w:t xml:space="preserve">Acrónimos </w:t>
            </w:r>
            <w:r w:rsidR="006116DD" w:rsidRPr="00797F30">
              <w:rPr>
                <w:rFonts w:ascii="Aptos Display" w:hAnsi="Aptos Display"/>
                <w:noProof/>
                <w:webHidden/>
                <w:color w:val="auto"/>
              </w:rPr>
              <w:tab/>
            </w:r>
            <w:r w:rsidR="006116DD" w:rsidRPr="003A3913">
              <w:rPr>
                <w:rFonts w:ascii="Aptos Display" w:hAnsi="Aptos Display"/>
                <w:noProof/>
                <w:webHidden/>
                <w:color w:val="auto"/>
              </w:rPr>
              <w:fldChar w:fldCharType="begin"/>
            </w:r>
            <w:r w:rsidR="006116DD" w:rsidRPr="00797F30">
              <w:rPr>
                <w:rFonts w:ascii="Aptos Display" w:hAnsi="Aptos Display"/>
                <w:noProof/>
                <w:webHidden/>
                <w:color w:val="auto"/>
              </w:rPr>
              <w:instrText xml:space="preserve"> PAGEREF _Toc233830025 \h </w:instrText>
            </w:r>
            <w:r w:rsidR="006116DD" w:rsidRPr="00797F30">
              <w:rPr>
                <w:rFonts w:ascii="Aptos Display" w:hAnsi="Aptos Display"/>
                <w:noProof/>
                <w:webHidden/>
                <w:color w:val="auto"/>
              </w:rPr>
            </w:r>
            <w:r w:rsidR="006116DD" w:rsidRPr="003A3913">
              <w:rPr>
                <w:rFonts w:ascii="Aptos Display" w:hAnsi="Aptos Display"/>
                <w:noProof/>
                <w:webHidden/>
                <w:color w:val="auto"/>
              </w:rPr>
              <w:fldChar w:fldCharType="separate"/>
            </w:r>
            <w:r w:rsidR="004C6C83">
              <w:rPr>
                <w:rFonts w:ascii="Aptos Display" w:hAnsi="Aptos Display"/>
                <w:noProof/>
                <w:webHidden/>
                <w:color w:val="auto"/>
              </w:rPr>
              <w:t>2</w:t>
            </w:r>
            <w:r w:rsidR="006116DD" w:rsidRPr="003A3913">
              <w:rPr>
                <w:rFonts w:ascii="Aptos Display" w:hAnsi="Aptos Display"/>
                <w:noProof/>
                <w:webHidden/>
                <w:color w:val="auto"/>
              </w:rPr>
              <w:fldChar w:fldCharType="end"/>
            </w:r>
          </w:hyperlink>
        </w:p>
        <w:p w14:paraId="2B4ADD15" w14:textId="129C0DB5" w:rsidR="006116DD" w:rsidRPr="003A3913" w:rsidRDefault="006116DD">
          <w:pPr>
            <w:pStyle w:val="TOC1"/>
            <w:rPr>
              <w:rFonts w:ascii="Aptos Display" w:hAnsi="Aptos Display" w:cstheme="minorBidi"/>
              <w:noProof/>
              <w:color w:val="auto"/>
              <w:kern w:val="2"/>
              <w:sz w:val="24"/>
              <w:szCs w:val="24"/>
              <w:lang w:val="en-US" w:eastAsia="en-US"/>
              <w14:ligatures w14:val="standardContextual"/>
            </w:rPr>
          </w:pPr>
          <w:hyperlink w:anchor="_Toc233830026" w:history="1">
            <w:r w:rsidRPr="00797F30">
              <w:rPr>
                <w:rStyle w:val="Hyperlink"/>
                <w:rFonts w:ascii="Aptos Display" w:eastAsia="Times New Roman" w:hAnsi="Aptos Display"/>
                <w:noProof/>
                <w:color w:val="auto"/>
              </w:rPr>
              <w:t>Resumen Ejecutivo</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_Toc233830026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3</w:t>
            </w:r>
            <w:r w:rsidRPr="003A3913">
              <w:rPr>
                <w:rFonts w:ascii="Aptos Display" w:hAnsi="Aptos Display"/>
                <w:noProof/>
                <w:webHidden/>
                <w:color w:val="auto"/>
              </w:rPr>
              <w:fldChar w:fldCharType="end"/>
            </w:r>
          </w:hyperlink>
        </w:p>
        <w:p w14:paraId="72103BF4" w14:textId="659CF503" w:rsidR="006116DD" w:rsidRPr="003A3913" w:rsidRDefault="006116DD">
          <w:pPr>
            <w:pStyle w:val="TOC2"/>
            <w:rPr>
              <w:rFonts w:ascii="Aptos Display" w:hAnsi="Aptos Display" w:cstheme="minorBidi"/>
              <w:noProof/>
              <w:color w:val="auto"/>
              <w:kern w:val="2"/>
              <w:sz w:val="24"/>
              <w:szCs w:val="24"/>
              <w:lang w:val="en-US" w:eastAsia="en-US"/>
              <w14:ligatures w14:val="standardContextual"/>
            </w:rPr>
          </w:pPr>
          <w:hyperlink w:anchor="_Toc233830027" w:history="1">
            <w:r w:rsidRPr="00797F30">
              <w:rPr>
                <w:rStyle w:val="Hyperlink"/>
                <w:rFonts w:ascii="Aptos Display" w:eastAsia="Times New Roman" w:hAnsi="Aptos Display"/>
                <w:noProof/>
                <w:color w:val="auto"/>
              </w:rPr>
              <w:t xml:space="preserve">ANTECEDENTES Y PROPÓSITO </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_Toc233830027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3</w:t>
            </w:r>
            <w:r w:rsidRPr="003A3913">
              <w:rPr>
                <w:rFonts w:ascii="Aptos Display" w:hAnsi="Aptos Display"/>
                <w:noProof/>
                <w:webHidden/>
                <w:color w:val="auto"/>
              </w:rPr>
              <w:fldChar w:fldCharType="end"/>
            </w:r>
          </w:hyperlink>
        </w:p>
        <w:p w14:paraId="73D8EADC" w14:textId="5D9287D0" w:rsidR="006116DD" w:rsidRPr="003A3913" w:rsidRDefault="006116DD">
          <w:pPr>
            <w:pStyle w:val="TOC2"/>
            <w:rPr>
              <w:rFonts w:ascii="Aptos Display" w:hAnsi="Aptos Display" w:cstheme="minorBidi"/>
              <w:noProof/>
              <w:color w:val="auto"/>
              <w:kern w:val="2"/>
              <w:sz w:val="24"/>
              <w:szCs w:val="24"/>
              <w:lang w:val="en-US" w:eastAsia="en-US"/>
              <w14:ligatures w14:val="standardContextual"/>
            </w:rPr>
          </w:pPr>
          <w:hyperlink w:anchor="_Toc233830028" w:history="1">
            <w:r w:rsidRPr="00797F30">
              <w:rPr>
                <w:rStyle w:val="Hyperlink"/>
                <w:rFonts w:ascii="Aptos Display" w:eastAsia="Times New Roman" w:hAnsi="Aptos Display"/>
                <w:noProof/>
                <w:color w:val="auto"/>
              </w:rPr>
              <w:t>RESULTADOS</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_Toc233830028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3</w:t>
            </w:r>
            <w:r w:rsidRPr="003A3913">
              <w:rPr>
                <w:rFonts w:ascii="Aptos Display" w:hAnsi="Aptos Display"/>
                <w:noProof/>
                <w:webHidden/>
                <w:color w:val="auto"/>
              </w:rPr>
              <w:fldChar w:fldCharType="end"/>
            </w:r>
          </w:hyperlink>
        </w:p>
        <w:p w14:paraId="63B6F76D" w14:textId="611EF622" w:rsidR="006116DD" w:rsidRPr="003A3913" w:rsidRDefault="006116DD">
          <w:pPr>
            <w:pStyle w:val="TOC2"/>
            <w:rPr>
              <w:rFonts w:ascii="Aptos Display" w:hAnsi="Aptos Display" w:cstheme="minorBidi"/>
              <w:noProof/>
              <w:color w:val="auto"/>
              <w:kern w:val="2"/>
              <w:sz w:val="24"/>
              <w:szCs w:val="24"/>
              <w:lang w:val="en-US" w:eastAsia="en-US"/>
              <w14:ligatures w14:val="standardContextual"/>
            </w:rPr>
          </w:pPr>
          <w:hyperlink w:anchor="_Toc233830029" w:history="1">
            <w:r w:rsidRPr="00797F30">
              <w:rPr>
                <w:rStyle w:val="Hyperlink"/>
                <w:rFonts w:ascii="Aptos Display" w:eastAsia="Times New Roman" w:hAnsi="Aptos Display"/>
                <w:noProof/>
                <w:color w:val="auto"/>
              </w:rPr>
              <w:t>CONCLUSIONES</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_Toc233830029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5</w:t>
            </w:r>
            <w:r w:rsidRPr="003A3913">
              <w:rPr>
                <w:rFonts w:ascii="Aptos Display" w:hAnsi="Aptos Display"/>
                <w:noProof/>
                <w:webHidden/>
                <w:color w:val="auto"/>
              </w:rPr>
              <w:fldChar w:fldCharType="end"/>
            </w:r>
          </w:hyperlink>
        </w:p>
        <w:p w14:paraId="7D3EF406" w14:textId="4277CDB4" w:rsidR="006116DD" w:rsidRPr="003A3913" w:rsidRDefault="006116DD">
          <w:pPr>
            <w:pStyle w:val="TOC2"/>
            <w:rPr>
              <w:rFonts w:ascii="Aptos Display" w:hAnsi="Aptos Display" w:cstheme="minorBidi"/>
              <w:noProof/>
              <w:color w:val="auto"/>
              <w:kern w:val="2"/>
              <w:sz w:val="24"/>
              <w:szCs w:val="24"/>
              <w:lang w:val="en-US" w:eastAsia="en-US"/>
              <w14:ligatures w14:val="standardContextual"/>
            </w:rPr>
          </w:pPr>
          <w:hyperlink w:anchor="_Toc233830030" w:history="1">
            <w:r w:rsidRPr="00797F30">
              <w:rPr>
                <w:rStyle w:val="Hyperlink"/>
                <w:rFonts w:ascii="Aptos Display" w:eastAsia="Times New Roman" w:hAnsi="Aptos Display"/>
                <w:noProof/>
                <w:color w:val="auto"/>
              </w:rPr>
              <w:t>RECOMENDACIONES</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_Toc233830030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5</w:t>
            </w:r>
            <w:r w:rsidRPr="003A3913">
              <w:rPr>
                <w:rFonts w:ascii="Aptos Display" w:hAnsi="Aptos Display"/>
                <w:noProof/>
                <w:webHidden/>
                <w:color w:val="auto"/>
              </w:rPr>
              <w:fldChar w:fldCharType="end"/>
            </w:r>
          </w:hyperlink>
        </w:p>
        <w:p w14:paraId="73248BCE" w14:textId="788476E0" w:rsidR="006116DD" w:rsidRPr="003A3913" w:rsidRDefault="006116DD">
          <w:pPr>
            <w:pStyle w:val="TOC1"/>
            <w:rPr>
              <w:rFonts w:ascii="Aptos Display" w:hAnsi="Aptos Display" w:cstheme="minorBidi"/>
              <w:noProof/>
              <w:color w:val="auto"/>
              <w:kern w:val="2"/>
              <w:sz w:val="24"/>
              <w:szCs w:val="24"/>
              <w:lang w:val="en-US" w:eastAsia="en-US"/>
              <w14:ligatures w14:val="standardContextual"/>
            </w:rPr>
          </w:pPr>
          <w:hyperlink w:anchor="_Toc233830031" w:history="1">
            <w:r w:rsidRPr="00797F30">
              <w:rPr>
                <w:rStyle w:val="Hyperlink"/>
                <w:rFonts w:ascii="Aptos Display" w:eastAsia="Times New Roman" w:hAnsi="Aptos Display"/>
                <w:noProof/>
                <w:color w:val="auto"/>
              </w:rPr>
              <w:t>INTRODUCCIÓN</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_Toc233830031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7</w:t>
            </w:r>
            <w:r w:rsidRPr="003A3913">
              <w:rPr>
                <w:rFonts w:ascii="Aptos Display" w:hAnsi="Aptos Display"/>
                <w:noProof/>
                <w:webHidden/>
                <w:color w:val="auto"/>
              </w:rPr>
              <w:fldChar w:fldCharType="end"/>
            </w:r>
          </w:hyperlink>
        </w:p>
        <w:p w14:paraId="5C1440F7" w14:textId="5AAF4721" w:rsidR="006116DD" w:rsidRPr="003A3913" w:rsidRDefault="006116DD">
          <w:pPr>
            <w:pStyle w:val="TOC1"/>
            <w:rPr>
              <w:rFonts w:ascii="Aptos Display" w:hAnsi="Aptos Display" w:cstheme="minorBidi"/>
              <w:noProof/>
              <w:color w:val="auto"/>
              <w:kern w:val="2"/>
              <w:sz w:val="24"/>
              <w:szCs w:val="24"/>
              <w:lang w:val="en-US" w:eastAsia="en-US"/>
              <w14:ligatures w14:val="standardContextual"/>
            </w:rPr>
          </w:pPr>
          <w:hyperlink w:anchor="_Toc233830032" w:history="1">
            <w:r w:rsidRPr="00797F30">
              <w:rPr>
                <w:rStyle w:val="Hyperlink"/>
                <w:rFonts w:ascii="Aptos Display" w:eastAsia="Times New Roman" w:hAnsi="Aptos Display"/>
                <w:noProof/>
                <w:color w:val="auto"/>
              </w:rPr>
              <w:t>SECCIÓN 1. OBJETO Y CONTEXTO</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_Toc233830032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7</w:t>
            </w:r>
            <w:r w:rsidRPr="003A3913">
              <w:rPr>
                <w:rFonts w:ascii="Aptos Display" w:hAnsi="Aptos Display"/>
                <w:noProof/>
                <w:webHidden/>
                <w:color w:val="auto"/>
              </w:rPr>
              <w:fldChar w:fldCharType="end"/>
            </w:r>
          </w:hyperlink>
        </w:p>
        <w:p w14:paraId="100D2990" w14:textId="2CEE053A" w:rsidR="006116DD" w:rsidRPr="003A3913" w:rsidRDefault="006116DD">
          <w:pPr>
            <w:pStyle w:val="TOC2"/>
            <w:rPr>
              <w:rFonts w:ascii="Aptos Display" w:hAnsi="Aptos Display" w:cstheme="minorBidi"/>
              <w:noProof/>
              <w:color w:val="auto"/>
              <w:kern w:val="2"/>
              <w:sz w:val="24"/>
              <w:szCs w:val="24"/>
              <w:lang w:val="en-US" w:eastAsia="en-US"/>
              <w14:ligatures w14:val="standardContextual"/>
            </w:rPr>
          </w:pPr>
          <w:hyperlink w:anchor="_Toc233830033" w:history="1">
            <w:r w:rsidRPr="00797F30">
              <w:rPr>
                <w:rStyle w:val="Hyperlink"/>
                <w:rFonts w:ascii="Aptos Display" w:eastAsia="Times New Roman" w:hAnsi="Aptos Display"/>
                <w:noProof/>
                <w:color w:val="auto"/>
              </w:rPr>
              <w:t>1.1 Objeto de la evaluación: La Nota Estratégica 2023–2026</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_Toc233830033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7</w:t>
            </w:r>
            <w:r w:rsidRPr="003A3913">
              <w:rPr>
                <w:rFonts w:ascii="Aptos Display" w:hAnsi="Aptos Display"/>
                <w:noProof/>
                <w:webHidden/>
                <w:color w:val="auto"/>
              </w:rPr>
              <w:fldChar w:fldCharType="end"/>
            </w:r>
          </w:hyperlink>
        </w:p>
        <w:p w14:paraId="64002704" w14:textId="5D90C828" w:rsidR="006116DD" w:rsidRPr="003A3913" w:rsidRDefault="006116DD">
          <w:pPr>
            <w:pStyle w:val="TOC2"/>
            <w:rPr>
              <w:rFonts w:ascii="Aptos Display" w:hAnsi="Aptos Display" w:cstheme="minorBidi"/>
              <w:noProof/>
              <w:color w:val="auto"/>
              <w:kern w:val="2"/>
              <w:sz w:val="24"/>
              <w:szCs w:val="24"/>
              <w:lang w:val="en-US" w:eastAsia="en-US"/>
              <w14:ligatures w14:val="standardContextual"/>
            </w:rPr>
          </w:pPr>
          <w:hyperlink w:anchor="_Toc233830034" w:history="1">
            <w:r w:rsidRPr="00797F30">
              <w:rPr>
                <w:rStyle w:val="Hyperlink"/>
                <w:rFonts w:ascii="Aptos Display" w:eastAsia="Times New Roman" w:hAnsi="Aptos Display"/>
                <w:noProof/>
                <w:color w:val="auto"/>
              </w:rPr>
              <w:t>1.2 Contexto de igualdad de género en Ecuador</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_Toc233830034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13</w:t>
            </w:r>
            <w:r w:rsidRPr="003A3913">
              <w:rPr>
                <w:rFonts w:ascii="Aptos Display" w:hAnsi="Aptos Display"/>
                <w:noProof/>
                <w:webHidden/>
                <w:color w:val="auto"/>
              </w:rPr>
              <w:fldChar w:fldCharType="end"/>
            </w:r>
          </w:hyperlink>
        </w:p>
        <w:p w14:paraId="74E5BD03" w14:textId="4F0531EF" w:rsidR="006116DD" w:rsidRPr="003A3913" w:rsidRDefault="006116DD">
          <w:pPr>
            <w:pStyle w:val="TOC1"/>
            <w:rPr>
              <w:rFonts w:ascii="Aptos Display" w:hAnsi="Aptos Display" w:cstheme="minorBidi"/>
              <w:noProof/>
              <w:color w:val="auto"/>
              <w:kern w:val="2"/>
              <w:sz w:val="24"/>
              <w:szCs w:val="24"/>
              <w:lang w:val="en-US" w:eastAsia="en-US"/>
              <w14:ligatures w14:val="standardContextual"/>
            </w:rPr>
          </w:pPr>
          <w:hyperlink w:anchor="_Toc233830035" w:history="1">
            <w:r w:rsidRPr="00797F30">
              <w:rPr>
                <w:rStyle w:val="Hyperlink"/>
                <w:rFonts w:ascii="Aptos Display" w:eastAsia="Times New Roman" w:hAnsi="Aptos Display"/>
                <w:noProof/>
                <w:color w:val="auto"/>
              </w:rPr>
              <w:t>SECCIÓN 2. PROPÓSITO, OBJETIVOS Y ALCANCE</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_Toc233830035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16</w:t>
            </w:r>
            <w:r w:rsidRPr="003A3913">
              <w:rPr>
                <w:rFonts w:ascii="Aptos Display" w:hAnsi="Aptos Display"/>
                <w:noProof/>
                <w:webHidden/>
                <w:color w:val="auto"/>
              </w:rPr>
              <w:fldChar w:fldCharType="end"/>
            </w:r>
          </w:hyperlink>
        </w:p>
        <w:p w14:paraId="2C90FFE5" w14:textId="24E8DF94" w:rsidR="006116DD" w:rsidRPr="003A3913" w:rsidRDefault="006116DD">
          <w:pPr>
            <w:pStyle w:val="TOC2"/>
            <w:rPr>
              <w:rFonts w:ascii="Aptos Display" w:hAnsi="Aptos Display" w:cstheme="minorBidi"/>
              <w:noProof/>
              <w:color w:val="auto"/>
              <w:kern w:val="2"/>
              <w:sz w:val="24"/>
              <w:szCs w:val="24"/>
              <w:lang w:val="en-US" w:eastAsia="en-US"/>
              <w14:ligatures w14:val="standardContextual"/>
            </w:rPr>
          </w:pPr>
          <w:hyperlink w:anchor="_Toc233830036" w:history="1">
            <w:r w:rsidRPr="00797F30">
              <w:rPr>
                <w:rStyle w:val="Hyperlink"/>
                <w:rFonts w:ascii="Aptos Display" w:eastAsia="Times New Roman" w:hAnsi="Aptos Display"/>
                <w:noProof/>
                <w:color w:val="auto"/>
              </w:rPr>
              <w:t>2.1 Propósito y uso previsto</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_Toc233830036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16</w:t>
            </w:r>
            <w:r w:rsidRPr="003A3913">
              <w:rPr>
                <w:rFonts w:ascii="Aptos Display" w:hAnsi="Aptos Display"/>
                <w:noProof/>
                <w:webHidden/>
                <w:color w:val="auto"/>
              </w:rPr>
              <w:fldChar w:fldCharType="end"/>
            </w:r>
          </w:hyperlink>
        </w:p>
        <w:p w14:paraId="51B5CBEF" w14:textId="6E53FCAA" w:rsidR="006116DD" w:rsidRPr="003A3913" w:rsidRDefault="006116DD">
          <w:pPr>
            <w:pStyle w:val="TOC2"/>
            <w:rPr>
              <w:rFonts w:ascii="Aptos Display" w:hAnsi="Aptos Display" w:cstheme="minorBidi"/>
              <w:noProof/>
              <w:color w:val="auto"/>
              <w:kern w:val="2"/>
              <w:sz w:val="24"/>
              <w:szCs w:val="24"/>
              <w:lang w:val="en-US" w:eastAsia="en-US"/>
              <w14:ligatures w14:val="standardContextual"/>
            </w:rPr>
          </w:pPr>
          <w:hyperlink w:anchor="_Toc233830037" w:history="1">
            <w:r w:rsidRPr="00797F30">
              <w:rPr>
                <w:rStyle w:val="Hyperlink"/>
                <w:rFonts w:ascii="Aptos Display" w:eastAsia="Times New Roman" w:hAnsi="Aptos Display"/>
                <w:noProof/>
                <w:color w:val="auto"/>
              </w:rPr>
              <w:t>2.2 Criterios y preguntas de la evaluación</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_Toc233830037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17</w:t>
            </w:r>
            <w:r w:rsidRPr="003A3913">
              <w:rPr>
                <w:rFonts w:ascii="Aptos Display" w:hAnsi="Aptos Display"/>
                <w:noProof/>
                <w:webHidden/>
                <w:color w:val="auto"/>
              </w:rPr>
              <w:fldChar w:fldCharType="end"/>
            </w:r>
          </w:hyperlink>
        </w:p>
        <w:p w14:paraId="465D5E33" w14:textId="51C86F6E" w:rsidR="006116DD" w:rsidRPr="003A3913" w:rsidRDefault="006116DD">
          <w:pPr>
            <w:pStyle w:val="TOC2"/>
            <w:rPr>
              <w:rFonts w:ascii="Aptos Display" w:hAnsi="Aptos Display" w:cstheme="minorBidi"/>
              <w:noProof/>
              <w:color w:val="auto"/>
              <w:kern w:val="2"/>
              <w:sz w:val="24"/>
              <w:szCs w:val="24"/>
              <w:lang w:val="en-US" w:eastAsia="en-US"/>
              <w14:ligatures w14:val="standardContextual"/>
            </w:rPr>
          </w:pPr>
          <w:hyperlink w:anchor="_Toc233830038" w:history="1">
            <w:r w:rsidRPr="00797F30">
              <w:rPr>
                <w:rStyle w:val="Hyperlink"/>
                <w:rFonts w:ascii="Aptos Display" w:eastAsia="Times New Roman" w:hAnsi="Aptos Display"/>
                <w:noProof/>
                <w:color w:val="auto"/>
              </w:rPr>
              <w:t>2.3 Alcance</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_Toc233830038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17</w:t>
            </w:r>
            <w:r w:rsidRPr="003A3913">
              <w:rPr>
                <w:rFonts w:ascii="Aptos Display" w:hAnsi="Aptos Display"/>
                <w:noProof/>
                <w:webHidden/>
                <w:color w:val="auto"/>
              </w:rPr>
              <w:fldChar w:fldCharType="end"/>
            </w:r>
          </w:hyperlink>
        </w:p>
        <w:p w14:paraId="06F3A438" w14:textId="4F734146" w:rsidR="006116DD" w:rsidRPr="003A3913" w:rsidRDefault="006116DD">
          <w:pPr>
            <w:pStyle w:val="TOC1"/>
            <w:rPr>
              <w:rFonts w:ascii="Aptos Display" w:hAnsi="Aptos Display" w:cstheme="minorBidi"/>
              <w:noProof/>
              <w:color w:val="auto"/>
              <w:kern w:val="2"/>
              <w:sz w:val="24"/>
              <w:szCs w:val="24"/>
              <w:lang w:val="en-US" w:eastAsia="en-US"/>
              <w14:ligatures w14:val="standardContextual"/>
            </w:rPr>
          </w:pPr>
          <w:hyperlink w:anchor="_Toc233830039" w:history="1">
            <w:r w:rsidRPr="00797F30">
              <w:rPr>
                <w:rStyle w:val="Hyperlink"/>
                <w:rFonts w:ascii="Aptos Display" w:eastAsia="Times New Roman" w:hAnsi="Aptos Display"/>
                <w:noProof/>
                <w:color w:val="auto"/>
              </w:rPr>
              <w:t>SECCIÓN 3. METODOLOGÍA</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_Toc233830039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18</w:t>
            </w:r>
            <w:r w:rsidRPr="003A3913">
              <w:rPr>
                <w:rFonts w:ascii="Aptos Display" w:hAnsi="Aptos Display"/>
                <w:noProof/>
                <w:webHidden/>
                <w:color w:val="auto"/>
              </w:rPr>
              <w:fldChar w:fldCharType="end"/>
            </w:r>
          </w:hyperlink>
        </w:p>
        <w:p w14:paraId="4BEFBC14" w14:textId="642A07E1" w:rsidR="006116DD" w:rsidRPr="003A3913" w:rsidRDefault="006116DD">
          <w:pPr>
            <w:pStyle w:val="TOC2"/>
            <w:rPr>
              <w:rFonts w:ascii="Aptos Display" w:hAnsi="Aptos Display" w:cstheme="minorBidi"/>
              <w:noProof/>
              <w:color w:val="auto"/>
              <w:kern w:val="2"/>
              <w:sz w:val="24"/>
              <w:szCs w:val="24"/>
              <w:lang w:val="en-US" w:eastAsia="en-US"/>
              <w14:ligatures w14:val="standardContextual"/>
            </w:rPr>
          </w:pPr>
          <w:hyperlink w:anchor="_Toc233830040" w:history="1">
            <w:r w:rsidRPr="00797F30">
              <w:rPr>
                <w:rStyle w:val="Hyperlink"/>
                <w:rFonts w:ascii="Aptos Display" w:eastAsia="Times New Roman" w:hAnsi="Aptos Display"/>
                <w:noProof/>
                <w:color w:val="auto"/>
              </w:rPr>
              <w:t>3.1 Enfoque y metodología de la evaluación</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_Toc233830040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18</w:t>
            </w:r>
            <w:r w:rsidRPr="003A3913">
              <w:rPr>
                <w:rFonts w:ascii="Aptos Display" w:hAnsi="Aptos Display"/>
                <w:noProof/>
                <w:webHidden/>
                <w:color w:val="auto"/>
              </w:rPr>
              <w:fldChar w:fldCharType="end"/>
            </w:r>
          </w:hyperlink>
        </w:p>
        <w:p w14:paraId="470F2CE6" w14:textId="4BE332BC" w:rsidR="006116DD" w:rsidRPr="003A3913" w:rsidRDefault="006116DD">
          <w:pPr>
            <w:pStyle w:val="TOC2"/>
            <w:rPr>
              <w:rFonts w:ascii="Aptos Display" w:hAnsi="Aptos Display" w:cstheme="minorBidi"/>
              <w:noProof/>
              <w:color w:val="auto"/>
              <w:kern w:val="2"/>
              <w:sz w:val="24"/>
              <w:szCs w:val="24"/>
              <w:lang w:val="en-US" w:eastAsia="en-US"/>
              <w14:ligatures w14:val="standardContextual"/>
            </w:rPr>
          </w:pPr>
          <w:hyperlink w:anchor="_Toc233830041" w:history="1">
            <w:r w:rsidRPr="00797F30">
              <w:rPr>
                <w:rStyle w:val="Hyperlink"/>
                <w:rFonts w:ascii="Aptos Display" w:eastAsia="Times New Roman" w:hAnsi="Aptos Display"/>
                <w:noProof/>
                <w:color w:val="auto"/>
              </w:rPr>
              <w:t xml:space="preserve">3.2 Recolección de datos </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_Toc233830041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19</w:t>
            </w:r>
            <w:r w:rsidRPr="003A3913">
              <w:rPr>
                <w:rFonts w:ascii="Aptos Display" w:hAnsi="Aptos Display"/>
                <w:noProof/>
                <w:webHidden/>
                <w:color w:val="auto"/>
              </w:rPr>
              <w:fldChar w:fldCharType="end"/>
            </w:r>
          </w:hyperlink>
        </w:p>
        <w:p w14:paraId="2C3A4108" w14:textId="31DE4138" w:rsidR="006116DD" w:rsidRPr="003A3913" w:rsidRDefault="006116DD">
          <w:pPr>
            <w:pStyle w:val="TOC2"/>
            <w:rPr>
              <w:rFonts w:ascii="Aptos Display" w:hAnsi="Aptos Display" w:cstheme="minorBidi"/>
              <w:noProof/>
              <w:color w:val="auto"/>
              <w:kern w:val="2"/>
              <w:sz w:val="24"/>
              <w:szCs w:val="24"/>
              <w:lang w:val="en-US" w:eastAsia="en-US"/>
              <w14:ligatures w14:val="standardContextual"/>
            </w:rPr>
          </w:pPr>
          <w:hyperlink w:anchor="_Toc233830042" w:history="1">
            <w:r w:rsidRPr="00797F30">
              <w:rPr>
                <w:rStyle w:val="Hyperlink"/>
                <w:rFonts w:ascii="Aptos Display" w:eastAsia="Times New Roman" w:hAnsi="Aptos Display"/>
                <w:noProof/>
                <w:color w:val="auto"/>
              </w:rPr>
              <w:t>3.3 Análisis de datos</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_Toc233830042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19</w:t>
            </w:r>
            <w:r w:rsidRPr="003A3913">
              <w:rPr>
                <w:rFonts w:ascii="Aptos Display" w:hAnsi="Aptos Display"/>
                <w:noProof/>
                <w:webHidden/>
                <w:color w:val="auto"/>
              </w:rPr>
              <w:fldChar w:fldCharType="end"/>
            </w:r>
          </w:hyperlink>
        </w:p>
        <w:p w14:paraId="51DDA2B4" w14:textId="56100526" w:rsidR="006116DD" w:rsidRPr="003A3913" w:rsidRDefault="006116DD">
          <w:pPr>
            <w:pStyle w:val="TOC2"/>
            <w:rPr>
              <w:rFonts w:ascii="Aptos Display" w:hAnsi="Aptos Display" w:cstheme="minorBidi"/>
              <w:noProof/>
              <w:color w:val="auto"/>
              <w:kern w:val="2"/>
              <w:sz w:val="24"/>
              <w:szCs w:val="24"/>
              <w:lang w:val="en-US" w:eastAsia="en-US"/>
              <w14:ligatures w14:val="standardContextual"/>
            </w:rPr>
          </w:pPr>
          <w:hyperlink w:anchor="_Toc233830043" w:history="1">
            <w:r w:rsidRPr="00797F30">
              <w:rPr>
                <w:rStyle w:val="Hyperlink"/>
                <w:rFonts w:ascii="Aptos Display" w:eastAsia="Times New Roman" w:hAnsi="Aptos Display"/>
                <w:noProof/>
                <w:color w:val="auto"/>
              </w:rPr>
              <w:t>3.4 Ética</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_Toc233830043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20</w:t>
            </w:r>
            <w:r w:rsidRPr="003A3913">
              <w:rPr>
                <w:rFonts w:ascii="Aptos Display" w:hAnsi="Aptos Display"/>
                <w:noProof/>
                <w:webHidden/>
                <w:color w:val="auto"/>
              </w:rPr>
              <w:fldChar w:fldCharType="end"/>
            </w:r>
          </w:hyperlink>
        </w:p>
        <w:p w14:paraId="3EB7A237" w14:textId="55B735DC" w:rsidR="006116DD" w:rsidRPr="003A3913" w:rsidRDefault="006116DD">
          <w:pPr>
            <w:pStyle w:val="TOC2"/>
            <w:rPr>
              <w:rFonts w:ascii="Aptos Display" w:hAnsi="Aptos Display" w:cstheme="minorBidi"/>
              <w:noProof/>
              <w:color w:val="auto"/>
              <w:kern w:val="2"/>
              <w:sz w:val="24"/>
              <w:szCs w:val="24"/>
              <w:lang w:val="en-US" w:eastAsia="en-US"/>
              <w14:ligatures w14:val="standardContextual"/>
            </w:rPr>
          </w:pPr>
          <w:hyperlink w:anchor="_Toc233830044" w:history="1">
            <w:r w:rsidRPr="00797F30">
              <w:rPr>
                <w:rStyle w:val="Hyperlink"/>
                <w:rFonts w:ascii="Aptos Display" w:eastAsia="Times New Roman" w:hAnsi="Aptos Display"/>
                <w:noProof/>
                <w:color w:val="auto"/>
              </w:rPr>
              <w:t>3.5 Aseguramiento de calidad de la evaluación</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_Toc233830044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20</w:t>
            </w:r>
            <w:r w:rsidRPr="003A3913">
              <w:rPr>
                <w:rFonts w:ascii="Aptos Display" w:hAnsi="Aptos Display"/>
                <w:noProof/>
                <w:webHidden/>
                <w:color w:val="auto"/>
              </w:rPr>
              <w:fldChar w:fldCharType="end"/>
            </w:r>
          </w:hyperlink>
        </w:p>
        <w:p w14:paraId="25D6F51E" w14:textId="6186B7BE" w:rsidR="006116DD" w:rsidRPr="003A3913" w:rsidRDefault="006116DD">
          <w:pPr>
            <w:pStyle w:val="TOC2"/>
            <w:rPr>
              <w:rFonts w:ascii="Aptos Display" w:hAnsi="Aptos Display" w:cstheme="minorBidi"/>
              <w:noProof/>
              <w:color w:val="auto"/>
              <w:kern w:val="2"/>
              <w:sz w:val="24"/>
              <w:szCs w:val="24"/>
              <w:lang w:val="en-US" w:eastAsia="en-US"/>
              <w14:ligatures w14:val="standardContextual"/>
            </w:rPr>
          </w:pPr>
          <w:hyperlink w:anchor="_Toc233830045" w:history="1">
            <w:r w:rsidRPr="00797F30">
              <w:rPr>
                <w:rStyle w:val="Hyperlink"/>
                <w:rFonts w:ascii="Aptos Display" w:eastAsia="Times New Roman" w:hAnsi="Aptos Display"/>
                <w:noProof/>
                <w:color w:val="auto"/>
              </w:rPr>
              <w:t>3.6 Limitaciones de la evaluación</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_Toc233830045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21</w:t>
            </w:r>
            <w:r w:rsidRPr="003A3913">
              <w:rPr>
                <w:rFonts w:ascii="Aptos Display" w:hAnsi="Aptos Display"/>
                <w:noProof/>
                <w:webHidden/>
                <w:color w:val="auto"/>
              </w:rPr>
              <w:fldChar w:fldCharType="end"/>
            </w:r>
          </w:hyperlink>
        </w:p>
        <w:p w14:paraId="42865145" w14:textId="301FFC36" w:rsidR="006116DD" w:rsidRPr="003A3913" w:rsidRDefault="006116DD">
          <w:pPr>
            <w:pStyle w:val="TOC1"/>
            <w:rPr>
              <w:rFonts w:ascii="Aptos Display" w:hAnsi="Aptos Display" w:cstheme="minorBidi"/>
              <w:noProof/>
              <w:color w:val="auto"/>
              <w:kern w:val="2"/>
              <w:sz w:val="24"/>
              <w:szCs w:val="24"/>
              <w:lang w:val="en-US" w:eastAsia="en-US"/>
              <w14:ligatures w14:val="standardContextual"/>
            </w:rPr>
          </w:pPr>
          <w:hyperlink w:anchor="_Toc233830046" w:history="1">
            <w:r w:rsidRPr="00797F30">
              <w:rPr>
                <w:rStyle w:val="Hyperlink"/>
                <w:rFonts w:ascii="Aptos Display" w:eastAsia="Times New Roman" w:hAnsi="Aptos Display"/>
                <w:noProof/>
                <w:color w:val="auto"/>
              </w:rPr>
              <w:t>SECCIÓN 4. HALLAZGOS</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_Toc233830046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21</w:t>
            </w:r>
            <w:r w:rsidRPr="003A3913">
              <w:rPr>
                <w:rFonts w:ascii="Aptos Display" w:hAnsi="Aptos Display"/>
                <w:noProof/>
                <w:webHidden/>
                <w:color w:val="auto"/>
              </w:rPr>
              <w:fldChar w:fldCharType="end"/>
            </w:r>
          </w:hyperlink>
        </w:p>
        <w:p w14:paraId="35E8A7F2" w14:textId="76A04F12" w:rsidR="006116DD" w:rsidRPr="003A3913" w:rsidRDefault="006116DD">
          <w:pPr>
            <w:pStyle w:val="TOC2"/>
            <w:rPr>
              <w:rFonts w:ascii="Aptos Display" w:hAnsi="Aptos Display" w:cstheme="minorBidi"/>
              <w:noProof/>
              <w:color w:val="auto"/>
              <w:kern w:val="2"/>
              <w:sz w:val="24"/>
              <w:szCs w:val="24"/>
              <w:lang w:val="en-US" w:eastAsia="en-US"/>
              <w14:ligatures w14:val="standardContextual"/>
            </w:rPr>
          </w:pPr>
          <w:hyperlink w:anchor="_Toc233830047" w:history="1">
            <w:r w:rsidRPr="00797F30">
              <w:rPr>
                <w:rStyle w:val="Hyperlink"/>
                <w:rFonts w:ascii="Aptos Display" w:eastAsia="Times New Roman" w:hAnsi="Aptos Display"/>
                <w:noProof/>
                <w:color w:val="auto"/>
              </w:rPr>
              <w:t>4.1 Relevancia</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_Toc233830047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21</w:t>
            </w:r>
            <w:r w:rsidRPr="003A3913">
              <w:rPr>
                <w:rFonts w:ascii="Aptos Display" w:hAnsi="Aptos Display"/>
                <w:noProof/>
                <w:webHidden/>
                <w:color w:val="auto"/>
              </w:rPr>
              <w:fldChar w:fldCharType="end"/>
            </w:r>
          </w:hyperlink>
        </w:p>
        <w:p w14:paraId="397FCDA0" w14:textId="32BC444F" w:rsidR="006116DD" w:rsidRPr="003A3913" w:rsidRDefault="006116DD">
          <w:pPr>
            <w:pStyle w:val="TOC2"/>
            <w:rPr>
              <w:rFonts w:ascii="Aptos Display" w:hAnsi="Aptos Display" w:cstheme="minorBidi"/>
              <w:noProof/>
              <w:color w:val="auto"/>
              <w:kern w:val="2"/>
              <w:sz w:val="24"/>
              <w:szCs w:val="24"/>
              <w:lang w:val="en-US" w:eastAsia="en-US"/>
              <w14:ligatures w14:val="standardContextual"/>
            </w:rPr>
          </w:pPr>
          <w:hyperlink w:anchor="_Toc233830048" w:history="1">
            <w:r w:rsidRPr="00797F30">
              <w:rPr>
                <w:rStyle w:val="Hyperlink"/>
                <w:rFonts w:ascii="Aptos Display" w:eastAsia="Times New Roman" w:hAnsi="Aptos Display"/>
                <w:noProof/>
                <w:color w:val="auto"/>
              </w:rPr>
              <w:t>4.2 Coherencia</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_Toc233830048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24</w:t>
            </w:r>
            <w:r w:rsidRPr="003A3913">
              <w:rPr>
                <w:rFonts w:ascii="Aptos Display" w:hAnsi="Aptos Display"/>
                <w:noProof/>
                <w:webHidden/>
                <w:color w:val="auto"/>
              </w:rPr>
              <w:fldChar w:fldCharType="end"/>
            </w:r>
          </w:hyperlink>
        </w:p>
        <w:p w14:paraId="77003D60" w14:textId="290044B1" w:rsidR="006116DD" w:rsidRPr="003A3913" w:rsidRDefault="006116DD">
          <w:pPr>
            <w:pStyle w:val="TOC2"/>
            <w:rPr>
              <w:rFonts w:ascii="Aptos Display" w:hAnsi="Aptos Display" w:cstheme="minorBidi"/>
              <w:noProof/>
              <w:color w:val="auto"/>
              <w:kern w:val="2"/>
              <w:sz w:val="24"/>
              <w:szCs w:val="24"/>
              <w:lang w:val="en-US" w:eastAsia="en-US"/>
              <w14:ligatures w14:val="standardContextual"/>
            </w:rPr>
          </w:pPr>
          <w:hyperlink w:anchor="_Toc233830049" w:history="1">
            <w:r w:rsidRPr="00797F30">
              <w:rPr>
                <w:rStyle w:val="Hyperlink"/>
                <w:rFonts w:ascii="Aptos Display" w:eastAsia="Times New Roman" w:hAnsi="Aptos Display"/>
                <w:noProof/>
                <w:color w:val="auto"/>
              </w:rPr>
              <w:t>4.3 Efectividad</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_Toc233830049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27</w:t>
            </w:r>
            <w:r w:rsidRPr="003A3913">
              <w:rPr>
                <w:rFonts w:ascii="Aptos Display" w:hAnsi="Aptos Display"/>
                <w:noProof/>
                <w:webHidden/>
                <w:color w:val="auto"/>
              </w:rPr>
              <w:fldChar w:fldCharType="end"/>
            </w:r>
          </w:hyperlink>
        </w:p>
        <w:p w14:paraId="5F3F8C4D" w14:textId="6DB395A6" w:rsidR="006116DD" w:rsidRPr="003A3913" w:rsidRDefault="006116DD">
          <w:pPr>
            <w:pStyle w:val="TOC2"/>
            <w:rPr>
              <w:rFonts w:ascii="Aptos Display" w:hAnsi="Aptos Display" w:cstheme="minorBidi"/>
              <w:noProof/>
              <w:color w:val="auto"/>
              <w:kern w:val="2"/>
              <w:sz w:val="24"/>
              <w:szCs w:val="24"/>
              <w:lang w:val="en-US" w:eastAsia="en-US"/>
              <w14:ligatures w14:val="standardContextual"/>
            </w:rPr>
          </w:pPr>
          <w:hyperlink w:anchor="_Toc233830050" w:history="1">
            <w:r w:rsidRPr="00797F30">
              <w:rPr>
                <w:rStyle w:val="Hyperlink"/>
                <w:rFonts w:ascii="Aptos Display" w:eastAsia="Times New Roman" w:hAnsi="Aptos Display"/>
                <w:noProof/>
                <w:color w:val="auto"/>
              </w:rPr>
              <w:t>4.4 Eficiencia</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_Toc233830050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31</w:t>
            </w:r>
            <w:r w:rsidRPr="003A3913">
              <w:rPr>
                <w:rFonts w:ascii="Aptos Display" w:hAnsi="Aptos Display"/>
                <w:noProof/>
                <w:webHidden/>
                <w:color w:val="auto"/>
              </w:rPr>
              <w:fldChar w:fldCharType="end"/>
            </w:r>
          </w:hyperlink>
        </w:p>
        <w:p w14:paraId="23F64CB4" w14:textId="754C9633" w:rsidR="006116DD" w:rsidRPr="003A3913" w:rsidRDefault="006116DD">
          <w:pPr>
            <w:pStyle w:val="TOC2"/>
            <w:rPr>
              <w:rFonts w:ascii="Aptos Display" w:hAnsi="Aptos Display" w:cstheme="minorBidi"/>
              <w:noProof/>
              <w:color w:val="auto"/>
              <w:kern w:val="2"/>
              <w:sz w:val="24"/>
              <w:szCs w:val="24"/>
              <w:lang w:val="en-US" w:eastAsia="en-US"/>
              <w14:ligatures w14:val="standardContextual"/>
            </w:rPr>
          </w:pPr>
          <w:hyperlink w:anchor="_Toc233830051" w:history="1">
            <w:r w:rsidRPr="00797F30">
              <w:rPr>
                <w:rStyle w:val="Hyperlink"/>
                <w:rFonts w:ascii="Aptos Display" w:eastAsia="Times New Roman" w:hAnsi="Aptos Display"/>
                <w:noProof/>
                <w:color w:val="auto"/>
              </w:rPr>
              <w:t>4.5 Sostenibilidad</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_Toc233830051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34</w:t>
            </w:r>
            <w:r w:rsidRPr="003A3913">
              <w:rPr>
                <w:rFonts w:ascii="Aptos Display" w:hAnsi="Aptos Display"/>
                <w:noProof/>
                <w:webHidden/>
                <w:color w:val="auto"/>
              </w:rPr>
              <w:fldChar w:fldCharType="end"/>
            </w:r>
          </w:hyperlink>
        </w:p>
        <w:p w14:paraId="3AE949FE" w14:textId="0F5917B0" w:rsidR="006116DD" w:rsidRPr="003A3913" w:rsidRDefault="006116DD">
          <w:pPr>
            <w:pStyle w:val="TOC1"/>
            <w:rPr>
              <w:rFonts w:ascii="Aptos Display" w:hAnsi="Aptos Display" w:cstheme="minorBidi"/>
              <w:noProof/>
              <w:color w:val="auto"/>
              <w:kern w:val="2"/>
              <w:sz w:val="24"/>
              <w:szCs w:val="24"/>
              <w:lang w:val="en-US" w:eastAsia="en-US"/>
              <w14:ligatures w14:val="standardContextual"/>
            </w:rPr>
          </w:pPr>
          <w:hyperlink w:anchor="_Toc233830052" w:history="1">
            <w:r w:rsidRPr="00797F30">
              <w:rPr>
                <w:rStyle w:val="Hyperlink"/>
                <w:rFonts w:ascii="Aptos Display" w:eastAsia="Times New Roman" w:hAnsi="Aptos Display"/>
                <w:noProof/>
                <w:color w:val="auto"/>
              </w:rPr>
              <w:t>SECCIÓN 5. LECCIONES APRENDIDAS</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_Toc233830052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37</w:t>
            </w:r>
            <w:r w:rsidRPr="003A3913">
              <w:rPr>
                <w:rFonts w:ascii="Aptos Display" w:hAnsi="Aptos Display"/>
                <w:noProof/>
                <w:webHidden/>
                <w:color w:val="auto"/>
              </w:rPr>
              <w:fldChar w:fldCharType="end"/>
            </w:r>
          </w:hyperlink>
        </w:p>
        <w:p w14:paraId="22C85C62" w14:textId="414547B9" w:rsidR="006116DD" w:rsidRPr="003A3913" w:rsidRDefault="006116DD">
          <w:pPr>
            <w:pStyle w:val="TOC1"/>
            <w:rPr>
              <w:rFonts w:ascii="Aptos Display" w:hAnsi="Aptos Display" w:cstheme="minorBidi"/>
              <w:noProof/>
              <w:color w:val="auto"/>
              <w:kern w:val="2"/>
              <w:sz w:val="24"/>
              <w:szCs w:val="24"/>
              <w:lang w:val="en-US" w:eastAsia="en-US"/>
              <w14:ligatures w14:val="standardContextual"/>
            </w:rPr>
          </w:pPr>
          <w:hyperlink w:anchor="_Toc233830053" w:history="1">
            <w:r w:rsidRPr="00797F30">
              <w:rPr>
                <w:rStyle w:val="Hyperlink"/>
                <w:rFonts w:ascii="Aptos Display" w:eastAsia="Times New Roman" w:hAnsi="Aptos Display"/>
                <w:noProof/>
                <w:color w:val="auto"/>
              </w:rPr>
              <w:t>SECCIÓN 6. CONCLUSIONES</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_Toc233830053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39</w:t>
            </w:r>
            <w:r w:rsidRPr="003A3913">
              <w:rPr>
                <w:rFonts w:ascii="Aptos Display" w:hAnsi="Aptos Display"/>
                <w:noProof/>
                <w:webHidden/>
                <w:color w:val="auto"/>
              </w:rPr>
              <w:fldChar w:fldCharType="end"/>
            </w:r>
          </w:hyperlink>
        </w:p>
        <w:p w14:paraId="7B8CDD89" w14:textId="5C202786" w:rsidR="006116DD" w:rsidRPr="003A3913" w:rsidRDefault="006116DD">
          <w:pPr>
            <w:pStyle w:val="TOC1"/>
            <w:rPr>
              <w:rFonts w:ascii="Aptos Display" w:hAnsi="Aptos Display" w:cstheme="minorBidi"/>
              <w:noProof/>
              <w:color w:val="auto"/>
              <w:kern w:val="2"/>
              <w:sz w:val="24"/>
              <w:szCs w:val="24"/>
              <w:lang w:val="en-US" w:eastAsia="en-US"/>
              <w14:ligatures w14:val="standardContextual"/>
            </w:rPr>
          </w:pPr>
          <w:hyperlink w:anchor="_Toc233830054" w:history="1">
            <w:r w:rsidRPr="00797F30">
              <w:rPr>
                <w:rStyle w:val="Hyperlink"/>
                <w:rFonts w:ascii="Aptos Display" w:eastAsia="Times New Roman" w:hAnsi="Aptos Display"/>
                <w:noProof/>
                <w:color w:val="auto"/>
              </w:rPr>
              <w:t>SECCIÓN 7. RECOMENDACIONES</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_Toc233830054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41</w:t>
            </w:r>
            <w:r w:rsidRPr="003A3913">
              <w:rPr>
                <w:rFonts w:ascii="Aptos Display" w:hAnsi="Aptos Display"/>
                <w:noProof/>
                <w:webHidden/>
                <w:color w:val="auto"/>
              </w:rPr>
              <w:fldChar w:fldCharType="end"/>
            </w:r>
          </w:hyperlink>
        </w:p>
        <w:p w14:paraId="661BCAFA" w14:textId="03D0FC5D" w:rsidR="006116DD" w:rsidRPr="003A3913" w:rsidRDefault="006116DD">
          <w:pPr>
            <w:pStyle w:val="TOC1"/>
            <w:rPr>
              <w:rFonts w:ascii="Aptos Display" w:hAnsi="Aptos Display" w:cstheme="minorBidi"/>
              <w:noProof/>
              <w:color w:val="auto"/>
              <w:kern w:val="2"/>
              <w:sz w:val="24"/>
              <w:szCs w:val="24"/>
              <w:lang w:val="en-US" w:eastAsia="en-US"/>
              <w14:ligatures w14:val="standardContextual"/>
            </w:rPr>
          </w:pPr>
          <w:hyperlink w:anchor="_Toc233830055" w:history="1">
            <w:r w:rsidRPr="00797F30">
              <w:rPr>
                <w:rStyle w:val="Hyperlink"/>
                <w:rFonts w:ascii="Aptos Display" w:hAnsi="Aptos Display"/>
                <w:noProof/>
                <w:color w:val="auto"/>
              </w:rPr>
              <w:t>Anexos</w:t>
            </w:r>
            <w:r w:rsidRPr="00797F30">
              <w:rPr>
                <w:rFonts w:ascii="Aptos Display" w:hAnsi="Aptos Display"/>
                <w:noProof/>
                <w:webHidden/>
                <w:color w:val="auto"/>
              </w:rPr>
              <w:tab/>
            </w:r>
            <w:r w:rsidRPr="003A3913">
              <w:rPr>
                <w:rFonts w:ascii="Aptos Display" w:hAnsi="Aptos Display"/>
                <w:noProof/>
                <w:webHidden/>
                <w:color w:val="auto"/>
              </w:rPr>
              <w:fldChar w:fldCharType="begin"/>
            </w:r>
            <w:r w:rsidRPr="00797F30">
              <w:rPr>
                <w:rFonts w:ascii="Aptos Display" w:hAnsi="Aptos Display"/>
                <w:noProof/>
                <w:webHidden/>
                <w:color w:val="auto"/>
              </w:rPr>
              <w:instrText xml:space="preserve"> PAGEREF _Toc233830055 \h </w:instrText>
            </w:r>
            <w:r w:rsidRPr="00797F30">
              <w:rPr>
                <w:rFonts w:ascii="Aptos Display" w:hAnsi="Aptos Display"/>
                <w:noProof/>
                <w:webHidden/>
                <w:color w:val="auto"/>
              </w:rPr>
            </w:r>
            <w:r w:rsidRPr="003A3913">
              <w:rPr>
                <w:rFonts w:ascii="Aptos Display" w:hAnsi="Aptos Display"/>
                <w:noProof/>
                <w:webHidden/>
                <w:color w:val="auto"/>
              </w:rPr>
              <w:fldChar w:fldCharType="separate"/>
            </w:r>
            <w:r w:rsidR="004C6C83">
              <w:rPr>
                <w:rFonts w:ascii="Aptos Display" w:hAnsi="Aptos Display"/>
                <w:noProof/>
                <w:webHidden/>
                <w:color w:val="auto"/>
              </w:rPr>
              <w:t>43</w:t>
            </w:r>
            <w:r w:rsidRPr="003A3913">
              <w:rPr>
                <w:rFonts w:ascii="Aptos Display" w:hAnsi="Aptos Display"/>
                <w:noProof/>
                <w:webHidden/>
                <w:color w:val="auto"/>
              </w:rPr>
              <w:fldChar w:fldCharType="end"/>
            </w:r>
          </w:hyperlink>
        </w:p>
        <w:p w14:paraId="4BE8F997" w14:textId="24613441" w:rsidR="00F34A63" w:rsidRPr="00F754EF" w:rsidRDefault="00F34A63" w:rsidP="005831BD">
          <w:pPr>
            <w:pStyle w:val="TOC2"/>
            <w:spacing w:after="120"/>
            <w:rPr>
              <w:color w:val="auto"/>
              <w:kern w:val="2"/>
              <w:sz w:val="24"/>
              <w:szCs w:val="24"/>
              <w:lang w:eastAsia="en-US"/>
              <w14:ligatures w14:val="standardContextual"/>
            </w:rPr>
          </w:pPr>
          <w:r w:rsidRPr="003A3913">
            <w:rPr>
              <w:rFonts w:ascii="Aptos Display" w:hAnsi="Aptos Display" w:cstheme="minorHAnsi"/>
              <w:color w:val="auto"/>
            </w:rPr>
            <w:fldChar w:fldCharType="end"/>
          </w:r>
        </w:p>
      </w:sdtContent>
    </w:sdt>
    <w:p w14:paraId="0BD7FE6A" w14:textId="0DEB694D" w:rsidR="00401C43" w:rsidRPr="00F754EF" w:rsidRDefault="00401C43" w:rsidP="005831BD">
      <w:pPr>
        <w:autoSpaceDE/>
        <w:autoSpaceDN/>
        <w:adjustRightInd/>
        <w:spacing w:line="240" w:lineRule="auto"/>
        <w:jc w:val="left"/>
        <w:rPr>
          <w:rFonts w:ascii="Aptos Display" w:hAnsi="Aptos Display"/>
        </w:rPr>
        <w:sectPr w:rsidR="00401C43" w:rsidRPr="00F754EF" w:rsidSect="005831BD">
          <w:headerReference w:type="even" r:id="rId24"/>
          <w:headerReference w:type="default" r:id="rId25"/>
          <w:footerReference w:type="even" r:id="rId26"/>
          <w:footerReference w:type="default" r:id="rId27"/>
          <w:headerReference w:type="first" r:id="rId28"/>
          <w:footerReference w:type="first" r:id="rId29"/>
          <w:pgSz w:w="12240" w:h="15840"/>
          <w:pgMar w:top="1440" w:right="1080" w:bottom="1440" w:left="1080" w:header="708" w:footer="565" w:gutter="0"/>
          <w:cols w:space="415"/>
          <w:titlePg/>
          <w:docGrid w:linePitch="360"/>
        </w:sectPr>
      </w:pPr>
    </w:p>
    <w:p w14:paraId="4D197AC8" w14:textId="77777777" w:rsidR="00101687" w:rsidRPr="00F754EF" w:rsidRDefault="00101687" w:rsidP="00101687">
      <w:pPr>
        <w:rPr>
          <w:rStyle w:val="normaltextrun"/>
          <w:rFonts w:ascii="Aptos Display" w:eastAsia="Times New Roman" w:hAnsi="Aptos Display" w:cs="Gotham-Book"/>
          <w:b/>
          <w:bCs/>
          <w:caps/>
          <w:color w:val="009CDB"/>
          <w:sz w:val="48"/>
          <w:szCs w:val="58"/>
          <w:u w:val="thick"/>
        </w:rPr>
      </w:pPr>
      <w:r w:rsidRPr="00F754EF">
        <w:rPr>
          <w:rStyle w:val="normaltextrun"/>
          <w:rFonts w:eastAsia="Times New Roman"/>
        </w:rPr>
        <w:br w:type="page"/>
      </w:r>
    </w:p>
    <w:p w14:paraId="6D3B408A" w14:textId="5EA5F673" w:rsidR="00625F70" w:rsidRPr="00F754EF" w:rsidRDefault="00625F70" w:rsidP="005831BD">
      <w:pPr>
        <w:pStyle w:val="Heading1"/>
        <w:spacing w:after="120"/>
        <w:rPr>
          <w:rStyle w:val="normaltextrun"/>
          <w:lang w:val="es-ES"/>
        </w:rPr>
      </w:pPr>
      <w:bookmarkStart w:id="2" w:name="_Toc233830025"/>
      <w:r w:rsidRPr="00F754EF">
        <w:rPr>
          <w:rStyle w:val="normaltextrun"/>
          <w:rFonts w:eastAsia="Times New Roman"/>
          <w:lang w:val="es-ES"/>
        </w:rPr>
        <w:lastRenderedPageBreak/>
        <w:t>Acrónimos</w:t>
      </w:r>
      <w:r w:rsidR="00995FB2">
        <w:rPr>
          <w:rStyle w:val="FootnoteReference"/>
          <w:rFonts w:eastAsia="Times New Roman"/>
          <w:lang w:val="es-ES"/>
        </w:rPr>
        <w:footnoteReference w:id="2"/>
      </w:r>
      <w:r w:rsidRPr="00F754EF">
        <w:rPr>
          <w:rStyle w:val="normaltextrun"/>
          <w:rFonts w:eastAsia="Times New Roman"/>
          <w:lang w:val="es-ES"/>
        </w:rPr>
        <w:t xml:space="preserve"> </w:t>
      </w:r>
      <w:bookmarkEnd w:id="2"/>
    </w:p>
    <w:p w14:paraId="1B335F4E" w14:textId="77777777" w:rsidR="001C30EA" w:rsidRPr="00F754EF" w:rsidRDefault="001C30EA" w:rsidP="005831BD">
      <w:pPr>
        <w:spacing w:line="240" w:lineRule="auto"/>
        <w:rPr>
          <w:rFonts w:ascii="Aptos Display" w:hAnsi="Aptos Display"/>
          <w:b/>
          <w:bCs/>
          <w:sz w:val="18"/>
          <w:szCs w:val="18"/>
        </w:rPr>
        <w:sectPr w:rsidR="001C30EA" w:rsidRPr="00F754EF" w:rsidSect="001C30EA">
          <w:type w:val="continuous"/>
          <w:pgSz w:w="12240" w:h="15840"/>
          <w:pgMar w:top="1440" w:right="1080" w:bottom="1440" w:left="1080" w:header="708" w:footer="565" w:gutter="0"/>
          <w:pgNumType w:start="1"/>
          <w:cols w:space="415"/>
          <w:docGrid w:linePitch="360"/>
        </w:sectPr>
      </w:pPr>
    </w:p>
    <w:p w14:paraId="13D4E2C5"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ADRA</w:t>
      </w:r>
      <w:r w:rsidRPr="003A3913">
        <w:rPr>
          <w:rFonts w:ascii="Aptos Display" w:eastAsia="Arial" w:hAnsi="Aptos Display"/>
          <w:sz w:val="17"/>
          <w:szCs w:val="17"/>
          <w:lang w:val="es-MX"/>
        </w:rPr>
        <w:t xml:space="preserve">  Agencia</w:t>
      </w:r>
      <w:proofErr w:type="gramEnd"/>
      <w:r w:rsidRPr="003A3913">
        <w:rPr>
          <w:rFonts w:ascii="Aptos Display" w:eastAsia="Arial" w:hAnsi="Aptos Display"/>
          <w:sz w:val="17"/>
          <w:szCs w:val="17"/>
          <w:lang w:val="es-MX"/>
        </w:rPr>
        <w:t xml:space="preserve"> Adventista para el Desarrollo y Recursos Asistenciales (</w:t>
      </w:r>
      <w:proofErr w:type="spellStart"/>
      <w:r w:rsidRPr="003A3913">
        <w:rPr>
          <w:rFonts w:ascii="Aptos Display" w:eastAsia="Arial" w:hAnsi="Aptos Display"/>
          <w:sz w:val="17"/>
          <w:szCs w:val="17"/>
          <w:lang w:val="es-MX"/>
        </w:rPr>
        <w:t>Adventist</w:t>
      </w:r>
      <w:proofErr w:type="spellEnd"/>
      <w:r w:rsidRPr="003A3913">
        <w:rPr>
          <w:rFonts w:ascii="Aptos Display" w:eastAsia="Arial" w:hAnsi="Aptos Display"/>
          <w:sz w:val="17"/>
          <w:szCs w:val="17"/>
          <w:lang w:val="es-MX"/>
        </w:rPr>
        <w:t xml:space="preserve"> </w:t>
      </w:r>
      <w:proofErr w:type="spellStart"/>
      <w:r w:rsidRPr="003A3913">
        <w:rPr>
          <w:rFonts w:ascii="Aptos Display" w:eastAsia="Arial" w:hAnsi="Aptos Display"/>
          <w:sz w:val="17"/>
          <w:szCs w:val="17"/>
          <w:lang w:val="es-MX"/>
        </w:rPr>
        <w:t>Development</w:t>
      </w:r>
      <w:proofErr w:type="spellEnd"/>
      <w:r w:rsidRPr="003A3913">
        <w:rPr>
          <w:rFonts w:ascii="Aptos Display" w:eastAsia="Arial" w:hAnsi="Aptos Display"/>
          <w:sz w:val="17"/>
          <w:szCs w:val="17"/>
          <w:lang w:val="es-MX"/>
        </w:rPr>
        <w:t xml:space="preserve"> and </w:t>
      </w:r>
      <w:proofErr w:type="spellStart"/>
      <w:r w:rsidRPr="003A3913">
        <w:rPr>
          <w:rFonts w:ascii="Aptos Display" w:eastAsia="Arial" w:hAnsi="Aptos Display"/>
          <w:sz w:val="17"/>
          <w:szCs w:val="17"/>
          <w:lang w:val="es-MX"/>
        </w:rPr>
        <w:t>Relief</w:t>
      </w:r>
      <w:proofErr w:type="spellEnd"/>
      <w:r w:rsidRPr="003A3913">
        <w:rPr>
          <w:rFonts w:ascii="Aptos Display" w:eastAsia="Arial" w:hAnsi="Aptos Display"/>
          <w:sz w:val="17"/>
          <w:szCs w:val="17"/>
          <w:lang w:val="es-MX"/>
        </w:rPr>
        <w:t xml:space="preserve"> Agency)</w:t>
      </w:r>
    </w:p>
    <w:p w14:paraId="690C5224"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r w:rsidRPr="003A3913">
        <w:rPr>
          <w:rFonts w:ascii="Aptos Display" w:hAnsi="Aptos Display"/>
          <w:b/>
          <w:bCs/>
          <w:sz w:val="17"/>
          <w:szCs w:val="17"/>
          <w:lang w:val="es-MX"/>
        </w:rPr>
        <w:t>AECID</w:t>
      </w:r>
      <w:r w:rsidRPr="003A3913">
        <w:rPr>
          <w:rFonts w:ascii="Aptos Display" w:hAnsi="Aptos Display"/>
          <w:sz w:val="17"/>
          <w:szCs w:val="17"/>
          <w:lang w:val="es-MX"/>
        </w:rPr>
        <w:t xml:space="preserve"> Agencia Española de Cooperación Internacional para el Desarrollo</w:t>
      </w:r>
    </w:p>
    <w:p w14:paraId="18B82039"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ALDEA</w:t>
      </w:r>
      <w:r w:rsidRPr="003A3913">
        <w:rPr>
          <w:rFonts w:ascii="Aptos Display" w:eastAsia="Arial" w:hAnsi="Aptos Display"/>
          <w:sz w:val="17"/>
          <w:szCs w:val="17"/>
          <w:lang w:val="es-MX"/>
        </w:rPr>
        <w:t xml:space="preserve">  Asociación</w:t>
      </w:r>
      <w:proofErr w:type="gramEnd"/>
      <w:r w:rsidRPr="003A3913">
        <w:rPr>
          <w:rFonts w:ascii="Aptos Display" w:eastAsia="Arial" w:hAnsi="Aptos Display"/>
          <w:sz w:val="17"/>
          <w:szCs w:val="17"/>
          <w:lang w:val="es-MX"/>
        </w:rPr>
        <w:t xml:space="preserve"> Latinoamericana para el Desarrollo Alternativo</w:t>
      </w:r>
    </w:p>
    <w:p w14:paraId="6AB8E8D2"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BOS</w:t>
      </w:r>
      <w:r w:rsidRPr="003A3913">
        <w:rPr>
          <w:rFonts w:ascii="Aptos Display" w:eastAsia="Arial" w:hAnsi="Aptos Display"/>
          <w:sz w:val="17"/>
          <w:szCs w:val="17"/>
          <w:lang w:val="es-MX"/>
        </w:rPr>
        <w:t xml:space="preserve">  Estrategia</w:t>
      </w:r>
      <w:proofErr w:type="gramEnd"/>
      <w:r w:rsidRPr="003A3913">
        <w:rPr>
          <w:rFonts w:ascii="Aptos Display" w:eastAsia="Arial" w:hAnsi="Aptos Display"/>
          <w:sz w:val="17"/>
          <w:szCs w:val="17"/>
          <w:lang w:val="es-MX"/>
        </w:rPr>
        <w:t xml:space="preserve"> de Operaciones Conjuntas (Business </w:t>
      </w:r>
      <w:proofErr w:type="spellStart"/>
      <w:r w:rsidRPr="003A3913">
        <w:rPr>
          <w:rFonts w:ascii="Aptos Display" w:eastAsia="Arial" w:hAnsi="Aptos Display"/>
          <w:sz w:val="17"/>
          <w:szCs w:val="17"/>
          <w:lang w:val="es-MX"/>
        </w:rPr>
        <w:t>Operations</w:t>
      </w:r>
      <w:proofErr w:type="spellEnd"/>
      <w:r w:rsidRPr="003A3913">
        <w:rPr>
          <w:rFonts w:ascii="Aptos Display" w:eastAsia="Arial" w:hAnsi="Aptos Display"/>
          <w:sz w:val="17"/>
          <w:szCs w:val="17"/>
          <w:lang w:val="es-MX"/>
        </w:rPr>
        <w:t xml:space="preserve"> </w:t>
      </w:r>
      <w:proofErr w:type="spellStart"/>
      <w:r w:rsidRPr="003A3913">
        <w:rPr>
          <w:rFonts w:ascii="Aptos Display" w:eastAsia="Arial" w:hAnsi="Aptos Display"/>
          <w:sz w:val="17"/>
          <w:szCs w:val="17"/>
          <w:lang w:val="es-MX"/>
        </w:rPr>
        <w:t>Strategy</w:t>
      </w:r>
      <w:proofErr w:type="spellEnd"/>
      <w:r w:rsidRPr="003A3913">
        <w:rPr>
          <w:rFonts w:ascii="Aptos Display" w:eastAsia="Arial" w:hAnsi="Aptos Display"/>
          <w:sz w:val="17"/>
          <w:szCs w:val="17"/>
          <w:lang w:val="es-MX"/>
        </w:rPr>
        <w:t>)</w:t>
      </w:r>
    </w:p>
    <w:p w14:paraId="52C8B062"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CAD</w:t>
      </w:r>
      <w:r w:rsidRPr="003A3913">
        <w:rPr>
          <w:rFonts w:ascii="Aptos Display" w:eastAsia="Arial" w:hAnsi="Aptos Display"/>
          <w:sz w:val="17"/>
          <w:szCs w:val="17"/>
          <w:lang w:val="es-MX"/>
        </w:rPr>
        <w:t xml:space="preserve">  Comité</w:t>
      </w:r>
      <w:proofErr w:type="gramEnd"/>
      <w:r w:rsidRPr="003A3913">
        <w:rPr>
          <w:rFonts w:ascii="Aptos Display" w:eastAsia="Arial" w:hAnsi="Aptos Display"/>
          <w:sz w:val="17"/>
          <w:szCs w:val="17"/>
          <w:lang w:val="es-MX"/>
        </w:rPr>
        <w:t xml:space="preserve"> de Asistencia para el Desarrollo (OCDE)</w:t>
      </w:r>
    </w:p>
    <w:p w14:paraId="78236F3F"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CEDAW</w:t>
      </w:r>
      <w:r w:rsidRPr="003A3913">
        <w:rPr>
          <w:rFonts w:ascii="Aptos Display" w:eastAsia="Arial" w:hAnsi="Aptos Display"/>
          <w:sz w:val="17"/>
          <w:szCs w:val="17"/>
          <w:lang w:val="es-MX"/>
        </w:rPr>
        <w:t xml:space="preserve">  Convención</w:t>
      </w:r>
      <w:proofErr w:type="gramEnd"/>
      <w:r w:rsidRPr="003A3913">
        <w:rPr>
          <w:rFonts w:ascii="Aptos Display" w:eastAsia="Arial" w:hAnsi="Aptos Display"/>
          <w:sz w:val="17"/>
          <w:szCs w:val="17"/>
          <w:lang w:val="es-MX"/>
        </w:rPr>
        <w:t xml:space="preserve"> sobre la Eliminación de todas las Formas de Discriminación contra la Mujer</w:t>
      </w:r>
    </w:p>
    <w:p w14:paraId="026FC751"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CEOSL</w:t>
      </w:r>
      <w:r w:rsidRPr="003A3913">
        <w:rPr>
          <w:rFonts w:ascii="Aptos Display" w:eastAsia="Arial" w:hAnsi="Aptos Display"/>
          <w:sz w:val="17"/>
          <w:szCs w:val="17"/>
          <w:lang w:val="es-MX"/>
        </w:rPr>
        <w:t xml:space="preserve">  Confederación</w:t>
      </w:r>
      <w:proofErr w:type="gramEnd"/>
      <w:r w:rsidRPr="003A3913">
        <w:rPr>
          <w:rFonts w:ascii="Aptos Display" w:eastAsia="Arial" w:hAnsi="Aptos Display"/>
          <w:sz w:val="17"/>
          <w:szCs w:val="17"/>
          <w:lang w:val="es-MX"/>
        </w:rPr>
        <w:t xml:space="preserve"> Ecuatoriana de Organizaciones Sindicales Libres</w:t>
      </w:r>
    </w:p>
    <w:p w14:paraId="153E129E"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CEPLAES</w:t>
      </w:r>
      <w:r w:rsidRPr="003A3913">
        <w:rPr>
          <w:rFonts w:ascii="Aptos Display" w:eastAsia="Arial" w:hAnsi="Aptos Display"/>
          <w:sz w:val="17"/>
          <w:szCs w:val="17"/>
          <w:lang w:val="es-MX"/>
        </w:rPr>
        <w:t xml:space="preserve">  Centro</w:t>
      </w:r>
      <w:proofErr w:type="gramEnd"/>
      <w:r w:rsidRPr="003A3913">
        <w:rPr>
          <w:rFonts w:ascii="Aptos Display" w:eastAsia="Arial" w:hAnsi="Aptos Display"/>
          <w:sz w:val="17"/>
          <w:szCs w:val="17"/>
          <w:lang w:val="es-MX"/>
        </w:rPr>
        <w:t xml:space="preserve"> de Planificación y Estudios Sociales</w:t>
      </w:r>
    </w:p>
    <w:p w14:paraId="095D06FA"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CNE</w:t>
      </w:r>
      <w:r w:rsidRPr="003A3913">
        <w:rPr>
          <w:rFonts w:ascii="Aptos Display" w:eastAsia="Arial" w:hAnsi="Aptos Display"/>
          <w:sz w:val="17"/>
          <w:szCs w:val="17"/>
          <w:lang w:val="es-MX"/>
        </w:rPr>
        <w:t xml:space="preserve">  Consejo</w:t>
      </w:r>
      <w:proofErr w:type="gramEnd"/>
      <w:r w:rsidRPr="003A3913">
        <w:rPr>
          <w:rFonts w:ascii="Aptos Display" w:eastAsia="Arial" w:hAnsi="Aptos Display"/>
          <w:sz w:val="17"/>
          <w:szCs w:val="17"/>
          <w:lang w:val="es-MX"/>
        </w:rPr>
        <w:t xml:space="preserve"> Nacional Electoral</w:t>
      </w:r>
    </w:p>
    <w:p w14:paraId="50E16B8D"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n-US"/>
        </w:rPr>
      </w:pPr>
      <w:proofErr w:type="gramStart"/>
      <w:r w:rsidRPr="003A3913">
        <w:rPr>
          <w:rFonts w:ascii="Aptos Display" w:eastAsia="Arial" w:hAnsi="Aptos Display"/>
          <w:b/>
          <w:bCs/>
          <w:sz w:val="17"/>
          <w:szCs w:val="17"/>
          <w:lang w:val="en-US"/>
        </w:rPr>
        <w:t>CO</w:t>
      </w:r>
      <w:r w:rsidRPr="003A3913">
        <w:rPr>
          <w:rFonts w:ascii="Aptos Display" w:eastAsia="Arial" w:hAnsi="Aptos Display"/>
          <w:sz w:val="17"/>
          <w:szCs w:val="17"/>
          <w:lang w:val="en-US"/>
        </w:rPr>
        <w:t xml:space="preserve">  </w:t>
      </w:r>
      <w:proofErr w:type="spellStart"/>
      <w:r w:rsidRPr="003A3913">
        <w:rPr>
          <w:rFonts w:ascii="Aptos Display" w:eastAsia="Arial" w:hAnsi="Aptos Display"/>
          <w:sz w:val="17"/>
          <w:szCs w:val="17"/>
          <w:lang w:val="en-US"/>
        </w:rPr>
        <w:t>Oficina</w:t>
      </w:r>
      <w:proofErr w:type="spellEnd"/>
      <w:proofErr w:type="gramEnd"/>
      <w:r w:rsidRPr="003A3913">
        <w:rPr>
          <w:rFonts w:ascii="Aptos Display" w:eastAsia="Arial" w:hAnsi="Aptos Display"/>
          <w:sz w:val="17"/>
          <w:szCs w:val="17"/>
          <w:lang w:val="en-US"/>
        </w:rPr>
        <w:t xml:space="preserve"> de País (Country Office)</w:t>
      </w:r>
    </w:p>
    <w:p w14:paraId="72E7EC0B"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CONAMUNE</w:t>
      </w:r>
      <w:r w:rsidRPr="003A3913">
        <w:rPr>
          <w:rFonts w:ascii="Aptos Display" w:eastAsia="Arial" w:hAnsi="Aptos Display"/>
          <w:sz w:val="17"/>
          <w:szCs w:val="17"/>
          <w:lang w:val="es-MX"/>
        </w:rPr>
        <w:t xml:space="preserve">  Confederación</w:t>
      </w:r>
      <w:proofErr w:type="gramEnd"/>
      <w:r w:rsidRPr="003A3913">
        <w:rPr>
          <w:rFonts w:ascii="Aptos Display" w:eastAsia="Arial" w:hAnsi="Aptos Display"/>
          <w:sz w:val="17"/>
          <w:szCs w:val="17"/>
          <w:lang w:val="es-MX"/>
        </w:rPr>
        <w:t xml:space="preserve"> Nacional de Mujeres Negras del Ecuador</w:t>
      </w:r>
    </w:p>
    <w:p w14:paraId="46574A72"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COOTAD</w:t>
      </w:r>
      <w:r w:rsidRPr="003A3913">
        <w:rPr>
          <w:rFonts w:ascii="Aptos Display" w:eastAsia="Arial" w:hAnsi="Aptos Display"/>
          <w:sz w:val="17"/>
          <w:szCs w:val="17"/>
          <w:lang w:val="es-MX"/>
        </w:rPr>
        <w:t xml:space="preserve">  Código</w:t>
      </w:r>
      <w:proofErr w:type="gramEnd"/>
      <w:r w:rsidRPr="003A3913">
        <w:rPr>
          <w:rFonts w:ascii="Aptos Display" w:eastAsia="Arial" w:hAnsi="Aptos Display"/>
          <w:sz w:val="17"/>
          <w:szCs w:val="17"/>
          <w:lang w:val="es-MX"/>
        </w:rPr>
        <w:t xml:space="preserve"> Orgánico de Organización Territorial, Autonomía y Descentralización</w:t>
      </w:r>
    </w:p>
    <w:p w14:paraId="1DCFD959"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COSUDE</w:t>
      </w:r>
      <w:r w:rsidRPr="003A3913">
        <w:rPr>
          <w:rFonts w:ascii="Aptos Display" w:eastAsia="Arial" w:hAnsi="Aptos Display"/>
          <w:sz w:val="17"/>
          <w:szCs w:val="17"/>
          <w:lang w:val="es-MX"/>
        </w:rPr>
        <w:t xml:space="preserve">  Agencia</w:t>
      </w:r>
      <w:proofErr w:type="gramEnd"/>
      <w:r w:rsidRPr="003A3913">
        <w:rPr>
          <w:rFonts w:ascii="Aptos Display" w:eastAsia="Arial" w:hAnsi="Aptos Display"/>
          <w:sz w:val="17"/>
          <w:szCs w:val="17"/>
          <w:lang w:val="es-MX"/>
        </w:rPr>
        <w:t xml:space="preserve"> Suiza para el Desarrollo y la Cooperación</w:t>
      </w:r>
    </w:p>
    <w:p w14:paraId="49D1EE51"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CPE</w:t>
      </w:r>
      <w:r w:rsidRPr="003A3913">
        <w:rPr>
          <w:rFonts w:ascii="Aptos Display" w:eastAsia="Arial" w:hAnsi="Aptos Display"/>
          <w:sz w:val="17"/>
          <w:szCs w:val="17"/>
          <w:lang w:val="es-MX"/>
        </w:rPr>
        <w:t xml:space="preserve">  Evaluación</w:t>
      </w:r>
      <w:proofErr w:type="gramEnd"/>
      <w:r w:rsidRPr="003A3913">
        <w:rPr>
          <w:rFonts w:ascii="Aptos Display" w:eastAsia="Arial" w:hAnsi="Aptos Display"/>
          <w:sz w:val="17"/>
          <w:szCs w:val="17"/>
          <w:lang w:val="es-MX"/>
        </w:rPr>
        <w:t xml:space="preserve"> del Portafolio País (Country Portfolio </w:t>
      </w:r>
      <w:proofErr w:type="spellStart"/>
      <w:r w:rsidRPr="003A3913">
        <w:rPr>
          <w:rFonts w:ascii="Aptos Display" w:eastAsia="Arial" w:hAnsi="Aptos Display"/>
          <w:sz w:val="17"/>
          <w:szCs w:val="17"/>
          <w:lang w:val="es-MX"/>
        </w:rPr>
        <w:t>Evaluation</w:t>
      </w:r>
      <w:proofErr w:type="spellEnd"/>
      <w:r w:rsidRPr="003A3913">
        <w:rPr>
          <w:rFonts w:ascii="Aptos Display" w:eastAsia="Arial" w:hAnsi="Aptos Display"/>
          <w:sz w:val="17"/>
          <w:szCs w:val="17"/>
          <w:lang w:val="es-MX"/>
        </w:rPr>
        <w:t>)</w:t>
      </w:r>
    </w:p>
    <w:p w14:paraId="15B0821A"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ENEMDU</w:t>
      </w:r>
      <w:r w:rsidRPr="003A3913">
        <w:rPr>
          <w:rFonts w:ascii="Aptos Display" w:eastAsia="Arial" w:hAnsi="Aptos Display"/>
          <w:sz w:val="17"/>
          <w:szCs w:val="17"/>
          <w:lang w:val="es-MX"/>
        </w:rPr>
        <w:t xml:space="preserve">  Encuesta</w:t>
      </w:r>
      <w:proofErr w:type="gramEnd"/>
      <w:r w:rsidRPr="003A3913">
        <w:rPr>
          <w:rFonts w:ascii="Aptos Display" w:eastAsia="Arial" w:hAnsi="Aptos Display"/>
          <w:sz w:val="17"/>
          <w:szCs w:val="17"/>
          <w:lang w:val="es-MX"/>
        </w:rPr>
        <w:t xml:space="preserve"> Nacional de Empleo, Desempleo y Subempleo (INEC)</w:t>
      </w:r>
    </w:p>
    <w:p w14:paraId="2F7BEFC5"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ENVIGMU</w:t>
      </w:r>
      <w:r w:rsidRPr="003A3913">
        <w:rPr>
          <w:rFonts w:ascii="Aptos Display" w:eastAsia="Arial" w:hAnsi="Aptos Display"/>
          <w:sz w:val="17"/>
          <w:szCs w:val="17"/>
          <w:lang w:val="es-MX"/>
        </w:rPr>
        <w:t xml:space="preserve">  Encuesta</w:t>
      </w:r>
      <w:proofErr w:type="gramEnd"/>
      <w:r w:rsidRPr="003A3913">
        <w:rPr>
          <w:rFonts w:ascii="Aptos Display" w:eastAsia="Arial" w:hAnsi="Aptos Display"/>
          <w:sz w:val="17"/>
          <w:szCs w:val="17"/>
          <w:lang w:val="es-MX"/>
        </w:rPr>
        <w:t xml:space="preserve"> Nacional sobre Violencia de Género contra las Mujeres</w:t>
      </w:r>
    </w:p>
    <w:p w14:paraId="40AA279E"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ERG</w:t>
      </w:r>
      <w:r w:rsidRPr="003A3913">
        <w:rPr>
          <w:rFonts w:ascii="Aptos Display" w:eastAsia="Arial" w:hAnsi="Aptos Display"/>
          <w:sz w:val="17"/>
          <w:szCs w:val="17"/>
          <w:lang w:val="es-MX"/>
        </w:rPr>
        <w:t xml:space="preserve">  Grupo</w:t>
      </w:r>
      <w:proofErr w:type="gramEnd"/>
      <w:r w:rsidRPr="003A3913">
        <w:rPr>
          <w:rFonts w:ascii="Aptos Display" w:eastAsia="Arial" w:hAnsi="Aptos Display"/>
          <w:sz w:val="17"/>
          <w:szCs w:val="17"/>
          <w:lang w:val="es-MX"/>
        </w:rPr>
        <w:t xml:space="preserve"> de Referencia de la Evaluación (</w:t>
      </w:r>
      <w:proofErr w:type="spellStart"/>
      <w:r w:rsidRPr="003A3913">
        <w:rPr>
          <w:rFonts w:ascii="Aptos Display" w:eastAsia="Arial" w:hAnsi="Aptos Display"/>
          <w:sz w:val="17"/>
          <w:szCs w:val="17"/>
          <w:lang w:val="es-MX"/>
        </w:rPr>
        <w:t>Evaluation</w:t>
      </w:r>
      <w:proofErr w:type="spellEnd"/>
      <w:r w:rsidRPr="003A3913">
        <w:rPr>
          <w:rFonts w:ascii="Aptos Display" w:eastAsia="Arial" w:hAnsi="Aptos Display"/>
          <w:sz w:val="17"/>
          <w:szCs w:val="17"/>
          <w:lang w:val="es-MX"/>
        </w:rPr>
        <w:t xml:space="preserve"> Reference </w:t>
      </w:r>
      <w:proofErr w:type="spellStart"/>
      <w:r w:rsidRPr="003A3913">
        <w:rPr>
          <w:rFonts w:ascii="Aptos Display" w:eastAsia="Arial" w:hAnsi="Aptos Display"/>
          <w:sz w:val="17"/>
          <w:szCs w:val="17"/>
          <w:lang w:val="es-MX"/>
        </w:rPr>
        <w:t>Group</w:t>
      </w:r>
      <w:proofErr w:type="spellEnd"/>
      <w:r w:rsidRPr="003A3913">
        <w:rPr>
          <w:rFonts w:ascii="Aptos Display" w:eastAsia="Arial" w:hAnsi="Aptos Display"/>
          <w:sz w:val="17"/>
          <w:szCs w:val="17"/>
          <w:lang w:val="es-MX"/>
        </w:rPr>
        <w:t>)</w:t>
      </w:r>
    </w:p>
    <w:p w14:paraId="5ABEA413"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EVAW</w:t>
      </w:r>
      <w:r w:rsidRPr="003A3913">
        <w:rPr>
          <w:rFonts w:ascii="Aptos Display" w:eastAsia="Arial" w:hAnsi="Aptos Display"/>
          <w:sz w:val="17"/>
          <w:szCs w:val="17"/>
          <w:lang w:val="es-MX"/>
        </w:rPr>
        <w:t xml:space="preserve">  Erradicación</w:t>
      </w:r>
      <w:proofErr w:type="gramEnd"/>
      <w:r w:rsidRPr="003A3913">
        <w:rPr>
          <w:rFonts w:ascii="Aptos Display" w:eastAsia="Arial" w:hAnsi="Aptos Display"/>
          <w:sz w:val="17"/>
          <w:szCs w:val="17"/>
          <w:lang w:val="es-MX"/>
        </w:rPr>
        <w:t xml:space="preserve"> de la Violencia contra las Mujeres (</w:t>
      </w:r>
      <w:proofErr w:type="spellStart"/>
      <w:r w:rsidRPr="003A3913">
        <w:rPr>
          <w:rFonts w:ascii="Aptos Display" w:eastAsia="Arial" w:hAnsi="Aptos Display"/>
          <w:sz w:val="17"/>
          <w:szCs w:val="17"/>
          <w:lang w:val="es-MX"/>
        </w:rPr>
        <w:t>Ending</w:t>
      </w:r>
      <w:proofErr w:type="spellEnd"/>
      <w:r w:rsidRPr="003A3913">
        <w:rPr>
          <w:rFonts w:ascii="Aptos Display" w:eastAsia="Arial" w:hAnsi="Aptos Display"/>
          <w:sz w:val="17"/>
          <w:szCs w:val="17"/>
          <w:lang w:val="es-MX"/>
        </w:rPr>
        <w:t xml:space="preserve"> </w:t>
      </w:r>
      <w:proofErr w:type="spellStart"/>
      <w:r w:rsidRPr="003A3913">
        <w:rPr>
          <w:rFonts w:ascii="Aptos Display" w:eastAsia="Arial" w:hAnsi="Aptos Display"/>
          <w:sz w:val="17"/>
          <w:szCs w:val="17"/>
          <w:lang w:val="es-MX"/>
        </w:rPr>
        <w:t>Violence</w:t>
      </w:r>
      <w:proofErr w:type="spellEnd"/>
      <w:r w:rsidRPr="003A3913">
        <w:rPr>
          <w:rFonts w:ascii="Aptos Display" w:eastAsia="Arial" w:hAnsi="Aptos Display"/>
          <w:sz w:val="17"/>
          <w:szCs w:val="17"/>
          <w:lang w:val="es-MX"/>
        </w:rPr>
        <w:t xml:space="preserve"> </w:t>
      </w:r>
      <w:proofErr w:type="spellStart"/>
      <w:r w:rsidRPr="003A3913">
        <w:rPr>
          <w:rFonts w:ascii="Aptos Display" w:eastAsia="Arial" w:hAnsi="Aptos Display"/>
          <w:sz w:val="17"/>
          <w:szCs w:val="17"/>
          <w:lang w:val="es-MX"/>
        </w:rPr>
        <w:t>Against</w:t>
      </w:r>
      <w:proofErr w:type="spellEnd"/>
      <w:r w:rsidRPr="003A3913">
        <w:rPr>
          <w:rFonts w:ascii="Aptos Display" w:eastAsia="Arial" w:hAnsi="Aptos Display"/>
          <w:sz w:val="17"/>
          <w:szCs w:val="17"/>
          <w:lang w:val="es-MX"/>
        </w:rPr>
        <w:t xml:space="preserve"> </w:t>
      </w:r>
      <w:proofErr w:type="spellStart"/>
      <w:r w:rsidRPr="003A3913">
        <w:rPr>
          <w:rFonts w:ascii="Aptos Display" w:eastAsia="Arial" w:hAnsi="Aptos Display"/>
          <w:sz w:val="17"/>
          <w:szCs w:val="17"/>
          <w:lang w:val="es-MX"/>
        </w:rPr>
        <w:t>Women</w:t>
      </w:r>
      <w:proofErr w:type="spellEnd"/>
      <w:r w:rsidRPr="003A3913">
        <w:rPr>
          <w:rFonts w:ascii="Aptos Display" w:eastAsia="Arial" w:hAnsi="Aptos Display"/>
          <w:sz w:val="17"/>
          <w:szCs w:val="17"/>
          <w:lang w:val="es-MX"/>
        </w:rPr>
        <w:t>)</w:t>
      </w:r>
    </w:p>
    <w:p w14:paraId="5EA95846"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EVAWG</w:t>
      </w:r>
      <w:r w:rsidRPr="003A3913">
        <w:rPr>
          <w:rFonts w:ascii="Aptos Display" w:eastAsia="Arial" w:hAnsi="Aptos Display"/>
          <w:sz w:val="17"/>
          <w:szCs w:val="17"/>
          <w:lang w:val="es-MX"/>
        </w:rPr>
        <w:t xml:space="preserve">  Erradicación</w:t>
      </w:r>
      <w:proofErr w:type="gramEnd"/>
      <w:r w:rsidRPr="003A3913">
        <w:rPr>
          <w:rFonts w:ascii="Aptos Display" w:eastAsia="Arial" w:hAnsi="Aptos Display"/>
          <w:sz w:val="17"/>
          <w:szCs w:val="17"/>
          <w:lang w:val="es-MX"/>
        </w:rPr>
        <w:t xml:space="preserve"> de la Violencia contra las Mujeres y Niñas (</w:t>
      </w:r>
      <w:proofErr w:type="spellStart"/>
      <w:r w:rsidRPr="003A3913">
        <w:rPr>
          <w:rFonts w:ascii="Aptos Display" w:eastAsia="Arial" w:hAnsi="Aptos Display"/>
          <w:sz w:val="17"/>
          <w:szCs w:val="17"/>
          <w:lang w:val="es-MX"/>
        </w:rPr>
        <w:t>Ending</w:t>
      </w:r>
      <w:proofErr w:type="spellEnd"/>
      <w:r w:rsidRPr="003A3913">
        <w:rPr>
          <w:rFonts w:ascii="Aptos Display" w:eastAsia="Arial" w:hAnsi="Aptos Display"/>
          <w:sz w:val="17"/>
          <w:szCs w:val="17"/>
          <w:lang w:val="es-MX"/>
        </w:rPr>
        <w:t xml:space="preserve"> </w:t>
      </w:r>
      <w:proofErr w:type="spellStart"/>
      <w:r w:rsidRPr="003A3913">
        <w:rPr>
          <w:rFonts w:ascii="Aptos Display" w:eastAsia="Arial" w:hAnsi="Aptos Display"/>
          <w:sz w:val="17"/>
          <w:szCs w:val="17"/>
          <w:lang w:val="es-MX"/>
        </w:rPr>
        <w:t>Violence</w:t>
      </w:r>
      <w:proofErr w:type="spellEnd"/>
      <w:r w:rsidRPr="003A3913">
        <w:rPr>
          <w:rFonts w:ascii="Aptos Display" w:eastAsia="Arial" w:hAnsi="Aptos Display"/>
          <w:sz w:val="17"/>
          <w:szCs w:val="17"/>
          <w:lang w:val="es-MX"/>
        </w:rPr>
        <w:t xml:space="preserve"> </w:t>
      </w:r>
      <w:proofErr w:type="spellStart"/>
      <w:r w:rsidRPr="003A3913">
        <w:rPr>
          <w:rFonts w:ascii="Aptos Display" w:eastAsia="Arial" w:hAnsi="Aptos Display"/>
          <w:sz w:val="17"/>
          <w:szCs w:val="17"/>
          <w:lang w:val="es-MX"/>
        </w:rPr>
        <w:t>Against</w:t>
      </w:r>
      <w:proofErr w:type="spellEnd"/>
      <w:r w:rsidRPr="003A3913">
        <w:rPr>
          <w:rFonts w:ascii="Aptos Display" w:eastAsia="Arial" w:hAnsi="Aptos Display"/>
          <w:sz w:val="17"/>
          <w:szCs w:val="17"/>
          <w:lang w:val="es-MX"/>
        </w:rPr>
        <w:t xml:space="preserve"> </w:t>
      </w:r>
      <w:proofErr w:type="spellStart"/>
      <w:r w:rsidRPr="003A3913">
        <w:rPr>
          <w:rFonts w:ascii="Aptos Display" w:eastAsia="Arial" w:hAnsi="Aptos Display"/>
          <w:sz w:val="17"/>
          <w:szCs w:val="17"/>
          <w:lang w:val="es-MX"/>
        </w:rPr>
        <w:t>Women</w:t>
      </w:r>
      <w:proofErr w:type="spellEnd"/>
      <w:r w:rsidRPr="003A3913">
        <w:rPr>
          <w:rFonts w:ascii="Aptos Display" w:eastAsia="Arial" w:hAnsi="Aptos Display"/>
          <w:sz w:val="17"/>
          <w:szCs w:val="17"/>
          <w:lang w:val="es-MX"/>
        </w:rPr>
        <w:t xml:space="preserve"> and </w:t>
      </w:r>
      <w:proofErr w:type="spellStart"/>
      <w:r w:rsidRPr="003A3913">
        <w:rPr>
          <w:rFonts w:ascii="Aptos Display" w:eastAsia="Arial" w:hAnsi="Aptos Display"/>
          <w:sz w:val="17"/>
          <w:szCs w:val="17"/>
          <w:lang w:val="es-MX"/>
        </w:rPr>
        <w:t>Girls</w:t>
      </w:r>
      <w:proofErr w:type="spellEnd"/>
      <w:r w:rsidRPr="003A3913">
        <w:rPr>
          <w:rFonts w:ascii="Aptos Display" w:eastAsia="Arial" w:hAnsi="Aptos Display"/>
          <w:sz w:val="17"/>
          <w:szCs w:val="17"/>
          <w:lang w:val="es-MX"/>
        </w:rPr>
        <w:t>)</w:t>
      </w:r>
    </w:p>
    <w:p w14:paraId="21AC5A6F"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FIEDS</w:t>
      </w:r>
      <w:r w:rsidRPr="003A3913">
        <w:rPr>
          <w:rFonts w:ascii="Aptos Display" w:eastAsia="Arial" w:hAnsi="Aptos Display"/>
          <w:sz w:val="17"/>
          <w:szCs w:val="17"/>
          <w:lang w:val="es-MX"/>
        </w:rPr>
        <w:t xml:space="preserve">  Fondo</w:t>
      </w:r>
      <w:proofErr w:type="gramEnd"/>
      <w:r w:rsidRPr="003A3913">
        <w:rPr>
          <w:rFonts w:ascii="Aptos Display" w:eastAsia="Arial" w:hAnsi="Aptos Display"/>
          <w:sz w:val="17"/>
          <w:szCs w:val="17"/>
          <w:lang w:val="es-MX"/>
        </w:rPr>
        <w:t xml:space="preserve"> Italiano para el Desarrollo y la Sostenibilidad</w:t>
      </w:r>
    </w:p>
    <w:p w14:paraId="6C162877"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FLACSO</w:t>
      </w:r>
      <w:r w:rsidRPr="003A3913">
        <w:rPr>
          <w:rFonts w:ascii="Aptos Display" w:eastAsia="Arial" w:hAnsi="Aptos Display"/>
          <w:sz w:val="17"/>
          <w:szCs w:val="17"/>
          <w:lang w:val="es-MX"/>
        </w:rPr>
        <w:t xml:space="preserve">  Facultad</w:t>
      </w:r>
      <w:proofErr w:type="gramEnd"/>
      <w:r w:rsidRPr="003A3913">
        <w:rPr>
          <w:rFonts w:ascii="Aptos Display" w:eastAsia="Arial" w:hAnsi="Aptos Display"/>
          <w:sz w:val="17"/>
          <w:szCs w:val="17"/>
          <w:lang w:val="es-MX"/>
        </w:rPr>
        <w:t xml:space="preserve"> Latinoamericana de Ciencias Sociales</w:t>
      </w:r>
    </w:p>
    <w:p w14:paraId="291B5CC3"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GAMMA</w:t>
      </w:r>
      <w:r w:rsidRPr="003A3913">
        <w:rPr>
          <w:rFonts w:ascii="Aptos Display" w:eastAsia="Arial" w:hAnsi="Aptos Display"/>
          <w:sz w:val="17"/>
          <w:szCs w:val="17"/>
          <w:lang w:val="es-MX"/>
        </w:rPr>
        <w:t xml:space="preserve">  Grupo</w:t>
      </w:r>
      <w:proofErr w:type="gramEnd"/>
      <w:r w:rsidRPr="003A3913">
        <w:rPr>
          <w:rFonts w:ascii="Aptos Display" w:eastAsia="Arial" w:hAnsi="Aptos Display"/>
          <w:sz w:val="17"/>
          <w:szCs w:val="17"/>
          <w:lang w:val="es-MX"/>
        </w:rPr>
        <w:t xml:space="preserve"> de Apoyo al Movimiento de Mujeres del Azuay</w:t>
      </w:r>
    </w:p>
    <w:p w14:paraId="19C25E50"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GRE</w:t>
      </w:r>
      <w:r w:rsidRPr="003A3913">
        <w:rPr>
          <w:rFonts w:ascii="Aptos Display" w:eastAsia="Arial" w:hAnsi="Aptos Display"/>
          <w:sz w:val="17"/>
          <w:szCs w:val="17"/>
          <w:lang w:val="es-MX"/>
        </w:rPr>
        <w:t xml:space="preserve">  Evaluación</w:t>
      </w:r>
      <w:proofErr w:type="gramEnd"/>
      <w:r w:rsidRPr="003A3913">
        <w:rPr>
          <w:rFonts w:ascii="Aptos Display" w:eastAsia="Arial" w:hAnsi="Aptos Display"/>
          <w:sz w:val="17"/>
          <w:szCs w:val="17"/>
          <w:lang w:val="es-MX"/>
        </w:rPr>
        <w:t xml:space="preserve"> con Respuesta de Género e Inclusión (</w:t>
      </w:r>
      <w:proofErr w:type="spellStart"/>
      <w:r w:rsidRPr="003A3913">
        <w:rPr>
          <w:rFonts w:ascii="Aptos Display" w:eastAsia="Arial" w:hAnsi="Aptos Display"/>
          <w:sz w:val="17"/>
          <w:szCs w:val="17"/>
          <w:lang w:val="es-MX"/>
        </w:rPr>
        <w:t>Gender</w:t>
      </w:r>
      <w:proofErr w:type="spellEnd"/>
      <w:r w:rsidRPr="003A3913">
        <w:rPr>
          <w:rFonts w:ascii="Aptos Display" w:eastAsia="Arial" w:hAnsi="Aptos Display"/>
          <w:sz w:val="17"/>
          <w:szCs w:val="17"/>
          <w:lang w:val="es-MX"/>
        </w:rPr>
        <w:t xml:space="preserve">-Responsive </w:t>
      </w:r>
      <w:proofErr w:type="spellStart"/>
      <w:r w:rsidRPr="003A3913">
        <w:rPr>
          <w:rFonts w:ascii="Aptos Display" w:eastAsia="Arial" w:hAnsi="Aptos Display"/>
          <w:sz w:val="17"/>
          <w:szCs w:val="17"/>
          <w:lang w:val="es-MX"/>
        </w:rPr>
        <w:t>Evaluation</w:t>
      </w:r>
      <w:proofErr w:type="spellEnd"/>
      <w:r w:rsidRPr="003A3913">
        <w:rPr>
          <w:rFonts w:ascii="Aptos Display" w:eastAsia="Arial" w:hAnsi="Aptos Display"/>
          <w:sz w:val="17"/>
          <w:szCs w:val="17"/>
          <w:lang w:val="es-MX"/>
        </w:rPr>
        <w:t>)</w:t>
      </w:r>
    </w:p>
    <w:p w14:paraId="50A8E2C0"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GTI</w:t>
      </w:r>
      <w:r w:rsidRPr="003A3913">
        <w:rPr>
          <w:rFonts w:ascii="Aptos Display" w:eastAsia="Arial" w:hAnsi="Aptos Display"/>
          <w:sz w:val="17"/>
          <w:szCs w:val="17"/>
          <w:lang w:val="es-MX"/>
        </w:rPr>
        <w:t xml:space="preserve">  Grupo</w:t>
      </w:r>
      <w:proofErr w:type="gramEnd"/>
      <w:r w:rsidRPr="003A3913">
        <w:rPr>
          <w:rFonts w:ascii="Aptos Display" w:eastAsia="Arial" w:hAnsi="Aptos Display"/>
          <w:sz w:val="17"/>
          <w:szCs w:val="17"/>
          <w:lang w:val="es-MX"/>
        </w:rPr>
        <w:t xml:space="preserve"> Técnico </w:t>
      </w:r>
      <w:proofErr w:type="spellStart"/>
      <w:r w:rsidRPr="003A3913">
        <w:rPr>
          <w:rFonts w:ascii="Aptos Display" w:eastAsia="Arial" w:hAnsi="Aptos Display"/>
          <w:sz w:val="17"/>
          <w:szCs w:val="17"/>
          <w:lang w:val="es-MX"/>
        </w:rPr>
        <w:t>Interagencial</w:t>
      </w:r>
      <w:proofErr w:type="spellEnd"/>
      <w:r w:rsidRPr="003A3913">
        <w:rPr>
          <w:rFonts w:ascii="Aptos Display" w:eastAsia="Arial" w:hAnsi="Aptos Display"/>
          <w:sz w:val="17"/>
          <w:szCs w:val="17"/>
          <w:lang w:val="es-MX"/>
        </w:rPr>
        <w:t xml:space="preserve"> de Género</w:t>
      </w:r>
    </w:p>
    <w:p w14:paraId="7A0FC8B9"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GTRM</w:t>
      </w:r>
      <w:r w:rsidRPr="003A3913">
        <w:rPr>
          <w:rFonts w:ascii="Aptos Display" w:eastAsia="Arial" w:hAnsi="Aptos Display"/>
          <w:sz w:val="17"/>
          <w:szCs w:val="17"/>
          <w:lang w:val="es-MX"/>
        </w:rPr>
        <w:t xml:space="preserve">  Grupo</w:t>
      </w:r>
      <w:proofErr w:type="gramEnd"/>
      <w:r w:rsidRPr="003A3913">
        <w:rPr>
          <w:rFonts w:ascii="Aptos Display" w:eastAsia="Arial" w:hAnsi="Aptos Display"/>
          <w:sz w:val="17"/>
          <w:szCs w:val="17"/>
          <w:lang w:val="es-MX"/>
        </w:rPr>
        <w:t xml:space="preserve"> de Trabajo sobre Refugiados y Migrantes</w:t>
      </w:r>
    </w:p>
    <w:p w14:paraId="4A944D67"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IB</w:t>
      </w:r>
      <w:r w:rsidRPr="003A3913">
        <w:rPr>
          <w:rFonts w:ascii="Aptos Display" w:eastAsia="Arial" w:hAnsi="Aptos Display"/>
          <w:sz w:val="17"/>
          <w:szCs w:val="17"/>
          <w:lang w:val="es-MX"/>
        </w:rPr>
        <w:t xml:space="preserve">  Presupuesto</w:t>
      </w:r>
      <w:proofErr w:type="gramEnd"/>
      <w:r w:rsidRPr="003A3913">
        <w:rPr>
          <w:rFonts w:ascii="Aptos Display" w:eastAsia="Arial" w:hAnsi="Aptos Display"/>
          <w:sz w:val="17"/>
          <w:szCs w:val="17"/>
          <w:lang w:val="es-MX"/>
        </w:rPr>
        <w:t xml:space="preserve"> Institucional (</w:t>
      </w:r>
      <w:proofErr w:type="spellStart"/>
      <w:r w:rsidRPr="003A3913">
        <w:rPr>
          <w:rFonts w:ascii="Aptos Display" w:eastAsia="Arial" w:hAnsi="Aptos Display"/>
          <w:sz w:val="17"/>
          <w:szCs w:val="17"/>
          <w:lang w:val="es-MX"/>
        </w:rPr>
        <w:t>Institutional</w:t>
      </w:r>
      <w:proofErr w:type="spellEnd"/>
      <w:r w:rsidRPr="003A3913">
        <w:rPr>
          <w:rFonts w:ascii="Aptos Display" w:eastAsia="Arial" w:hAnsi="Aptos Display"/>
          <w:sz w:val="17"/>
          <w:szCs w:val="17"/>
          <w:lang w:val="es-MX"/>
        </w:rPr>
        <w:t xml:space="preserve"> Budget)</w:t>
      </w:r>
    </w:p>
    <w:p w14:paraId="366A4D59"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IES</w:t>
      </w:r>
      <w:r w:rsidRPr="003A3913">
        <w:rPr>
          <w:rFonts w:ascii="Aptos Display" w:eastAsia="Arial" w:hAnsi="Aptos Display"/>
          <w:sz w:val="17"/>
          <w:szCs w:val="17"/>
          <w:lang w:val="es-MX"/>
        </w:rPr>
        <w:t xml:space="preserve">  Servicio</w:t>
      </w:r>
      <w:proofErr w:type="gramEnd"/>
      <w:r w:rsidRPr="003A3913">
        <w:rPr>
          <w:rFonts w:ascii="Aptos Display" w:eastAsia="Arial" w:hAnsi="Aptos Display"/>
          <w:sz w:val="17"/>
          <w:szCs w:val="17"/>
          <w:lang w:val="es-MX"/>
        </w:rPr>
        <w:t xml:space="preserve"> Independiente de Evaluación (</w:t>
      </w:r>
      <w:proofErr w:type="spellStart"/>
      <w:r w:rsidRPr="003A3913">
        <w:rPr>
          <w:rFonts w:ascii="Aptos Display" w:eastAsia="Arial" w:hAnsi="Aptos Display"/>
          <w:sz w:val="17"/>
          <w:szCs w:val="17"/>
          <w:lang w:val="es-MX"/>
        </w:rPr>
        <w:t>Independent</w:t>
      </w:r>
      <w:proofErr w:type="spellEnd"/>
      <w:r w:rsidRPr="003A3913">
        <w:rPr>
          <w:rFonts w:ascii="Aptos Display" w:eastAsia="Arial" w:hAnsi="Aptos Display"/>
          <w:sz w:val="17"/>
          <w:szCs w:val="17"/>
          <w:lang w:val="es-MX"/>
        </w:rPr>
        <w:t xml:space="preserve"> </w:t>
      </w:r>
      <w:proofErr w:type="spellStart"/>
      <w:r w:rsidRPr="003A3913">
        <w:rPr>
          <w:rFonts w:ascii="Aptos Display" w:eastAsia="Arial" w:hAnsi="Aptos Display"/>
          <w:sz w:val="17"/>
          <w:szCs w:val="17"/>
          <w:lang w:val="es-MX"/>
        </w:rPr>
        <w:t>Evaluation</w:t>
      </w:r>
      <w:proofErr w:type="spellEnd"/>
      <w:r w:rsidRPr="003A3913">
        <w:rPr>
          <w:rFonts w:ascii="Aptos Display" w:eastAsia="Arial" w:hAnsi="Aptos Display"/>
          <w:sz w:val="17"/>
          <w:szCs w:val="17"/>
          <w:lang w:val="es-MX"/>
        </w:rPr>
        <w:t xml:space="preserve"> </w:t>
      </w:r>
      <w:proofErr w:type="spellStart"/>
      <w:r w:rsidRPr="003A3913">
        <w:rPr>
          <w:rFonts w:ascii="Aptos Display" w:eastAsia="Arial" w:hAnsi="Aptos Display"/>
          <w:sz w:val="17"/>
          <w:szCs w:val="17"/>
          <w:lang w:val="es-MX"/>
        </w:rPr>
        <w:t>Service</w:t>
      </w:r>
      <w:proofErr w:type="spellEnd"/>
      <w:r w:rsidRPr="003A3913">
        <w:rPr>
          <w:rFonts w:ascii="Aptos Display" w:eastAsia="Arial" w:hAnsi="Aptos Display"/>
          <w:sz w:val="17"/>
          <w:szCs w:val="17"/>
          <w:lang w:val="es-MX"/>
        </w:rPr>
        <w:t>)</w:t>
      </w:r>
    </w:p>
    <w:p w14:paraId="27261C83"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INEC</w:t>
      </w:r>
      <w:r w:rsidRPr="003A3913">
        <w:rPr>
          <w:rFonts w:ascii="Aptos Display" w:eastAsia="Arial" w:hAnsi="Aptos Display"/>
          <w:sz w:val="17"/>
          <w:szCs w:val="17"/>
          <w:lang w:val="es-MX"/>
        </w:rPr>
        <w:t xml:space="preserve">  Instituto</w:t>
      </w:r>
      <w:proofErr w:type="gramEnd"/>
      <w:r w:rsidRPr="003A3913">
        <w:rPr>
          <w:rFonts w:ascii="Aptos Display" w:eastAsia="Arial" w:hAnsi="Aptos Display"/>
          <w:sz w:val="17"/>
          <w:szCs w:val="17"/>
          <w:lang w:val="es-MX"/>
        </w:rPr>
        <w:t xml:space="preserve"> Nacional de Estadística y Censos</w:t>
      </w:r>
    </w:p>
    <w:p w14:paraId="7C208482"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KOICA</w:t>
      </w:r>
      <w:r w:rsidRPr="003A3913">
        <w:rPr>
          <w:rFonts w:ascii="Aptos Display" w:eastAsia="Arial" w:hAnsi="Aptos Display"/>
          <w:sz w:val="17"/>
          <w:szCs w:val="17"/>
          <w:lang w:val="es-MX"/>
        </w:rPr>
        <w:t xml:space="preserve">  Agencia</w:t>
      </w:r>
      <w:proofErr w:type="gramEnd"/>
      <w:r w:rsidRPr="003A3913">
        <w:rPr>
          <w:rFonts w:ascii="Aptos Display" w:eastAsia="Arial" w:hAnsi="Aptos Display"/>
          <w:sz w:val="17"/>
          <w:szCs w:val="17"/>
          <w:lang w:val="es-MX"/>
        </w:rPr>
        <w:t xml:space="preserve"> de Cooperación Internacional de Corea</w:t>
      </w:r>
    </w:p>
    <w:p w14:paraId="068874E7"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r w:rsidRPr="003A3913">
        <w:rPr>
          <w:rFonts w:ascii="Aptos Display" w:eastAsia="Arial" w:hAnsi="Aptos Display"/>
          <w:b/>
          <w:bCs/>
          <w:sz w:val="17"/>
          <w:szCs w:val="17"/>
          <w:lang w:val="es-MX"/>
        </w:rPr>
        <w:t>LGBTIQ</w:t>
      </w:r>
      <w:proofErr w:type="gramStart"/>
      <w:r w:rsidRPr="003A3913">
        <w:rPr>
          <w:rFonts w:ascii="Aptos Display" w:eastAsia="Arial" w:hAnsi="Aptos Display"/>
          <w:b/>
          <w:bCs/>
          <w:sz w:val="17"/>
          <w:szCs w:val="17"/>
          <w:lang w:val="es-MX"/>
        </w:rPr>
        <w:t>+</w:t>
      </w:r>
      <w:r w:rsidRPr="003A3913">
        <w:rPr>
          <w:rFonts w:ascii="Aptos Display" w:eastAsia="Arial" w:hAnsi="Aptos Display"/>
          <w:sz w:val="17"/>
          <w:szCs w:val="17"/>
          <w:lang w:val="es-MX"/>
        </w:rPr>
        <w:t xml:space="preserve">  Lesbianas</w:t>
      </w:r>
      <w:proofErr w:type="gramEnd"/>
      <w:r w:rsidRPr="003A3913">
        <w:rPr>
          <w:rFonts w:ascii="Aptos Display" w:eastAsia="Arial" w:hAnsi="Aptos Display"/>
          <w:sz w:val="17"/>
          <w:szCs w:val="17"/>
          <w:lang w:val="es-MX"/>
        </w:rPr>
        <w:t xml:space="preserve">, </w:t>
      </w:r>
      <w:proofErr w:type="spellStart"/>
      <w:r w:rsidRPr="003A3913">
        <w:rPr>
          <w:rFonts w:ascii="Aptos Display" w:eastAsia="Arial" w:hAnsi="Aptos Display"/>
          <w:sz w:val="17"/>
          <w:szCs w:val="17"/>
          <w:lang w:val="es-MX"/>
        </w:rPr>
        <w:t>Gays</w:t>
      </w:r>
      <w:proofErr w:type="spellEnd"/>
      <w:r w:rsidRPr="003A3913">
        <w:rPr>
          <w:rFonts w:ascii="Aptos Display" w:eastAsia="Arial" w:hAnsi="Aptos Display"/>
          <w:sz w:val="17"/>
          <w:szCs w:val="17"/>
          <w:lang w:val="es-MX"/>
        </w:rPr>
        <w:t>, Bisexuales, Trans, Intersex y Queer</w:t>
      </w:r>
    </w:p>
    <w:p w14:paraId="3BF97731"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n-US"/>
        </w:rPr>
      </w:pPr>
      <w:proofErr w:type="gramStart"/>
      <w:r w:rsidRPr="003A3913">
        <w:rPr>
          <w:rFonts w:ascii="Aptos Display" w:eastAsia="Arial" w:hAnsi="Aptos Display"/>
          <w:b/>
          <w:bCs/>
          <w:sz w:val="17"/>
          <w:szCs w:val="17"/>
          <w:lang w:val="en-US"/>
        </w:rPr>
        <w:t>LNOB</w:t>
      </w:r>
      <w:r w:rsidRPr="003A3913">
        <w:rPr>
          <w:rFonts w:ascii="Aptos Display" w:eastAsia="Arial" w:hAnsi="Aptos Display"/>
          <w:sz w:val="17"/>
          <w:szCs w:val="17"/>
          <w:lang w:val="en-US"/>
        </w:rPr>
        <w:t xml:space="preserve">  No</w:t>
      </w:r>
      <w:proofErr w:type="gramEnd"/>
      <w:r w:rsidRPr="003A3913">
        <w:rPr>
          <w:rFonts w:ascii="Aptos Display" w:eastAsia="Arial" w:hAnsi="Aptos Display"/>
          <w:sz w:val="17"/>
          <w:szCs w:val="17"/>
          <w:lang w:val="en-US"/>
        </w:rPr>
        <w:t xml:space="preserve"> </w:t>
      </w:r>
      <w:proofErr w:type="spellStart"/>
      <w:r w:rsidRPr="003A3913">
        <w:rPr>
          <w:rFonts w:ascii="Aptos Display" w:eastAsia="Arial" w:hAnsi="Aptos Display"/>
          <w:sz w:val="17"/>
          <w:szCs w:val="17"/>
          <w:lang w:val="en-US"/>
        </w:rPr>
        <w:t>Dejar</w:t>
      </w:r>
      <w:proofErr w:type="spellEnd"/>
      <w:r w:rsidRPr="003A3913">
        <w:rPr>
          <w:rFonts w:ascii="Aptos Display" w:eastAsia="Arial" w:hAnsi="Aptos Display"/>
          <w:sz w:val="17"/>
          <w:szCs w:val="17"/>
          <w:lang w:val="en-US"/>
        </w:rPr>
        <w:t xml:space="preserve"> a Nadie </w:t>
      </w:r>
      <w:proofErr w:type="spellStart"/>
      <w:r w:rsidRPr="003A3913">
        <w:rPr>
          <w:rFonts w:ascii="Aptos Display" w:eastAsia="Arial" w:hAnsi="Aptos Display"/>
          <w:sz w:val="17"/>
          <w:szCs w:val="17"/>
          <w:lang w:val="en-US"/>
        </w:rPr>
        <w:t>Atrás</w:t>
      </w:r>
      <w:proofErr w:type="spellEnd"/>
      <w:r w:rsidRPr="003A3913">
        <w:rPr>
          <w:rFonts w:ascii="Aptos Display" w:eastAsia="Arial" w:hAnsi="Aptos Display"/>
          <w:sz w:val="17"/>
          <w:szCs w:val="17"/>
          <w:lang w:val="en-US"/>
        </w:rPr>
        <w:t xml:space="preserve"> (Leaving No One Behind)</w:t>
      </w:r>
    </w:p>
    <w:p w14:paraId="6C5E7242"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r w:rsidRPr="003A3913">
        <w:rPr>
          <w:rFonts w:ascii="Aptos Display" w:eastAsia="Arial" w:hAnsi="Aptos Display"/>
          <w:b/>
          <w:bCs/>
          <w:sz w:val="17"/>
          <w:szCs w:val="17"/>
          <w:lang w:val="es-MX"/>
        </w:rPr>
        <w:t xml:space="preserve">MEGECI </w:t>
      </w:r>
      <w:r w:rsidRPr="003A3913">
        <w:rPr>
          <w:rFonts w:ascii="Aptos Display" w:eastAsia="Arial" w:hAnsi="Aptos Display"/>
          <w:sz w:val="17"/>
          <w:szCs w:val="17"/>
          <w:lang w:val="es-MX"/>
        </w:rPr>
        <w:t>Mesa de Género de la Cooperación Internacional</w:t>
      </w:r>
    </w:p>
    <w:p w14:paraId="7E52378C"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NE</w:t>
      </w:r>
      <w:r w:rsidRPr="003A3913">
        <w:rPr>
          <w:rFonts w:ascii="Aptos Display" w:eastAsia="Arial" w:hAnsi="Aptos Display"/>
          <w:sz w:val="17"/>
          <w:szCs w:val="17"/>
          <w:lang w:val="es-MX"/>
        </w:rPr>
        <w:t xml:space="preserve">  Nota</w:t>
      </w:r>
      <w:proofErr w:type="gramEnd"/>
      <w:r w:rsidRPr="003A3913">
        <w:rPr>
          <w:rFonts w:ascii="Aptos Display" w:eastAsia="Arial" w:hAnsi="Aptos Display"/>
          <w:sz w:val="17"/>
          <w:szCs w:val="17"/>
          <w:lang w:val="es-MX"/>
        </w:rPr>
        <w:t xml:space="preserve"> Estratégica</w:t>
      </w:r>
    </w:p>
    <w:p w14:paraId="3329F384"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OCDE</w:t>
      </w:r>
      <w:r w:rsidRPr="003A3913">
        <w:rPr>
          <w:rFonts w:ascii="Aptos Display" w:eastAsia="Arial" w:hAnsi="Aptos Display"/>
          <w:sz w:val="17"/>
          <w:szCs w:val="17"/>
          <w:lang w:val="es-MX"/>
        </w:rPr>
        <w:t xml:space="preserve">  Organización</w:t>
      </w:r>
      <w:proofErr w:type="gramEnd"/>
      <w:r w:rsidRPr="003A3913">
        <w:rPr>
          <w:rFonts w:ascii="Aptos Display" w:eastAsia="Arial" w:hAnsi="Aptos Display"/>
          <w:sz w:val="17"/>
          <w:szCs w:val="17"/>
          <w:lang w:val="es-MX"/>
        </w:rPr>
        <w:t xml:space="preserve"> para la Cooperación y el Desarrollo Económicos</w:t>
      </w:r>
    </w:p>
    <w:p w14:paraId="6B6FD9F4"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ODS</w:t>
      </w:r>
      <w:r w:rsidRPr="003A3913">
        <w:rPr>
          <w:rFonts w:ascii="Aptos Display" w:eastAsia="Arial" w:hAnsi="Aptos Display"/>
          <w:sz w:val="17"/>
          <w:szCs w:val="17"/>
          <w:lang w:val="es-MX"/>
        </w:rPr>
        <w:t xml:space="preserve">  Objetivos</w:t>
      </w:r>
      <w:proofErr w:type="gramEnd"/>
      <w:r w:rsidRPr="003A3913">
        <w:rPr>
          <w:rFonts w:ascii="Aptos Display" w:eastAsia="Arial" w:hAnsi="Aptos Display"/>
          <w:sz w:val="17"/>
          <w:szCs w:val="17"/>
          <w:lang w:val="es-MX"/>
        </w:rPr>
        <w:t xml:space="preserve"> de Desarrollo Sostenible</w:t>
      </w:r>
    </w:p>
    <w:p w14:paraId="3D095F06"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OIM</w:t>
      </w:r>
      <w:r w:rsidRPr="003A3913">
        <w:rPr>
          <w:rFonts w:ascii="Aptos Display" w:eastAsia="Arial" w:hAnsi="Aptos Display"/>
          <w:sz w:val="17"/>
          <w:szCs w:val="17"/>
          <w:lang w:val="es-MX"/>
        </w:rPr>
        <w:t xml:space="preserve">  Organización</w:t>
      </w:r>
      <w:proofErr w:type="gramEnd"/>
      <w:r w:rsidRPr="003A3913">
        <w:rPr>
          <w:rFonts w:ascii="Aptos Display" w:eastAsia="Arial" w:hAnsi="Aptos Display"/>
          <w:sz w:val="17"/>
          <w:szCs w:val="17"/>
          <w:lang w:val="es-MX"/>
        </w:rPr>
        <w:t xml:space="preserve"> Internacional para las Migraciones</w:t>
      </w:r>
    </w:p>
    <w:p w14:paraId="2B8F4CE9"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OIT</w:t>
      </w:r>
      <w:r w:rsidRPr="003A3913">
        <w:rPr>
          <w:rFonts w:ascii="Aptos Display" w:eastAsia="Arial" w:hAnsi="Aptos Display"/>
          <w:sz w:val="17"/>
          <w:szCs w:val="17"/>
          <w:lang w:val="es-MX"/>
        </w:rPr>
        <w:t xml:space="preserve">  Organización</w:t>
      </w:r>
      <w:proofErr w:type="gramEnd"/>
      <w:r w:rsidRPr="003A3913">
        <w:rPr>
          <w:rFonts w:ascii="Aptos Display" w:eastAsia="Arial" w:hAnsi="Aptos Display"/>
          <w:sz w:val="17"/>
          <w:szCs w:val="17"/>
          <w:lang w:val="es-MX"/>
        </w:rPr>
        <w:t xml:space="preserve"> Internacional del Trabajo</w:t>
      </w:r>
    </w:p>
    <w:p w14:paraId="3386576B"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r w:rsidRPr="003A3913">
        <w:rPr>
          <w:rFonts w:ascii="Aptos Display" w:eastAsia="Arial" w:hAnsi="Aptos Display"/>
          <w:b/>
          <w:bCs/>
          <w:sz w:val="17"/>
          <w:szCs w:val="17"/>
          <w:lang w:val="es-MX"/>
        </w:rPr>
        <w:t xml:space="preserve">ONU </w:t>
      </w:r>
      <w:proofErr w:type="gramStart"/>
      <w:r w:rsidRPr="003A3913">
        <w:rPr>
          <w:rFonts w:ascii="Aptos Display" w:eastAsia="Arial" w:hAnsi="Aptos Display"/>
          <w:b/>
          <w:bCs/>
          <w:sz w:val="17"/>
          <w:szCs w:val="17"/>
          <w:lang w:val="es-MX"/>
        </w:rPr>
        <w:t>Mujeres</w:t>
      </w:r>
      <w:r w:rsidRPr="003A3913">
        <w:rPr>
          <w:rFonts w:ascii="Aptos Display" w:eastAsia="Arial" w:hAnsi="Aptos Display"/>
          <w:sz w:val="17"/>
          <w:szCs w:val="17"/>
          <w:lang w:val="es-MX"/>
        </w:rPr>
        <w:t xml:space="preserve">  Entidad</w:t>
      </w:r>
      <w:proofErr w:type="gramEnd"/>
      <w:r w:rsidRPr="003A3913">
        <w:rPr>
          <w:rFonts w:ascii="Aptos Display" w:eastAsia="Arial" w:hAnsi="Aptos Display"/>
          <w:sz w:val="17"/>
          <w:szCs w:val="17"/>
          <w:lang w:val="es-MX"/>
        </w:rPr>
        <w:t xml:space="preserve"> de las Naciones Unidas para la Igualdad de Género y el Empoderamiento de las Mujeres</w:t>
      </w:r>
    </w:p>
    <w:p w14:paraId="43D4765E"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OSC</w:t>
      </w:r>
      <w:r w:rsidRPr="003A3913">
        <w:rPr>
          <w:rFonts w:ascii="Aptos Display" w:eastAsia="Arial" w:hAnsi="Aptos Display"/>
          <w:sz w:val="17"/>
          <w:szCs w:val="17"/>
          <w:lang w:val="es-MX"/>
        </w:rPr>
        <w:t xml:space="preserve">  Organización</w:t>
      </w:r>
      <w:proofErr w:type="gramEnd"/>
      <w:r w:rsidRPr="003A3913">
        <w:rPr>
          <w:rFonts w:ascii="Aptos Display" w:eastAsia="Arial" w:hAnsi="Aptos Display"/>
          <w:sz w:val="17"/>
          <w:szCs w:val="17"/>
          <w:lang w:val="es-MX"/>
        </w:rPr>
        <w:t xml:space="preserve"> de la Sociedad Civil</w:t>
      </w:r>
    </w:p>
    <w:p w14:paraId="48CDCD76"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PAN</w:t>
      </w:r>
      <w:r w:rsidRPr="003A3913">
        <w:rPr>
          <w:rFonts w:ascii="Aptos Display" w:eastAsia="Arial" w:hAnsi="Aptos Display"/>
          <w:sz w:val="17"/>
          <w:szCs w:val="17"/>
          <w:lang w:val="es-MX"/>
        </w:rPr>
        <w:t xml:space="preserve">  Plan</w:t>
      </w:r>
      <w:proofErr w:type="gramEnd"/>
      <w:r w:rsidRPr="003A3913">
        <w:rPr>
          <w:rFonts w:ascii="Aptos Display" w:eastAsia="Arial" w:hAnsi="Aptos Display"/>
          <w:sz w:val="17"/>
          <w:szCs w:val="17"/>
          <w:lang w:val="es-MX"/>
        </w:rPr>
        <w:t xml:space="preserve"> de Acción Nacional</w:t>
      </w:r>
    </w:p>
    <w:p w14:paraId="1A50157D"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r w:rsidRPr="003A3913">
        <w:rPr>
          <w:rFonts w:ascii="Aptos Display" w:eastAsia="Arial" w:hAnsi="Aptos Display"/>
          <w:b/>
          <w:bCs/>
          <w:sz w:val="17"/>
          <w:szCs w:val="17"/>
          <w:lang w:val="es-MX"/>
        </w:rPr>
        <w:t>PAN-</w:t>
      </w:r>
      <w:proofErr w:type="gramStart"/>
      <w:r w:rsidRPr="003A3913">
        <w:rPr>
          <w:rFonts w:ascii="Aptos Display" w:eastAsia="Arial" w:hAnsi="Aptos Display"/>
          <w:b/>
          <w:bCs/>
          <w:sz w:val="17"/>
          <w:szCs w:val="17"/>
          <w:lang w:val="es-MX"/>
        </w:rPr>
        <w:t>WPS</w:t>
      </w:r>
      <w:r w:rsidRPr="003A3913">
        <w:rPr>
          <w:rFonts w:ascii="Aptos Display" w:eastAsia="Arial" w:hAnsi="Aptos Display"/>
          <w:sz w:val="17"/>
          <w:szCs w:val="17"/>
          <w:lang w:val="es-MX"/>
        </w:rPr>
        <w:t xml:space="preserve">  Plan</w:t>
      </w:r>
      <w:proofErr w:type="gramEnd"/>
      <w:r w:rsidRPr="003A3913">
        <w:rPr>
          <w:rFonts w:ascii="Aptos Display" w:eastAsia="Arial" w:hAnsi="Aptos Display"/>
          <w:sz w:val="17"/>
          <w:szCs w:val="17"/>
          <w:lang w:val="es-MX"/>
        </w:rPr>
        <w:t xml:space="preserve"> de Acción Nacional sobre Mujeres, Paz y Seguridad</w:t>
      </w:r>
    </w:p>
    <w:p w14:paraId="0D552C4A"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PBF</w:t>
      </w:r>
      <w:r w:rsidRPr="003A3913">
        <w:rPr>
          <w:rFonts w:ascii="Aptos Display" w:eastAsia="Arial" w:hAnsi="Aptos Display"/>
          <w:sz w:val="17"/>
          <w:szCs w:val="17"/>
          <w:lang w:val="es-MX"/>
        </w:rPr>
        <w:t xml:space="preserve">  Fondo</w:t>
      </w:r>
      <w:proofErr w:type="gramEnd"/>
      <w:r w:rsidRPr="003A3913">
        <w:rPr>
          <w:rFonts w:ascii="Aptos Display" w:eastAsia="Arial" w:hAnsi="Aptos Display"/>
          <w:sz w:val="17"/>
          <w:szCs w:val="17"/>
          <w:lang w:val="es-MX"/>
        </w:rPr>
        <w:t xml:space="preserve"> de Consolidación de la Paz (</w:t>
      </w:r>
      <w:proofErr w:type="spellStart"/>
      <w:r w:rsidRPr="003A3913">
        <w:rPr>
          <w:rFonts w:ascii="Aptos Display" w:eastAsia="Arial" w:hAnsi="Aptos Display"/>
          <w:sz w:val="17"/>
          <w:szCs w:val="17"/>
          <w:lang w:val="es-MX"/>
        </w:rPr>
        <w:t>Peacebuilding</w:t>
      </w:r>
      <w:proofErr w:type="spellEnd"/>
      <w:r w:rsidRPr="003A3913">
        <w:rPr>
          <w:rFonts w:ascii="Aptos Display" w:eastAsia="Arial" w:hAnsi="Aptos Display"/>
          <w:sz w:val="17"/>
          <w:szCs w:val="17"/>
          <w:lang w:val="es-MX"/>
        </w:rPr>
        <w:t xml:space="preserve"> </w:t>
      </w:r>
      <w:proofErr w:type="spellStart"/>
      <w:r w:rsidRPr="003A3913">
        <w:rPr>
          <w:rFonts w:ascii="Aptos Display" w:eastAsia="Arial" w:hAnsi="Aptos Display"/>
          <w:sz w:val="17"/>
          <w:szCs w:val="17"/>
          <w:lang w:val="es-MX"/>
        </w:rPr>
        <w:t>Fund</w:t>
      </w:r>
      <w:proofErr w:type="spellEnd"/>
      <w:r w:rsidRPr="003A3913">
        <w:rPr>
          <w:rFonts w:ascii="Aptos Display" w:eastAsia="Arial" w:hAnsi="Aptos Display"/>
          <w:sz w:val="17"/>
          <w:szCs w:val="17"/>
          <w:lang w:val="es-MX"/>
        </w:rPr>
        <w:t>)</w:t>
      </w:r>
    </w:p>
    <w:p w14:paraId="1790B820"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PUCE</w:t>
      </w:r>
      <w:r w:rsidRPr="003A3913">
        <w:rPr>
          <w:rFonts w:ascii="Aptos Display" w:eastAsia="Arial" w:hAnsi="Aptos Display"/>
          <w:sz w:val="17"/>
          <w:szCs w:val="17"/>
          <w:lang w:val="es-MX"/>
        </w:rPr>
        <w:t xml:space="preserve">  Pontificia</w:t>
      </w:r>
      <w:proofErr w:type="gramEnd"/>
      <w:r w:rsidRPr="003A3913">
        <w:rPr>
          <w:rFonts w:ascii="Aptos Display" w:eastAsia="Arial" w:hAnsi="Aptos Display"/>
          <w:sz w:val="17"/>
          <w:szCs w:val="17"/>
          <w:lang w:val="es-MX"/>
        </w:rPr>
        <w:t xml:space="preserve"> Universidad Católica del Ecuador</w:t>
      </w:r>
    </w:p>
    <w:p w14:paraId="25F461AB"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REESS</w:t>
      </w:r>
      <w:r w:rsidRPr="003A3913">
        <w:rPr>
          <w:rFonts w:ascii="Aptos Display" w:eastAsia="Arial" w:hAnsi="Aptos Display"/>
          <w:sz w:val="17"/>
          <w:szCs w:val="17"/>
          <w:lang w:val="es-MX"/>
        </w:rPr>
        <w:t xml:space="preserve">  Registro</w:t>
      </w:r>
      <w:proofErr w:type="gramEnd"/>
      <w:r w:rsidRPr="003A3913">
        <w:rPr>
          <w:rFonts w:ascii="Aptos Display" w:eastAsia="Arial" w:hAnsi="Aptos Display"/>
          <w:sz w:val="17"/>
          <w:szCs w:val="17"/>
          <w:lang w:val="es-MX"/>
        </w:rPr>
        <w:t xml:space="preserve"> Estadístico de Empleo en la Seguridad Social (INEC)</w:t>
      </w:r>
    </w:p>
    <w:p w14:paraId="2B539FE2"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RMS</w:t>
      </w:r>
      <w:r w:rsidRPr="003A3913">
        <w:rPr>
          <w:rFonts w:ascii="Aptos Display" w:eastAsia="Arial" w:hAnsi="Aptos Display"/>
          <w:sz w:val="17"/>
          <w:szCs w:val="17"/>
          <w:lang w:val="es-MX"/>
        </w:rPr>
        <w:t xml:space="preserve">  Sistema</w:t>
      </w:r>
      <w:proofErr w:type="gramEnd"/>
      <w:r w:rsidRPr="003A3913">
        <w:rPr>
          <w:rFonts w:ascii="Aptos Display" w:eastAsia="Arial" w:hAnsi="Aptos Display"/>
          <w:sz w:val="17"/>
          <w:szCs w:val="17"/>
          <w:lang w:val="es-MX"/>
        </w:rPr>
        <w:t xml:space="preserve"> de Gestión de Resultados (</w:t>
      </w:r>
      <w:proofErr w:type="spellStart"/>
      <w:r w:rsidRPr="003A3913">
        <w:rPr>
          <w:rFonts w:ascii="Aptos Display" w:eastAsia="Arial" w:hAnsi="Aptos Display"/>
          <w:sz w:val="17"/>
          <w:szCs w:val="17"/>
          <w:lang w:val="es-MX"/>
        </w:rPr>
        <w:t>Results</w:t>
      </w:r>
      <w:proofErr w:type="spellEnd"/>
      <w:r w:rsidRPr="003A3913">
        <w:rPr>
          <w:rFonts w:ascii="Aptos Display" w:eastAsia="Arial" w:hAnsi="Aptos Display"/>
          <w:sz w:val="17"/>
          <w:szCs w:val="17"/>
          <w:lang w:val="es-MX"/>
        </w:rPr>
        <w:t xml:space="preserve"> Management </w:t>
      </w:r>
      <w:proofErr w:type="spellStart"/>
      <w:r w:rsidRPr="003A3913">
        <w:rPr>
          <w:rFonts w:ascii="Aptos Display" w:eastAsia="Arial" w:hAnsi="Aptos Display"/>
          <w:sz w:val="17"/>
          <w:szCs w:val="17"/>
          <w:lang w:val="es-MX"/>
        </w:rPr>
        <w:t>System</w:t>
      </w:r>
      <w:proofErr w:type="spellEnd"/>
      <w:r w:rsidRPr="003A3913">
        <w:rPr>
          <w:rFonts w:ascii="Aptos Display" w:eastAsia="Arial" w:hAnsi="Aptos Display"/>
          <w:sz w:val="17"/>
          <w:szCs w:val="17"/>
          <w:lang w:val="es-MX"/>
        </w:rPr>
        <w:t>)</w:t>
      </w:r>
    </w:p>
    <w:p w14:paraId="422974DF"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RUV</w:t>
      </w:r>
      <w:r w:rsidRPr="003A3913">
        <w:rPr>
          <w:rFonts w:ascii="Aptos Display" w:eastAsia="Arial" w:hAnsi="Aptos Display"/>
          <w:sz w:val="17"/>
          <w:szCs w:val="17"/>
          <w:lang w:val="es-MX"/>
        </w:rPr>
        <w:t xml:space="preserve">  Registro</w:t>
      </w:r>
      <w:proofErr w:type="gramEnd"/>
      <w:r w:rsidRPr="003A3913">
        <w:rPr>
          <w:rFonts w:ascii="Aptos Display" w:eastAsia="Arial" w:hAnsi="Aptos Display"/>
          <w:sz w:val="17"/>
          <w:szCs w:val="17"/>
          <w:lang w:val="es-MX"/>
        </w:rPr>
        <w:t xml:space="preserve"> Único de Violencia</w:t>
      </w:r>
    </w:p>
    <w:p w14:paraId="4B756BB3"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SAT</w:t>
      </w:r>
      <w:r w:rsidRPr="003A3913">
        <w:rPr>
          <w:rFonts w:ascii="Aptos Display" w:eastAsia="Arial" w:hAnsi="Aptos Display"/>
          <w:sz w:val="17"/>
          <w:szCs w:val="17"/>
          <w:lang w:val="es-MX"/>
        </w:rPr>
        <w:t xml:space="preserve">  Sistema</w:t>
      </w:r>
      <w:proofErr w:type="gramEnd"/>
      <w:r w:rsidRPr="003A3913">
        <w:rPr>
          <w:rFonts w:ascii="Aptos Display" w:eastAsia="Arial" w:hAnsi="Aptos Display"/>
          <w:sz w:val="17"/>
          <w:szCs w:val="17"/>
          <w:lang w:val="es-MX"/>
        </w:rPr>
        <w:t xml:space="preserve"> de Alerta Temprana</w:t>
      </w:r>
    </w:p>
    <w:p w14:paraId="72B17FF3"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SWAP</w:t>
      </w:r>
      <w:r w:rsidRPr="003A3913">
        <w:rPr>
          <w:rFonts w:ascii="Aptos Display" w:eastAsia="Arial" w:hAnsi="Aptos Display"/>
          <w:sz w:val="17"/>
          <w:szCs w:val="17"/>
          <w:lang w:val="es-MX"/>
        </w:rPr>
        <w:t xml:space="preserve">  Plan</w:t>
      </w:r>
      <w:proofErr w:type="gramEnd"/>
      <w:r w:rsidRPr="003A3913">
        <w:rPr>
          <w:rFonts w:ascii="Aptos Display" w:eastAsia="Arial" w:hAnsi="Aptos Display"/>
          <w:sz w:val="17"/>
          <w:szCs w:val="17"/>
          <w:lang w:val="es-MX"/>
        </w:rPr>
        <w:t xml:space="preserve"> de Acción para Todo el Sistema (</w:t>
      </w:r>
      <w:proofErr w:type="spellStart"/>
      <w:r w:rsidRPr="003A3913">
        <w:rPr>
          <w:rFonts w:ascii="Aptos Display" w:eastAsia="Arial" w:hAnsi="Aptos Display"/>
          <w:sz w:val="17"/>
          <w:szCs w:val="17"/>
          <w:lang w:val="es-MX"/>
        </w:rPr>
        <w:t>System</w:t>
      </w:r>
      <w:proofErr w:type="spellEnd"/>
      <w:r w:rsidRPr="003A3913">
        <w:rPr>
          <w:rFonts w:ascii="Aptos Display" w:eastAsia="Arial" w:hAnsi="Aptos Display"/>
          <w:sz w:val="17"/>
          <w:szCs w:val="17"/>
          <w:lang w:val="es-MX"/>
        </w:rPr>
        <w:t xml:space="preserve">-Wide </w:t>
      </w:r>
      <w:proofErr w:type="spellStart"/>
      <w:r w:rsidRPr="003A3913">
        <w:rPr>
          <w:rFonts w:ascii="Aptos Display" w:eastAsia="Arial" w:hAnsi="Aptos Display"/>
          <w:sz w:val="17"/>
          <w:szCs w:val="17"/>
          <w:lang w:val="es-MX"/>
        </w:rPr>
        <w:t>Action</w:t>
      </w:r>
      <w:proofErr w:type="spellEnd"/>
      <w:r w:rsidRPr="003A3913">
        <w:rPr>
          <w:rFonts w:ascii="Aptos Display" w:eastAsia="Arial" w:hAnsi="Aptos Display"/>
          <w:sz w:val="17"/>
          <w:szCs w:val="17"/>
          <w:lang w:val="es-MX"/>
        </w:rPr>
        <w:t xml:space="preserve"> Plan)</w:t>
      </w:r>
    </w:p>
    <w:p w14:paraId="1E8689E3"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TCE</w:t>
      </w:r>
      <w:r w:rsidRPr="003A3913">
        <w:rPr>
          <w:rFonts w:ascii="Aptos Display" w:eastAsia="Arial" w:hAnsi="Aptos Display"/>
          <w:sz w:val="17"/>
          <w:szCs w:val="17"/>
          <w:lang w:val="es-MX"/>
        </w:rPr>
        <w:t xml:space="preserve">  Tribunal</w:t>
      </w:r>
      <w:proofErr w:type="gramEnd"/>
      <w:r w:rsidRPr="003A3913">
        <w:rPr>
          <w:rFonts w:ascii="Aptos Display" w:eastAsia="Arial" w:hAnsi="Aptos Display"/>
          <w:sz w:val="17"/>
          <w:szCs w:val="17"/>
          <w:lang w:val="es-MX"/>
        </w:rPr>
        <w:t xml:space="preserve"> Contencioso Electoral</w:t>
      </w:r>
    </w:p>
    <w:p w14:paraId="2A647FA4"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spellStart"/>
      <w:proofErr w:type="gramStart"/>
      <w:r w:rsidRPr="003A3913">
        <w:rPr>
          <w:rFonts w:ascii="Aptos Display" w:eastAsia="Arial" w:hAnsi="Aptos Display"/>
          <w:b/>
          <w:bCs/>
          <w:sz w:val="17"/>
          <w:szCs w:val="17"/>
          <w:lang w:val="es-MX"/>
        </w:rPr>
        <w:t>TdR</w:t>
      </w:r>
      <w:proofErr w:type="spellEnd"/>
      <w:r w:rsidRPr="003A3913">
        <w:rPr>
          <w:rFonts w:ascii="Aptos Display" w:eastAsia="Arial" w:hAnsi="Aptos Display"/>
          <w:sz w:val="17"/>
          <w:szCs w:val="17"/>
          <w:lang w:val="es-MX"/>
        </w:rPr>
        <w:t xml:space="preserve">  Términos</w:t>
      </w:r>
      <w:proofErr w:type="gramEnd"/>
      <w:r w:rsidRPr="003A3913">
        <w:rPr>
          <w:rFonts w:ascii="Aptos Display" w:eastAsia="Arial" w:hAnsi="Aptos Display"/>
          <w:sz w:val="17"/>
          <w:szCs w:val="17"/>
          <w:lang w:val="es-MX"/>
        </w:rPr>
        <w:t xml:space="preserve"> de Referencia</w:t>
      </w:r>
    </w:p>
    <w:p w14:paraId="6C817691"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UE</w:t>
      </w:r>
      <w:r w:rsidRPr="003A3913">
        <w:rPr>
          <w:rFonts w:ascii="Aptos Display" w:eastAsia="Arial" w:hAnsi="Aptos Display"/>
          <w:sz w:val="17"/>
          <w:szCs w:val="17"/>
          <w:lang w:val="es-MX"/>
        </w:rPr>
        <w:t xml:space="preserve">  Unión</w:t>
      </w:r>
      <w:proofErr w:type="gramEnd"/>
      <w:r w:rsidRPr="003A3913">
        <w:rPr>
          <w:rFonts w:ascii="Aptos Display" w:eastAsia="Arial" w:hAnsi="Aptos Display"/>
          <w:sz w:val="17"/>
          <w:szCs w:val="17"/>
          <w:lang w:val="es-MX"/>
        </w:rPr>
        <w:t xml:space="preserve"> Europea</w:t>
      </w:r>
    </w:p>
    <w:p w14:paraId="3DAE7729"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UNCT</w:t>
      </w:r>
      <w:r w:rsidRPr="003A3913">
        <w:rPr>
          <w:rFonts w:ascii="Aptos Display" w:eastAsia="Arial" w:hAnsi="Aptos Display"/>
          <w:sz w:val="17"/>
          <w:szCs w:val="17"/>
          <w:lang w:val="es-MX"/>
        </w:rPr>
        <w:t xml:space="preserve">  Equipo</w:t>
      </w:r>
      <w:proofErr w:type="gramEnd"/>
      <w:r w:rsidRPr="003A3913">
        <w:rPr>
          <w:rFonts w:ascii="Aptos Display" w:eastAsia="Arial" w:hAnsi="Aptos Display"/>
          <w:sz w:val="17"/>
          <w:szCs w:val="17"/>
          <w:lang w:val="es-MX"/>
        </w:rPr>
        <w:t xml:space="preserve"> de País de las Naciones Unidas (UN Country </w:t>
      </w:r>
      <w:proofErr w:type="spellStart"/>
      <w:r w:rsidRPr="003A3913">
        <w:rPr>
          <w:rFonts w:ascii="Aptos Display" w:eastAsia="Arial" w:hAnsi="Aptos Display"/>
          <w:sz w:val="17"/>
          <w:szCs w:val="17"/>
          <w:lang w:val="es-MX"/>
        </w:rPr>
        <w:t>Team</w:t>
      </w:r>
      <w:proofErr w:type="spellEnd"/>
      <w:r w:rsidRPr="003A3913">
        <w:rPr>
          <w:rFonts w:ascii="Aptos Display" w:eastAsia="Arial" w:hAnsi="Aptos Display"/>
          <w:sz w:val="17"/>
          <w:szCs w:val="17"/>
          <w:lang w:val="es-MX"/>
        </w:rPr>
        <w:t>)</w:t>
      </w:r>
    </w:p>
    <w:p w14:paraId="691E3BAE"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UNDIS</w:t>
      </w:r>
      <w:r w:rsidRPr="003A3913">
        <w:rPr>
          <w:rFonts w:ascii="Aptos Display" w:eastAsia="Arial" w:hAnsi="Aptos Display"/>
          <w:sz w:val="17"/>
          <w:szCs w:val="17"/>
          <w:lang w:val="es-MX"/>
        </w:rPr>
        <w:t xml:space="preserve">  Estrategia</w:t>
      </w:r>
      <w:proofErr w:type="gramEnd"/>
      <w:r w:rsidRPr="003A3913">
        <w:rPr>
          <w:rFonts w:ascii="Aptos Display" w:eastAsia="Arial" w:hAnsi="Aptos Display"/>
          <w:sz w:val="17"/>
          <w:szCs w:val="17"/>
          <w:lang w:val="es-MX"/>
        </w:rPr>
        <w:t xml:space="preserve"> de Inclusión de las Personas con Discapacidad de las Naciones Unidas (UN </w:t>
      </w:r>
      <w:proofErr w:type="spellStart"/>
      <w:r w:rsidRPr="003A3913">
        <w:rPr>
          <w:rFonts w:ascii="Aptos Display" w:eastAsia="Arial" w:hAnsi="Aptos Display"/>
          <w:sz w:val="17"/>
          <w:szCs w:val="17"/>
          <w:lang w:val="es-MX"/>
        </w:rPr>
        <w:t>Disability</w:t>
      </w:r>
      <w:proofErr w:type="spellEnd"/>
      <w:r w:rsidRPr="003A3913">
        <w:rPr>
          <w:rFonts w:ascii="Aptos Display" w:eastAsia="Arial" w:hAnsi="Aptos Display"/>
          <w:sz w:val="17"/>
          <w:szCs w:val="17"/>
          <w:lang w:val="es-MX"/>
        </w:rPr>
        <w:t xml:space="preserve"> </w:t>
      </w:r>
      <w:proofErr w:type="spellStart"/>
      <w:r w:rsidRPr="003A3913">
        <w:rPr>
          <w:rFonts w:ascii="Aptos Display" w:eastAsia="Arial" w:hAnsi="Aptos Display"/>
          <w:sz w:val="17"/>
          <w:szCs w:val="17"/>
          <w:lang w:val="es-MX"/>
        </w:rPr>
        <w:t>Inclusion</w:t>
      </w:r>
      <w:proofErr w:type="spellEnd"/>
      <w:r w:rsidRPr="003A3913">
        <w:rPr>
          <w:rFonts w:ascii="Aptos Display" w:eastAsia="Arial" w:hAnsi="Aptos Display"/>
          <w:sz w:val="17"/>
          <w:szCs w:val="17"/>
          <w:lang w:val="es-MX"/>
        </w:rPr>
        <w:t xml:space="preserve"> </w:t>
      </w:r>
      <w:proofErr w:type="spellStart"/>
      <w:r w:rsidRPr="003A3913">
        <w:rPr>
          <w:rFonts w:ascii="Aptos Display" w:eastAsia="Arial" w:hAnsi="Aptos Display"/>
          <w:sz w:val="17"/>
          <w:szCs w:val="17"/>
          <w:lang w:val="es-MX"/>
        </w:rPr>
        <w:t>Strategy</w:t>
      </w:r>
      <w:proofErr w:type="spellEnd"/>
      <w:r w:rsidRPr="003A3913">
        <w:rPr>
          <w:rFonts w:ascii="Aptos Display" w:eastAsia="Arial" w:hAnsi="Aptos Display"/>
          <w:sz w:val="17"/>
          <w:szCs w:val="17"/>
          <w:lang w:val="es-MX"/>
        </w:rPr>
        <w:t>)</w:t>
      </w:r>
    </w:p>
    <w:p w14:paraId="47E46F9B"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r w:rsidRPr="003A3913">
        <w:rPr>
          <w:rFonts w:ascii="Aptos Display" w:eastAsia="Arial" w:hAnsi="Aptos Display"/>
          <w:b/>
          <w:bCs/>
          <w:sz w:val="17"/>
          <w:szCs w:val="17"/>
          <w:lang w:val="es-MX"/>
        </w:rPr>
        <w:t xml:space="preserve">UNDP / </w:t>
      </w:r>
      <w:proofErr w:type="gramStart"/>
      <w:r w:rsidRPr="003A3913">
        <w:rPr>
          <w:rFonts w:ascii="Aptos Display" w:eastAsia="Arial" w:hAnsi="Aptos Display"/>
          <w:b/>
          <w:bCs/>
          <w:sz w:val="17"/>
          <w:szCs w:val="17"/>
          <w:lang w:val="es-MX"/>
        </w:rPr>
        <w:t>PNUD</w:t>
      </w:r>
      <w:r w:rsidRPr="003A3913">
        <w:rPr>
          <w:rFonts w:ascii="Aptos Display" w:eastAsia="Arial" w:hAnsi="Aptos Display"/>
          <w:sz w:val="17"/>
          <w:szCs w:val="17"/>
          <w:lang w:val="es-MX"/>
        </w:rPr>
        <w:t xml:space="preserve">  Programa</w:t>
      </w:r>
      <w:proofErr w:type="gramEnd"/>
      <w:r w:rsidRPr="003A3913">
        <w:rPr>
          <w:rFonts w:ascii="Aptos Display" w:eastAsia="Arial" w:hAnsi="Aptos Display"/>
          <w:sz w:val="17"/>
          <w:szCs w:val="17"/>
          <w:lang w:val="es-MX"/>
        </w:rPr>
        <w:t xml:space="preserve"> de las Naciones Unidas para el Desarrollo</w:t>
      </w:r>
    </w:p>
    <w:p w14:paraId="219A6EA5"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UNDPPA</w:t>
      </w:r>
      <w:r w:rsidRPr="003A3913">
        <w:rPr>
          <w:rFonts w:ascii="Aptos Display" w:eastAsia="Arial" w:hAnsi="Aptos Display"/>
          <w:sz w:val="17"/>
          <w:szCs w:val="17"/>
          <w:lang w:val="es-MX"/>
        </w:rPr>
        <w:t xml:space="preserve">  Departamento</w:t>
      </w:r>
      <w:proofErr w:type="gramEnd"/>
      <w:r w:rsidRPr="003A3913">
        <w:rPr>
          <w:rFonts w:ascii="Aptos Display" w:eastAsia="Arial" w:hAnsi="Aptos Display"/>
          <w:sz w:val="17"/>
          <w:szCs w:val="17"/>
          <w:lang w:val="es-MX"/>
        </w:rPr>
        <w:t xml:space="preserve"> de Asuntos Políticos y de Consolidación de la Paz de las Naciones Unidas</w:t>
      </w:r>
    </w:p>
    <w:p w14:paraId="3C93618B"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UNEG</w:t>
      </w:r>
      <w:r w:rsidRPr="003A3913">
        <w:rPr>
          <w:rFonts w:ascii="Aptos Display" w:eastAsia="Arial" w:hAnsi="Aptos Display"/>
          <w:sz w:val="17"/>
          <w:szCs w:val="17"/>
          <w:lang w:val="es-MX"/>
        </w:rPr>
        <w:t xml:space="preserve">  Grupo</w:t>
      </w:r>
      <w:proofErr w:type="gramEnd"/>
      <w:r w:rsidRPr="003A3913">
        <w:rPr>
          <w:rFonts w:ascii="Aptos Display" w:eastAsia="Arial" w:hAnsi="Aptos Display"/>
          <w:sz w:val="17"/>
          <w:szCs w:val="17"/>
          <w:lang w:val="es-MX"/>
        </w:rPr>
        <w:t xml:space="preserve"> de Evaluación de las Naciones Unidas (UN </w:t>
      </w:r>
      <w:proofErr w:type="spellStart"/>
      <w:r w:rsidRPr="003A3913">
        <w:rPr>
          <w:rFonts w:ascii="Aptos Display" w:eastAsia="Arial" w:hAnsi="Aptos Display"/>
          <w:sz w:val="17"/>
          <w:szCs w:val="17"/>
          <w:lang w:val="es-MX"/>
        </w:rPr>
        <w:t>Evaluation</w:t>
      </w:r>
      <w:proofErr w:type="spellEnd"/>
      <w:r w:rsidRPr="003A3913">
        <w:rPr>
          <w:rFonts w:ascii="Aptos Display" w:eastAsia="Arial" w:hAnsi="Aptos Display"/>
          <w:sz w:val="17"/>
          <w:szCs w:val="17"/>
          <w:lang w:val="es-MX"/>
        </w:rPr>
        <w:t xml:space="preserve"> </w:t>
      </w:r>
      <w:proofErr w:type="spellStart"/>
      <w:r w:rsidRPr="003A3913">
        <w:rPr>
          <w:rFonts w:ascii="Aptos Display" w:eastAsia="Arial" w:hAnsi="Aptos Display"/>
          <w:sz w:val="17"/>
          <w:szCs w:val="17"/>
          <w:lang w:val="es-MX"/>
        </w:rPr>
        <w:t>Group</w:t>
      </w:r>
      <w:proofErr w:type="spellEnd"/>
      <w:r w:rsidRPr="003A3913">
        <w:rPr>
          <w:rFonts w:ascii="Aptos Display" w:eastAsia="Arial" w:hAnsi="Aptos Display"/>
          <w:sz w:val="17"/>
          <w:szCs w:val="17"/>
          <w:lang w:val="es-MX"/>
        </w:rPr>
        <w:t>)</w:t>
      </w:r>
    </w:p>
    <w:p w14:paraId="7D11F4C6"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UNFPA</w:t>
      </w:r>
      <w:r w:rsidRPr="003A3913">
        <w:rPr>
          <w:rFonts w:ascii="Aptos Display" w:eastAsia="Arial" w:hAnsi="Aptos Display"/>
          <w:sz w:val="17"/>
          <w:szCs w:val="17"/>
          <w:lang w:val="es-MX"/>
        </w:rPr>
        <w:t xml:space="preserve">  Fondo</w:t>
      </w:r>
      <w:proofErr w:type="gramEnd"/>
      <w:r w:rsidRPr="003A3913">
        <w:rPr>
          <w:rFonts w:ascii="Aptos Display" w:eastAsia="Arial" w:hAnsi="Aptos Display"/>
          <w:sz w:val="17"/>
          <w:szCs w:val="17"/>
          <w:lang w:val="es-MX"/>
        </w:rPr>
        <w:t xml:space="preserve"> de Población de las Naciones Unidas</w:t>
      </w:r>
    </w:p>
    <w:p w14:paraId="34E8439F"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r w:rsidRPr="003A3913">
        <w:rPr>
          <w:rFonts w:ascii="Aptos Display" w:eastAsia="Arial" w:hAnsi="Aptos Display"/>
          <w:b/>
          <w:bCs/>
          <w:sz w:val="17"/>
          <w:szCs w:val="17"/>
          <w:lang w:val="es-MX"/>
        </w:rPr>
        <w:t xml:space="preserve">UNHCR / </w:t>
      </w:r>
      <w:proofErr w:type="gramStart"/>
      <w:r w:rsidRPr="003A3913">
        <w:rPr>
          <w:rFonts w:ascii="Aptos Display" w:eastAsia="Arial" w:hAnsi="Aptos Display"/>
          <w:b/>
          <w:bCs/>
          <w:sz w:val="17"/>
          <w:szCs w:val="17"/>
          <w:lang w:val="es-MX"/>
        </w:rPr>
        <w:t>ACNUR</w:t>
      </w:r>
      <w:r w:rsidRPr="003A3913">
        <w:rPr>
          <w:rFonts w:ascii="Aptos Display" w:eastAsia="Arial" w:hAnsi="Aptos Display"/>
          <w:sz w:val="17"/>
          <w:szCs w:val="17"/>
          <w:lang w:val="es-MX"/>
        </w:rPr>
        <w:t xml:space="preserve">  Alto</w:t>
      </w:r>
      <w:proofErr w:type="gramEnd"/>
      <w:r w:rsidRPr="003A3913">
        <w:rPr>
          <w:rFonts w:ascii="Aptos Display" w:eastAsia="Arial" w:hAnsi="Aptos Display"/>
          <w:sz w:val="17"/>
          <w:szCs w:val="17"/>
          <w:lang w:val="es-MX"/>
        </w:rPr>
        <w:t xml:space="preserve"> Comisionado de las Naciones Unidas para los Refugiados</w:t>
      </w:r>
    </w:p>
    <w:p w14:paraId="4D76EF9F"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UNODC</w:t>
      </w:r>
      <w:r w:rsidRPr="003A3913">
        <w:rPr>
          <w:rFonts w:ascii="Aptos Display" w:eastAsia="Arial" w:hAnsi="Aptos Display"/>
          <w:sz w:val="17"/>
          <w:szCs w:val="17"/>
          <w:lang w:val="es-MX"/>
        </w:rPr>
        <w:t xml:space="preserve">  Oficina</w:t>
      </w:r>
      <w:proofErr w:type="gramEnd"/>
      <w:r w:rsidRPr="003A3913">
        <w:rPr>
          <w:rFonts w:ascii="Aptos Display" w:eastAsia="Arial" w:hAnsi="Aptos Display"/>
          <w:sz w:val="17"/>
          <w:szCs w:val="17"/>
          <w:lang w:val="es-MX"/>
        </w:rPr>
        <w:t xml:space="preserve"> de las Naciones Unidas contra la Droga y el Delito</w:t>
      </w:r>
    </w:p>
    <w:p w14:paraId="66D37DD4"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UNSDCF</w:t>
      </w:r>
      <w:r w:rsidRPr="003A3913">
        <w:rPr>
          <w:rFonts w:ascii="Aptos Display" w:eastAsia="Arial" w:hAnsi="Aptos Display"/>
          <w:sz w:val="17"/>
          <w:szCs w:val="17"/>
          <w:lang w:val="es-MX"/>
        </w:rPr>
        <w:t xml:space="preserve">  Marco</w:t>
      </w:r>
      <w:proofErr w:type="gramEnd"/>
      <w:r w:rsidRPr="003A3913">
        <w:rPr>
          <w:rFonts w:ascii="Aptos Display" w:eastAsia="Arial" w:hAnsi="Aptos Display"/>
          <w:sz w:val="17"/>
          <w:szCs w:val="17"/>
          <w:lang w:val="es-MX"/>
        </w:rPr>
        <w:t xml:space="preserve"> de Cooperación para el Desarrollo Sostenible de las Naciones Unidas</w:t>
      </w:r>
    </w:p>
    <w:p w14:paraId="5A8F0A67"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UNTAH</w:t>
      </w:r>
      <w:r w:rsidRPr="003A3913">
        <w:rPr>
          <w:rFonts w:ascii="Aptos Display" w:eastAsia="Arial" w:hAnsi="Aptos Display"/>
          <w:sz w:val="17"/>
          <w:szCs w:val="17"/>
          <w:lang w:val="es-MX"/>
        </w:rPr>
        <w:t xml:space="preserve">  Unión</w:t>
      </w:r>
      <w:proofErr w:type="gramEnd"/>
      <w:r w:rsidRPr="003A3913">
        <w:rPr>
          <w:rFonts w:ascii="Aptos Display" w:eastAsia="Arial" w:hAnsi="Aptos Display"/>
          <w:sz w:val="17"/>
          <w:szCs w:val="17"/>
          <w:lang w:val="es-MX"/>
        </w:rPr>
        <w:t xml:space="preserve"> Nacional de Trabajadoras del Hogar</w:t>
      </w:r>
    </w:p>
    <w:p w14:paraId="3C8EE9D5"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USAID</w:t>
      </w:r>
      <w:r w:rsidRPr="003A3913">
        <w:rPr>
          <w:rFonts w:ascii="Aptos Display" w:eastAsia="Arial" w:hAnsi="Aptos Display"/>
          <w:sz w:val="17"/>
          <w:szCs w:val="17"/>
          <w:lang w:val="es-MX"/>
        </w:rPr>
        <w:t xml:space="preserve">  Agencia</w:t>
      </w:r>
      <w:proofErr w:type="gramEnd"/>
      <w:r w:rsidRPr="003A3913">
        <w:rPr>
          <w:rFonts w:ascii="Aptos Display" w:eastAsia="Arial" w:hAnsi="Aptos Display"/>
          <w:sz w:val="17"/>
          <w:szCs w:val="17"/>
          <w:lang w:val="es-MX"/>
        </w:rPr>
        <w:t xml:space="preserve"> de los Estados Unidos para el Desarrollo Internacional</w:t>
      </w:r>
    </w:p>
    <w:p w14:paraId="51AD771B"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VBG</w:t>
      </w:r>
      <w:r w:rsidRPr="003A3913">
        <w:rPr>
          <w:rFonts w:ascii="Aptos Display" w:eastAsia="Arial" w:hAnsi="Aptos Display"/>
          <w:sz w:val="17"/>
          <w:szCs w:val="17"/>
          <w:lang w:val="es-MX"/>
        </w:rPr>
        <w:t xml:space="preserve">  Violencia</w:t>
      </w:r>
      <w:proofErr w:type="gramEnd"/>
      <w:r w:rsidRPr="003A3913">
        <w:rPr>
          <w:rFonts w:ascii="Aptos Display" w:eastAsia="Arial" w:hAnsi="Aptos Display"/>
          <w:sz w:val="17"/>
          <w:szCs w:val="17"/>
          <w:lang w:val="es-MX"/>
        </w:rPr>
        <w:t xml:space="preserve"> Basada en Género</w:t>
      </w:r>
    </w:p>
    <w:p w14:paraId="06BF21C6"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VCMN</w:t>
      </w:r>
      <w:r w:rsidRPr="003A3913">
        <w:rPr>
          <w:rFonts w:ascii="Aptos Display" w:eastAsia="Arial" w:hAnsi="Aptos Display"/>
          <w:sz w:val="17"/>
          <w:szCs w:val="17"/>
          <w:lang w:val="es-MX"/>
        </w:rPr>
        <w:t xml:space="preserve">  Violencia</w:t>
      </w:r>
      <w:proofErr w:type="gramEnd"/>
      <w:r w:rsidRPr="003A3913">
        <w:rPr>
          <w:rFonts w:ascii="Aptos Display" w:eastAsia="Arial" w:hAnsi="Aptos Display"/>
          <w:sz w:val="17"/>
          <w:szCs w:val="17"/>
          <w:lang w:val="es-MX"/>
        </w:rPr>
        <w:t xml:space="preserve"> contra las Mujeres y Niñas</w:t>
      </w:r>
    </w:p>
    <w:p w14:paraId="6D7F7009"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lang w:val="es-MX"/>
        </w:rPr>
      </w:pPr>
      <w:proofErr w:type="gramStart"/>
      <w:r w:rsidRPr="003A3913">
        <w:rPr>
          <w:rFonts w:ascii="Aptos Display" w:eastAsia="Arial" w:hAnsi="Aptos Display"/>
          <w:b/>
          <w:bCs/>
          <w:sz w:val="17"/>
          <w:szCs w:val="17"/>
          <w:lang w:val="es-MX"/>
        </w:rPr>
        <w:t>WEE</w:t>
      </w:r>
      <w:r w:rsidRPr="003A3913">
        <w:rPr>
          <w:rFonts w:ascii="Aptos Display" w:eastAsia="Arial" w:hAnsi="Aptos Display"/>
          <w:sz w:val="17"/>
          <w:szCs w:val="17"/>
          <w:lang w:val="es-MX"/>
        </w:rPr>
        <w:t xml:space="preserve">  Empoderamiento</w:t>
      </w:r>
      <w:proofErr w:type="gramEnd"/>
      <w:r w:rsidRPr="003A3913">
        <w:rPr>
          <w:rFonts w:ascii="Aptos Display" w:eastAsia="Arial" w:hAnsi="Aptos Display"/>
          <w:sz w:val="17"/>
          <w:szCs w:val="17"/>
          <w:lang w:val="es-MX"/>
        </w:rPr>
        <w:t xml:space="preserve"> Económico de las Mujeres (</w:t>
      </w:r>
      <w:proofErr w:type="spellStart"/>
      <w:r w:rsidRPr="003A3913">
        <w:rPr>
          <w:rFonts w:ascii="Aptos Display" w:eastAsia="Arial" w:hAnsi="Aptos Display"/>
          <w:sz w:val="17"/>
          <w:szCs w:val="17"/>
          <w:lang w:val="es-MX"/>
        </w:rPr>
        <w:t>Women's</w:t>
      </w:r>
      <w:proofErr w:type="spellEnd"/>
      <w:r w:rsidRPr="003A3913">
        <w:rPr>
          <w:rFonts w:ascii="Aptos Display" w:eastAsia="Arial" w:hAnsi="Aptos Display"/>
          <w:sz w:val="17"/>
          <w:szCs w:val="17"/>
          <w:lang w:val="es-MX"/>
        </w:rPr>
        <w:t xml:space="preserve"> </w:t>
      </w:r>
      <w:proofErr w:type="spellStart"/>
      <w:r w:rsidRPr="003A3913">
        <w:rPr>
          <w:rFonts w:ascii="Aptos Display" w:eastAsia="Arial" w:hAnsi="Aptos Display"/>
          <w:sz w:val="17"/>
          <w:szCs w:val="17"/>
          <w:lang w:val="es-MX"/>
        </w:rPr>
        <w:t>Economic</w:t>
      </w:r>
      <w:proofErr w:type="spellEnd"/>
      <w:r w:rsidRPr="003A3913">
        <w:rPr>
          <w:rFonts w:ascii="Aptos Display" w:eastAsia="Arial" w:hAnsi="Aptos Display"/>
          <w:sz w:val="17"/>
          <w:szCs w:val="17"/>
          <w:lang w:val="es-MX"/>
        </w:rPr>
        <w:t xml:space="preserve"> </w:t>
      </w:r>
      <w:proofErr w:type="spellStart"/>
      <w:r w:rsidRPr="003A3913">
        <w:rPr>
          <w:rFonts w:ascii="Aptos Display" w:eastAsia="Arial" w:hAnsi="Aptos Display"/>
          <w:sz w:val="17"/>
          <w:szCs w:val="17"/>
          <w:lang w:val="es-MX"/>
        </w:rPr>
        <w:t>Empowerment</w:t>
      </w:r>
      <w:proofErr w:type="spellEnd"/>
      <w:r w:rsidRPr="003A3913">
        <w:rPr>
          <w:rFonts w:ascii="Aptos Display" w:eastAsia="Arial" w:hAnsi="Aptos Display"/>
          <w:sz w:val="17"/>
          <w:szCs w:val="17"/>
          <w:lang w:val="es-MX"/>
        </w:rPr>
        <w:t>)</w:t>
      </w:r>
    </w:p>
    <w:p w14:paraId="4CF9F192" w14:textId="77777777" w:rsidR="00842F29" w:rsidRPr="003A3913" w:rsidRDefault="00842F29" w:rsidP="003A3913">
      <w:pPr>
        <w:pStyle w:val="ListParagraph"/>
        <w:numPr>
          <w:ilvl w:val="0"/>
          <w:numId w:val="12"/>
        </w:numPr>
        <w:suppressAutoHyphens w:val="0"/>
        <w:autoSpaceDE/>
        <w:autoSpaceDN/>
        <w:adjustRightInd/>
        <w:spacing w:afterLines="20" w:after="48" w:line="240" w:lineRule="auto"/>
        <w:ind w:left="288"/>
        <w:contextualSpacing/>
        <w:jc w:val="left"/>
        <w:rPr>
          <w:rFonts w:ascii="Aptos Display" w:hAnsi="Aptos Display"/>
          <w:sz w:val="17"/>
          <w:szCs w:val="17"/>
        </w:rPr>
      </w:pPr>
      <w:proofErr w:type="gramStart"/>
      <w:r w:rsidRPr="003A3913">
        <w:rPr>
          <w:rFonts w:ascii="Aptos Display" w:eastAsia="Arial" w:hAnsi="Aptos Display"/>
          <w:b/>
          <w:bCs/>
          <w:sz w:val="17"/>
          <w:szCs w:val="17"/>
        </w:rPr>
        <w:t>WPS</w:t>
      </w:r>
      <w:r w:rsidRPr="003A3913">
        <w:rPr>
          <w:rFonts w:ascii="Aptos Display" w:eastAsia="Arial" w:hAnsi="Aptos Display"/>
          <w:sz w:val="17"/>
          <w:szCs w:val="17"/>
        </w:rPr>
        <w:t xml:space="preserve">  Mujeres</w:t>
      </w:r>
      <w:proofErr w:type="gramEnd"/>
      <w:r w:rsidRPr="003A3913">
        <w:rPr>
          <w:rFonts w:ascii="Aptos Display" w:eastAsia="Arial" w:hAnsi="Aptos Display"/>
          <w:sz w:val="17"/>
          <w:szCs w:val="17"/>
        </w:rPr>
        <w:t>, Paz y Seguridad (</w:t>
      </w:r>
      <w:proofErr w:type="spellStart"/>
      <w:r w:rsidRPr="003A3913">
        <w:rPr>
          <w:rFonts w:ascii="Aptos Display" w:eastAsia="Arial" w:hAnsi="Aptos Display"/>
          <w:sz w:val="17"/>
          <w:szCs w:val="17"/>
        </w:rPr>
        <w:t>Women</w:t>
      </w:r>
      <w:proofErr w:type="spellEnd"/>
      <w:r w:rsidRPr="003A3913">
        <w:rPr>
          <w:rFonts w:ascii="Aptos Display" w:eastAsia="Arial" w:hAnsi="Aptos Display"/>
          <w:sz w:val="17"/>
          <w:szCs w:val="17"/>
        </w:rPr>
        <w:t xml:space="preserve">, </w:t>
      </w:r>
      <w:proofErr w:type="spellStart"/>
      <w:r w:rsidRPr="003A3913">
        <w:rPr>
          <w:rFonts w:ascii="Aptos Display" w:eastAsia="Arial" w:hAnsi="Aptos Display"/>
          <w:sz w:val="17"/>
          <w:szCs w:val="17"/>
        </w:rPr>
        <w:t>Peace</w:t>
      </w:r>
      <w:proofErr w:type="spellEnd"/>
      <w:r w:rsidRPr="003A3913">
        <w:rPr>
          <w:rFonts w:ascii="Aptos Display" w:eastAsia="Arial" w:hAnsi="Aptos Display"/>
          <w:sz w:val="17"/>
          <w:szCs w:val="17"/>
        </w:rPr>
        <w:t xml:space="preserve"> and Security)</w:t>
      </w:r>
    </w:p>
    <w:p w14:paraId="2BB541E3" w14:textId="04C6A4C7" w:rsidR="00B62CA8" w:rsidRPr="003A3913" w:rsidRDefault="00842F29" w:rsidP="00842F29">
      <w:pPr>
        <w:pStyle w:val="ListParagraph"/>
        <w:numPr>
          <w:ilvl w:val="0"/>
          <w:numId w:val="12"/>
        </w:numPr>
        <w:suppressAutoHyphens w:val="0"/>
        <w:autoSpaceDE/>
        <w:autoSpaceDN/>
        <w:adjustRightInd/>
        <w:spacing w:afterLines="20" w:after="48" w:line="240" w:lineRule="auto"/>
        <w:ind w:left="288"/>
        <w:contextualSpacing/>
        <w:jc w:val="left"/>
        <w:rPr>
          <w:rFonts w:ascii="Aptos Display" w:eastAsia="Arial" w:hAnsi="Aptos Display"/>
          <w:sz w:val="17"/>
          <w:szCs w:val="17"/>
        </w:rPr>
      </w:pPr>
      <w:proofErr w:type="gramStart"/>
      <w:r w:rsidRPr="003A3913">
        <w:rPr>
          <w:rFonts w:ascii="Aptos Display" w:eastAsia="Arial" w:hAnsi="Aptos Display"/>
          <w:b/>
          <w:bCs/>
          <w:sz w:val="17"/>
          <w:szCs w:val="17"/>
        </w:rPr>
        <w:t>XB</w:t>
      </w:r>
      <w:r w:rsidRPr="003A3913">
        <w:rPr>
          <w:rFonts w:ascii="Aptos Display" w:eastAsia="Arial" w:hAnsi="Aptos Display"/>
          <w:sz w:val="17"/>
          <w:szCs w:val="17"/>
        </w:rPr>
        <w:t xml:space="preserve">  Recursos</w:t>
      </w:r>
      <w:proofErr w:type="gramEnd"/>
      <w:r w:rsidRPr="003A3913">
        <w:rPr>
          <w:rFonts w:ascii="Aptos Display" w:eastAsia="Arial" w:hAnsi="Aptos Display"/>
          <w:sz w:val="17"/>
          <w:szCs w:val="17"/>
        </w:rPr>
        <w:t xml:space="preserve"> extrapresupuestarios (</w:t>
      </w:r>
      <w:proofErr w:type="spellStart"/>
      <w:r w:rsidRPr="003A3913">
        <w:rPr>
          <w:rFonts w:ascii="Aptos Display" w:eastAsia="Arial" w:hAnsi="Aptos Display"/>
          <w:sz w:val="17"/>
          <w:szCs w:val="17"/>
        </w:rPr>
        <w:t>Extra-budgetary</w:t>
      </w:r>
      <w:proofErr w:type="spellEnd"/>
      <w:r w:rsidRPr="003A3913">
        <w:rPr>
          <w:rFonts w:ascii="Aptos Display" w:eastAsia="Arial" w:hAnsi="Aptos Display"/>
          <w:sz w:val="17"/>
          <w:szCs w:val="17"/>
        </w:rPr>
        <w:t xml:space="preserve"> </w:t>
      </w:r>
      <w:proofErr w:type="spellStart"/>
      <w:r w:rsidRPr="003A3913">
        <w:rPr>
          <w:rFonts w:ascii="Aptos Display" w:eastAsia="Arial" w:hAnsi="Aptos Display"/>
          <w:sz w:val="17"/>
          <w:szCs w:val="17"/>
        </w:rPr>
        <w:t>resources</w:t>
      </w:r>
      <w:proofErr w:type="spellEnd"/>
      <w:r w:rsidRPr="003A3913">
        <w:rPr>
          <w:rFonts w:ascii="Aptos Display" w:eastAsia="Arial" w:hAnsi="Aptos Display"/>
          <w:sz w:val="17"/>
          <w:szCs w:val="17"/>
        </w:rPr>
        <w:t>)</w:t>
      </w:r>
    </w:p>
    <w:p w14:paraId="7A6C1B92" w14:textId="77777777" w:rsidR="00B62CA8" w:rsidRDefault="00B62CA8" w:rsidP="00B62CA8">
      <w:pPr>
        <w:pStyle w:val="Heading1"/>
        <w:spacing w:before="0" w:after="120"/>
        <w:rPr>
          <w:rFonts w:eastAsia="Arial"/>
          <w:sz w:val="18"/>
          <w:szCs w:val="18"/>
        </w:rPr>
        <w:sectPr w:rsidR="00B62CA8" w:rsidSect="003A3913">
          <w:type w:val="continuous"/>
          <w:pgSz w:w="12240" w:h="15840"/>
          <w:pgMar w:top="1440" w:right="1080" w:bottom="1440" w:left="1080" w:header="708" w:footer="565" w:gutter="0"/>
          <w:cols w:num="2" w:space="708"/>
          <w:docGrid w:linePitch="360"/>
        </w:sectPr>
      </w:pPr>
    </w:p>
    <w:p w14:paraId="1C2088D7" w14:textId="6AC9B17A" w:rsidR="00942A91" w:rsidRPr="003A3913" w:rsidRDefault="00B62CA8" w:rsidP="00B62CA8">
      <w:pPr>
        <w:pStyle w:val="Heading1"/>
        <w:spacing w:before="0" w:after="120"/>
        <w:rPr>
          <w:rStyle w:val="normaltextrun"/>
          <w:rFonts w:eastAsia="Times New Roman"/>
        </w:rPr>
      </w:pPr>
      <w:r>
        <w:rPr>
          <w:rFonts w:eastAsia="Arial"/>
          <w:sz w:val="18"/>
          <w:szCs w:val="18"/>
        </w:rPr>
        <w:br w:type="page"/>
      </w:r>
      <w:bookmarkStart w:id="3" w:name="_Toc233830026"/>
      <w:r w:rsidR="008A7949">
        <w:rPr>
          <w:rStyle w:val="normaltextrun"/>
          <w:rFonts w:eastAsia="Times New Roman"/>
          <w:lang w:val="es-ES"/>
        </w:rPr>
        <w:lastRenderedPageBreak/>
        <w:t>R</w:t>
      </w:r>
      <w:r w:rsidR="00942A91" w:rsidRPr="00F754EF">
        <w:rPr>
          <w:rStyle w:val="normaltextrun"/>
          <w:rFonts w:eastAsia="Times New Roman"/>
          <w:lang w:val="es-ES"/>
        </w:rPr>
        <w:t>esumen Ejecutivo</w:t>
      </w:r>
      <w:bookmarkEnd w:id="3"/>
      <w:r w:rsidR="00942A91" w:rsidRPr="00F754EF">
        <w:rPr>
          <w:rStyle w:val="normaltextrun"/>
          <w:rFonts w:eastAsia="Times New Roman"/>
          <w:lang w:val="es-ES"/>
        </w:rPr>
        <w:t xml:space="preserve"> </w:t>
      </w:r>
    </w:p>
    <w:p w14:paraId="7505630F" w14:textId="77777777" w:rsidR="006B5FCD" w:rsidRDefault="006B5FCD" w:rsidP="005831BD">
      <w:pPr>
        <w:pStyle w:val="Heading2"/>
        <w:spacing w:before="0"/>
        <w:rPr>
          <w:rFonts w:eastAsia="Times New Roman"/>
          <w:lang w:val="es-ES"/>
        </w:rPr>
        <w:sectPr w:rsidR="006B5FCD" w:rsidSect="005831BD">
          <w:type w:val="continuous"/>
          <w:pgSz w:w="12240" w:h="15840"/>
          <w:pgMar w:top="1440" w:right="1080" w:bottom="1440" w:left="1080" w:header="708" w:footer="565" w:gutter="0"/>
          <w:cols w:space="708"/>
          <w:docGrid w:linePitch="360"/>
        </w:sectPr>
      </w:pPr>
      <w:bookmarkStart w:id="4" w:name="_Toc228005490"/>
    </w:p>
    <w:p w14:paraId="272E5E4C" w14:textId="77777777" w:rsidR="00942A91" w:rsidRPr="00F754EF" w:rsidRDefault="00942A91" w:rsidP="005831BD">
      <w:pPr>
        <w:pStyle w:val="Heading2"/>
        <w:spacing w:before="0"/>
        <w:rPr>
          <w:rFonts w:eastAsia="Times New Roman"/>
          <w:lang w:val="es-ES"/>
        </w:rPr>
      </w:pPr>
      <w:bookmarkStart w:id="5" w:name="_Toc233830027"/>
      <w:r w:rsidRPr="00F754EF">
        <w:rPr>
          <w:rFonts w:eastAsia="Times New Roman"/>
          <w:lang w:val="es-ES"/>
        </w:rPr>
        <w:t>ANTECEDENTES Y PROPÓSITO</w:t>
      </w:r>
      <w:bookmarkEnd w:id="4"/>
      <w:r w:rsidRPr="00F754EF">
        <w:rPr>
          <w:rFonts w:eastAsia="Times New Roman"/>
          <w:lang w:val="es-ES"/>
        </w:rPr>
        <w:t xml:space="preserve"> </w:t>
      </w:r>
      <w:bookmarkEnd w:id="5"/>
    </w:p>
    <w:p w14:paraId="77690F32" w14:textId="77777777" w:rsidR="00DE5951" w:rsidRPr="00F754EF" w:rsidRDefault="00DE5951" w:rsidP="005831BD">
      <w:pPr>
        <w:spacing w:line="240" w:lineRule="auto"/>
        <w:rPr>
          <w:rFonts w:ascii="Aptos Display" w:hAnsi="Aptos Display"/>
        </w:rPr>
        <w:sectPr w:rsidR="00DE5951" w:rsidRPr="00F754EF" w:rsidSect="006B5FCD">
          <w:type w:val="continuous"/>
          <w:pgSz w:w="12240" w:h="15840"/>
          <w:pgMar w:top="1440" w:right="1080" w:bottom="1440" w:left="1080" w:header="708" w:footer="565" w:gutter="0"/>
          <w:cols w:num="2" w:space="708"/>
          <w:docGrid w:linePitch="360"/>
        </w:sectPr>
      </w:pPr>
    </w:p>
    <w:p w14:paraId="38E45A4F" w14:textId="2B5A7DDA" w:rsidR="00942A91" w:rsidRPr="00F754EF" w:rsidRDefault="00942A91" w:rsidP="005831BD">
      <w:pPr>
        <w:spacing w:line="240" w:lineRule="auto"/>
      </w:pPr>
      <w:r w:rsidRPr="00F754EF">
        <w:rPr>
          <w:rFonts w:ascii="Aptos Display" w:hAnsi="Aptos Display"/>
        </w:rPr>
        <w:t xml:space="preserve">Este informe presenta los hallazgos, lecciones aprendidas, conclusiones y recomendaciones de la Evaluación del Portafolio País (CPE) de ONU Mujeres Ecuador para el periodo 2023 a 2026. La evaluación fue encargada por la Oficina de País de ONU Mujeres Ecuador y realizada por un equipo independiente bajo la supervisión del Servicio Independiente de Evaluación de ONU Mujeres entre agosto de 2025 y marzo de 2026. El objeto de la evaluación es la Nota Estratégica 2023–2026, </w:t>
      </w:r>
      <w:r w:rsidR="006A689C" w:rsidRPr="00F754EF">
        <w:rPr>
          <w:rFonts w:ascii="Aptos Display" w:hAnsi="Aptos Display"/>
        </w:rPr>
        <w:t>o</w:t>
      </w:r>
      <w:r w:rsidRPr="00F754EF">
        <w:rPr>
          <w:rFonts w:ascii="Aptos Display" w:hAnsi="Aptos Display"/>
        </w:rPr>
        <w:t>rganizada en torno a dos resultados principales: la erradicación de la violencia y el empoderamiento económico.</w:t>
      </w:r>
    </w:p>
    <w:p w14:paraId="2B69543B" w14:textId="6582F568" w:rsidR="00942A91" w:rsidRPr="00F754EF" w:rsidRDefault="00942A91" w:rsidP="005831BD">
      <w:pPr>
        <w:spacing w:line="240" w:lineRule="auto"/>
      </w:pPr>
      <w:r w:rsidRPr="00F754EF">
        <w:rPr>
          <w:rFonts w:ascii="Aptos Display" w:hAnsi="Aptos Display"/>
        </w:rPr>
        <w:t>La evaluación cumple el doble propósito de rendición de cuentas y aprendizaje. Proporciona una valoración independiente y basada en evidencia de los logros y cost</w:t>
      </w:r>
      <w:r w:rsidR="00875833" w:rsidRPr="00F754EF">
        <w:rPr>
          <w:rFonts w:ascii="Aptos Display" w:hAnsi="Aptos Display"/>
        </w:rPr>
        <w:t>o</w:t>
      </w:r>
      <w:r w:rsidRPr="00F754EF">
        <w:rPr>
          <w:rFonts w:ascii="Aptos Display" w:hAnsi="Aptos Display"/>
        </w:rPr>
        <w:t>s del portafolio, al tiempo que genera información para orientar el diseño de la Nota Estratégica para el ciclo 2027–2031. El trabajo de la oficina fue evaluado según los criterios de relevancia, coherencia, eficacia, eficiencia y sostenibilidad, siendo el principio de “no dejar a nadie atrás” un eje transversal. La metodología incluyó 4</w:t>
      </w:r>
      <w:r w:rsidR="00523841" w:rsidRPr="00F754EF">
        <w:rPr>
          <w:rFonts w:ascii="Aptos Display" w:hAnsi="Aptos Display"/>
        </w:rPr>
        <w:t>2</w:t>
      </w:r>
      <w:r w:rsidRPr="00F754EF">
        <w:rPr>
          <w:rFonts w:ascii="Aptos Display" w:hAnsi="Aptos Display"/>
        </w:rPr>
        <w:t xml:space="preserve"> entrevistas a informantes clave con personal</w:t>
      </w:r>
      <w:r w:rsidR="00912BAF" w:rsidRPr="00F754EF">
        <w:rPr>
          <w:rFonts w:ascii="Aptos Display" w:hAnsi="Aptos Display"/>
        </w:rPr>
        <w:t xml:space="preserve"> de ONU Mujeres Ecuador</w:t>
      </w:r>
      <w:r w:rsidRPr="00F754EF">
        <w:rPr>
          <w:rFonts w:ascii="Aptos Display" w:hAnsi="Aptos Display"/>
        </w:rPr>
        <w:t>, contrapartes gubernamentales, socios del sistema de Naciones Unidas, sociedad civil, donantes y beneficiarias, complementadas con visitas de observación y una revisión de registros programáticos y financieros. Se aplicó un enfoque de análisis de contribución basado en la teoría</w:t>
      </w:r>
      <w:r w:rsidR="001D5EC7" w:rsidRPr="00F754EF">
        <w:rPr>
          <w:rFonts w:ascii="Aptos Display" w:hAnsi="Aptos Display"/>
        </w:rPr>
        <w:t xml:space="preserve"> del cambio</w:t>
      </w:r>
      <w:r w:rsidRPr="00F754EF">
        <w:rPr>
          <w:rFonts w:ascii="Aptos Display" w:hAnsi="Aptos Display"/>
        </w:rPr>
        <w:t>, para evaluar la contribución plausible del trabajo de ONU Mujeres a los resultados observados</w:t>
      </w:r>
      <w:r w:rsidR="005B6EE1">
        <w:rPr>
          <w:rFonts w:ascii="Aptos Display" w:hAnsi="Aptos Display"/>
        </w:rPr>
        <w:t xml:space="preserve"> </w:t>
      </w:r>
      <w:r w:rsidR="005B6EE1" w:rsidRPr="005B6EE1">
        <w:rPr>
          <w:rFonts w:ascii="Aptos Display" w:hAnsi="Aptos Display"/>
        </w:rPr>
        <w:t>y se incorporó un lente de evaluación con respuesta de género e inclusión (GRE por sus siglas en inglés) a lo largo de todo el proceso</w:t>
      </w:r>
      <w:r w:rsidRPr="00F754EF">
        <w:rPr>
          <w:rFonts w:ascii="Aptos Display" w:hAnsi="Aptos Display"/>
        </w:rPr>
        <w:t>.</w:t>
      </w:r>
    </w:p>
    <w:p w14:paraId="02D11283" w14:textId="00B97F81" w:rsidR="00942A91" w:rsidRPr="00F754EF" w:rsidRDefault="00942A91" w:rsidP="005831BD">
      <w:pPr>
        <w:spacing w:line="240" w:lineRule="auto"/>
      </w:pPr>
      <w:r w:rsidRPr="00F754EF">
        <w:rPr>
          <w:rFonts w:ascii="Aptos Display" w:hAnsi="Aptos Display"/>
        </w:rPr>
        <w:t>El ciclo 2023–2026 coincidió con un periodo</w:t>
      </w:r>
      <w:r w:rsidR="006248C1" w:rsidRPr="00F754EF">
        <w:rPr>
          <w:rFonts w:ascii="Aptos Display" w:hAnsi="Aptos Display"/>
        </w:rPr>
        <w:t xml:space="preserve"> complejo, </w:t>
      </w:r>
      <w:r w:rsidRPr="00F754EF">
        <w:rPr>
          <w:rFonts w:ascii="Aptos Display" w:hAnsi="Aptos Display"/>
        </w:rPr>
        <w:t xml:space="preserve">marcado por </w:t>
      </w:r>
      <w:r w:rsidR="009E11B8" w:rsidRPr="009E11B8">
        <w:rPr>
          <w:rFonts w:ascii="Aptos Display" w:hAnsi="Aptos Display"/>
        </w:rPr>
        <w:t xml:space="preserve">un proceso constitucional que derivó en elecciones anticipadas, </w:t>
      </w:r>
      <w:r w:rsidRPr="00F754EF">
        <w:rPr>
          <w:rFonts w:ascii="Aptos Display" w:hAnsi="Aptos Display"/>
        </w:rPr>
        <w:t>una crisis energética y el rápido aumento del crimen organizado y los feminicidios.</w:t>
      </w:r>
      <w:r w:rsidRPr="00F754EF">
        <w:t xml:space="preserve"> </w:t>
      </w:r>
      <w:r w:rsidRPr="00F754EF">
        <w:rPr>
          <w:rFonts w:ascii="Aptos Display" w:hAnsi="Aptos Display"/>
        </w:rPr>
        <w:t xml:space="preserve">Este periodo también vio </w:t>
      </w:r>
      <w:r w:rsidR="00635786">
        <w:rPr>
          <w:rFonts w:ascii="Aptos Display" w:hAnsi="Aptos Display"/>
        </w:rPr>
        <w:t xml:space="preserve">la </w:t>
      </w:r>
      <w:proofErr w:type="spellStart"/>
      <w:r w:rsidR="002516A5" w:rsidRPr="002516A5">
        <w:rPr>
          <w:rFonts w:ascii="Aptos Display" w:hAnsi="Aptos Display"/>
        </w:rPr>
        <w:t>integracion</w:t>
      </w:r>
      <w:proofErr w:type="spellEnd"/>
      <w:r w:rsidR="002516A5" w:rsidRPr="002516A5">
        <w:rPr>
          <w:rFonts w:ascii="Aptos Display" w:hAnsi="Aptos Display"/>
        </w:rPr>
        <w:t xml:space="preserve"> del Ministerio de la Mujer y Derechos Humanos en el Ministerio de Gobierno</w:t>
      </w:r>
      <w:r w:rsidRPr="00F754EF">
        <w:rPr>
          <w:rFonts w:ascii="Aptos Display" w:hAnsi="Aptos Display"/>
        </w:rPr>
        <w:t>,</w:t>
      </w:r>
      <w:r w:rsidRPr="00F754EF">
        <w:t xml:space="preserve"> </w:t>
      </w:r>
      <w:r w:rsidRPr="00F754EF">
        <w:rPr>
          <w:rFonts w:ascii="Aptos Display" w:hAnsi="Aptos Display"/>
        </w:rPr>
        <w:t xml:space="preserve">y una congelación temporal de fuentes de financiación internacional en 2024. Estas perturbaciones </w:t>
      </w:r>
      <w:r w:rsidRPr="00F754EF">
        <w:rPr>
          <w:rFonts w:ascii="Aptos Display" w:hAnsi="Aptos Display"/>
        </w:rPr>
        <w:t xml:space="preserve">influyeron directamente en </w:t>
      </w:r>
      <w:r w:rsidR="00133162" w:rsidRPr="00F754EF">
        <w:rPr>
          <w:rFonts w:ascii="Aptos Display" w:hAnsi="Aptos Display"/>
        </w:rPr>
        <w:t xml:space="preserve">los logros </w:t>
      </w:r>
      <w:r w:rsidRPr="00F754EF">
        <w:rPr>
          <w:rFonts w:ascii="Aptos Display" w:hAnsi="Aptos Display"/>
        </w:rPr>
        <w:t xml:space="preserve">y pusieron a prueba la resiliencia de la programación de la Oficina de País. </w:t>
      </w:r>
    </w:p>
    <w:p w14:paraId="6DABE9E5" w14:textId="77777777" w:rsidR="006B5FCD" w:rsidRDefault="00942A91" w:rsidP="006B5FCD">
      <w:pPr>
        <w:spacing w:line="240" w:lineRule="auto"/>
        <w:rPr>
          <w:rFonts w:ascii="Aptos Display" w:hAnsi="Aptos Display"/>
        </w:rPr>
      </w:pPr>
      <w:r w:rsidRPr="00F754EF">
        <w:rPr>
          <w:rFonts w:ascii="Aptos Display" w:hAnsi="Aptos Display"/>
        </w:rPr>
        <w:t xml:space="preserve">La implementación </w:t>
      </w:r>
      <w:r w:rsidR="00AA5D6B" w:rsidRPr="00F754EF">
        <w:rPr>
          <w:rFonts w:ascii="Aptos Display" w:hAnsi="Aptos Display"/>
        </w:rPr>
        <w:t xml:space="preserve">de la </w:t>
      </w:r>
      <w:r w:rsidR="00767CA6" w:rsidRPr="00F754EF">
        <w:rPr>
          <w:rFonts w:ascii="Aptos Display" w:hAnsi="Aptos Display"/>
        </w:rPr>
        <w:t xml:space="preserve">Nota Estratégica </w:t>
      </w:r>
      <w:r w:rsidRPr="00F754EF">
        <w:rPr>
          <w:rFonts w:ascii="Aptos Display" w:hAnsi="Aptos Display"/>
        </w:rPr>
        <w:t xml:space="preserve">se llevó a cabo a través de doce programas en nueve provincias, combinando programas conjuntos con otras agencias de Naciones Unidas, proyectos bilaterales y asistencia técnica específica. La intervención más grande fue la Iniciativa </w:t>
      </w:r>
      <w:proofErr w:type="spellStart"/>
      <w:r w:rsidRPr="00F754EF">
        <w:rPr>
          <w:rFonts w:ascii="Aptos Display" w:hAnsi="Aptos Display"/>
        </w:rPr>
        <w:t>Spotlight</w:t>
      </w:r>
      <w:proofErr w:type="spellEnd"/>
      <w:r w:rsidRPr="00F754EF">
        <w:rPr>
          <w:rFonts w:ascii="Aptos Display" w:hAnsi="Aptos Display"/>
        </w:rPr>
        <w:t xml:space="preserve">, un programa conjunto financiado por la Unión Europea con el PNUD y el UNFPA, orientado a abordar la violencia contra las mujeres, seguido de su sucesor, </w:t>
      </w:r>
      <w:proofErr w:type="spellStart"/>
      <w:r w:rsidRPr="00F754EF">
        <w:rPr>
          <w:rFonts w:ascii="Aptos Display" w:hAnsi="Aptos Display"/>
        </w:rPr>
        <w:t>Spotlight</w:t>
      </w:r>
      <w:proofErr w:type="spellEnd"/>
      <w:r w:rsidRPr="00F754EF">
        <w:rPr>
          <w:rFonts w:ascii="Aptos Display" w:hAnsi="Aptos Display"/>
        </w:rPr>
        <w:t xml:space="preserve"> 2.0. Los recursos planificados totales para 2023 a 2025 ascendieron a 13,2 millones de dólares estadounidenses. El presupuesto del portafolio se dividió con un 61% dirigido a la erradicación de la violencia y un 39% al empoderamiento económico. Esta distribución reflejó principalmente el peso significativo de la financiación </w:t>
      </w:r>
      <w:proofErr w:type="spellStart"/>
      <w:r w:rsidRPr="00F754EF">
        <w:rPr>
          <w:rFonts w:ascii="Aptos Display" w:hAnsi="Aptos Display"/>
        </w:rPr>
        <w:t>Spotlight</w:t>
      </w:r>
      <w:proofErr w:type="spellEnd"/>
      <w:r w:rsidRPr="00F754EF">
        <w:rPr>
          <w:rFonts w:ascii="Aptos Display" w:hAnsi="Aptos Display"/>
        </w:rPr>
        <w:t xml:space="preserve"> y los recursos disponibles con destino específico, más que una decisión estratégica deliberada de priorizar </w:t>
      </w:r>
      <w:r w:rsidR="00BF5C00" w:rsidRPr="00F754EF">
        <w:rPr>
          <w:rFonts w:ascii="Aptos Display" w:hAnsi="Aptos Display"/>
        </w:rPr>
        <w:t>un área temática</w:t>
      </w:r>
      <w:r w:rsidRPr="00F754EF">
        <w:rPr>
          <w:rFonts w:ascii="Aptos Display" w:hAnsi="Aptos Display"/>
        </w:rPr>
        <w:t xml:space="preserve"> sobre otra</w:t>
      </w:r>
      <w:bookmarkStart w:id="6" w:name="_Toc228005491"/>
    </w:p>
    <w:p w14:paraId="5C2F5672" w14:textId="77777777" w:rsidR="006B5FCD" w:rsidRPr="006B5FCD" w:rsidRDefault="00942A91" w:rsidP="006B5FCD">
      <w:pPr>
        <w:pStyle w:val="Heading2"/>
        <w:spacing w:before="0"/>
        <w:rPr>
          <w:rFonts w:eastAsia="Times New Roman"/>
          <w:lang w:val="es-ES"/>
        </w:rPr>
      </w:pPr>
      <w:bookmarkStart w:id="7" w:name="_Toc233830028"/>
      <w:r w:rsidRPr="00F754EF">
        <w:rPr>
          <w:rFonts w:eastAsia="Times New Roman"/>
          <w:lang w:val="es-ES"/>
        </w:rPr>
        <w:t>RESULTADOS</w:t>
      </w:r>
      <w:bookmarkEnd w:id="6"/>
      <w:bookmarkEnd w:id="7"/>
      <w:r w:rsidRPr="00F754EF">
        <w:rPr>
          <w:rFonts w:eastAsia="Times New Roman"/>
          <w:lang w:val="es-ES"/>
        </w:rPr>
        <w:t xml:space="preserve"> </w:t>
      </w:r>
    </w:p>
    <w:p w14:paraId="753C13ED" w14:textId="7738E17C" w:rsidR="00942A91" w:rsidRPr="00F754EF" w:rsidRDefault="00942A91" w:rsidP="006B5FCD">
      <w:pPr>
        <w:spacing w:line="240" w:lineRule="auto"/>
      </w:pPr>
      <w:r w:rsidRPr="00F754EF">
        <w:rPr>
          <w:rFonts w:ascii="Aptos Display" w:hAnsi="Aptos Display"/>
          <w:b/>
          <w:bCs/>
          <w:i/>
          <w:iCs/>
        </w:rPr>
        <w:t>Relevancia</w:t>
      </w:r>
      <w:r w:rsidRPr="00F754EF">
        <w:rPr>
          <w:b/>
          <w:bCs/>
          <w:i/>
          <w:iCs/>
        </w:rPr>
        <w:t xml:space="preserve"> </w:t>
      </w:r>
    </w:p>
    <w:p w14:paraId="1CD566A8" w14:textId="7E65627B" w:rsidR="00942A91" w:rsidRPr="00F754EF" w:rsidRDefault="00942A91" w:rsidP="005831BD">
      <w:pPr>
        <w:spacing w:line="240" w:lineRule="auto"/>
      </w:pPr>
      <w:r w:rsidRPr="00F754EF">
        <w:rPr>
          <w:rFonts w:ascii="Aptos Display" w:hAnsi="Aptos Display"/>
        </w:rPr>
        <w:t>La Nota Estratégica estuvo alineada con las necesidades de igualdad de género en Ecuador, los marcos legales nacionales y los compromisos internacionales. Su arquitectura reflejó directamente las prioridades más urgentes y legalmente mandatadas del país: el trabajo sobre violencia contra las mujeres responde a la Ley de 2018 sobre Prevención y Erradicación de la Violencia contra las Mujeres, y el trabajo sobre empoderamiento económico responde a la exclusión estructural del mercado laboral y a la Ley de Cuidados Humanos de 2023, que estableció la base legal para un sistema nacional de cuidados.</w:t>
      </w:r>
      <w:r w:rsidR="00D63F43">
        <w:rPr>
          <w:rFonts w:ascii="Aptos Display" w:hAnsi="Aptos Display"/>
        </w:rPr>
        <w:t xml:space="preserve"> </w:t>
      </w:r>
      <w:r w:rsidR="00D63F43" w:rsidRPr="00D63F43">
        <w:rPr>
          <w:rFonts w:ascii="Aptos Display" w:hAnsi="Aptos Display"/>
        </w:rPr>
        <w:t>Los actores consultados identificaron de manera consistente a ONU Mujeres como una referencia técnica clave en materia de igualdad de género en el país</w:t>
      </w:r>
      <w:r w:rsidRPr="00F754EF">
        <w:rPr>
          <w:rFonts w:ascii="Aptos Display" w:hAnsi="Aptos Display"/>
        </w:rPr>
        <w:t xml:space="preserve">. La oficina demostró una capacidad de adaptación significativa profundizando el trabajo con gobiernos municipales. Además, </w:t>
      </w:r>
      <w:r w:rsidRPr="00F754EF">
        <w:rPr>
          <w:rFonts w:ascii="Aptos Display" w:hAnsi="Aptos Display"/>
        </w:rPr>
        <w:lastRenderedPageBreak/>
        <w:t>mostró agilidad al ajustar sus enfoques humanitarios según cambiaban los patrones migratorios y elaborando planes de emergencia para garantizar la continuidad de los programas durante los periodos de congelación de fondos internacionales.</w:t>
      </w:r>
    </w:p>
    <w:p w14:paraId="41D002BD" w14:textId="77777777" w:rsidR="00942A91" w:rsidRPr="00F754EF" w:rsidRDefault="00942A91" w:rsidP="005831BD">
      <w:pPr>
        <w:spacing w:line="240" w:lineRule="auto"/>
      </w:pPr>
      <w:r w:rsidRPr="00F754EF">
        <w:rPr>
          <w:rFonts w:ascii="Aptos Display" w:hAnsi="Aptos Display"/>
          <w:b/>
          <w:bCs/>
          <w:i/>
          <w:iCs/>
        </w:rPr>
        <w:t>Coherencia</w:t>
      </w:r>
      <w:r w:rsidRPr="00F754EF">
        <w:rPr>
          <w:b/>
          <w:bCs/>
          <w:i/>
          <w:iCs/>
        </w:rPr>
        <w:t xml:space="preserve"> </w:t>
      </w:r>
    </w:p>
    <w:p w14:paraId="6405DFFB" w14:textId="69EA86A2" w:rsidR="00942A91" w:rsidRPr="00F754EF" w:rsidRDefault="00942A91" w:rsidP="005831BD">
      <w:pPr>
        <w:spacing w:line="240" w:lineRule="auto"/>
      </w:pPr>
      <w:r w:rsidRPr="00F754EF">
        <w:rPr>
          <w:rFonts w:ascii="Aptos Display" w:hAnsi="Aptos Display"/>
        </w:rPr>
        <w:t xml:space="preserve">ONU Mujeres Ecuador desempeñó un </w:t>
      </w:r>
      <w:r w:rsidR="000D3920" w:rsidRPr="00F754EF">
        <w:rPr>
          <w:rFonts w:ascii="Aptos Display" w:hAnsi="Aptos Display"/>
        </w:rPr>
        <w:t>rol</w:t>
      </w:r>
      <w:r w:rsidRPr="00F754EF">
        <w:rPr>
          <w:rFonts w:ascii="Aptos Display" w:hAnsi="Aptos Display"/>
        </w:rPr>
        <w:t xml:space="preserve"> de coordinación dentro del sistema de Naciones Unidas en Ecuador, reuniendo a las agencias en torno a prioridades de igualdad de género y asegurando que estas perspectivas se reflejaran en la planificación conjunta. Como agencia líder para la Iniciativa </w:t>
      </w:r>
      <w:proofErr w:type="spellStart"/>
      <w:r w:rsidRPr="00F754EF">
        <w:rPr>
          <w:rFonts w:ascii="Aptos Display" w:hAnsi="Aptos Display"/>
        </w:rPr>
        <w:t>Spotlight</w:t>
      </w:r>
      <w:proofErr w:type="spellEnd"/>
      <w:r w:rsidRPr="00F754EF">
        <w:rPr>
          <w:rFonts w:ascii="Aptos Display" w:hAnsi="Aptos Display"/>
        </w:rPr>
        <w:t xml:space="preserve">, coordinó con éxito las contribuciones especializadas del PNUD y el UNFPA. Si bien la colaboración </w:t>
      </w:r>
      <w:proofErr w:type="spellStart"/>
      <w:r w:rsidRPr="00F754EF">
        <w:rPr>
          <w:rFonts w:ascii="Aptos Display" w:hAnsi="Aptos Display"/>
        </w:rPr>
        <w:t>interagencial</w:t>
      </w:r>
      <w:proofErr w:type="spellEnd"/>
      <w:r w:rsidRPr="00F754EF">
        <w:rPr>
          <w:rFonts w:ascii="Aptos Display" w:hAnsi="Aptos Display"/>
        </w:rPr>
        <w:t xml:space="preserve"> fue efectiva en esta iniciativa, se detectaron tres brechas de coherencia: </w:t>
      </w:r>
      <w:proofErr w:type="spellStart"/>
      <w:r w:rsidR="007F7EA7" w:rsidRPr="007F7EA7">
        <w:rPr>
          <w:rFonts w:ascii="Aptos Display" w:hAnsi="Aptos Display"/>
        </w:rPr>
        <w:t>areas</w:t>
      </w:r>
      <w:proofErr w:type="spellEnd"/>
      <w:r w:rsidR="007F7EA7" w:rsidRPr="007F7EA7">
        <w:rPr>
          <w:rFonts w:ascii="Aptos Display" w:hAnsi="Aptos Display"/>
        </w:rPr>
        <w:t xml:space="preserve"> de </w:t>
      </w:r>
      <w:proofErr w:type="spellStart"/>
      <w:r w:rsidR="007F7EA7" w:rsidRPr="007F7EA7">
        <w:rPr>
          <w:rFonts w:ascii="Aptos Display" w:hAnsi="Aptos Display"/>
        </w:rPr>
        <w:t>superposicion</w:t>
      </w:r>
      <w:proofErr w:type="spellEnd"/>
      <w:r w:rsidR="007F7EA7" w:rsidRPr="007F7EA7">
        <w:rPr>
          <w:rFonts w:ascii="Aptos Display" w:hAnsi="Aptos Display"/>
        </w:rPr>
        <w:t xml:space="preserve"> de mandato </w:t>
      </w:r>
      <w:r w:rsidR="002B4D50">
        <w:rPr>
          <w:rFonts w:ascii="Aptos Display" w:hAnsi="Aptos Display"/>
        </w:rPr>
        <w:t xml:space="preserve">con </w:t>
      </w:r>
      <w:r w:rsidRPr="00F754EF">
        <w:rPr>
          <w:rFonts w:ascii="Aptos Display" w:hAnsi="Aptos Display"/>
        </w:rPr>
        <w:t xml:space="preserve">el PNUD respecto al Sello de Igualdad de Género y el trabajo electoral, una disminución del posicionamiento de alto nivel debido a una vacante prolongada en la posición de Representante de País, y una integración desigual de la perspectiva de género en el sistema de Naciones Unidas en general. A nivel de alianzas, la colaboración con los gobiernos municipales de Quito, Cuenca, Imbabura y Guayaquil fue la más resiliente, resultando en instrumentos locales vinculantes de política pública. Por el contrario, aunque la participación de la sociedad civil se mantuvo estructurada y significativa, algunos socios percibieron un distanciamiento creciente a medida que la oficina orientaba su trabajo hacia las contrapartes gubernamentales, y la colaboración con el sector privado se mantuvo centrada en la sensibilización </w:t>
      </w:r>
      <w:r w:rsidR="000705B3" w:rsidRPr="000705B3">
        <w:rPr>
          <w:rFonts w:ascii="Aptos Display" w:hAnsi="Aptos Display"/>
        </w:rPr>
        <w:t>y no avanzó aún hacia el cofinanciamiento programático.</w:t>
      </w:r>
    </w:p>
    <w:p w14:paraId="506E796C" w14:textId="77777777" w:rsidR="00942A91" w:rsidRPr="00F754EF" w:rsidRDefault="00942A91" w:rsidP="005831BD">
      <w:pPr>
        <w:spacing w:line="240" w:lineRule="auto"/>
      </w:pPr>
      <w:r w:rsidRPr="00F754EF">
        <w:rPr>
          <w:rFonts w:ascii="Aptos Display" w:hAnsi="Aptos Display"/>
          <w:b/>
          <w:bCs/>
          <w:i/>
          <w:iCs/>
        </w:rPr>
        <w:t>Eficacia</w:t>
      </w:r>
      <w:r w:rsidRPr="00F754EF">
        <w:rPr>
          <w:b/>
          <w:bCs/>
          <w:i/>
          <w:iCs/>
        </w:rPr>
        <w:t xml:space="preserve"> </w:t>
      </w:r>
    </w:p>
    <w:p w14:paraId="39350AE3" w14:textId="04F56E64" w:rsidR="00942A91" w:rsidRPr="00F754EF" w:rsidRDefault="00942A91" w:rsidP="005831BD">
      <w:pPr>
        <w:spacing w:line="240" w:lineRule="auto"/>
      </w:pPr>
      <w:r w:rsidRPr="00F754EF">
        <w:rPr>
          <w:rFonts w:ascii="Aptos Display" w:hAnsi="Aptos Display"/>
        </w:rPr>
        <w:t>El portafolio produjo resultados en la construcción de capacidades institucionales para la prevención y respuesta a la violencia. Entre los logros destacados se encuentran la formación de 58</w:t>
      </w:r>
      <w:r w:rsidR="001E6CA2" w:rsidRPr="00F754EF">
        <w:rPr>
          <w:rFonts w:ascii="Aptos Display" w:hAnsi="Aptos Display"/>
        </w:rPr>
        <w:t>,</w:t>
      </w:r>
      <w:r w:rsidRPr="00F754EF">
        <w:rPr>
          <w:rFonts w:ascii="Aptos Display" w:hAnsi="Aptos Display"/>
        </w:rPr>
        <w:t xml:space="preserve">000 agentes de la Policía Nacional en enfoques sensibles al género, el desarrollo de un protocolo de investigación de feminicidio y la primera herramienta de perfilación de perpetradores de feminicidio de la región. A nivel local, la oficina apoyo ordenanzas municipales para planes de prevención de violencia en Guayaquil, </w:t>
      </w:r>
      <w:r w:rsidRPr="00F754EF">
        <w:rPr>
          <w:rFonts w:ascii="Aptos Display" w:hAnsi="Aptos Display"/>
        </w:rPr>
        <w:t>Cuenca y Quito. También se alcanzaron hitos normativos mediante el apoyo al Plan Nacional de Acción sobre Mujeres, Paz y Seguridad de 2024, un hito normativo relevante que ONU Mujeres respaldó desde el diseño hasta la adopción.</w:t>
      </w:r>
      <w:r w:rsidRPr="00F754EF">
        <w:t xml:space="preserve"> </w:t>
      </w:r>
      <w:r w:rsidRPr="00F754EF">
        <w:rPr>
          <w:rFonts w:ascii="Aptos Display" w:hAnsi="Aptos Display"/>
        </w:rPr>
        <w:t>Se desarrolló un sistema de alerta temprana para la prevención de feminicidios (SAT) con apoyo de la Oficina de País, que continúa bajo el Ministerio del Interior, aunque la evidencia señala retos en su operatividad efectiva.</w:t>
      </w:r>
    </w:p>
    <w:p w14:paraId="42EF7A76" w14:textId="2EEEEC22" w:rsidR="00942A91" w:rsidRPr="00F754EF" w:rsidRDefault="00942A91" w:rsidP="005831BD">
      <w:pPr>
        <w:spacing w:line="240" w:lineRule="auto"/>
      </w:pPr>
      <w:r w:rsidRPr="00F754EF">
        <w:rPr>
          <w:rFonts w:ascii="Aptos Display" w:hAnsi="Aptos Display"/>
        </w:rPr>
        <w:t xml:space="preserve">En el ámbito del empoderamiento económico, </w:t>
      </w:r>
      <w:r w:rsidR="00A82A4D" w:rsidRPr="00F754EF">
        <w:rPr>
          <w:rFonts w:ascii="Aptos Display" w:hAnsi="Aptos Display"/>
        </w:rPr>
        <w:t>se</w:t>
      </w:r>
      <w:r w:rsidRPr="00F754EF">
        <w:rPr>
          <w:rFonts w:ascii="Aptos Display" w:hAnsi="Aptos Display"/>
        </w:rPr>
        <w:t xml:space="preserve"> contribuyó a la Ley de Cuidados Humanos de 2023, una legislación pionera que establece la base legal para un sistema nacional de cuidados y reconoce el trabajo de cuidados como prioridad de política pública por primera vez. Durante el periodo de evaluación se creó también la primera dirección municipal de cuidados en Quito, que ya opera con cuatro puntos de atención; a partir de la experiencia de Quito, la oficina avanzó en definiciones y primeras acciones para apoyar sistemas locales de cuidados en Cuenca y la provincia de Imbabura. El apoyo técnico a las leyes de Igualdad Salarial y Economía Violeta coincidió con una reducción de la brecha salarial de género del 19% al 15</w:t>
      </w:r>
      <w:r w:rsidR="001E6CA2" w:rsidRPr="00F754EF">
        <w:rPr>
          <w:rFonts w:ascii="Aptos Display" w:hAnsi="Aptos Display"/>
        </w:rPr>
        <w:t>.</w:t>
      </w:r>
      <w:r w:rsidRPr="00F754EF">
        <w:rPr>
          <w:rFonts w:ascii="Aptos Display" w:hAnsi="Aptos Display"/>
        </w:rPr>
        <w:t>4%, mientras que un programa de formación en empoderamiento económico alcanzó a 15</w:t>
      </w:r>
      <w:r w:rsidR="00661919" w:rsidRPr="00F754EF">
        <w:rPr>
          <w:rFonts w:ascii="Aptos Display" w:hAnsi="Aptos Display"/>
        </w:rPr>
        <w:t>,</w:t>
      </w:r>
      <w:r w:rsidRPr="00F754EF">
        <w:rPr>
          <w:rFonts w:ascii="Aptos Display" w:hAnsi="Aptos Display"/>
        </w:rPr>
        <w:t>000 mujeres, superando ampliamente el objetivo inicial. El portafolio llegó sistemáticamente a poblaciones marginadas, incluidas mujeres indígenas, afroecuatorianas y migrantes, aunque la inclusión sistemática de mujeres LGBTIQ+ y mujeres con discapacidad sigue siendo una tarea pendiente.</w:t>
      </w:r>
    </w:p>
    <w:p w14:paraId="7839CC18" w14:textId="77777777" w:rsidR="00942A91" w:rsidRPr="00F754EF" w:rsidRDefault="00942A91" w:rsidP="005831BD">
      <w:pPr>
        <w:spacing w:line="240" w:lineRule="auto"/>
      </w:pPr>
      <w:r w:rsidRPr="00F754EF">
        <w:rPr>
          <w:rFonts w:ascii="Aptos Display" w:hAnsi="Aptos Display"/>
          <w:b/>
          <w:bCs/>
          <w:i/>
          <w:iCs/>
        </w:rPr>
        <w:t>Eficiencia</w:t>
      </w:r>
      <w:r w:rsidRPr="00F754EF">
        <w:rPr>
          <w:b/>
          <w:bCs/>
          <w:i/>
          <w:iCs/>
        </w:rPr>
        <w:t xml:space="preserve"> </w:t>
      </w:r>
    </w:p>
    <w:p w14:paraId="5C579CA5" w14:textId="7138104E" w:rsidR="00942A91" w:rsidRPr="00F754EF" w:rsidRDefault="00942A91" w:rsidP="005831BD">
      <w:pPr>
        <w:spacing w:line="240" w:lineRule="auto"/>
      </w:pPr>
      <w:r w:rsidRPr="00F754EF">
        <w:rPr>
          <w:rFonts w:ascii="Aptos Display" w:hAnsi="Aptos Display"/>
        </w:rPr>
        <w:t>La oficina demostró una gestión financiera disciplinada, logrando una tasa de ejecución del 97% para su financiación institucional básica y del 82% para recursos de proyectos, pese a obstáculos en adquisiciones y congelaciones de fondos. Operando con una plantilla reducida de aproximadamente 25 personas y sin Representante de País permanente durante 9 meses, la oficina dependió en gran medida del compromiso del personal</w:t>
      </w:r>
      <w:r w:rsidR="00664C17">
        <w:rPr>
          <w:rFonts w:ascii="Aptos Display" w:hAnsi="Aptos Display"/>
        </w:rPr>
        <w:t xml:space="preserve"> </w:t>
      </w:r>
      <w:proofErr w:type="gramStart"/>
      <w:r w:rsidR="00DE3AF3">
        <w:rPr>
          <w:rFonts w:ascii="Aptos Display" w:hAnsi="Aptos Display"/>
        </w:rPr>
        <w:t xml:space="preserve">con </w:t>
      </w:r>
      <w:r w:rsidRPr="00F754EF">
        <w:rPr>
          <w:rFonts w:ascii="Aptos Display" w:hAnsi="Aptos Display"/>
        </w:rPr>
        <w:t xml:space="preserve"> niveles</w:t>
      </w:r>
      <w:proofErr w:type="gramEnd"/>
      <w:r w:rsidRPr="00F754EF">
        <w:rPr>
          <w:rFonts w:ascii="Aptos Display" w:hAnsi="Aptos Display"/>
        </w:rPr>
        <w:t xml:space="preserve"> de carga laboral</w:t>
      </w:r>
      <w:r w:rsidR="001204C8">
        <w:rPr>
          <w:rFonts w:ascii="Aptos Display" w:hAnsi="Aptos Display"/>
        </w:rPr>
        <w:t xml:space="preserve"> </w:t>
      </w:r>
      <w:r w:rsidR="001204C8" w:rsidRPr="00DC013F">
        <w:rPr>
          <w:rFonts w:ascii="Aptos Display" w:hAnsi="Aptos Display"/>
        </w:rPr>
        <w:t>que, según lo documentado en entrevistas</w:t>
      </w:r>
      <w:r w:rsidR="001204C8">
        <w:rPr>
          <w:rFonts w:ascii="Aptos Display" w:hAnsi="Aptos Display"/>
        </w:rPr>
        <w:t>,</w:t>
      </w:r>
      <w:r w:rsidR="001204C8" w:rsidRPr="00DC013F">
        <w:rPr>
          <w:rFonts w:ascii="Aptos Display" w:hAnsi="Aptos Display"/>
        </w:rPr>
        <w:t xml:space="preserve"> </w:t>
      </w:r>
      <w:r w:rsidR="001204C8" w:rsidRPr="00F754EF">
        <w:rPr>
          <w:rFonts w:ascii="Aptos Display" w:hAnsi="Aptos Display"/>
        </w:rPr>
        <w:t xml:space="preserve"> </w:t>
      </w:r>
      <w:r w:rsidRPr="00F754EF">
        <w:rPr>
          <w:rFonts w:ascii="Aptos Display" w:hAnsi="Aptos Display"/>
        </w:rPr>
        <w:t xml:space="preserve"> superaron lo sostenible. Para superar limitaciones de recursos, la oficina desarrolló tres modelos innovadores de financiación que generaron recursos </w:t>
      </w:r>
      <w:r w:rsidRPr="00F754EF">
        <w:rPr>
          <w:rFonts w:ascii="Aptos Display" w:hAnsi="Aptos Display"/>
        </w:rPr>
        <w:lastRenderedPageBreak/>
        <w:t>más flexibles que las subvenciones tradicionales de donantes: un mecanismo de canje de deuda, un acuerdo de cofinanciación con el Municipio de Quito y un programa de asistencia técnica financiado por el gobierno por valor de 960</w:t>
      </w:r>
      <w:r w:rsidR="00E557D3" w:rsidRPr="00F754EF">
        <w:rPr>
          <w:rFonts w:ascii="Aptos Display" w:hAnsi="Aptos Display"/>
        </w:rPr>
        <w:t>,</w:t>
      </w:r>
      <w:r w:rsidRPr="00F754EF">
        <w:rPr>
          <w:rFonts w:ascii="Aptos Display" w:hAnsi="Aptos Display"/>
        </w:rPr>
        <w:t>000 dólares estadounidenses.</w:t>
      </w:r>
    </w:p>
    <w:p w14:paraId="28213D62" w14:textId="77777777" w:rsidR="00942A91" w:rsidRPr="00F754EF" w:rsidRDefault="00942A91" w:rsidP="005831BD">
      <w:pPr>
        <w:spacing w:line="240" w:lineRule="auto"/>
      </w:pPr>
      <w:r w:rsidRPr="00F754EF">
        <w:rPr>
          <w:rFonts w:ascii="Aptos Display" w:hAnsi="Aptos Display"/>
          <w:b/>
          <w:bCs/>
          <w:i/>
          <w:iCs/>
        </w:rPr>
        <w:t>Sostenibilidad</w:t>
      </w:r>
      <w:r w:rsidRPr="00F754EF">
        <w:rPr>
          <w:b/>
          <w:bCs/>
          <w:i/>
          <w:iCs/>
        </w:rPr>
        <w:t xml:space="preserve"> </w:t>
      </w:r>
    </w:p>
    <w:p w14:paraId="258891D4" w14:textId="0ED6626C" w:rsidR="00DC5433" w:rsidRDefault="00942A91" w:rsidP="006B5FCD">
      <w:pPr>
        <w:spacing w:line="240" w:lineRule="auto"/>
      </w:pPr>
      <w:r w:rsidRPr="00F754EF">
        <w:rPr>
          <w:rFonts w:ascii="Aptos Display" w:hAnsi="Aptos Display"/>
        </w:rPr>
        <w:t>La sostenibilidad fue mayor cuando los resultados se integraron en ordenanzas municipales y líneas presupuestarias locales que trascienden los liderazgos políticos individuales. Ejemplos son el plan de prevención de violencia de Guayaquil, el presupuesto dedicado de la dirección de cuidados de Quito y la red de mujeres constructoras de paz de Guayaquil, que sigue operando de manera independiente tras el cierre de la programación directa de ONU Mujeres. Sin embargo, persisten riesgos a nivel nacional:</w:t>
      </w:r>
      <w:r w:rsidRPr="00F754EF">
        <w:t xml:space="preserve"> </w:t>
      </w:r>
      <w:r w:rsidRPr="00F754EF">
        <w:rPr>
          <w:rFonts w:ascii="Aptos Display" w:hAnsi="Aptos Display"/>
        </w:rPr>
        <w:t xml:space="preserve">el SAT carece de una vía clara de operacionalización tras la absorción del Ministerio de la Mujer por el Ministerio de Gobierno, aunque el Ministerio del Interior ha dado pasos importantes hacia su institucionalización con apoyo técnico de ONU </w:t>
      </w:r>
      <w:r w:rsidR="00190946" w:rsidRPr="00F754EF">
        <w:rPr>
          <w:rFonts w:ascii="Aptos Display" w:hAnsi="Aptos Display"/>
        </w:rPr>
        <w:t>Mujeres</w:t>
      </w:r>
      <w:r w:rsidR="00190946" w:rsidRPr="00F754EF">
        <w:t>.</w:t>
      </w:r>
      <w:r w:rsidR="00DC5433">
        <w:t xml:space="preserve"> </w:t>
      </w:r>
      <w:r w:rsidR="00DC5433" w:rsidRPr="003A3913">
        <w:rPr>
          <w:rFonts w:ascii="Aptos Display" w:hAnsi="Aptos Display"/>
        </w:rPr>
        <w:t xml:space="preserve">Contrapartes gubernamentales confirmaron que, si bien continúan las reuniones para avanzar en la implementación del sistema, la transición institucional generó una ruptura en los acuerdos técnicos y en la continuidad del personal </w:t>
      </w:r>
      <w:proofErr w:type="spellStart"/>
      <w:r w:rsidR="00DC5433" w:rsidRPr="003A3913">
        <w:rPr>
          <w:rFonts w:ascii="Aptos Display" w:hAnsi="Aptos Display"/>
        </w:rPr>
        <w:t>r</w:t>
      </w:r>
      <w:r w:rsidR="00A34CEB">
        <w:rPr>
          <w:rFonts w:ascii="Aptos Display" w:hAnsi="Aptos Display"/>
        </w:rPr>
        <w:t>s</w:t>
      </w:r>
      <w:r w:rsidR="00DC5433" w:rsidRPr="003A3913">
        <w:rPr>
          <w:rFonts w:ascii="Aptos Display" w:hAnsi="Aptos Display"/>
        </w:rPr>
        <w:t>esponsable</w:t>
      </w:r>
      <w:proofErr w:type="spellEnd"/>
      <w:r w:rsidR="00DC5433" w:rsidRPr="003A3913">
        <w:rPr>
          <w:rFonts w:ascii="Aptos Display" w:hAnsi="Aptos Display"/>
        </w:rPr>
        <w:t>. Organizaciones de la sociedad civil que acompañaron el proceso de desarrollo del SAT coincidieron en señalar que, sin una institución rectora con capacidad operativa real, el sistema corre el riesgo de quedar como un producto técnico sin apropiación institucional suficiente para su activación.</w:t>
      </w:r>
    </w:p>
    <w:p w14:paraId="6DA8BC20" w14:textId="15ACE98D" w:rsidR="006B5FCD" w:rsidRDefault="00942A91" w:rsidP="006B5FCD">
      <w:pPr>
        <w:spacing w:line="240" w:lineRule="auto"/>
        <w:rPr>
          <w:rFonts w:ascii="Aptos Display" w:hAnsi="Aptos Display"/>
        </w:rPr>
      </w:pPr>
      <w:r w:rsidRPr="00F754EF">
        <w:rPr>
          <w:rFonts w:ascii="Aptos Display" w:hAnsi="Aptos Display"/>
        </w:rPr>
        <w:t xml:space="preserve">El Sistema Nacional de Cuidados ha avanzado sustancialmente, con política nacional, plan y agenda de cuidados validados, y la implementación progresando en los ministerios competentes; sin embargo, sigue pendiente un decreto presidencial que aclare el liderazgo </w:t>
      </w:r>
      <w:r w:rsidR="00190946" w:rsidRPr="00F754EF">
        <w:rPr>
          <w:rFonts w:ascii="Aptos Display" w:hAnsi="Aptos Display"/>
        </w:rPr>
        <w:t>sectorial</w:t>
      </w:r>
      <w:r w:rsidR="00190946" w:rsidRPr="00F754EF">
        <w:t>.</w:t>
      </w:r>
      <w:r w:rsidRPr="00F754EF">
        <w:rPr>
          <w:rFonts w:ascii="Aptos Display" w:hAnsi="Aptos Display"/>
        </w:rPr>
        <w:t xml:space="preserve"> Más allá de estos riesgos estructurales, </w:t>
      </w:r>
      <w:r w:rsidR="007D2D02" w:rsidRPr="00F754EF">
        <w:rPr>
          <w:rFonts w:ascii="Aptos Display" w:hAnsi="Aptos Display"/>
        </w:rPr>
        <w:t xml:space="preserve">la oficina </w:t>
      </w:r>
      <w:r w:rsidRPr="00F754EF">
        <w:rPr>
          <w:rFonts w:ascii="Aptos Display" w:hAnsi="Aptos Display"/>
        </w:rPr>
        <w:t xml:space="preserve">logró establecer el feminicidio como prioridad institucional diferenciada y posicionar la economía del cuidado como pilar central de la política social. Si bien estos avances representan una nueva forma de capacidad cívica, siguen siendo vulnerables al cierre del espacio cívico </w:t>
      </w:r>
      <w:r w:rsidRPr="00F754EF">
        <w:rPr>
          <w:rFonts w:ascii="Aptos Display" w:hAnsi="Aptos Display"/>
        </w:rPr>
        <w:t>y la pérdida de mecanismos institucionales nacionales.</w:t>
      </w:r>
      <w:bookmarkStart w:id="8" w:name="_Toc228005492"/>
    </w:p>
    <w:p w14:paraId="5EC98164" w14:textId="77777777" w:rsidR="006B5FCD" w:rsidRPr="006B5FCD" w:rsidRDefault="00942A91" w:rsidP="006B5FCD">
      <w:pPr>
        <w:pStyle w:val="Heading2"/>
        <w:spacing w:before="0"/>
        <w:rPr>
          <w:rFonts w:eastAsia="Times New Roman"/>
          <w:lang w:val="es-ES"/>
        </w:rPr>
      </w:pPr>
      <w:bookmarkStart w:id="9" w:name="_Toc233830029"/>
      <w:r w:rsidRPr="00F754EF">
        <w:rPr>
          <w:rFonts w:eastAsia="Times New Roman"/>
          <w:lang w:val="es-ES"/>
        </w:rPr>
        <w:t>CONCLUSIONES</w:t>
      </w:r>
      <w:bookmarkEnd w:id="8"/>
      <w:bookmarkEnd w:id="9"/>
      <w:r w:rsidRPr="00F754EF">
        <w:rPr>
          <w:rFonts w:eastAsia="Times New Roman"/>
          <w:lang w:val="es-ES"/>
        </w:rPr>
        <w:t xml:space="preserve"> </w:t>
      </w:r>
    </w:p>
    <w:p w14:paraId="20F5B405" w14:textId="6C24E33A" w:rsidR="00942A91" w:rsidRPr="00F754EF" w:rsidRDefault="00942A91" w:rsidP="005831BD">
      <w:pPr>
        <w:spacing w:line="240" w:lineRule="auto"/>
      </w:pPr>
      <w:r w:rsidRPr="00F754EF">
        <w:rPr>
          <w:rFonts w:ascii="Aptos Display" w:hAnsi="Aptos Display"/>
          <w:b/>
          <w:bCs/>
        </w:rPr>
        <w:t xml:space="preserve">Conclusión 1: </w:t>
      </w:r>
      <w:r w:rsidR="00691D86" w:rsidRPr="00691D86">
        <w:rPr>
          <w:rFonts w:ascii="Aptos Display" w:hAnsi="Aptos Display"/>
        </w:rPr>
        <w:t xml:space="preserve">El portafolio logró mejores resultados cuando aplicó una lógica consistente </w:t>
      </w:r>
      <w:r w:rsidR="008B4906">
        <w:rPr>
          <w:rFonts w:ascii="Aptos Display" w:hAnsi="Aptos Display"/>
        </w:rPr>
        <w:t>q</w:t>
      </w:r>
      <w:r w:rsidR="008B4906" w:rsidRPr="008B4906">
        <w:rPr>
          <w:rFonts w:ascii="Aptos Display" w:hAnsi="Aptos Display"/>
        </w:rPr>
        <w:t>ue combinó tres condiciones identificadas en los hallazgos: el anclaje normativo en instrumentos vinculantes, la inversión operacional para operacionalizar esos instrumentos, y el fortalecimiento de la sociedad civil como custodio de largo plazo de los resultados.</w:t>
      </w:r>
      <w:r w:rsidR="00691D86" w:rsidRPr="00691D86">
        <w:rPr>
          <w:rFonts w:ascii="Aptos Display" w:hAnsi="Aptos Display"/>
        </w:rPr>
        <w:t xml:space="preserve"> Cuando algún elemento de esta secuencia estuvo ausente o insuficientemente financiado, los resultados fueron menos duraderos</w:t>
      </w:r>
      <w:r w:rsidR="00691D86">
        <w:rPr>
          <w:rFonts w:ascii="Aptos Display" w:hAnsi="Aptos Display"/>
        </w:rPr>
        <w:t>.</w:t>
      </w:r>
    </w:p>
    <w:p w14:paraId="0D07ED2D" w14:textId="28B83A9D" w:rsidR="00942A91" w:rsidRPr="00F754EF" w:rsidRDefault="00942A91" w:rsidP="005831BD">
      <w:pPr>
        <w:spacing w:line="240" w:lineRule="auto"/>
      </w:pPr>
      <w:r w:rsidRPr="00F754EF">
        <w:rPr>
          <w:rFonts w:ascii="Aptos Display" w:hAnsi="Aptos Display"/>
          <w:b/>
          <w:bCs/>
        </w:rPr>
        <w:t xml:space="preserve">Conclusión 2: </w:t>
      </w:r>
      <w:r w:rsidR="00691D86" w:rsidRPr="00691D86">
        <w:rPr>
          <w:rFonts w:ascii="Aptos Display" w:hAnsi="Aptos Display"/>
        </w:rPr>
        <w:t>La Oficina aprovechó su triple mandato de forma efectiva durante un ciclo turbulento,</w:t>
      </w:r>
      <w:r w:rsidR="004E72D5" w:rsidRPr="004E72D5">
        <w:t xml:space="preserve"> </w:t>
      </w:r>
      <w:r w:rsidR="004E72D5" w:rsidRPr="004E72D5">
        <w:rPr>
          <w:rFonts w:ascii="Aptos Display" w:hAnsi="Aptos Display"/>
        </w:rPr>
        <w:t xml:space="preserve">pero sostener ese desempeño generó demandas significativas sobre el personal, </w:t>
      </w:r>
      <w:r w:rsidR="00420864">
        <w:rPr>
          <w:rFonts w:ascii="Aptos Display" w:hAnsi="Aptos Display"/>
        </w:rPr>
        <w:t xml:space="preserve">mostrando </w:t>
      </w:r>
      <w:r w:rsidR="004E72D5" w:rsidRPr="004E72D5">
        <w:rPr>
          <w:rFonts w:ascii="Aptos Display" w:hAnsi="Aptos Display"/>
        </w:rPr>
        <w:t>una brecha de capacidad estructural que requiere atención en el próximo ciclo</w:t>
      </w:r>
      <w:r w:rsidR="00691D86" w:rsidRPr="00691D86">
        <w:rPr>
          <w:rFonts w:ascii="Aptos Display" w:hAnsi="Aptos Display"/>
        </w:rPr>
        <w:t>.</w:t>
      </w:r>
    </w:p>
    <w:p w14:paraId="04228429" w14:textId="6C0AA742" w:rsidR="00942A91" w:rsidRPr="00F754EF" w:rsidRDefault="00942A91" w:rsidP="005831BD">
      <w:pPr>
        <w:spacing w:line="240" w:lineRule="auto"/>
      </w:pPr>
      <w:r w:rsidRPr="00F754EF">
        <w:rPr>
          <w:rFonts w:ascii="Aptos Display" w:hAnsi="Aptos Display"/>
          <w:b/>
          <w:bCs/>
        </w:rPr>
        <w:t xml:space="preserve">Conclusión 3: </w:t>
      </w:r>
      <w:r w:rsidR="00B548FC" w:rsidRPr="00B548FC">
        <w:rPr>
          <w:rFonts w:ascii="Aptos Display" w:hAnsi="Aptos Display"/>
        </w:rPr>
        <w:t xml:space="preserve">Las respuestas adaptativas de la Oficina ante la inestabilidad institucional fueron sistemáticamente más sólidas a nivel subnacional que nacional, lo que constituye una </w:t>
      </w:r>
      <w:r w:rsidR="008543B6">
        <w:rPr>
          <w:rFonts w:ascii="Aptos Display" w:hAnsi="Aptos Display"/>
        </w:rPr>
        <w:t xml:space="preserve">clara </w:t>
      </w:r>
      <w:r w:rsidR="00B548FC" w:rsidRPr="00B548FC">
        <w:rPr>
          <w:rFonts w:ascii="Aptos Display" w:hAnsi="Aptos Display"/>
        </w:rPr>
        <w:t>orientación estratégica</w:t>
      </w:r>
      <w:r w:rsidRPr="00F754EF">
        <w:rPr>
          <w:rFonts w:ascii="Aptos Display" w:hAnsi="Aptos Display"/>
        </w:rPr>
        <w:t>.</w:t>
      </w:r>
    </w:p>
    <w:p w14:paraId="3B34BDD6" w14:textId="27F2FFAF" w:rsidR="00942A91" w:rsidRPr="00F754EF" w:rsidRDefault="00942A91" w:rsidP="005831BD">
      <w:pPr>
        <w:spacing w:line="240" w:lineRule="auto"/>
      </w:pPr>
      <w:r w:rsidRPr="00F754EF">
        <w:rPr>
          <w:rFonts w:ascii="Aptos Display" w:hAnsi="Aptos Display"/>
          <w:b/>
          <w:bCs/>
        </w:rPr>
        <w:t>Conclusión 4:</w:t>
      </w:r>
      <w:r w:rsidR="008543B6">
        <w:rPr>
          <w:rFonts w:ascii="Aptos Display" w:hAnsi="Aptos Display"/>
        </w:rPr>
        <w:t xml:space="preserve"> </w:t>
      </w:r>
      <w:r w:rsidR="008543B6" w:rsidRPr="008543B6">
        <w:rPr>
          <w:rFonts w:ascii="Aptos Display" w:hAnsi="Aptos Display"/>
        </w:rPr>
        <w:t>El desempeño en eficiencia del portafolio refleja competencia operacional genuina bajo presión extraordinaria, pero también un modelo de gestión del conocimiento que trasladó el riesgo institucional</w:t>
      </w:r>
      <w:r w:rsidRPr="00F754EF">
        <w:rPr>
          <w:rFonts w:ascii="Aptos Display" w:hAnsi="Aptos Display"/>
        </w:rPr>
        <w:t xml:space="preserve">. </w:t>
      </w:r>
    </w:p>
    <w:p w14:paraId="40D27CA5" w14:textId="77777777" w:rsidR="006B5FCD" w:rsidRDefault="00942A91" w:rsidP="006B5FCD">
      <w:pPr>
        <w:spacing w:line="240" w:lineRule="auto"/>
        <w:rPr>
          <w:rFonts w:ascii="Aptos Display" w:hAnsi="Aptos Display"/>
        </w:rPr>
      </w:pPr>
      <w:r w:rsidRPr="00F754EF">
        <w:rPr>
          <w:rFonts w:ascii="Aptos Display" w:hAnsi="Aptos Display"/>
          <w:b/>
          <w:bCs/>
        </w:rPr>
        <w:t xml:space="preserve">Conclusión 5: </w:t>
      </w:r>
      <w:r w:rsidR="00AC2512" w:rsidRPr="0044679E">
        <w:rPr>
          <w:rFonts w:ascii="Aptos Display" w:hAnsi="Aptos Display"/>
        </w:rPr>
        <w:t>El portafolio contribuyó a cambios transformadores genuinos en ámbitos prioritarios, pero las condiciones para proteger esos logros son más frágiles ahora que al inicio del ciclo. Adicionalmente, mujeres en situación de mayor marginación no se beneficiaron equitativamente de estos avances.</w:t>
      </w:r>
      <w:bookmarkStart w:id="10" w:name="_Toc228005493"/>
    </w:p>
    <w:p w14:paraId="7AD772DC" w14:textId="77777777" w:rsidR="006B5FCD" w:rsidRPr="006B5FCD" w:rsidRDefault="00942A91" w:rsidP="006B5FCD">
      <w:pPr>
        <w:pStyle w:val="Heading2"/>
        <w:spacing w:before="0"/>
        <w:rPr>
          <w:rFonts w:eastAsia="Times New Roman"/>
          <w:lang w:val="es-ES"/>
        </w:rPr>
      </w:pPr>
      <w:bookmarkStart w:id="11" w:name="_Toc233830030"/>
      <w:r w:rsidRPr="00F754EF">
        <w:rPr>
          <w:rFonts w:eastAsia="Times New Roman"/>
          <w:lang w:val="es-ES"/>
        </w:rPr>
        <w:t>RECOMENDACIONES</w:t>
      </w:r>
      <w:bookmarkEnd w:id="10"/>
      <w:bookmarkEnd w:id="11"/>
      <w:r w:rsidRPr="00F754EF">
        <w:rPr>
          <w:rFonts w:eastAsia="Times New Roman"/>
          <w:lang w:val="es-ES"/>
        </w:rPr>
        <w:t xml:space="preserve"> </w:t>
      </w:r>
    </w:p>
    <w:p w14:paraId="2457AA32" w14:textId="6B7ECEFB" w:rsidR="00942A91" w:rsidRPr="00F754EF" w:rsidRDefault="00942A91" w:rsidP="005831BD">
      <w:pPr>
        <w:spacing w:line="240" w:lineRule="auto"/>
      </w:pPr>
      <w:r w:rsidRPr="00F754EF">
        <w:rPr>
          <w:rFonts w:ascii="Aptos Display" w:hAnsi="Aptos Display"/>
          <w:b/>
          <w:bCs/>
        </w:rPr>
        <w:t xml:space="preserve">Recomendación 1: </w:t>
      </w:r>
      <w:r w:rsidR="002F362F" w:rsidRPr="00F754EF">
        <w:rPr>
          <w:rFonts w:ascii="Aptos Display" w:hAnsi="Aptos Display"/>
          <w:b/>
          <w:bCs/>
        </w:rPr>
        <w:t>Fortalecer la colaboración con</w:t>
      </w:r>
      <w:r w:rsidRPr="00F754EF">
        <w:rPr>
          <w:rFonts w:ascii="Aptos Display" w:hAnsi="Aptos Display"/>
          <w:b/>
          <w:bCs/>
        </w:rPr>
        <w:t xml:space="preserve"> la sociedad civil como socio estratégico y actor de rendición de cuentas.</w:t>
      </w:r>
      <w:r w:rsidRPr="00F754EF">
        <w:rPr>
          <w:b/>
          <w:bCs/>
        </w:rPr>
        <w:t xml:space="preserve"> </w:t>
      </w:r>
      <w:r w:rsidR="00CA098C" w:rsidRPr="00F754EF">
        <w:rPr>
          <w:rFonts w:ascii="Aptos Display" w:hAnsi="Aptos Display"/>
        </w:rPr>
        <w:t xml:space="preserve">La evaluación identifica a las organizaciones de la sociedad civil como las principales custodias de los resultados más duraderos del portafolio. Para consolidar este rol en el próximo ciclo, ONU Mujeres debe ampliar su </w:t>
      </w:r>
      <w:r w:rsidR="00CA098C" w:rsidRPr="00F754EF">
        <w:rPr>
          <w:rFonts w:ascii="Aptos Display" w:hAnsi="Aptos Display"/>
        </w:rPr>
        <w:lastRenderedPageBreak/>
        <w:t>enfoque más allá de las alianzas de implementación e invertir en el entorno habilitador que permite a estas organizaciones ejercer funciones de rendición de cuentas de manera independiente y sostenida</w:t>
      </w:r>
      <w:r w:rsidRPr="00F754EF">
        <w:rPr>
          <w:rFonts w:ascii="Aptos Display" w:hAnsi="Aptos Display"/>
        </w:rPr>
        <w:t>.</w:t>
      </w:r>
    </w:p>
    <w:p w14:paraId="330E5E84" w14:textId="77777777" w:rsidR="009801CA" w:rsidRPr="00F754EF" w:rsidRDefault="00942A91" w:rsidP="009801CA">
      <w:pPr>
        <w:spacing w:line="240" w:lineRule="auto"/>
        <w:rPr>
          <w:rFonts w:ascii="Aptos Display" w:hAnsi="Aptos Display"/>
        </w:rPr>
      </w:pPr>
      <w:r w:rsidRPr="00F754EF">
        <w:rPr>
          <w:rFonts w:ascii="Aptos Display" w:hAnsi="Aptos Display"/>
          <w:b/>
          <w:bCs/>
        </w:rPr>
        <w:t>Recomendación 2: Formalizar el modelo subnacional como estrategia de intervención.</w:t>
      </w:r>
      <w:r w:rsidRPr="00F754EF">
        <w:rPr>
          <w:b/>
          <w:bCs/>
        </w:rPr>
        <w:t xml:space="preserve"> </w:t>
      </w:r>
      <w:r w:rsidR="009801CA" w:rsidRPr="00F754EF">
        <w:rPr>
          <w:rFonts w:ascii="Aptos Display" w:hAnsi="Aptos Display"/>
        </w:rPr>
        <w:t>La evaluación constató resultados sistemáticamente más sólidos y duraderos a nivel subnacional en ambos resultados del portafolio. Este desempeño no constituyó una respuesta de contingencia ante la inestabilidad institucional nacional, sino la expresión del modelo de intervención más eficaz disponible en el contexto actual de Ecuador. La próxima Nota Estratégica debe reconocer explícitamente esta realidad y diseñar la intervención subnacional como orientación estratégica principal.</w:t>
      </w:r>
    </w:p>
    <w:p w14:paraId="52290B8B" w14:textId="494CCD09" w:rsidR="00942A91" w:rsidRPr="00F754EF" w:rsidRDefault="009801CA" w:rsidP="009801CA">
      <w:pPr>
        <w:spacing w:line="240" w:lineRule="auto"/>
      </w:pPr>
      <w:r w:rsidRPr="00F754EF">
        <w:rPr>
          <w:rFonts w:ascii="Aptos Display" w:hAnsi="Aptos Display"/>
        </w:rPr>
        <w:t>Al mismo tiempo, las recientes modificaciones al marco de financiación de los gobiernos locales establecidas en el Código Orgánico de Organización Territorial, Autonomía y Descentralización (COOTAD) tienen implicaciones para la prestación de servicios a nivel subnacional. En este contexto, la oficina deberá diversificar sus fuentes de movilización de recursos locales y fortalecer las alianzas territoriales más allá de la cofinanciación municipal.</w:t>
      </w:r>
    </w:p>
    <w:p w14:paraId="0BACA300" w14:textId="63491B00" w:rsidR="00942A91" w:rsidRPr="00F754EF" w:rsidRDefault="00942A91" w:rsidP="005831BD">
      <w:pPr>
        <w:spacing w:line="240" w:lineRule="auto"/>
      </w:pPr>
      <w:r w:rsidRPr="00F754EF">
        <w:rPr>
          <w:rFonts w:ascii="Aptos Display" w:hAnsi="Aptos Display"/>
          <w:b/>
          <w:bCs/>
        </w:rPr>
        <w:t>Recomendación 3: Rediseñar la colaboración con el sector privado en torno a sistemas institucionales.</w:t>
      </w:r>
      <w:r w:rsidRPr="00F754EF">
        <w:rPr>
          <w:b/>
          <w:bCs/>
        </w:rPr>
        <w:t xml:space="preserve"> </w:t>
      </w:r>
      <w:r w:rsidR="00B72DF8" w:rsidRPr="00F754EF">
        <w:rPr>
          <w:rFonts w:ascii="Aptos Display" w:hAnsi="Aptos Display"/>
        </w:rPr>
        <w:t>La participación del sector privado en el portafolio se mantuvo predominantemente en el nivel de sensibilización y adhesión a los Principios de Empoderamiento de las Mujeres (</w:t>
      </w:r>
      <w:proofErr w:type="spellStart"/>
      <w:r w:rsidR="00B72DF8" w:rsidRPr="00F754EF">
        <w:rPr>
          <w:rFonts w:ascii="Aptos Display" w:hAnsi="Aptos Display"/>
        </w:rPr>
        <w:t>WEPs</w:t>
      </w:r>
      <w:proofErr w:type="spellEnd"/>
      <w:r w:rsidR="00B72DF8" w:rsidRPr="00F754EF">
        <w:rPr>
          <w:rFonts w:ascii="Aptos Display" w:hAnsi="Aptos Display"/>
        </w:rPr>
        <w:t>), sin avanzar hacia la cofinanciación programática ni hacia alianzas de desarrollo estructuradas. Para ampliar el impacto y la sostenibilidad de esta línea de trabajo en el próximo ciclo, la oficina deberá construir sobre una base institucional documentada que sea resiliente ante cambios de personal y que genere una nueva vía de movilización de recursos.</w:t>
      </w:r>
    </w:p>
    <w:p w14:paraId="78F5DFC2" w14:textId="4E621C6F" w:rsidR="00942A91" w:rsidRPr="00F754EF" w:rsidRDefault="00942A91" w:rsidP="005831BD">
      <w:pPr>
        <w:spacing w:line="240" w:lineRule="auto"/>
      </w:pPr>
      <w:r w:rsidRPr="00F754EF">
        <w:rPr>
          <w:rFonts w:ascii="Aptos Display" w:hAnsi="Aptos Display"/>
          <w:b/>
          <w:bCs/>
        </w:rPr>
        <w:t>Recomendación 4: Integrar los portafolios WPS y humanitario.</w:t>
      </w:r>
      <w:r w:rsidRPr="00F754EF">
        <w:rPr>
          <w:b/>
          <w:bCs/>
        </w:rPr>
        <w:t xml:space="preserve"> </w:t>
      </w:r>
      <w:r w:rsidR="00B72DF8" w:rsidRPr="00F754EF">
        <w:rPr>
          <w:rFonts w:ascii="Aptos Display" w:hAnsi="Aptos Display"/>
        </w:rPr>
        <w:t xml:space="preserve">El contexto operativo de Ecuador, en el que los patrones de inseguridad, la movilidad humana y la violencia de género están estructuralmente interconectados, exige un abordaje programático integrado que articule las dimensiones de paz, seguridad y respuesta humanitaria bajo un marco de resultados común. La integración de estas líneas de </w:t>
      </w:r>
      <w:r w:rsidR="00B72DF8" w:rsidRPr="00F754EF">
        <w:rPr>
          <w:rFonts w:ascii="Aptos Display" w:hAnsi="Aptos Display"/>
        </w:rPr>
        <w:t>trabajo aumenta la coherencia estratégica, reduce los costos internos de coordinación y refuerza el posicionamiento de la oficina en el nexo seguridad-género.</w:t>
      </w:r>
    </w:p>
    <w:p w14:paraId="554AB212" w14:textId="77777777" w:rsidR="006854C3" w:rsidRDefault="00942A91" w:rsidP="006B5FCD">
      <w:pPr>
        <w:spacing w:line="240" w:lineRule="auto"/>
        <w:rPr>
          <w:rFonts w:ascii="Aptos Display" w:hAnsi="Aptos Display"/>
        </w:rPr>
      </w:pPr>
      <w:r w:rsidRPr="00F754EF">
        <w:rPr>
          <w:rFonts w:ascii="Aptos Display" w:hAnsi="Aptos Display"/>
          <w:b/>
          <w:bCs/>
        </w:rPr>
        <w:t>Recomendación 5: Realizar una revisión funcional para alinear prioridades con la capacidad real.</w:t>
      </w:r>
      <w:r w:rsidRPr="00F754EF">
        <w:rPr>
          <w:b/>
          <w:bCs/>
        </w:rPr>
        <w:t xml:space="preserve"> </w:t>
      </w:r>
      <w:r w:rsidR="003144A0" w:rsidRPr="00F754EF">
        <w:rPr>
          <w:rFonts w:ascii="Aptos Display" w:hAnsi="Aptos Display"/>
        </w:rPr>
        <w:t xml:space="preserve">La evaluación constató que una parte significativa de los desafíos de eficiencia del ciclo 2023–2026 derivaron de un desajuste entre las ambiciones temáticas de la Nota Estratégica y la capacidad técnica y de personal disponible para ejecutarlas. </w:t>
      </w:r>
      <w:r w:rsidR="00371684">
        <w:rPr>
          <w:rFonts w:ascii="Aptos Display" w:hAnsi="Aptos Display"/>
        </w:rPr>
        <w:t>L</w:t>
      </w:r>
      <w:r w:rsidR="003144A0" w:rsidRPr="00F754EF">
        <w:rPr>
          <w:rFonts w:ascii="Aptos Display" w:hAnsi="Aptos Display"/>
        </w:rPr>
        <w:t>a próxima Nota Estratégica debe estar precedida por una revisión funcional que asegure que cada prioridad declarada cuente con los recursos humanos, técnicos y financieros necesarios para su implementación efectiva.</w:t>
      </w:r>
      <w:bookmarkStart w:id="12" w:name="OLE_LINK1"/>
      <w:bookmarkStart w:id="13" w:name="OLE_LINK2"/>
    </w:p>
    <w:p w14:paraId="6C9823A2" w14:textId="77777777" w:rsidR="006854C3" w:rsidRDefault="006854C3">
      <w:pPr>
        <w:suppressAutoHyphens w:val="0"/>
        <w:autoSpaceDE/>
        <w:autoSpaceDN/>
        <w:adjustRightInd/>
        <w:spacing w:after="160" w:line="259" w:lineRule="auto"/>
        <w:jc w:val="left"/>
        <w:rPr>
          <w:rStyle w:val="normaltextrun"/>
          <w:rFonts w:eastAsia="Times New Roman"/>
        </w:rPr>
      </w:pPr>
      <w:r>
        <w:rPr>
          <w:rStyle w:val="normaltextrun"/>
          <w:rFonts w:eastAsia="Times New Roman"/>
        </w:rPr>
        <w:br w:type="page"/>
      </w:r>
    </w:p>
    <w:p w14:paraId="1F945CB0" w14:textId="77777777" w:rsidR="00404285" w:rsidRDefault="0046322C" w:rsidP="009B30C7">
      <w:pPr>
        <w:pStyle w:val="Heading1"/>
        <w:spacing w:before="0" w:after="120"/>
        <w:rPr>
          <w:rStyle w:val="normaltextrun"/>
          <w:rFonts w:eastAsia="Times New Roman"/>
          <w:lang w:val="es-ES"/>
        </w:rPr>
        <w:sectPr w:rsidR="00404285" w:rsidSect="004174D3">
          <w:type w:val="continuous"/>
          <w:pgSz w:w="12240" w:h="15840"/>
          <w:pgMar w:top="1440" w:right="1080" w:bottom="1440" w:left="1080" w:header="708" w:footer="708" w:gutter="0"/>
          <w:cols w:num="2" w:space="708"/>
          <w:docGrid w:linePitch="360"/>
        </w:sectPr>
      </w:pPr>
      <w:bookmarkStart w:id="14" w:name="_Toc233830031"/>
      <w:r w:rsidRPr="009B30C7">
        <w:rPr>
          <w:rStyle w:val="normaltextrun"/>
          <w:rFonts w:eastAsia="Times New Roman"/>
          <w:lang w:val="es-ES"/>
        </w:rPr>
        <w:lastRenderedPageBreak/>
        <w:t>INTRODUCCIÓN</w:t>
      </w:r>
      <w:bookmarkEnd w:id="14"/>
      <w:r w:rsidRPr="00F754EF">
        <w:rPr>
          <w:rStyle w:val="normaltextrun"/>
          <w:rFonts w:eastAsia="Times New Roman"/>
          <w:lang w:val="es-ES"/>
        </w:rPr>
        <w:t xml:space="preserve"> </w:t>
      </w:r>
    </w:p>
    <w:p w14:paraId="50A5AA3A" w14:textId="77777777" w:rsidR="0046322C" w:rsidRPr="00F754EF" w:rsidRDefault="0046322C" w:rsidP="005831BD">
      <w:pPr>
        <w:spacing w:line="240" w:lineRule="auto"/>
      </w:pPr>
      <w:r w:rsidRPr="00F754EF">
        <w:rPr>
          <w:rFonts w:ascii="Aptos Display" w:hAnsi="Aptos Display"/>
        </w:rPr>
        <w:t>Este informe presenta los hallazgos, conclusiones, lecciones aprendidas y recomendaciones de la Evaluación de Portafolio de País (CPE) de ONU Mujeres Ecuador para el periodo 2023 a 2026. La evaluación fue encargada por la Oficina de País de ONU Mujeres Ecuador y realizada por un equipo externo independiente bajo la supervisión del Servicio Independiente de Evaluación de ONU Mujeres entre agosto de 2025 y marzo de 2026. Cubre todo el portafolio programático implementado bajo la Nota Estratégica 2023-2026, que orientó las contribuciones de la Oficina de País de Ecuador a la igualdad de género y el empoderamiento de las mujeres a través de dos resultados: el empoderamiento económico de las mujeres y la erradicación de la violencia contra mujeres y niñas.</w:t>
      </w:r>
    </w:p>
    <w:p w14:paraId="7E805872" w14:textId="37F37273" w:rsidR="0046322C" w:rsidRPr="00F754EF" w:rsidRDefault="0046322C" w:rsidP="005831BD">
      <w:pPr>
        <w:spacing w:line="240" w:lineRule="auto"/>
      </w:pPr>
      <w:r w:rsidRPr="00F754EF">
        <w:rPr>
          <w:rFonts w:ascii="Aptos Display" w:hAnsi="Aptos Display"/>
        </w:rPr>
        <w:t xml:space="preserve">La evaluación se realizó al final del ciclo de la Nota Estratégica con dos propósitos principales. El primero es la rendición de cuentas: proporcionar una evaluación independiente basada en evidencias sobre lo que logró </w:t>
      </w:r>
      <w:r w:rsidR="00FF479F" w:rsidRPr="00F754EF">
        <w:rPr>
          <w:rFonts w:ascii="Aptos Display" w:hAnsi="Aptos Display"/>
        </w:rPr>
        <w:t>La Oficina</w:t>
      </w:r>
      <w:r w:rsidRPr="00F754EF">
        <w:rPr>
          <w:rFonts w:ascii="Aptos Display" w:hAnsi="Aptos Display"/>
        </w:rPr>
        <w:t>, cómo se implementó y a qué coste. El segundo es el aprendizaje: generar conocimientos que informen el diseño de la próxima Nota Estratégica y ayuden a la Oficina de País a tomar mejores decisiones estratégicas para el ciclo 2027-2031. El momento elegido coincidió con la llegada de una nueva Representante de País, haciendo de esta evaluación una de las fuentes más importantes de conocimiento institucional disponible para navegar la transición entre ciclos programáticos.</w:t>
      </w:r>
    </w:p>
    <w:p w14:paraId="1CCE0467" w14:textId="46F367B9" w:rsidR="0046322C" w:rsidRPr="00F754EF" w:rsidRDefault="0046322C" w:rsidP="005831BD">
      <w:pPr>
        <w:spacing w:line="240" w:lineRule="auto"/>
      </w:pPr>
      <w:r w:rsidRPr="00F754EF">
        <w:rPr>
          <w:rFonts w:ascii="Aptos Display" w:hAnsi="Aptos Display"/>
        </w:rPr>
        <w:t>La evaluación analizó el portafolio según seis criterios: relevancia, coherencia, eficacia, eficiencia, sostenibilidad y el principio de no dejar a nadie atrás como eje transversal. Se basó en 4</w:t>
      </w:r>
      <w:r w:rsidR="006674A5" w:rsidRPr="00F754EF">
        <w:rPr>
          <w:rFonts w:ascii="Aptos Display" w:hAnsi="Aptos Display"/>
        </w:rPr>
        <w:t>2</w:t>
      </w:r>
      <w:r w:rsidRPr="00F754EF">
        <w:rPr>
          <w:rFonts w:ascii="Aptos Display" w:hAnsi="Aptos Display"/>
        </w:rPr>
        <w:t xml:space="preserve"> entrevistas clave </w:t>
      </w:r>
      <w:r w:rsidRPr="00F754EF">
        <w:rPr>
          <w:rFonts w:ascii="Aptos Display" w:hAnsi="Aptos Display"/>
        </w:rPr>
        <w:t>a informantes con personal de ONU Mujeres, contrapartes gubernamentales, socios del sistema ONU, organizaciones de la sociedad civil, donantes y beneficiarias de programas; una visita observacional a Quito; y una revisión exhaustiva de documentos de programas, informes de planes de trabajo, datos del sistema de gestión de resultados y registros financieros. La evaluación aplicó un enfoque de análisis de contribución basado en teoría, lo que significa que evaluó la contribución plausible del trabajo de ONU Mujeres a los resultados observados en lugar de hacer afirmaciones de atribución directa en un entorno complejo y con múltiples actores.</w:t>
      </w:r>
    </w:p>
    <w:p w14:paraId="268BA7FB" w14:textId="77777777" w:rsidR="0046322C" w:rsidRPr="00F754EF" w:rsidRDefault="0046322C" w:rsidP="005831BD">
      <w:pPr>
        <w:spacing w:line="240" w:lineRule="auto"/>
      </w:pPr>
      <w:r w:rsidRPr="00F754EF">
        <w:rPr>
          <w:rFonts w:ascii="Aptos Display" w:hAnsi="Aptos Display"/>
        </w:rPr>
        <w:t>El informe está organizado de la siguiente manera. La Sección 1 describe el objeto de la evaluación y el contexto nacional en el que se implementó el portafolio. La Sección 2 establece el propósito, los objetivos y el alcance de la evaluación. La Sección 3 describe la metodología. La Sección 4 presenta los hallazgos, organizados por criterio de evaluación. La Sección 5 extrae lecciones de los hallazgos que tienen aplicabilidad más allá de este contexto específico. La Sección 6 presenta las conclusiones. La Sección 7 presenta recomendaciones dirigidas a la Oficina de País para el diseño de la próxima Nota Estratégica.</w:t>
      </w:r>
    </w:p>
    <w:p w14:paraId="56B80360" w14:textId="77C7D058" w:rsidR="00325E67" w:rsidRPr="00F754EF" w:rsidRDefault="0046322C" w:rsidP="005831BD">
      <w:pPr>
        <w:spacing w:line="240" w:lineRule="auto"/>
        <w:rPr>
          <w:rFonts w:ascii="Aptos Display" w:hAnsi="Aptos Display"/>
        </w:rPr>
      </w:pPr>
      <w:r w:rsidRPr="00F754EF">
        <w:rPr>
          <w:rFonts w:ascii="Aptos Display" w:hAnsi="Aptos Display"/>
        </w:rPr>
        <w:t>El equipo de evaluación agradece al personal de la Oficina de País de ONU Mujeres Ecuador por su apertura y disponibilidad durante todo el proceso de recopilación de datos, a los miembros del Grupo de Referencia de Evaluación por sus valiosos comentarios, y a las partes interesadas que dedicaron su tiempo a las entrevistas. Sus aportaciones hicieron posible esta evaluación.</w:t>
      </w:r>
    </w:p>
    <w:p w14:paraId="26EAC7CF" w14:textId="77777777" w:rsidR="004174D3" w:rsidRPr="00F754EF" w:rsidRDefault="004174D3" w:rsidP="005831BD">
      <w:pPr>
        <w:suppressAutoHyphens w:val="0"/>
        <w:autoSpaceDE/>
        <w:autoSpaceDN/>
        <w:adjustRightInd/>
        <w:spacing w:line="240" w:lineRule="auto"/>
        <w:jc w:val="left"/>
        <w:rPr>
          <w:rFonts w:ascii="Aptos Display" w:hAnsi="Aptos Display"/>
        </w:rPr>
        <w:sectPr w:rsidR="004174D3" w:rsidRPr="00F754EF" w:rsidSect="004174D3">
          <w:type w:val="continuous"/>
          <w:pgSz w:w="12240" w:h="15840"/>
          <w:pgMar w:top="1440" w:right="1080" w:bottom="1440" w:left="1080" w:header="708" w:footer="708" w:gutter="0"/>
          <w:cols w:num="2" w:space="708"/>
          <w:docGrid w:linePitch="360"/>
        </w:sectPr>
      </w:pPr>
    </w:p>
    <w:p w14:paraId="6C6666BE" w14:textId="77777777" w:rsidR="0046322C" w:rsidRPr="00F754EF" w:rsidRDefault="0046322C" w:rsidP="005831BD">
      <w:pPr>
        <w:pStyle w:val="Heading1"/>
        <w:spacing w:after="120"/>
        <w:rPr>
          <w:rFonts w:eastAsia="Times New Roman"/>
          <w:lang w:val="es-ES"/>
        </w:rPr>
      </w:pPr>
      <w:bookmarkStart w:id="15" w:name="_Toc233830032"/>
      <w:r w:rsidRPr="00F754EF">
        <w:rPr>
          <w:rStyle w:val="normaltextrun"/>
          <w:rFonts w:eastAsia="Times New Roman"/>
          <w:caps w:val="0"/>
          <w:sz w:val="56"/>
          <w:szCs w:val="56"/>
          <w:lang w:val="es-ES"/>
        </w:rPr>
        <w:t>SECCIÓN 1. OBJETO Y CONTEXTO</w:t>
      </w:r>
      <w:bookmarkEnd w:id="15"/>
      <w:r w:rsidRPr="00F754EF">
        <w:rPr>
          <w:rStyle w:val="normaltextrun"/>
          <w:rFonts w:eastAsia="Times New Roman"/>
          <w:lang w:val="es-ES"/>
        </w:rPr>
        <w:t xml:space="preserve"> </w:t>
      </w:r>
    </w:p>
    <w:p w14:paraId="33EDA1BE" w14:textId="77777777" w:rsidR="004174D3" w:rsidRPr="00F754EF" w:rsidRDefault="004174D3" w:rsidP="005831BD">
      <w:pPr>
        <w:pStyle w:val="Heading2"/>
        <w:rPr>
          <w:rStyle w:val="normaltextrun"/>
          <w:rFonts w:eastAsia="Times New Roman"/>
          <w:lang w:val="es-ES"/>
        </w:rPr>
        <w:sectPr w:rsidR="004174D3" w:rsidRPr="00F754EF" w:rsidSect="005831BD">
          <w:type w:val="continuous"/>
          <w:pgSz w:w="12240" w:h="15840"/>
          <w:pgMar w:top="1440" w:right="1080" w:bottom="1440" w:left="1080" w:header="708" w:footer="708" w:gutter="0"/>
          <w:cols w:space="708"/>
          <w:docGrid w:linePitch="360"/>
        </w:sectPr>
      </w:pPr>
    </w:p>
    <w:p w14:paraId="2F80844E" w14:textId="77777777" w:rsidR="0046322C" w:rsidRPr="00F754EF" w:rsidRDefault="0046322C" w:rsidP="005831BD">
      <w:pPr>
        <w:pStyle w:val="Heading2"/>
        <w:rPr>
          <w:rFonts w:eastAsia="Times New Roman"/>
          <w:lang w:val="es-ES"/>
        </w:rPr>
      </w:pPr>
      <w:bookmarkStart w:id="16" w:name="_Toc233830033"/>
      <w:r w:rsidRPr="00F754EF">
        <w:rPr>
          <w:rStyle w:val="normaltextrun"/>
          <w:rFonts w:eastAsia="Times New Roman"/>
          <w:lang w:val="es-ES"/>
        </w:rPr>
        <w:t>1.1 Objeto de la evaluación: La Nota Estratégica 2023–2026</w:t>
      </w:r>
      <w:bookmarkEnd w:id="16"/>
      <w:r w:rsidRPr="00F754EF">
        <w:rPr>
          <w:rStyle w:val="normaltextrun"/>
          <w:rFonts w:eastAsia="Times New Roman"/>
          <w:lang w:val="es-ES"/>
        </w:rPr>
        <w:t xml:space="preserve"> </w:t>
      </w:r>
    </w:p>
    <w:p w14:paraId="706072C9" w14:textId="59AA5071" w:rsidR="0046322C" w:rsidRPr="00F754EF" w:rsidRDefault="0046322C" w:rsidP="005831BD">
      <w:pPr>
        <w:spacing w:line="240" w:lineRule="auto"/>
      </w:pPr>
      <w:r w:rsidRPr="00F754EF">
        <w:rPr>
          <w:rFonts w:ascii="Aptos Display" w:hAnsi="Aptos Display"/>
        </w:rPr>
        <w:t xml:space="preserve">Esta evaluación analiza el trabajo de la Oficina de País de ONU Mujeres Ecuador (ECO) durante el periodo 2023–2026, guiado por su Nota Estratégica correspondiente a ese ciclo. La Nota Estratégica es el </w:t>
      </w:r>
      <w:r w:rsidRPr="00F754EF">
        <w:rPr>
          <w:rFonts w:ascii="Aptos Display" w:hAnsi="Aptos Display"/>
        </w:rPr>
        <w:t xml:space="preserve">documento central de planificación que define qué </w:t>
      </w:r>
      <w:r w:rsidR="006B67D1" w:rsidRPr="00F754EF">
        <w:rPr>
          <w:rFonts w:ascii="Aptos Display" w:hAnsi="Aptos Display"/>
        </w:rPr>
        <w:t>quería</w:t>
      </w:r>
      <w:r w:rsidRPr="00F754EF">
        <w:rPr>
          <w:rFonts w:ascii="Aptos Display" w:hAnsi="Aptos Display"/>
        </w:rPr>
        <w:t xml:space="preserve"> lograr la oficina, cómo planeaba hacerlo, con quién y dónde. Por tanto, es tanto el objeto de esta evaluación como su principal marco de referencia.</w:t>
      </w:r>
    </w:p>
    <w:p w14:paraId="3F2069AD" w14:textId="77777777" w:rsidR="0046322C" w:rsidRPr="00F754EF" w:rsidRDefault="0046322C" w:rsidP="005831BD">
      <w:pPr>
        <w:spacing w:line="240" w:lineRule="auto"/>
      </w:pPr>
      <w:r w:rsidRPr="00F754EF">
        <w:rPr>
          <w:rFonts w:ascii="Aptos Display" w:hAnsi="Aptos Display"/>
        </w:rPr>
        <w:t xml:space="preserve">La Nota Estratégica se elaboró a partir de un análisis exhaustivo sobre igualdad de género en el país, </w:t>
      </w:r>
      <w:r w:rsidRPr="00F754EF">
        <w:rPr>
          <w:rFonts w:ascii="Aptos Display" w:hAnsi="Aptos Display"/>
        </w:rPr>
        <w:lastRenderedPageBreak/>
        <w:t>lecciones del ciclo programático anterior (2019–2022) y amplias consultas con socios gubernamentales, sociedad civil, sector privado y el sistema ONU. Está alineada con el Marco de Cooperación para el Desarrollo Sostenible de las Naciones Unidas (UNSDCF) para Ecuador 2022–2026 y fundamentada en compromisos internacionales como la Convención sobre la Eliminación de Todas las Formas de Discriminación contra la Mujer (CEDAW), la Plataforma de Acción de Beijing, la Convención de Belém do Pará y la Agenda 2030 para el Desarrollo Sostenible.</w:t>
      </w:r>
    </w:p>
    <w:p w14:paraId="5982F7F9" w14:textId="77777777" w:rsidR="0046322C" w:rsidRPr="00F754EF" w:rsidRDefault="0046322C" w:rsidP="005831BD">
      <w:pPr>
        <w:spacing w:line="240" w:lineRule="auto"/>
      </w:pPr>
      <w:r w:rsidRPr="00F754EF">
        <w:rPr>
          <w:rFonts w:ascii="Aptos Display" w:hAnsi="Aptos Display"/>
          <w:b/>
          <w:bCs/>
          <w:i/>
          <w:iCs/>
          <w:color w:val="1F4E79"/>
        </w:rPr>
        <w:t>El Marco de Resultados</w:t>
      </w:r>
      <w:r w:rsidRPr="00F754EF">
        <w:rPr>
          <w:b/>
          <w:bCs/>
          <w:i/>
          <w:iCs/>
        </w:rPr>
        <w:t xml:space="preserve"> </w:t>
      </w:r>
    </w:p>
    <w:p w14:paraId="106FFB67" w14:textId="77777777" w:rsidR="0046322C" w:rsidRPr="00F754EF" w:rsidRDefault="0046322C" w:rsidP="005831BD">
      <w:pPr>
        <w:spacing w:line="240" w:lineRule="auto"/>
      </w:pPr>
      <w:r w:rsidRPr="00F754EF">
        <w:rPr>
          <w:rFonts w:ascii="Aptos Display" w:hAnsi="Aptos Display"/>
        </w:rPr>
        <w:t>La Nota Estratégica está estructurada en torno a dos resultados interconectados, cada uno apoyado por cuatro productos:</w:t>
      </w:r>
    </w:p>
    <w:p w14:paraId="330C6022" w14:textId="77777777" w:rsidR="0046322C" w:rsidRPr="00F754EF" w:rsidRDefault="0046322C" w:rsidP="005831BD">
      <w:pPr>
        <w:spacing w:line="240" w:lineRule="auto"/>
      </w:pPr>
      <w:r w:rsidRPr="00F754EF">
        <w:rPr>
          <w:rFonts w:ascii="Aptos Display" w:hAnsi="Aptos Display"/>
          <w:b/>
          <w:bCs/>
        </w:rPr>
        <w:t>Resultado 1 (Empoderamiento económico de las mujeres):</w:t>
      </w:r>
      <w:r w:rsidRPr="00F754EF">
        <w:rPr>
          <w:b/>
          <w:bCs/>
        </w:rPr>
        <w:t xml:space="preserve"> </w:t>
      </w:r>
      <w:r w:rsidRPr="00F754EF">
        <w:rPr>
          <w:rFonts w:ascii="Aptos Display" w:hAnsi="Aptos Display"/>
        </w:rPr>
        <w:t>Para 2026, el Estado y la sociedad han reducido las desigualdades socioeconómicas y promovido una transformación económica sostenible e inclusiva que garantice iguales derechos, medios de vida y trabajo digno para mujeres y hombres.</w:t>
      </w:r>
    </w:p>
    <w:p w14:paraId="7CD0B74A" w14:textId="4B46D822" w:rsidR="00052C6D" w:rsidRPr="00F754EF" w:rsidRDefault="0046322C" w:rsidP="00052C6D">
      <w:pPr>
        <w:spacing w:line="240" w:lineRule="auto"/>
        <w:rPr>
          <w:rFonts w:ascii="Aptos Display" w:eastAsia="Times New Roman" w:hAnsi="Aptos Display"/>
        </w:rPr>
      </w:pPr>
      <w:r w:rsidRPr="00F754EF">
        <w:rPr>
          <w:rFonts w:ascii="Aptos Display" w:hAnsi="Aptos Display"/>
        </w:rPr>
        <w:t>Este resultado aborda las barreras estructurales que limitan la participación económica de las mujeres, incluyendo la carga desigual del trabajo de cuidados no remunerado, el acceso restringido a empleo digno, la limitada inclusión financiera y la exclusión de recursos productivos. Está alineado con el Resultado 3 del UNSDCF (igualdad socioeconómica y transformación productiva sostenible)</w:t>
      </w:r>
      <w:r w:rsidR="00052C6D" w:rsidRPr="00F754EF">
        <w:rPr>
          <w:rFonts w:ascii="Aptos Display" w:hAnsi="Aptos Display"/>
        </w:rPr>
        <w:t>.</w:t>
      </w:r>
    </w:p>
    <w:p w14:paraId="7D836F0C" w14:textId="77777777" w:rsidR="0046322C" w:rsidRPr="00F754EF" w:rsidRDefault="0046322C" w:rsidP="005831BD">
      <w:pPr>
        <w:spacing w:line="240" w:lineRule="auto"/>
      </w:pPr>
      <w:r w:rsidRPr="00F754EF">
        <w:rPr>
          <w:rFonts w:ascii="Aptos Display" w:hAnsi="Aptos Display"/>
          <w:b/>
          <w:bCs/>
        </w:rPr>
        <w:t>Resultado 2 (Erradicación de la violencia contra mujeres y niñas):</w:t>
      </w:r>
      <w:r w:rsidRPr="00F754EF">
        <w:rPr>
          <w:b/>
          <w:bCs/>
        </w:rPr>
        <w:t xml:space="preserve"> </w:t>
      </w:r>
      <w:r w:rsidRPr="00F754EF">
        <w:rPr>
          <w:rFonts w:ascii="Aptos Display" w:hAnsi="Aptos Display"/>
        </w:rPr>
        <w:t>Para 2026, el Estado mejora la gestión pública y fortalece la protección y garantía de derechos, igualdad de género y cohesión social, mientras reduce amenazas a la seguridad humana y promueve la erradicación de todas las formas de violencia.</w:t>
      </w:r>
    </w:p>
    <w:p w14:paraId="0450C574" w14:textId="3C6AD283" w:rsidR="0046322C" w:rsidRPr="00F754EF" w:rsidRDefault="0046322C" w:rsidP="00052C6D">
      <w:pPr>
        <w:spacing w:line="240" w:lineRule="auto"/>
        <w:rPr>
          <w:rFonts w:eastAsia="Times New Roman"/>
        </w:rPr>
      </w:pPr>
      <w:r w:rsidRPr="00F754EF">
        <w:rPr>
          <w:rFonts w:ascii="Aptos Display" w:hAnsi="Aptos Display"/>
        </w:rPr>
        <w:t>Este resultado responde a las altas tasas de violencia de género en Ecuador y al contexto más amplio de creciente inseguridad, crimen organizado, inestabilidad política y migración a gran escala. Está alineado con el Resultado 4 del UNSDCF (estado de derecho, instituciones robustas y cohesión social)</w:t>
      </w:r>
      <w:r w:rsidR="00052C6D" w:rsidRPr="00F754EF">
        <w:rPr>
          <w:rFonts w:ascii="Aptos Display" w:hAnsi="Aptos Display"/>
        </w:rPr>
        <w:t>.</w:t>
      </w:r>
    </w:p>
    <w:p w14:paraId="29B3B0CF" w14:textId="77777777" w:rsidR="0046322C" w:rsidRPr="00F754EF" w:rsidRDefault="0046322C" w:rsidP="005831BD">
      <w:pPr>
        <w:spacing w:line="240" w:lineRule="auto"/>
      </w:pPr>
      <w:r w:rsidRPr="00F754EF">
        <w:rPr>
          <w:rFonts w:ascii="Aptos Display" w:hAnsi="Aptos Display"/>
        </w:rPr>
        <w:t>Ambos resultados están diseñados para reforzarse mutuamente: la Nota Estratégica reconoce que la inseguridad económica y la violencia no son problemas separados, sino profundamente conectados: la pobreza aumenta la exposición a la violencia y la violencia socava la capacidad de las mujeres para participar en la vida económica y pública.</w:t>
      </w:r>
    </w:p>
    <w:p w14:paraId="6D92BB7B" w14:textId="77777777" w:rsidR="0046322C" w:rsidRPr="00F754EF" w:rsidRDefault="0046322C" w:rsidP="005831BD">
      <w:pPr>
        <w:spacing w:line="240" w:lineRule="auto"/>
      </w:pPr>
      <w:r w:rsidRPr="00F754EF">
        <w:rPr>
          <w:rFonts w:ascii="Aptos Display" w:hAnsi="Aptos Display"/>
        </w:rPr>
        <w:t>Para cumplir estos productos y resultados, ONU Mujeres opera bajo un triple mandato: apoyo normativo (avanzar en leyes, políticas y estándares de igualdad de género), programación operativa (intervenciones directas con comunidades, sociedad civil e instituciones) y coordinación del sistema ONU (apoyar al sistema ONU para integrar la igualdad de género en su trabajo). La Nota Estratégica 2023–2026 utilizó los tres simultáneamente, combinando apoyo técnico en políticas públicas a instituciones gubernamentales, programación directa con comunidades y organizaciones de mujeres, y liderazgo de mecanismos de coordinación de género dentro del Equipo de País de la ONU.</w:t>
      </w:r>
    </w:p>
    <w:p w14:paraId="312F460F" w14:textId="77777777" w:rsidR="0046322C" w:rsidRPr="00F754EF" w:rsidRDefault="0046322C" w:rsidP="005831BD">
      <w:pPr>
        <w:spacing w:line="240" w:lineRule="auto"/>
      </w:pPr>
      <w:r w:rsidRPr="00F754EF">
        <w:rPr>
          <w:rFonts w:ascii="Aptos Display" w:hAnsi="Aptos Display"/>
          <w:b/>
          <w:bCs/>
          <w:i/>
          <w:iCs/>
          <w:color w:val="1F4E79"/>
        </w:rPr>
        <w:t>La Teoría del Cambio</w:t>
      </w:r>
      <w:r w:rsidRPr="00F754EF">
        <w:rPr>
          <w:b/>
          <w:bCs/>
          <w:i/>
          <w:iCs/>
        </w:rPr>
        <w:t xml:space="preserve"> </w:t>
      </w:r>
    </w:p>
    <w:p w14:paraId="7D9F8855" w14:textId="4F73AA15" w:rsidR="0046322C" w:rsidRPr="00F754EF" w:rsidRDefault="0046322C" w:rsidP="005831BD">
      <w:pPr>
        <w:spacing w:line="240" w:lineRule="auto"/>
      </w:pPr>
      <w:r w:rsidRPr="00F754EF">
        <w:rPr>
          <w:rFonts w:ascii="Aptos Display" w:hAnsi="Aptos Display"/>
          <w:color w:val="auto"/>
        </w:rPr>
        <w:t>La teoría del cambio de la Nota Estratégica se basa en una premisa: la desigualdad estructural de género en Ecuador persiste debido a barreras económicas, sociales, normativas e institucionales interconectadas. Cambiar esto requiere trabajar simultáneamente en varios niveles: en leyes y políticas, en instituciones y su capacidad, en normas sociales y en la voz y agencia de las mujeres.</w:t>
      </w:r>
    </w:p>
    <w:p w14:paraId="6C3E31BE" w14:textId="77777777" w:rsidR="0046322C" w:rsidRPr="00F754EF" w:rsidRDefault="0046322C" w:rsidP="005831BD">
      <w:pPr>
        <w:spacing w:line="240" w:lineRule="auto"/>
      </w:pPr>
      <w:r w:rsidRPr="00F754EF">
        <w:rPr>
          <w:rFonts w:ascii="Aptos Display" w:hAnsi="Aptos Display"/>
          <w:color w:val="auto"/>
        </w:rPr>
        <w:t>La teoría identifica siete brechas de género centrales que la Nota Estratégica busca abordar:</w:t>
      </w:r>
    </w:p>
    <w:p w14:paraId="29073272" w14:textId="77777777" w:rsidR="0046322C" w:rsidRPr="00F754EF" w:rsidRDefault="0046322C" w:rsidP="005831BD">
      <w:pPr>
        <w:spacing w:line="240" w:lineRule="auto"/>
      </w:pPr>
      <w:r w:rsidRPr="00F754EF">
        <w:rPr>
          <w:rFonts w:ascii="Symbol" w:hAnsi="Symbol"/>
          <w:color w:val="auto"/>
          <w:sz w:val="20"/>
          <w:szCs w:val="20"/>
        </w:rPr>
        <w:t xml:space="preserve">· </w:t>
      </w:r>
      <w:r w:rsidRPr="00F754EF">
        <w:rPr>
          <w:rFonts w:ascii="Aptos Display" w:hAnsi="Aptos Display"/>
          <w:color w:val="auto"/>
        </w:rPr>
        <w:t>La brecha rural-urbana, que agrava la desigualdad de género: las mujeres rurales enfrentan mayores tasas de pobreza, menor acceso a servicios y menos oportunidades económicas.</w:t>
      </w:r>
    </w:p>
    <w:p w14:paraId="142712F6" w14:textId="77777777" w:rsidR="0046322C" w:rsidRPr="00F754EF" w:rsidRDefault="0046322C" w:rsidP="005831BD">
      <w:pPr>
        <w:spacing w:line="240" w:lineRule="auto"/>
      </w:pPr>
      <w:r w:rsidRPr="00F754EF">
        <w:rPr>
          <w:rFonts w:ascii="Symbol" w:hAnsi="Symbol"/>
          <w:color w:val="auto"/>
          <w:sz w:val="20"/>
          <w:szCs w:val="20"/>
        </w:rPr>
        <w:t xml:space="preserve">· </w:t>
      </w:r>
      <w:r w:rsidRPr="00F754EF">
        <w:rPr>
          <w:rFonts w:ascii="Aptos Display" w:hAnsi="Aptos Display"/>
          <w:color w:val="auto"/>
        </w:rPr>
        <w:t xml:space="preserve">Racismo y xenofobia que se </w:t>
      </w:r>
      <w:proofErr w:type="spellStart"/>
      <w:r w:rsidRPr="00F754EF">
        <w:rPr>
          <w:rFonts w:ascii="Aptos Display" w:hAnsi="Aptos Display"/>
          <w:color w:val="auto"/>
        </w:rPr>
        <w:t>intersectan</w:t>
      </w:r>
      <w:proofErr w:type="spellEnd"/>
      <w:r w:rsidRPr="00F754EF">
        <w:rPr>
          <w:rFonts w:ascii="Aptos Display" w:hAnsi="Aptos Display"/>
          <w:color w:val="auto"/>
        </w:rPr>
        <w:t xml:space="preserve"> con la discriminación de género: las mujeres indígenas, afroecuatorianas y montuvias enfrentan una exclusión históricamente arraigada que agrava las brechas de género.</w:t>
      </w:r>
    </w:p>
    <w:p w14:paraId="3A0F2F26" w14:textId="77777777" w:rsidR="0046322C" w:rsidRPr="00F754EF" w:rsidRDefault="0046322C" w:rsidP="005831BD">
      <w:pPr>
        <w:spacing w:line="240" w:lineRule="auto"/>
      </w:pPr>
      <w:r w:rsidRPr="00F754EF">
        <w:rPr>
          <w:rFonts w:ascii="Symbol" w:hAnsi="Symbol"/>
          <w:color w:val="auto"/>
          <w:sz w:val="20"/>
          <w:szCs w:val="20"/>
        </w:rPr>
        <w:t xml:space="preserve">· </w:t>
      </w:r>
      <w:r w:rsidRPr="00F754EF">
        <w:rPr>
          <w:rFonts w:ascii="Aptos Display" w:hAnsi="Aptos Display"/>
          <w:color w:val="auto"/>
        </w:rPr>
        <w:t xml:space="preserve">Desigualdad económica basada en el género: las mujeres se concentran en trabajos mal remunerados, </w:t>
      </w:r>
      <w:r w:rsidRPr="00F754EF">
        <w:rPr>
          <w:rFonts w:ascii="Aptos Display" w:hAnsi="Aptos Display"/>
          <w:color w:val="auto"/>
        </w:rPr>
        <w:lastRenderedPageBreak/>
        <w:t>informales y a tiempo parcial, con acceso limitado al crédito y al apoyo para el emprendimiento.</w:t>
      </w:r>
    </w:p>
    <w:p w14:paraId="73909F17" w14:textId="77777777" w:rsidR="0046322C" w:rsidRPr="00F754EF" w:rsidRDefault="0046322C" w:rsidP="005831BD">
      <w:pPr>
        <w:spacing w:line="240" w:lineRule="auto"/>
      </w:pPr>
      <w:r w:rsidRPr="00F754EF">
        <w:rPr>
          <w:rFonts w:ascii="Symbol" w:hAnsi="Symbol"/>
          <w:color w:val="auto"/>
          <w:sz w:val="20"/>
          <w:szCs w:val="20"/>
        </w:rPr>
        <w:t xml:space="preserve">· </w:t>
      </w:r>
      <w:r w:rsidRPr="00F754EF">
        <w:rPr>
          <w:rFonts w:ascii="Aptos Display" w:hAnsi="Aptos Display"/>
          <w:color w:val="auto"/>
        </w:rPr>
        <w:t>Normas sociales discriminatorias que justifican la violencia y refuerzan roles de género rígidos, limitando la participación de las mujeres en la vida económica y política.</w:t>
      </w:r>
    </w:p>
    <w:p w14:paraId="0E3430D7" w14:textId="77777777" w:rsidR="0046322C" w:rsidRPr="00F754EF" w:rsidRDefault="0046322C" w:rsidP="005831BD">
      <w:pPr>
        <w:spacing w:line="240" w:lineRule="auto"/>
      </w:pPr>
      <w:r w:rsidRPr="00F754EF">
        <w:rPr>
          <w:rFonts w:ascii="Symbol" w:hAnsi="Symbol"/>
          <w:color w:val="auto"/>
          <w:sz w:val="20"/>
          <w:szCs w:val="20"/>
        </w:rPr>
        <w:t xml:space="preserve">· </w:t>
      </w:r>
      <w:r w:rsidRPr="00F754EF">
        <w:rPr>
          <w:rFonts w:ascii="Aptos Display" w:hAnsi="Aptos Display"/>
          <w:color w:val="auto"/>
        </w:rPr>
        <w:t>La alta prevalencia de violencia: el 64,9% de las mujeres ecuatorianas mayores de 15 años ha experimentado algún tipo de violencia en su vida, la mayoría no denunciada.</w:t>
      </w:r>
    </w:p>
    <w:p w14:paraId="034268C6" w14:textId="77777777" w:rsidR="0046322C" w:rsidRPr="00F754EF" w:rsidRDefault="0046322C" w:rsidP="005831BD">
      <w:pPr>
        <w:spacing w:line="240" w:lineRule="auto"/>
      </w:pPr>
      <w:r w:rsidRPr="00F754EF">
        <w:rPr>
          <w:rFonts w:ascii="Symbol" w:hAnsi="Symbol"/>
          <w:color w:val="auto"/>
          <w:sz w:val="20"/>
          <w:szCs w:val="20"/>
        </w:rPr>
        <w:t xml:space="preserve">· </w:t>
      </w:r>
      <w:r w:rsidRPr="00F754EF">
        <w:rPr>
          <w:rFonts w:ascii="Aptos Display" w:hAnsi="Aptos Display"/>
          <w:color w:val="auto"/>
        </w:rPr>
        <w:t>Subrepresentación política de las mujeres y en la toma de decisiones, a pesar de las reformas legales que exigen paridad.</w:t>
      </w:r>
    </w:p>
    <w:p w14:paraId="25BA1E0B" w14:textId="77777777" w:rsidR="0046322C" w:rsidRPr="00F754EF" w:rsidRDefault="0046322C" w:rsidP="005831BD">
      <w:pPr>
        <w:spacing w:line="240" w:lineRule="auto"/>
      </w:pPr>
      <w:r w:rsidRPr="00F754EF">
        <w:rPr>
          <w:rFonts w:ascii="Symbol" w:hAnsi="Symbol"/>
          <w:color w:val="auto"/>
          <w:sz w:val="20"/>
          <w:szCs w:val="20"/>
        </w:rPr>
        <w:t xml:space="preserve">· </w:t>
      </w:r>
      <w:r w:rsidRPr="00F754EF">
        <w:rPr>
          <w:rFonts w:ascii="Aptos Display" w:hAnsi="Aptos Display"/>
          <w:color w:val="auto"/>
        </w:rPr>
        <w:t>Mayor vulnerabilidad de mujeres y niñas en situaciones de movilidad humana ante explotación, violencia y exclusión.</w:t>
      </w:r>
    </w:p>
    <w:p w14:paraId="701F429E" w14:textId="77777777" w:rsidR="0046322C" w:rsidRPr="00F754EF" w:rsidRDefault="0046322C" w:rsidP="005831BD">
      <w:pPr>
        <w:spacing w:line="240" w:lineRule="auto"/>
      </w:pPr>
      <w:r w:rsidRPr="00F754EF">
        <w:rPr>
          <w:rFonts w:ascii="Aptos Display" w:hAnsi="Aptos Display"/>
          <w:color w:val="auto"/>
        </w:rPr>
        <w:t>Para abordar estas brechas, la teoría del cambio identifica cuatro motores de cambio que la oficina activaría a través de su trabajo: fortalecer marcos normativos e instituciones sensibles al género; liderar la coordinación del sistema ONU para la igualdad de género; promover la voz, liderazgo y agencia de las mujeres; y generar y utilizar estadísticas y conocimientos de género para informar decisiones y políticas.</w:t>
      </w:r>
    </w:p>
    <w:p w14:paraId="7A4BA832" w14:textId="77777777" w:rsidR="0046322C" w:rsidRPr="00F754EF" w:rsidRDefault="0046322C" w:rsidP="005831BD">
      <w:pPr>
        <w:spacing w:line="240" w:lineRule="auto"/>
      </w:pPr>
      <w:r w:rsidRPr="00F754EF">
        <w:rPr>
          <w:rFonts w:ascii="Aptos Display" w:hAnsi="Aptos Display"/>
          <w:color w:val="auto"/>
        </w:rPr>
        <w:t>El objetivo general es claro: contribuir a la igualdad de género en Ecuador y empoderar a mujeres y niñas para que disfruten plenamente de sus derechos humanos, especialmente aquellas que enfrentan las mayores barreras para hacerlo. Una visualización completa de la Teoría del Cambio para la Nota Estratégica 2023-2026 está incluida en el Anexo 4.</w:t>
      </w:r>
    </w:p>
    <w:p w14:paraId="43808FA8" w14:textId="480EC7A7" w:rsidR="0046322C" w:rsidRPr="00F754EF" w:rsidRDefault="0046322C" w:rsidP="005831BD">
      <w:pPr>
        <w:spacing w:line="240" w:lineRule="auto"/>
      </w:pPr>
      <w:r w:rsidRPr="00F754EF">
        <w:rPr>
          <w:rFonts w:ascii="Aptos Display" w:hAnsi="Aptos Display"/>
          <w:b/>
          <w:bCs/>
          <w:i/>
          <w:iCs/>
          <w:color w:val="1F4E79"/>
        </w:rPr>
        <w:t>Presupuesto y financiación</w:t>
      </w:r>
      <w:r w:rsidRPr="00F754EF">
        <w:rPr>
          <w:b/>
          <w:bCs/>
          <w:i/>
          <w:iCs/>
        </w:rPr>
        <w:t xml:space="preserve"> </w:t>
      </w:r>
    </w:p>
    <w:p w14:paraId="361405DC" w14:textId="0495BC31" w:rsidR="0046322C" w:rsidRPr="00F754EF" w:rsidRDefault="0046322C" w:rsidP="005831BD">
      <w:pPr>
        <w:spacing w:line="240" w:lineRule="auto"/>
        <w:rPr>
          <w:rFonts w:ascii="Aptos Display" w:hAnsi="Aptos Display"/>
        </w:rPr>
      </w:pPr>
      <w:r w:rsidRPr="00F754EF">
        <w:rPr>
          <w:rFonts w:ascii="Aptos Display" w:hAnsi="Aptos Display"/>
        </w:rPr>
        <w:t>Para el periodo 2023–2025 (los datos financieros de 2026, el último año del ciclo, aún no estaban disponibles al momento de esta evaluación), la Nota Estratégica tenía requerimientos totales de recursos planificados de aproximadamente 13</w:t>
      </w:r>
      <w:r w:rsidR="00646EDB" w:rsidRPr="00F754EF">
        <w:rPr>
          <w:rFonts w:ascii="Aptos Display" w:hAnsi="Aptos Display"/>
        </w:rPr>
        <w:t>.</w:t>
      </w:r>
      <w:r w:rsidRPr="00F754EF">
        <w:rPr>
          <w:rFonts w:ascii="Aptos Display" w:hAnsi="Aptos Display"/>
        </w:rPr>
        <w:t>2 millones de dólares estadounidenses. Los recursos planificados aumentaron de 3</w:t>
      </w:r>
      <w:r w:rsidR="00646EDB" w:rsidRPr="00F754EF">
        <w:rPr>
          <w:rFonts w:ascii="Aptos Display" w:hAnsi="Aptos Display"/>
        </w:rPr>
        <w:t>.</w:t>
      </w:r>
      <w:r w:rsidRPr="00F754EF">
        <w:rPr>
          <w:rFonts w:ascii="Aptos Display" w:hAnsi="Aptos Display"/>
        </w:rPr>
        <w:t xml:space="preserve">4 millones en 2023 a un máximo de </w:t>
      </w:r>
      <w:r w:rsidRPr="00F754EF">
        <w:rPr>
          <w:rFonts w:ascii="Aptos Display" w:hAnsi="Aptos Display"/>
        </w:rPr>
        <w:t>6</w:t>
      </w:r>
      <w:r w:rsidR="00646EDB" w:rsidRPr="00F754EF">
        <w:rPr>
          <w:rFonts w:ascii="Aptos Display" w:hAnsi="Aptos Display"/>
        </w:rPr>
        <w:t>.</w:t>
      </w:r>
      <w:r w:rsidRPr="00F754EF">
        <w:rPr>
          <w:rFonts w:ascii="Aptos Display" w:hAnsi="Aptos Display"/>
        </w:rPr>
        <w:t xml:space="preserve">8 millones en 2024, para luego descender a 3 millones en 2025, un patrón que refleja el pico de actividad de programación conjunta en 2024, especialmente a través de la Iniciativa </w:t>
      </w:r>
      <w:proofErr w:type="spellStart"/>
      <w:r w:rsidRPr="00F754EF">
        <w:rPr>
          <w:rFonts w:ascii="Aptos Display" w:hAnsi="Aptos Display"/>
        </w:rPr>
        <w:t>Spotlight</w:t>
      </w:r>
      <w:proofErr w:type="spellEnd"/>
      <w:r w:rsidRPr="00F754EF">
        <w:rPr>
          <w:rFonts w:ascii="Aptos Display" w:hAnsi="Aptos Display"/>
        </w:rPr>
        <w:t>, seguido de una contracción natural al finalizar grandes iniciativas. De los 13</w:t>
      </w:r>
      <w:r w:rsidR="00A43CBB" w:rsidRPr="00F754EF">
        <w:rPr>
          <w:rFonts w:ascii="Aptos Display" w:hAnsi="Aptos Display"/>
        </w:rPr>
        <w:t>.</w:t>
      </w:r>
      <w:r w:rsidRPr="00F754EF">
        <w:rPr>
          <w:rFonts w:ascii="Aptos Display" w:hAnsi="Aptos Display"/>
        </w:rPr>
        <w:t>2 millones de dólares totales, 7</w:t>
      </w:r>
      <w:r w:rsidR="00A43CBB" w:rsidRPr="00F754EF">
        <w:rPr>
          <w:rFonts w:ascii="Aptos Display" w:hAnsi="Aptos Display"/>
        </w:rPr>
        <w:t>.</w:t>
      </w:r>
      <w:r w:rsidRPr="00F754EF">
        <w:rPr>
          <w:rFonts w:ascii="Aptos Display" w:hAnsi="Aptos Display"/>
        </w:rPr>
        <w:t>6 millones (58%) ya estaban asegurados en el momento de la planificación, mientras que 5</w:t>
      </w:r>
      <w:r w:rsidR="00A43CBB" w:rsidRPr="00F754EF">
        <w:rPr>
          <w:rFonts w:ascii="Aptos Display" w:hAnsi="Aptos Display"/>
        </w:rPr>
        <w:t>.</w:t>
      </w:r>
      <w:r w:rsidRPr="00F754EF">
        <w:rPr>
          <w:rFonts w:ascii="Aptos Display" w:hAnsi="Aptos Display"/>
        </w:rPr>
        <w:t>6 millones (42%) se esperaba movilizar durante el ciclo. Los fondos disponibles ascendían a 6</w:t>
      </w:r>
      <w:r w:rsidR="00A43CBB" w:rsidRPr="00F754EF">
        <w:rPr>
          <w:rFonts w:ascii="Aptos Display" w:hAnsi="Aptos Display"/>
        </w:rPr>
        <w:t>.</w:t>
      </w:r>
      <w:r w:rsidRPr="00F754EF">
        <w:rPr>
          <w:rFonts w:ascii="Aptos Display" w:hAnsi="Aptos Display"/>
        </w:rPr>
        <w:t>3 millones, con las mayores contribuciones provenientes del Municipio de Quito (1</w:t>
      </w:r>
      <w:r w:rsidR="008250DA" w:rsidRPr="00F754EF">
        <w:rPr>
          <w:rFonts w:ascii="Aptos Display" w:hAnsi="Aptos Display"/>
        </w:rPr>
        <w:t>.</w:t>
      </w:r>
      <w:r w:rsidRPr="00F754EF">
        <w:rPr>
          <w:rFonts w:ascii="Aptos Display" w:hAnsi="Aptos Display"/>
        </w:rPr>
        <w:t>1 millones de dólares), recursos centrales de ONU Mujeres (1</w:t>
      </w:r>
      <w:r w:rsidR="008250DA" w:rsidRPr="00F754EF">
        <w:rPr>
          <w:rFonts w:ascii="Aptos Display" w:hAnsi="Aptos Display"/>
        </w:rPr>
        <w:t>.</w:t>
      </w:r>
      <w:r w:rsidRPr="00F754EF">
        <w:rPr>
          <w:rFonts w:ascii="Aptos Display" w:hAnsi="Aptos Display"/>
        </w:rPr>
        <w:t>5 millones), el Fondo para la Consolidación de la Paz (728</w:t>
      </w:r>
      <w:r w:rsidR="008250DA" w:rsidRPr="00F754EF">
        <w:rPr>
          <w:rFonts w:ascii="Aptos Display" w:hAnsi="Aptos Display"/>
        </w:rPr>
        <w:t>,</w:t>
      </w:r>
      <w:r w:rsidRPr="00F754EF">
        <w:rPr>
          <w:rFonts w:ascii="Aptos Display" w:hAnsi="Aptos Display"/>
        </w:rPr>
        <w:t>000 dólares), la Agencia Suiza para el Desarrollo y la Cooperación COSUDE (644</w:t>
      </w:r>
      <w:r w:rsidR="008250DA" w:rsidRPr="00F754EF">
        <w:rPr>
          <w:rFonts w:ascii="Aptos Display" w:hAnsi="Aptos Display"/>
        </w:rPr>
        <w:t>,</w:t>
      </w:r>
      <w:r w:rsidRPr="00F754EF">
        <w:rPr>
          <w:rFonts w:ascii="Aptos Display" w:hAnsi="Aptos Display"/>
        </w:rPr>
        <w:t xml:space="preserve">000 dólares), el Fondo Fiduciario de la Iniciativa </w:t>
      </w:r>
      <w:proofErr w:type="spellStart"/>
      <w:r w:rsidRPr="00F754EF">
        <w:rPr>
          <w:rFonts w:ascii="Aptos Display" w:hAnsi="Aptos Display"/>
        </w:rPr>
        <w:t>Spotlight</w:t>
      </w:r>
      <w:proofErr w:type="spellEnd"/>
      <w:r w:rsidRPr="00F754EF">
        <w:rPr>
          <w:rFonts w:ascii="Aptos Display" w:hAnsi="Aptos Display"/>
        </w:rPr>
        <w:t xml:space="preserve"> (705</w:t>
      </w:r>
      <w:r w:rsidR="008250DA" w:rsidRPr="00F754EF">
        <w:rPr>
          <w:rFonts w:ascii="Aptos Display" w:hAnsi="Aptos Display"/>
        </w:rPr>
        <w:t>,</w:t>
      </w:r>
      <w:r w:rsidRPr="00F754EF">
        <w:rPr>
          <w:rFonts w:ascii="Aptos Display" w:hAnsi="Aptos Display"/>
        </w:rPr>
        <w:t xml:space="preserve">000 dólares) y el Departamento de Estado de </w:t>
      </w:r>
      <w:proofErr w:type="gramStart"/>
      <w:r w:rsidRPr="00F754EF">
        <w:rPr>
          <w:rFonts w:ascii="Aptos Display" w:hAnsi="Aptos Display"/>
        </w:rPr>
        <w:t>EE.UU.</w:t>
      </w:r>
      <w:proofErr w:type="gramEnd"/>
      <w:r w:rsidRPr="00F754EF">
        <w:rPr>
          <w:rFonts w:ascii="Aptos Display" w:hAnsi="Aptos Display"/>
        </w:rPr>
        <w:t xml:space="preserve"> (385</w:t>
      </w:r>
      <w:r w:rsidR="008250DA" w:rsidRPr="00F754EF">
        <w:rPr>
          <w:rFonts w:ascii="Aptos Display" w:hAnsi="Aptos Display"/>
        </w:rPr>
        <w:t>,</w:t>
      </w:r>
      <w:r w:rsidRPr="00F754EF">
        <w:rPr>
          <w:rFonts w:ascii="Aptos Display" w:hAnsi="Aptos Display"/>
        </w:rPr>
        <w:t>000 dólares), entre otros.</w:t>
      </w:r>
    </w:p>
    <w:p w14:paraId="16AE3DF7" w14:textId="35E7F11B" w:rsidR="00C17D0D" w:rsidRPr="00F754EF" w:rsidRDefault="00C17D0D" w:rsidP="005831BD">
      <w:pPr>
        <w:spacing w:line="240" w:lineRule="auto"/>
      </w:pPr>
      <w:r w:rsidRPr="00F754EF">
        <w:rPr>
          <w:rFonts w:ascii="Aptos Display" w:hAnsi="Aptos Display"/>
        </w:rPr>
        <w:t xml:space="preserve">Los recursos no se distribuyeron equitativamente entre los dos resultados. El Resultado 2 (EVAW) recibió la mayor parte (8,0 millones de USD, o el 61% del total de recursos planificados), en comparación con 5,2 millones de USD (39%) para el Resultado 1 (WEE). Dentro de esas asignaciones, las dos mayores inversiones individuales también se realizaron bajo el Resultado 2: el fortalecimiento de las capacidades de los funcionarios públicos para prevenir y responder a la violencia (Producto 2.3: 2.9 millones de USD) y el fortalecimiento de los mecanismos locales de prevención y protección (Producto 2.4: 2.6 millones de USD). En el otro extremo, las asignaciones más pequeñas se destinaron a movilizar financiación pública y privada para los sistemas de cuidados (Producto 1.3: 255,000 USD) y al acceso de las mujeres a derechos económicos y laborales (Producto 1.2: 577,000 USD). </w:t>
      </w:r>
      <w:r w:rsidR="00554065" w:rsidRPr="00F754EF">
        <w:rPr>
          <w:rFonts w:ascii="Aptos Display" w:hAnsi="Aptos Display"/>
        </w:rPr>
        <w:t xml:space="preserve">Ver figura 1. </w:t>
      </w:r>
      <w:r w:rsidRPr="00F754EF">
        <w:rPr>
          <w:rFonts w:ascii="Aptos Display" w:hAnsi="Aptos Display"/>
        </w:rPr>
        <w:t xml:space="preserve">Esta distribución de recursos reflejaba tanto prioridades estratégicas como la disponibilidad de fondos, destacando el peso de la Iniciativa </w:t>
      </w:r>
      <w:proofErr w:type="spellStart"/>
      <w:r w:rsidRPr="00F754EF">
        <w:rPr>
          <w:rFonts w:ascii="Aptos Display" w:hAnsi="Aptos Display"/>
        </w:rPr>
        <w:t>Spotlight</w:t>
      </w:r>
      <w:proofErr w:type="spellEnd"/>
      <w:r w:rsidRPr="00F754EF">
        <w:rPr>
          <w:rFonts w:ascii="Aptos Display" w:hAnsi="Aptos Display"/>
        </w:rPr>
        <w:t>, que canalizó recursos significativos hacia la programación relacionada con la violencia.</w:t>
      </w:r>
    </w:p>
    <w:p w14:paraId="3E62B557" w14:textId="77777777" w:rsidR="004174D3" w:rsidRPr="00F754EF" w:rsidRDefault="004174D3" w:rsidP="005831BD">
      <w:pPr>
        <w:pStyle w:val="Caption"/>
        <w:keepNext/>
        <w:spacing w:after="120"/>
        <w:rPr>
          <w:rFonts w:ascii="Aptos Display" w:hAnsi="Aptos Display"/>
          <w:sz w:val="20"/>
          <w:szCs w:val="20"/>
        </w:rPr>
        <w:sectPr w:rsidR="004174D3" w:rsidRPr="00F754EF" w:rsidSect="004174D3">
          <w:type w:val="continuous"/>
          <w:pgSz w:w="12240" w:h="15840"/>
          <w:pgMar w:top="1440" w:right="1080" w:bottom="1440" w:left="1080" w:header="708" w:footer="708" w:gutter="0"/>
          <w:cols w:num="2" w:space="708"/>
          <w:docGrid w:linePitch="360"/>
        </w:sectPr>
      </w:pPr>
    </w:p>
    <w:p w14:paraId="6E1A862E" w14:textId="0F554C96" w:rsidR="00172D65" w:rsidRDefault="00172D65" w:rsidP="005831BD">
      <w:pPr>
        <w:pStyle w:val="Caption"/>
        <w:keepNext/>
        <w:spacing w:after="120"/>
        <w:rPr>
          <w:rFonts w:ascii="Aptos Display" w:hAnsi="Aptos Display"/>
          <w:sz w:val="20"/>
          <w:szCs w:val="20"/>
        </w:rPr>
      </w:pPr>
      <w:r w:rsidRPr="00F754EF">
        <w:rPr>
          <w:rFonts w:ascii="Aptos Display" w:hAnsi="Aptos Display"/>
          <w:sz w:val="20"/>
          <w:szCs w:val="20"/>
        </w:rPr>
        <w:lastRenderedPageBreak/>
        <w:t>Figur</w:t>
      </w:r>
      <w:r w:rsidR="008A08B4" w:rsidRPr="00F754EF">
        <w:rPr>
          <w:rFonts w:ascii="Aptos Display" w:hAnsi="Aptos Display"/>
          <w:sz w:val="20"/>
          <w:szCs w:val="20"/>
        </w:rPr>
        <w:t>a</w:t>
      </w:r>
      <w:r w:rsidRPr="00F754EF">
        <w:rPr>
          <w:rFonts w:ascii="Aptos Display" w:hAnsi="Aptos Display"/>
          <w:sz w:val="20"/>
          <w:szCs w:val="20"/>
        </w:rPr>
        <w:t xml:space="preserve"> </w:t>
      </w:r>
      <w:r w:rsidRPr="00F754EF">
        <w:rPr>
          <w:rFonts w:ascii="Aptos Display" w:hAnsi="Aptos Display"/>
          <w:sz w:val="20"/>
          <w:szCs w:val="20"/>
        </w:rPr>
        <w:fldChar w:fldCharType="begin"/>
      </w:r>
      <w:r w:rsidRPr="00F754EF">
        <w:rPr>
          <w:rFonts w:ascii="Aptos Display" w:hAnsi="Aptos Display"/>
          <w:sz w:val="20"/>
          <w:szCs w:val="20"/>
        </w:rPr>
        <w:instrText xml:space="preserve"> SEQ Figure \* ARABIC </w:instrText>
      </w:r>
      <w:r w:rsidRPr="00F754EF">
        <w:rPr>
          <w:rFonts w:ascii="Aptos Display" w:hAnsi="Aptos Display"/>
          <w:sz w:val="20"/>
          <w:szCs w:val="20"/>
        </w:rPr>
        <w:fldChar w:fldCharType="separate"/>
      </w:r>
      <w:r w:rsidR="004C6C83">
        <w:rPr>
          <w:rFonts w:ascii="Aptos Display" w:hAnsi="Aptos Display"/>
          <w:noProof/>
          <w:sz w:val="20"/>
          <w:szCs w:val="20"/>
        </w:rPr>
        <w:t>1</w:t>
      </w:r>
      <w:r w:rsidRPr="00F754EF">
        <w:rPr>
          <w:rFonts w:ascii="Aptos Display" w:hAnsi="Aptos Display"/>
          <w:sz w:val="20"/>
          <w:szCs w:val="20"/>
        </w:rPr>
        <w:fldChar w:fldCharType="end"/>
      </w:r>
      <w:r w:rsidRPr="00F754EF">
        <w:rPr>
          <w:rFonts w:ascii="Aptos Display" w:hAnsi="Aptos Display"/>
          <w:sz w:val="20"/>
          <w:szCs w:val="20"/>
        </w:rPr>
        <w:t>:</w:t>
      </w:r>
      <w:r w:rsidR="008A08B4" w:rsidRPr="00F754EF">
        <w:rPr>
          <w:rFonts w:ascii="Aptos Display" w:hAnsi="Aptos Display"/>
          <w:sz w:val="20"/>
          <w:szCs w:val="20"/>
        </w:rPr>
        <w:t xml:space="preserve">Total de recursos requeridos </w:t>
      </w:r>
      <w:r w:rsidR="00494905" w:rsidRPr="00F754EF">
        <w:rPr>
          <w:rFonts w:ascii="Aptos Display" w:hAnsi="Aptos Display"/>
          <w:sz w:val="20"/>
          <w:szCs w:val="20"/>
        </w:rPr>
        <w:t>en la Nota Estratégica por</w:t>
      </w:r>
      <w:r w:rsidR="007C45A0">
        <w:rPr>
          <w:rFonts w:ascii="Aptos Display" w:hAnsi="Aptos Display"/>
          <w:sz w:val="20"/>
          <w:szCs w:val="20"/>
        </w:rPr>
        <w:t xml:space="preserve"> producto</w:t>
      </w:r>
    </w:p>
    <w:p w14:paraId="3CD00A5B" w14:textId="1F9C6FAB" w:rsidR="00172D65" w:rsidRPr="00F754EF" w:rsidRDefault="007B2635" w:rsidP="003A3913">
      <w:r>
        <w:rPr>
          <w:noProof/>
        </w:rPr>
        <w:drawing>
          <wp:inline distT="0" distB="0" distL="0" distR="0" wp14:anchorId="0A490D0A" wp14:editId="78539755">
            <wp:extent cx="6342108" cy="2307771"/>
            <wp:effectExtent l="0" t="0" r="1905" b="16510"/>
            <wp:docPr id="2026829550" name="Chart 1">
              <a:extLst xmlns:a="http://schemas.openxmlformats.org/drawingml/2006/main">
                <a:ext uri="{FF2B5EF4-FFF2-40B4-BE49-F238E27FC236}">
                  <a16:creationId xmlns:a16="http://schemas.microsoft.com/office/drawing/2014/main" id="{DF25F4C5-8116-90FF-3847-F88A5446A0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40B27DF8" w14:textId="77777777" w:rsidR="0083623C" w:rsidRPr="00F754EF" w:rsidRDefault="0083623C" w:rsidP="005831BD">
      <w:pPr>
        <w:pStyle w:val="BodyText"/>
        <w:spacing w:line="240" w:lineRule="auto"/>
        <w:rPr>
          <w:rFonts w:ascii="Aptos Display" w:hAnsi="Aptos Display"/>
          <w:b w:val="0"/>
          <w:bCs w:val="0"/>
          <w:sz w:val="18"/>
          <w:szCs w:val="18"/>
        </w:rPr>
      </w:pPr>
      <w:r w:rsidRPr="00F754EF">
        <w:rPr>
          <w:rFonts w:ascii="Aptos Display" w:hAnsi="Aptos Display"/>
          <w:b w:val="0"/>
          <w:bCs w:val="0"/>
          <w:sz w:val="18"/>
          <w:szCs w:val="18"/>
        </w:rPr>
        <w:t>Fuente: Datos financieros disponibles en la aplicación ONE App RMS para los Planes de Trabajo de la Nota Estratégica (2023, 2024, 2025) a enero de 2026.</w:t>
      </w:r>
    </w:p>
    <w:p w14:paraId="6BD390BC" w14:textId="77777777" w:rsidR="004174D3" w:rsidRPr="00F754EF" w:rsidRDefault="004174D3" w:rsidP="005831BD">
      <w:pPr>
        <w:spacing w:line="240" w:lineRule="auto"/>
        <w:rPr>
          <w:rFonts w:ascii="Aptos Display" w:hAnsi="Aptos Display"/>
        </w:rPr>
        <w:sectPr w:rsidR="004174D3" w:rsidRPr="00F754EF" w:rsidSect="005831BD">
          <w:type w:val="continuous"/>
          <w:pgSz w:w="12240" w:h="15840"/>
          <w:pgMar w:top="1440" w:right="1080" w:bottom="1440" w:left="1080" w:header="708" w:footer="708" w:gutter="0"/>
          <w:cols w:space="708"/>
          <w:docGrid w:linePitch="360"/>
        </w:sectPr>
      </w:pPr>
    </w:p>
    <w:p w14:paraId="47A10540" w14:textId="7B0A3205" w:rsidR="00F070AD" w:rsidRPr="00F754EF" w:rsidRDefault="00F070AD" w:rsidP="005831BD">
      <w:pPr>
        <w:spacing w:line="240" w:lineRule="auto"/>
      </w:pPr>
      <w:r w:rsidRPr="00F754EF">
        <w:rPr>
          <w:rFonts w:ascii="Aptos Display" w:hAnsi="Aptos Display"/>
        </w:rPr>
        <w:t xml:space="preserve">Las cifras presentadas anteriormente se basan en los datos del Plan de Trabajo de RMS disponibles en enero de 2026, que recogen los requerimientos programáticos de recursos para los dos resultados y ocho productos. Al triangularlos con el panel financiero corporativo de ONU Mujeres, que además registra asignaciones del Presupuesto Institucional (IB) por 2.3 millones de dólares, recursos extrapresupuestarios (XB) de 76,506 dólares y recursos centrales de 737,690 dólares no incluidos en los Planes de Trabajo RMS, el total de recursos </w:t>
      </w:r>
      <w:r w:rsidRPr="00F754EF">
        <w:rPr>
          <w:rFonts w:ascii="Aptos Display" w:hAnsi="Aptos Display"/>
        </w:rPr>
        <w:t>planificados para el periodo de la Nota Estratégica asciende aproximadamente a 16</w:t>
      </w:r>
      <w:r w:rsidR="004043AB" w:rsidRPr="00F754EF">
        <w:rPr>
          <w:rFonts w:ascii="Aptos Display" w:hAnsi="Aptos Display"/>
        </w:rPr>
        <w:t>.</w:t>
      </w:r>
      <w:r w:rsidRPr="00F754EF">
        <w:rPr>
          <w:rFonts w:ascii="Aptos Display" w:hAnsi="Aptos Display"/>
        </w:rPr>
        <w:t>3 millones de dólares estadounidenses. La diferencia entre ambas cifras refleja una diferencia de alcance y no una discrepancia: los datos de RMS abarcan la financiación de resultados de desarrollo programático, mientras que el panel corporativo incluye toda la gama de partidas presupuestarias organizacionales. La Figura 2 presenta el portafolio financiero más amplio basado en el panel corporativo.</w:t>
      </w:r>
    </w:p>
    <w:p w14:paraId="2E647D1A" w14:textId="77777777" w:rsidR="004174D3" w:rsidRPr="00F754EF" w:rsidRDefault="004174D3" w:rsidP="005831BD">
      <w:pPr>
        <w:pStyle w:val="Caption"/>
        <w:keepNext/>
        <w:spacing w:after="120"/>
        <w:rPr>
          <w:rFonts w:ascii="Aptos Display" w:hAnsi="Aptos Display"/>
          <w:sz w:val="20"/>
          <w:szCs w:val="20"/>
        </w:rPr>
        <w:sectPr w:rsidR="004174D3" w:rsidRPr="00F754EF" w:rsidSect="004174D3">
          <w:type w:val="continuous"/>
          <w:pgSz w:w="12240" w:h="15840"/>
          <w:pgMar w:top="1440" w:right="1080" w:bottom="1440" w:left="1080" w:header="708" w:footer="708" w:gutter="0"/>
          <w:cols w:num="2" w:space="708"/>
          <w:docGrid w:linePitch="360"/>
        </w:sectPr>
      </w:pPr>
    </w:p>
    <w:p w14:paraId="21D744B1" w14:textId="126ACB6B" w:rsidR="00172D65" w:rsidRPr="00F754EF" w:rsidRDefault="00172D65" w:rsidP="005831BD">
      <w:pPr>
        <w:pStyle w:val="Caption"/>
        <w:keepNext/>
        <w:spacing w:after="120"/>
        <w:rPr>
          <w:rFonts w:ascii="Aptos Display" w:hAnsi="Aptos Display"/>
          <w:sz w:val="20"/>
          <w:szCs w:val="20"/>
        </w:rPr>
      </w:pPr>
      <w:r w:rsidRPr="00F754EF">
        <w:rPr>
          <w:rFonts w:ascii="Aptos Display" w:hAnsi="Aptos Display"/>
          <w:sz w:val="20"/>
          <w:szCs w:val="20"/>
        </w:rPr>
        <w:lastRenderedPageBreak/>
        <w:t>Figur</w:t>
      </w:r>
      <w:r w:rsidR="00494905" w:rsidRPr="00F754EF">
        <w:rPr>
          <w:rFonts w:ascii="Aptos Display" w:hAnsi="Aptos Display"/>
          <w:sz w:val="20"/>
          <w:szCs w:val="20"/>
        </w:rPr>
        <w:t>a</w:t>
      </w:r>
      <w:r w:rsidRPr="00F754EF">
        <w:rPr>
          <w:rFonts w:ascii="Aptos Display" w:hAnsi="Aptos Display"/>
          <w:sz w:val="20"/>
          <w:szCs w:val="20"/>
        </w:rPr>
        <w:t xml:space="preserve"> </w:t>
      </w:r>
      <w:r w:rsidRPr="00F754EF">
        <w:rPr>
          <w:rFonts w:ascii="Aptos Display" w:hAnsi="Aptos Display"/>
          <w:sz w:val="20"/>
          <w:szCs w:val="20"/>
        </w:rPr>
        <w:fldChar w:fldCharType="begin"/>
      </w:r>
      <w:r w:rsidRPr="00F754EF">
        <w:rPr>
          <w:rFonts w:ascii="Aptos Display" w:hAnsi="Aptos Display"/>
          <w:sz w:val="20"/>
          <w:szCs w:val="20"/>
        </w:rPr>
        <w:instrText xml:space="preserve"> SEQ Figure \* ARABIC </w:instrText>
      </w:r>
      <w:r w:rsidRPr="00F754EF">
        <w:rPr>
          <w:rFonts w:ascii="Aptos Display" w:hAnsi="Aptos Display"/>
          <w:sz w:val="20"/>
          <w:szCs w:val="20"/>
        </w:rPr>
        <w:fldChar w:fldCharType="separate"/>
      </w:r>
      <w:r w:rsidR="004C6C83">
        <w:rPr>
          <w:rFonts w:ascii="Aptos Display" w:hAnsi="Aptos Display"/>
          <w:noProof/>
          <w:sz w:val="20"/>
          <w:szCs w:val="20"/>
        </w:rPr>
        <w:t>2</w:t>
      </w:r>
      <w:r w:rsidRPr="00F754EF">
        <w:rPr>
          <w:rFonts w:ascii="Aptos Display" w:hAnsi="Aptos Display"/>
          <w:sz w:val="20"/>
          <w:szCs w:val="20"/>
        </w:rPr>
        <w:fldChar w:fldCharType="end"/>
      </w:r>
      <w:r w:rsidRPr="00F754EF">
        <w:rPr>
          <w:rFonts w:ascii="Aptos Display" w:hAnsi="Aptos Display"/>
          <w:sz w:val="20"/>
          <w:szCs w:val="20"/>
        </w:rPr>
        <w:t xml:space="preserve">: </w:t>
      </w:r>
      <w:r w:rsidR="00494905" w:rsidRPr="00F754EF">
        <w:rPr>
          <w:rFonts w:ascii="Aptos Display" w:hAnsi="Aptos Display"/>
          <w:sz w:val="20"/>
          <w:szCs w:val="20"/>
        </w:rPr>
        <w:t>Portafolio financiero E</w:t>
      </w:r>
      <w:r w:rsidRPr="00F754EF">
        <w:rPr>
          <w:rFonts w:ascii="Aptos Display" w:hAnsi="Aptos Display"/>
          <w:sz w:val="20"/>
          <w:szCs w:val="20"/>
        </w:rPr>
        <w:t>cuador 2023–2026 (US$)</w:t>
      </w:r>
    </w:p>
    <w:p w14:paraId="5A730BBF" w14:textId="77777777" w:rsidR="00172D65" w:rsidRPr="00F754EF" w:rsidRDefault="00172D65" w:rsidP="005831BD">
      <w:pPr>
        <w:widowControl w:val="0"/>
        <w:spacing w:line="240" w:lineRule="auto"/>
        <w:jc w:val="center"/>
        <w:rPr>
          <w:rFonts w:ascii="Aptos Display" w:hAnsi="Aptos Display"/>
          <w:i/>
          <w:sz w:val="18"/>
          <w:szCs w:val="18"/>
        </w:rPr>
      </w:pPr>
      <w:r w:rsidRPr="00F754EF">
        <w:rPr>
          <w:noProof/>
        </w:rPr>
        <w:drawing>
          <wp:inline distT="0" distB="0" distL="0" distR="0" wp14:anchorId="4C1B9D63" wp14:editId="3046FA66">
            <wp:extent cx="5470102" cy="3024415"/>
            <wp:effectExtent l="0" t="0" r="0" b="5080"/>
            <wp:docPr id="1452830253" name="Picture 10"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830253" name="Picture 10" descr="Interfaz de usuario gráfica, Aplicación&#10;&#10;Descripción generada automáticamente"/>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b="1714"/>
                    <a:stretch/>
                  </pic:blipFill>
                  <pic:spPr bwMode="auto">
                    <a:xfrm>
                      <a:off x="0" y="0"/>
                      <a:ext cx="5526745" cy="3055733"/>
                    </a:xfrm>
                    <a:prstGeom prst="rect">
                      <a:avLst/>
                    </a:prstGeom>
                    <a:noFill/>
                    <a:ln>
                      <a:noFill/>
                    </a:ln>
                    <a:extLst>
                      <a:ext uri="{53640926-AAD7-44D8-BBD7-CCE9431645EC}">
                        <a14:shadowObscured xmlns:a14="http://schemas.microsoft.com/office/drawing/2010/main"/>
                      </a:ext>
                    </a:extLst>
                  </pic:spPr>
                </pic:pic>
              </a:graphicData>
            </a:graphic>
          </wp:inline>
        </w:drawing>
      </w:r>
    </w:p>
    <w:p w14:paraId="0A96893D" w14:textId="6F7C6143" w:rsidR="00172D65" w:rsidRPr="00F754EF" w:rsidRDefault="0010213D" w:rsidP="005831BD">
      <w:pPr>
        <w:widowControl w:val="0"/>
        <w:spacing w:line="240" w:lineRule="auto"/>
        <w:rPr>
          <w:rFonts w:ascii="Aptos Display" w:hAnsi="Aptos Display"/>
          <w:i/>
          <w:iCs/>
          <w:sz w:val="16"/>
          <w:szCs w:val="16"/>
        </w:rPr>
      </w:pPr>
      <w:r w:rsidRPr="00F754EF">
        <w:rPr>
          <w:rFonts w:ascii="Aptos Display" w:hAnsi="Aptos Display"/>
          <w:i/>
          <w:sz w:val="16"/>
          <w:szCs w:val="16"/>
        </w:rPr>
        <w:t xml:space="preserve">Fuente: desarrollado por el equipo de evaluación con base en </w:t>
      </w:r>
      <w:proofErr w:type="spellStart"/>
      <w:r w:rsidR="00172D65" w:rsidRPr="00F754EF">
        <w:rPr>
          <w:rFonts w:ascii="Aptos Display" w:hAnsi="Aptos Display"/>
          <w:i/>
          <w:sz w:val="16"/>
          <w:szCs w:val="16"/>
        </w:rPr>
        <w:t>Results</w:t>
      </w:r>
      <w:proofErr w:type="spellEnd"/>
      <w:r w:rsidR="00172D65" w:rsidRPr="00F754EF">
        <w:rPr>
          <w:rFonts w:ascii="Aptos Display" w:hAnsi="Aptos Display"/>
          <w:i/>
          <w:sz w:val="16"/>
          <w:szCs w:val="16"/>
        </w:rPr>
        <w:t xml:space="preserve"> Management </w:t>
      </w:r>
      <w:proofErr w:type="spellStart"/>
      <w:r w:rsidR="00172D65" w:rsidRPr="00F754EF">
        <w:rPr>
          <w:rFonts w:ascii="Aptos Display" w:hAnsi="Aptos Display"/>
          <w:i/>
          <w:sz w:val="16"/>
          <w:szCs w:val="16"/>
        </w:rPr>
        <w:t>System</w:t>
      </w:r>
      <w:proofErr w:type="spellEnd"/>
      <w:r w:rsidR="00172D65" w:rsidRPr="00F754EF">
        <w:rPr>
          <w:rFonts w:ascii="Aptos Display" w:hAnsi="Aptos Display"/>
          <w:i/>
          <w:sz w:val="16"/>
          <w:szCs w:val="16"/>
        </w:rPr>
        <w:t xml:space="preserve"> dat</w:t>
      </w:r>
      <w:r w:rsidRPr="00F754EF">
        <w:rPr>
          <w:rFonts w:ascii="Aptos Display" w:hAnsi="Aptos Display"/>
          <w:i/>
          <w:sz w:val="16"/>
          <w:szCs w:val="16"/>
        </w:rPr>
        <w:t xml:space="preserve">os a </w:t>
      </w:r>
      <w:proofErr w:type="gramStart"/>
      <w:r w:rsidRPr="00F754EF">
        <w:rPr>
          <w:rFonts w:ascii="Aptos Display" w:hAnsi="Aptos Display"/>
          <w:i/>
          <w:sz w:val="16"/>
          <w:szCs w:val="16"/>
        </w:rPr>
        <w:t>Marzo</w:t>
      </w:r>
      <w:proofErr w:type="gramEnd"/>
      <w:r w:rsidRPr="00F754EF">
        <w:rPr>
          <w:rFonts w:ascii="Aptos Display" w:hAnsi="Aptos Display"/>
          <w:i/>
          <w:sz w:val="16"/>
          <w:szCs w:val="16"/>
        </w:rPr>
        <w:t xml:space="preserve"> 2026</w:t>
      </w:r>
      <w:r w:rsidR="00172D65" w:rsidRPr="00F754EF">
        <w:rPr>
          <w:rFonts w:ascii="Aptos Display" w:hAnsi="Aptos Display"/>
          <w:i/>
          <w:iCs/>
          <w:sz w:val="16"/>
          <w:szCs w:val="16"/>
        </w:rPr>
        <w:t>.</w:t>
      </w:r>
    </w:p>
    <w:p w14:paraId="69832AA6" w14:textId="77777777" w:rsidR="00191EDC" w:rsidRPr="00F754EF" w:rsidRDefault="00191EDC" w:rsidP="005831BD">
      <w:pPr>
        <w:widowControl w:val="0"/>
        <w:spacing w:line="240" w:lineRule="auto"/>
        <w:rPr>
          <w:rFonts w:ascii="Aptos Display" w:hAnsi="Aptos Display"/>
          <w:sz w:val="18"/>
          <w:szCs w:val="18"/>
          <w:highlight w:val="yellow"/>
        </w:rPr>
      </w:pPr>
    </w:p>
    <w:p w14:paraId="0311D2BA" w14:textId="77777777" w:rsidR="00C71E4E" w:rsidRPr="00F754EF" w:rsidRDefault="00C71E4E" w:rsidP="005831BD">
      <w:pPr>
        <w:spacing w:line="240" w:lineRule="auto"/>
      </w:pPr>
      <w:r w:rsidRPr="00F754EF">
        <w:rPr>
          <w:rFonts w:ascii="Aptos Display" w:hAnsi="Aptos Display"/>
          <w:b/>
          <w:bCs/>
          <w:i/>
          <w:iCs/>
          <w:color w:val="1F4E79"/>
        </w:rPr>
        <w:t>Portafolio del Programa</w:t>
      </w:r>
      <w:r w:rsidRPr="00F754EF">
        <w:rPr>
          <w:b/>
          <w:bCs/>
          <w:i/>
          <w:iCs/>
        </w:rPr>
        <w:t xml:space="preserve"> </w:t>
      </w:r>
    </w:p>
    <w:p w14:paraId="2E00F3B2" w14:textId="77777777" w:rsidR="00052C6D" w:rsidRPr="00F754EF" w:rsidRDefault="00052C6D" w:rsidP="005831BD">
      <w:pPr>
        <w:spacing w:line="240" w:lineRule="auto"/>
        <w:rPr>
          <w:rFonts w:ascii="Aptos Display" w:hAnsi="Aptos Display"/>
        </w:rPr>
        <w:sectPr w:rsidR="00052C6D" w:rsidRPr="00F754EF" w:rsidSect="005831BD">
          <w:type w:val="continuous"/>
          <w:pgSz w:w="12240" w:h="15840"/>
          <w:pgMar w:top="1440" w:right="1080" w:bottom="1440" w:left="1080" w:header="708" w:footer="708" w:gutter="0"/>
          <w:cols w:space="708"/>
          <w:docGrid w:linePitch="360"/>
        </w:sectPr>
      </w:pPr>
    </w:p>
    <w:p w14:paraId="5DCDE85C" w14:textId="77777777" w:rsidR="00C71E4E" w:rsidRPr="00F754EF" w:rsidRDefault="00C71E4E" w:rsidP="005831BD">
      <w:pPr>
        <w:spacing w:line="240" w:lineRule="auto"/>
      </w:pPr>
      <w:r w:rsidRPr="00F754EF">
        <w:rPr>
          <w:rFonts w:ascii="Aptos Display" w:hAnsi="Aptos Display"/>
        </w:rPr>
        <w:t xml:space="preserve">La implementación de la Nota Estratégica se llevó a cabo a través de doce programas que cubrían ambos resultados de la Nota Estratégica. El portafolio combinó programas conjuntos emblemáticos (sobre todo la Iniciativa </w:t>
      </w:r>
      <w:proofErr w:type="spellStart"/>
      <w:r w:rsidRPr="00F754EF">
        <w:rPr>
          <w:rFonts w:ascii="Aptos Display" w:hAnsi="Aptos Display"/>
        </w:rPr>
        <w:t>Spotlight</w:t>
      </w:r>
      <w:proofErr w:type="spellEnd"/>
      <w:r w:rsidRPr="00F754EF">
        <w:rPr>
          <w:rFonts w:ascii="Aptos Display" w:hAnsi="Aptos Display"/>
        </w:rPr>
        <w:t xml:space="preserve"> y su sucesora </w:t>
      </w:r>
      <w:proofErr w:type="spellStart"/>
      <w:r w:rsidRPr="00F754EF">
        <w:rPr>
          <w:rFonts w:ascii="Aptos Display" w:hAnsi="Aptos Display"/>
        </w:rPr>
        <w:t>Spotlight</w:t>
      </w:r>
      <w:proofErr w:type="spellEnd"/>
      <w:r w:rsidRPr="00F754EF">
        <w:rPr>
          <w:rFonts w:ascii="Aptos Display" w:hAnsi="Aptos Display"/>
        </w:rPr>
        <w:t xml:space="preserve"> 2.0) con proyectos bilaterales, asistencia técnica específica y programación regional. La programación conjunta con otras agencias de la ONU fue la </w:t>
      </w:r>
      <w:r w:rsidRPr="00F754EF">
        <w:rPr>
          <w:rFonts w:ascii="Aptos Display" w:hAnsi="Aptos Display"/>
        </w:rPr>
        <w:t>modalidad de ejecución dominante, reflejando el mandato de coordinación de ONU Mujeres y su posicionamiento estratégico dentro del sistema de Naciones Unidas en Ecuador. La Tabla 1 ofrece una visión general rápida del portafolio programático, y el Anexo 5 presenta una descripción más detallada de cada programa, así como sus principales resultados alcanzados.</w:t>
      </w:r>
    </w:p>
    <w:p w14:paraId="7591C8EE" w14:textId="77777777" w:rsidR="00052C6D" w:rsidRPr="00F754EF" w:rsidRDefault="00052C6D" w:rsidP="005831BD">
      <w:pPr>
        <w:pStyle w:val="Caption"/>
        <w:spacing w:after="120"/>
        <w:sectPr w:rsidR="00052C6D" w:rsidRPr="00F754EF" w:rsidSect="00052C6D">
          <w:type w:val="continuous"/>
          <w:pgSz w:w="12240" w:h="15840"/>
          <w:pgMar w:top="1440" w:right="1080" w:bottom="1440" w:left="1080" w:header="708" w:footer="708" w:gutter="0"/>
          <w:cols w:num="2" w:space="708"/>
          <w:docGrid w:linePitch="360"/>
        </w:sectPr>
      </w:pPr>
      <w:bookmarkStart w:id="17" w:name="_Toc227279867"/>
    </w:p>
    <w:p w14:paraId="3F57F381" w14:textId="3D2A8598" w:rsidR="00C71E4E" w:rsidRPr="00F754EF" w:rsidRDefault="00934079" w:rsidP="005831BD">
      <w:pPr>
        <w:pStyle w:val="Caption"/>
        <w:spacing w:after="120"/>
        <w:rPr>
          <w:b/>
          <w:bCs/>
        </w:rPr>
      </w:pPr>
      <w:r w:rsidRPr="00F754EF">
        <w:t>Tabl</w:t>
      </w:r>
      <w:r w:rsidR="00C27635" w:rsidRPr="00F754EF">
        <w:t>a</w:t>
      </w:r>
      <w:r w:rsidRPr="00F754EF">
        <w:t xml:space="preserve"> </w:t>
      </w:r>
      <w:r w:rsidRPr="00F754EF">
        <w:fldChar w:fldCharType="begin"/>
      </w:r>
      <w:r w:rsidRPr="00F754EF">
        <w:instrText xml:space="preserve"> SEQ Table \* ARABIC </w:instrText>
      </w:r>
      <w:r w:rsidRPr="00F754EF">
        <w:fldChar w:fldCharType="separate"/>
      </w:r>
      <w:r w:rsidR="004C6C83">
        <w:rPr>
          <w:noProof/>
        </w:rPr>
        <w:t>1</w:t>
      </w:r>
      <w:r w:rsidRPr="00F754EF">
        <w:fldChar w:fldCharType="end"/>
      </w:r>
      <w:r w:rsidR="00BC711A" w:rsidRPr="00F754EF">
        <w:t xml:space="preserve">  O</w:t>
      </w:r>
      <w:r w:rsidR="00C71E4E" w:rsidRPr="00F754EF">
        <w:t>NU Mujeres Ecuador — Portafolio Programático bajo la Nota Estratégica 2023–2026</w:t>
      </w:r>
      <w:bookmarkEnd w:id="17"/>
      <w:r w:rsidR="00C71E4E" w:rsidRPr="00F754EF">
        <w:rPr>
          <w:b/>
          <w:bCs/>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4527"/>
        <w:gridCol w:w="914"/>
        <w:gridCol w:w="1081"/>
        <w:gridCol w:w="948"/>
        <w:gridCol w:w="1477"/>
        <w:gridCol w:w="1102"/>
      </w:tblGrid>
      <w:tr w:rsidR="00433DDD" w:rsidRPr="00F754EF" w14:paraId="3A670072" w14:textId="77777777" w:rsidTr="00B34C8C">
        <w:tc>
          <w:tcPr>
            <w:tcW w:w="10049" w:type="dxa"/>
            <w:gridSpan w:val="6"/>
            <w:tcBorders>
              <w:top w:val="nil"/>
              <w:left w:val="single" w:sz="8" w:space="0" w:color="CCCCCC"/>
              <w:bottom w:val="single" w:sz="8" w:space="0" w:color="CCCCCC"/>
              <w:right w:val="single" w:sz="8" w:space="0" w:color="CCCCCC"/>
            </w:tcBorders>
            <w:shd w:val="clear" w:color="auto" w:fill="2E6DA4"/>
            <w:vAlign w:val="center"/>
          </w:tcPr>
          <w:p w14:paraId="37CFCFE3" w14:textId="50F9ABB7" w:rsidR="00433DDD" w:rsidRPr="00F754EF" w:rsidRDefault="00433DDD" w:rsidP="00052C6D">
            <w:pPr>
              <w:spacing w:after="0" w:line="240" w:lineRule="auto"/>
              <w:rPr>
                <w:rFonts w:ascii="Aptos Display" w:hAnsi="Aptos Display"/>
                <w:b/>
                <w:bCs/>
                <w:color w:val="1A2744"/>
                <w:sz w:val="17"/>
                <w:szCs w:val="17"/>
              </w:rPr>
            </w:pPr>
            <w:r w:rsidRPr="00F754EF">
              <w:rPr>
                <w:rFonts w:ascii="Aptos Display" w:hAnsi="Aptos Display"/>
                <w:b/>
                <w:bCs/>
                <w:color w:val="FFFFFF"/>
                <w:sz w:val="20"/>
                <w:szCs w:val="20"/>
              </w:rPr>
              <w:t>RESULTADO 2 · USD 8,0M (61</w:t>
            </w:r>
            <w:proofErr w:type="gramStart"/>
            <w:r w:rsidRPr="00F754EF">
              <w:rPr>
                <w:rFonts w:ascii="Aptos Display" w:hAnsi="Aptos Display"/>
                <w:b/>
                <w:bCs/>
                <w:color w:val="FFFFFF"/>
                <w:sz w:val="20"/>
                <w:szCs w:val="20"/>
              </w:rPr>
              <w:t>%)  |</w:t>
            </w:r>
            <w:proofErr w:type="gramEnd"/>
            <w:r w:rsidRPr="00F754EF">
              <w:rPr>
                <w:rFonts w:ascii="Aptos Display" w:hAnsi="Aptos Display"/>
                <w:b/>
                <w:bCs/>
                <w:color w:val="FFFFFF"/>
                <w:sz w:val="20"/>
                <w:szCs w:val="20"/>
              </w:rPr>
              <w:t>  Todas las mujeres y niñas viven una vida libre de todas las formas de violencia</w:t>
            </w:r>
          </w:p>
        </w:tc>
      </w:tr>
      <w:tr w:rsidR="0010213D" w:rsidRPr="00F754EF" w14:paraId="063BACB4" w14:textId="77777777" w:rsidTr="00433DDD">
        <w:tc>
          <w:tcPr>
            <w:tcW w:w="4527" w:type="dxa"/>
            <w:tcBorders>
              <w:top w:val="nil"/>
              <w:left w:val="single" w:sz="8" w:space="0" w:color="CCCCCC"/>
              <w:bottom w:val="single" w:sz="8" w:space="0" w:color="CCCCCC"/>
              <w:right w:val="single" w:sz="8" w:space="0" w:color="CCCCCC"/>
            </w:tcBorders>
            <w:shd w:val="clear" w:color="auto" w:fill="E8ECF0"/>
            <w:vAlign w:val="center"/>
            <w:hideMark/>
          </w:tcPr>
          <w:p w14:paraId="4903D66C" w14:textId="77777777" w:rsidR="0010213D" w:rsidRPr="00F754EF" w:rsidRDefault="0010213D" w:rsidP="00052C6D">
            <w:pPr>
              <w:spacing w:after="0" w:line="240" w:lineRule="auto"/>
            </w:pPr>
            <w:r w:rsidRPr="00F754EF">
              <w:rPr>
                <w:rFonts w:ascii="Aptos Display" w:hAnsi="Aptos Display"/>
                <w:b/>
                <w:bCs/>
                <w:color w:val="1A2744"/>
                <w:sz w:val="17"/>
                <w:szCs w:val="17"/>
              </w:rPr>
              <w:t>Programa</w:t>
            </w:r>
            <w:r w:rsidRPr="00F754EF">
              <w:rPr>
                <w:b/>
                <w:bCs/>
              </w:rPr>
              <w:t xml:space="preserve"> </w:t>
            </w:r>
          </w:p>
        </w:tc>
        <w:tc>
          <w:tcPr>
            <w:tcW w:w="914" w:type="dxa"/>
            <w:tcBorders>
              <w:top w:val="nil"/>
              <w:left w:val="nil"/>
              <w:bottom w:val="single" w:sz="8" w:space="0" w:color="CCCCCC"/>
              <w:right w:val="single" w:sz="8" w:space="0" w:color="CCCCCC"/>
            </w:tcBorders>
            <w:shd w:val="clear" w:color="auto" w:fill="E8ECF0"/>
            <w:vAlign w:val="center"/>
            <w:hideMark/>
          </w:tcPr>
          <w:p w14:paraId="3345CBCC" w14:textId="77777777" w:rsidR="0010213D" w:rsidRPr="00F754EF" w:rsidRDefault="0010213D" w:rsidP="00052C6D">
            <w:pPr>
              <w:spacing w:after="0" w:line="240" w:lineRule="auto"/>
            </w:pPr>
            <w:r w:rsidRPr="00F754EF">
              <w:rPr>
                <w:rFonts w:ascii="Aptos Display" w:hAnsi="Aptos Display"/>
                <w:b/>
                <w:bCs/>
                <w:color w:val="1A2744"/>
                <w:sz w:val="17"/>
                <w:szCs w:val="17"/>
              </w:rPr>
              <w:t>Modalidad</w:t>
            </w:r>
            <w:r w:rsidRPr="00F754EF">
              <w:rPr>
                <w:b/>
                <w:bCs/>
              </w:rPr>
              <w:t xml:space="preserve"> </w:t>
            </w:r>
          </w:p>
        </w:tc>
        <w:tc>
          <w:tcPr>
            <w:tcW w:w="1081" w:type="dxa"/>
            <w:tcBorders>
              <w:top w:val="nil"/>
              <w:left w:val="nil"/>
              <w:bottom w:val="single" w:sz="8" w:space="0" w:color="CCCCCC"/>
              <w:right w:val="single" w:sz="8" w:space="0" w:color="CCCCCC"/>
            </w:tcBorders>
            <w:shd w:val="clear" w:color="auto" w:fill="E8ECF0"/>
            <w:vAlign w:val="center"/>
            <w:hideMark/>
          </w:tcPr>
          <w:p w14:paraId="17A80D6E" w14:textId="77777777" w:rsidR="0010213D" w:rsidRPr="00F754EF" w:rsidRDefault="0010213D" w:rsidP="00052C6D">
            <w:pPr>
              <w:spacing w:after="0" w:line="240" w:lineRule="auto"/>
            </w:pPr>
            <w:r w:rsidRPr="00F754EF">
              <w:rPr>
                <w:rFonts w:ascii="Aptos Display" w:hAnsi="Aptos Display"/>
                <w:b/>
                <w:bCs/>
                <w:color w:val="1A2744"/>
                <w:sz w:val="17"/>
                <w:szCs w:val="17"/>
              </w:rPr>
              <w:t>Enfoque geográfico</w:t>
            </w:r>
            <w:r w:rsidRPr="00F754EF">
              <w:rPr>
                <w:b/>
                <w:bCs/>
              </w:rPr>
              <w:t xml:space="preserve"> </w:t>
            </w:r>
          </w:p>
        </w:tc>
        <w:tc>
          <w:tcPr>
            <w:tcW w:w="948" w:type="dxa"/>
            <w:tcBorders>
              <w:top w:val="nil"/>
              <w:left w:val="nil"/>
              <w:bottom w:val="single" w:sz="8" w:space="0" w:color="CCCCCC"/>
              <w:right w:val="single" w:sz="8" w:space="0" w:color="CCCCCC"/>
            </w:tcBorders>
            <w:shd w:val="clear" w:color="auto" w:fill="E8ECF0"/>
            <w:vAlign w:val="center"/>
            <w:hideMark/>
          </w:tcPr>
          <w:p w14:paraId="2517F0E8" w14:textId="77777777" w:rsidR="0010213D" w:rsidRPr="00F754EF" w:rsidRDefault="0010213D" w:rsidP="00052C6D">
            <w:pPr>
              <w:spacing w:after="0" w:line="240" w:lineRule="auto"/>
            </w:pPr>
            <w:r w:rsidRPr="00F754EF">
              <w:rPr>
                <w:rFonts w:ascii="Aptos Display" w:hAnsi="Aptos Display"/>
                <w:b/>
                <w:bCs/>
                <w:color w:val="1A2744"/>
                <w:sz w:val="17"/>
                <w:szCs w:val="17"/>
              </w:rPr>
              <w:t>Presupuesto ONU Mujeres</w:t>
            </w:r>
            <w:r w:rsidRPr="00F754EF">
              <w:rPr>
                <w:b/>
                <w:bCs/>
              </w:rPr>
              <w:t xml:space="preserve"> </w:t>
            </w:r>
          </w:p>
        </w:tc>
        <w:tc>
          <w:tcPr>
            <w:tcW w:w="1477" w:type="dxa"/>
            <w:tcBorders>
              <w:top w:val="nil"/>
              <w:left w:val="nil"/>
              <w:bottom w:val="single" w:sz="8" w:space="0" w:color="CCCCCC"/>
              <w:right w:val="single" w:sz="8" w:space="0" w:color="CCCCCC"/>
            </w:tcBorders>
            <w:shd w:val="clear" w:color="auto" w:fill="E8ECF0"/>
            <w:vAlign w:val="center"/>
            <w:hideMark/>
          </w:tcPr>
          <w:p w14:paraId="2281B3BF" w14:textId="77777777" w:rsidR="0010213D" w:rsidRPr="00F754EF" w:rsidRDefault="0010213D" w:rsidP="00052C6D">
            <w:pPr>
              <w:spacing w:after="0" w:line="240" w:lineRule="auto"/>
            </w:pPr>
            <w:r w:rsidRPr="00F754EF">
              <w:rPr>
                <w:rFonts w:ascii="Aptos Display" w:hAnsi="Aptos Display"/>
                <w:b/>
                <w:bCs/>
                <w:color w:val="1A2744"/>
                <w:sz w:val="17"/>
                <w:szCs w:val="17"/>
              </w:rPr>
              <w:t>Socios implementadores</w:t>
            </w:r>
            <w:r w:rsidRPr="00F754EF">
              <w:rPr>
                <w:b/>
                <w:bCs/>
              </w:rPr>
              <w:t xml:space="preserve"> </w:t>
            </w:r>
          </w:p>
        </w:tc>
        <w:tc>
          <w:tcPr>
            <w:tcW w:w="1102" w:type="dxa"/>
            <w:tcBorders>
              <w:top w:val="nil"/>
              <w:left w:val="nil"/>
              <w:bottom w:val="single" w:sz="8" w:space="0" w:color="CCCCCC"/>
              <w:right w:val="single" w:sz="8" w:space="0" w:color="CCCCCC"/>
            </w:tcBorders>
            <w:shd w:val="clear" w:color="auto" w:fill="E8ECF0"/>
            <w:vAlign w:val="center"/>
            <w:hideMark/>
          </w:tcPr>
          <w:p w14:paraId="64D97A74" w14:textId="77777777" w:rsidR="0010213D" w:rsidRPr="00F754EF" w:rsidRDefault="0010213D" w:rsidP="00052C6D">
            <w:pPr>
              <w:spacing w:after="0" w:line="240" w:lineRule="auto"/>
            </w:pPr>
            <w:r w:rsidRPr="00F754EF">
              <w:rPr>
                <w:rFonts w:ascii="Aptos Display" w:hAnsi="Aptos Display"/>
                <w:b/>
                <w:bCs/>
                <w:color w:val="1A2744"/>
                <w:sz w:val="17"/>
                <w:szCs w:val="17"/>
              </w:rPr>
              <w:t>Donantes</w:t>
            </w:r>
            <w:r w:rsidRPr="00F754EF">
              <w:rPr>
                <w:b/>
                <w:bCs/>
              </w:rPr>
              <w:t xml:space="preserve"> </w:t>
            </w:r>
          </w:p>
        </w:tc>
      </w:tr>
      <w:tr w:rsidR="0010213D" w:rsidRPr="00F754EF" w14:paraId="7C8E2B26" w14:textId="77777777" w:rsidTr="00433DDD">
        <w:tc>
          <w:tcPr>
            <w:tcW w:w="4527" w:type="dxa"/>
            <w:tcBorders>
              <w:top w:val="nil"/>
              <w:left w:val="single" w:sz="8" w:space="0" w:color="CCCCCC"/>
              <w:bottom w:val="single" w:sz="8" w:space="0" w:color="CCCCCC"/>
              <w:right w:val="single" w:sz="8" w:space="0" w:color="CCCCCC"/>
            </w:tcBorders>
            <w:shd w:val="clear" w:color="auto" w:fill="D6E8F5"/>
            <w:vAlign w:val="center"/>
            <w:hideMark/>
          </w:tcPr>
          <w:p w14:paraId="3A5D32D5" w14:textId="77777777" w:rsidR="0010213D" w:rsidRPr="00F754EF" w:rsidRDefault="0010213D" w:rsidP="00052C6D">
            <w:pPr>
              <w:spacing w:after="0" w:line="240" w:lineRule="auto"/>
            </w:pPr>
            <w:r w:rsidRPr="00F754EF">
              <w:rPr>
                <w:rFonts w:ascii="Aptos Display" w:hAnsi="Aptos Display"/>
                <w:b/>
                <w:bCs/>
                <w:sz w:val="18"/>
                <w:szCs w:val="18"/>
              </w:rPr>
              <w:t xml:space="preserve">Iniciativa </w:t>
            </w:r>
            <w:proofErr w:type="spellStart"/>
            <w:r w:rsidRPr="00F754EF">
              <w:rPr>
                <w:rFonts w:ascii="Aptos Display" w:hAnsi="Aptos Display"/>
                <w:b/>
                <w:bCs/>
                <w:sz w:val="18"/>
                <w:szCs w:val="18"/>
              </w:rPr>
              <w:t>Spotlight</w:t>
            </w:r>
            <w:proofErr w:type="spellEnd"/>
            <w:r w:rsidRPr="00F754EF">
              <w:rPr>
                <w:b/>
                <w:bCs/>
              </w:rPr>
              <w:t xml:space="preserve"> </w:t>
            </w:r>
          </w:p>
          <w:p w14:paraId="2473ED1F" w14:textId="77777777" w:rsidR="0010213D" w:rsidRPr="00F754EF" w:rsidRDefault="0010213D" w:rsidP="00052C6D">
            <w:pPr>
              <w:spacing w:after="0" w:line="240" w:lineRule="auto"/>
            </w:pPr>
            <w:r w:rsidRPr="00F754EF">
              <w:rPr>
                <w:rFonts w:ascii="Aptos Display" w:hAnsi="Aptos Display"/>
                <w:color w:val="5A6678"/>
                <w:sz w:val="16"/>
                <w:szCs w:val="16"/>
              </w:rPr>
              <w:t>Sept 2020 – Dic 2023</w:t>
            </w:r>
            <w:r w:rsidRPr="00F754EF">
              <w:t xml:space="preserve"> </w:t>
            </w:r>
          </w:p>
          <w:p w14:paraId="0E5C8CA4" w14:textId="77777777" w:rsidR="0010213D" w:rsidRPr="00F754EF" w:rsidRDefault="0010213D" w:rsidP="00052C6D">
            <w:pPr>
              <w:spacing w:after="0" w:line="240" w:lineRule="auto"/>
            </w:pPr>
            <w:r w:rsidRPr="00F754EF">
              <w:rPr>
                <w:rFonts w:ascii="Aptos Display" w:hAnsi="Aptos Display"/>
                <w:i/>
                <w:iCs/>
                <w:color w:val="5A6678"/>
                <w:sz w:val="16"/>
                <w:szCs w:val="16"/>
              </w:rPr>
              <w:t>Fortalecer políticas nacionales, instituciones y servicios para prevenir y responder a la violencia contra las mujeres y niñas (VCMN), con enfoque en el feminicidio y en el marco legal integral de Ecuador.</w:t>
            </w:r>
            <w:r w:rsidRPr="00F754EF">
              <w:rPr>
                <w:i/>
                <w:iCs/>
              </w:rPr>
              <w:t xml:space="preserve"> </w:t>
            </w:r>
          </w:p>
        </w:tc>
        <w:tc>
          <w:tcPr>
            <w:tcW w:w="914" w:type="dxa"/>
            <w:tcBorders>
              <w:top w:val="nil"/>
              <w:left w:val="nil"/>
              <w:bottom w:val="single" w:sz="8" w:space="0" w:color="CCCCCC"/>
              <w:right w:val="single" w:sz="8" w:space="0" w:color="CCCCCC"/>
            </w:tcBorders>
            <w:shd w:val="clear" w:color="auto" w:fill="D6E8F5"/>
            <w:vAlign w:val="center"/>
            <w:hideMark/>
          </w:tcPr>
          <w:p w14:paraId="0F8C22E8" w14:textId="77777777" w:rsidR="0010213D" w:rsidRPr="00F754EF" w:rsidRDefault="0010213D" w:rsidP="00052C6D">
            <w:pPr>
              <w:spacing w:after="0" w:line="240" w:lineRule="auto"/>
            </w:pPr>
            <w:r w:rsidRPr="00F754EF">
              <w:rPr>
                <w:rFonts w:ascii="Aptos Display" w:hAnsi="Aptos Display"/>
                <w:b/>
                <w:bCs/>
                <w:color w:val="1A7A58"/>
                <w:sz w:val="16"/>
                <w:szCs w:val="16"/>
              </w:rPr>
              <w:t>Programa conjunto</w:t>
            </w:r>
            <w:r w:rsidRPr="00F754EF">
              <w:rPr>
                <w:b/>
                <w:bCs/>
              </w:rPr>
              <w:t xml:space="preserve"> </w:t>
            </w:r>
          </w:p>
        </w:tc>
        <w:tc>
          <w:tcPr>
            <w:tcW w:w="1081" w:type="dxa"/>
            <w:tcBorders>
              <w:top w:val="nil"/>
              <w:left w:val="nil"/>
              <w:bottom w:val="single" w:sz="8" w:space="0" w:color="CCCCCC"/>
              <w:right w:val="single" w:sz="8" w:space="0" w:color="CCCCCC"/>
            </w:tcBorders>
            <w:shd w:val="clear" w:color="auto" w:fill="D6E8F5"/>
            <w:vAlign w:val="center"/>
            <w:hideMark/>
          </w:tcPr>
          <w:p w14:paraId="0E23E205" w14:textId="77777777" w:rsidR="0010213D" w:rsidRPr="00F754EF" w:rsidRDefault="0010213D" w:rsidP="00052C6D">
            <w:pPr>
              <w:spacing w:after="0" w:line="240" w:lineRule="auto"/>
            </w:pPr>
            <w:r w:rsidRPr="00F754EF">
              <w:rPr>
                <w:rFonts w:ascii="Aptos Display" w:hAnsi="Aptos Display"/>
                <w:color w:val="5A6678"/>
                <w:sz w:val="16"/>
                <w:szCs w:val="16"/>
              </w:rPr>
              <w:t>Chone, Portoviejo, Cuenca, Azogues, Pastaza, Morona</w:t>
            </w:r>
            <w:r w:rsidRPr="00F754EF">
              <w:t xml:space="preserve"> </w:t>
            </w:r>
          </w:p>
        </w:tc>
        <w:tc>
          <w:tcPr>
            <w:tcW w:w="948" w:type="dxa"/>
            <w:tcBorders>
              <w:top w:val="nil"/>
              <w:left w:val="nil"/>
              <w:bottom w:val="single" w:sz="8" w:space="0" w:color="CCCCCC"/>
              <w:right w:val="single" w:sz="8" w:space="0" w:color="CCCCCC"/>
            </w:tcBorders>
            <w:shd w:val="clear" w:color="auto" w:fill="D6E8F5"/>
            <w:vAlign w:val="center"/>
            <w:hideMark/>
          </w:tcPr>
          <w:p w14:paraId="11A29516" w14:textId="77777777" w:rsidR="0010213D" w:rsidRPr="00F754EF" w:rsidRDefault="0010213D" w:rsidP="00052C6D">
            <w:pPr>
              <w:spacing w:after="0" w:line="240" w:lineRule="auto"/>
            </w:pPr>
            <w:r w:rsidRPr="00F754EF">
              <w:rPr>
                <w:rFonts w:ascii="Aptos Display" w:hAnsi="Aptos Display"/>
                <w:b/>
                <w:bCs/>
                <w:color w:val="2E6DA4"/>
                <w:sz w:val="18"/>
                <w:szCs w:val="18"/>
              </w:rPr>
              <w:t>$1,6M</w:t>
            </w:r>
            <w:r w:rsidRPr="00F754EF">
              <w:rPr>
                <w:b/>
                <w:bCs/>
              </w:rPr>
              <w:t xml:space="preserve"> </w:t>
            </w:r>
          </w:p>
        </w:tc>
        <w:tc>
          <w:tcPr>
            <w:tcW w:w="1477" w:type="dxa"/>
            <w:tcBorders>
              <w:top w:val="nil"/>
              <w:left w:val="nil"/>
              <w:bottom w:val="single" w:sz="8" w:space="0" w:color="CCCCCC"/>
              <w:right w:val="single" w:sz="8" w:space="0" w:color="CCCCCC"/>
            </w:tcBorders>
            <w:shd w:val="clear" w:color="auto" w:fill="D6E8F5"/>
            <w:vAlign w:val="center"/>
            <w:hideMark/>
          </w:tcPr>
          <w:p w14:paraId="253E3A78" w14:textId="77777777" w:rsidR="0010213D" w:rsidRPr="00F754EF" w:rsidRDefault="0010213D" w:rsidP="00052C6D">
            <w:pPr>
              <w:spacing w:after="0" w:line="240" w:lineRule="auto"/>
            </w:pPr>
            <w:r w:rsidRPr="00F754EF">
              <w:rPr>
                <w:rFonts w:ascii="Aptos Display" w:hAnsi="Aptos Display"/>
                <w:sz w:val="16"/>
                <w:szCs w:val="16"/>
              </w:rPr>
              <w:t xml:space="preserve">ONU Mujeres, PNUD, UNFPA · </w:t>
            </w:r>
            <w:proofErr w:type="gramStart"/>
            <w:r w:rsidRPr="00F754EF">
              <w:rPr>
                <w:rFonts w:ascii="Aptos Display" w:hAnsi="Aptos Display"/>
                <w:sz w:val="16"/>
                <w:szCs w:val="16"/>
              </w:rPr>
              <w:t>Fiscalía General</w:t>
            </w:r>
            <w:proofErr w:type="gramEnd"/>
            <w:r w:rsidRPr="00F754EF">
              <w:rPr>
                <w:rFonts w:ascii="Aptos Display" w:hAnsi="Aptos Display"/>
                <w:sz w:val="16"/>
                <w:szCs w:val="16"/>
              </w:rPr>
              <w:t xml:space="preserve"> · Ministerio de la Mujer · 35 OSC</w:t>
            </w:r>
            <w:r w:rsidRPr="00F754EF">
              <w:t xml:space="preserve"> </w:t>
            </w:r>
          </w:p>
        </w:tc>
        <w:tc>
          <w:tcPr>
            <w:tcW w:w="1102" w:type="dxa"/>
            <w:tcBorders>
              <w:top w:val="nil"/>
              <w:left w:val="nil"/>
              <w:bottom w:val="single" w:sz="8" w:space="0" w:color="CCCCCC"/>
              <w:right w:val="single" w:sz="8" w:space="0" w:color="CCCCCC"/>
            </w:tcBorders>
            <w:shd w:val="clear" w:color="auto" w:fill="D6E8F5"/>
            <w:vAlign w:val="center"/>
            <w:hideMark/>
          </w:tcPr>
          <w:p w14:paraId="5F55E063" w14:textId="77777777" w:rsidR="0010213D" w:rsidRPr="00F754EF" w:rsidRDefault="0010213D" w:rsidP="00052C6D">
            <w:pPr>
              <w:spacing w:after="0" w:line="240" w:lineRule="auto"/>
            </w:pPr>
            <w:r w:rsidRPr="00F754EF">
              <w:rPr>
                <w:rFonts w:ascii="Aptos Display" w:hAnsi="Aptos Display"/>
                <w:sz w:val="16"/>
                <w:szCs w:val="16"/>
              </w:rPr>
              <w:t>Unión Europea</w:t>
            </w:r>
            <w:r w:rsidRPr="00F754EF">
              <w:t xml:space="preserve"> </w:t>
            </w:r>
          </w:p>
        </w:tc>
      </w:tr>
      <w:tr w:rsidR="0010213D" w:rsidRPr="00F754EF" w14:paraId="25BF52DE" w14:textId="77777777" w:rsidTr="00433DDD">
        <w:tc>
          <w:tcPr>
            <w:tcW w:w="4527" w:type="dxa"/>
            <w:tcBorders>
              <w:top w:val="nil"/>
              <w:left w:val="single" w:sz="8" w:space="0" w:color="CCCCCC"/>
              <w:bottom w:val="single" w:sz="8" w:space="0" w:color="CCCCCC"/>
              <w:right w:val="single" w:sz="8" w:space="0" w:color="CCCCCC"/>
            </w:tcBorders>
            <w:shd w:val="clear" w:color="auto" w:fill="D6E8F5"/>
            <w:vAlign w:val="center"/>
            <w:hideMark/>
          </w:tcPr>
          <w:p w14:paraId="751A544D" w14:textId="77777777" w:rsidR="0010213D" w:rsidRPr="00F754EF" w:rsidRDefault="0010213D" w:rsidP="00052C6D">
            <w:pPr>
              <w:spacing w:after="0" w:line="240" w:lineRule="auto"/>
            </w:pPr>
            <w:proofErr w:type="spellStart"/>
            <w:r w:rsidRPr="00F754EF">
              <w:rPr>
                <w:rFonts w:ascii="Aptos Display" w:hAnsi="Aptos Display"/>
                <w:b/>
                <w:bCs/>
                <w:sz w:val="18"/>
                <w:szCs w:val="18"/>
              </w:rPr>
              <w:t>Spotlight</w:t>
            </w:r>
            <w:proofErr w:type="spellEnd"/>
            <w:r w:rsidRPr="00F754EF">
              <w:rPr>
                <w:rFonts w:ascii="Aptos Display" w:hAnsi="Aptos Display"/>
                <w:b/>
                <w:bCs/>
                <w:sz w:val="18"/>
                <w:szCs w:val="18"/>
              </w:rPr>
              <w:t xml:space="preserve"> 2.0</w:t>
            </w:r>
            <w:r w:rsidRPr="00F754EF">
              <w:rPr>
                <w:b/>
                <w:bCs/>
              </w:rPr>
              <w:t xml:space="preserve"> </w:t>
            </w:r>
          </w:p>
          <w:p w14:paraId="0E2105C9" w14:textId="77777777" w:rsidR="0010213D" w:rsidRPr="00F754EF" w:rsidRDefault="0010213D" w:rsidP="00052C6D">
            <w:pPr>
              <w:spacing w:after="0" w:line="240" w:lineRule="auto"/>
            </w:pPr>
            <w:r w:rsidRPr="00F754EF">
              <w:rPr>
                <w:rFonts w:ascii="Aptos Display" w:hAnsi="Aptos Display"/>
                <w:color w:val="5A6678"/>
                <w:sz w:val="16"/>
                <w:szCs w:val="16"/>
              </w:rPr>
              <w:t>Ene 2024 – Dic 2025</w:t>
            </w:r>
            <w:r w:rsidRPr="00F754EF">
              <w:t xml:space="preserve"> </w:t>
            </w:r>
          </w:p>
          <w:p w14:paraId="23E7B495" w14:textId="77777777" w:rsidR="0010213D" w:rsidRPr="00F754EF" w:rsidRDefault="0010213D" w:rsidP="00052C6D">
            <w:pPr>
              <w:spacing w:after="0" w:line="240" w:lineRule="auto"/>
            </w:pPr>
            <w:r w:rsidRPr="00F754EF">
              <w:rPr>
                <w:rFonts w:ascii="Aptos Display" w:hAnsi="Aptos Display"/>
                <w:i/>
                <w:iCs/>
                <w:color w:val="5A6678"/>
                <w:sz w:val="16"/>
                <w:szCs w:val="16"/>
              </w:rPr>
              <w:t xml:space="preserve">Consolidar resultados de </w:t>
            </w:r>
            <w:proofErr w:type="spellStart"/>
            <w:r w:rsidRPr="00F754EF">
              <w:rPr>
                <w:rFonts w:ascii="Aptos Display" w:hAnsi="Aptos Display"/>
                <w:i/>
                <w:iCs/>
                <w:color w:val="5A6678"/>
                <w:sz w:val="16"/>
                <w:szCs w:val="16"/>
              </w:rPr>
              <w:t>Spotlight</w:t>
            </w:r>
            <w:proofErr w:type="spellEnd"/>
            <w:r w:rsidRPr="00F754EF">
              <w:rPr>
                <w:rFonts w:ascii="Aptos Display" w:hAnsi="Aptos Display"/>
                <w:i/>
                <w:iCs/>
                <w:color w:val="5A6678"/>
                <w:sz w:val="16"/>
                <w:szCs w:val="16"/>
              </w:rPr>
              <w:t xml:space="preserve"> mediante el fortalecimiento de sistemas y normas sociales para posicionar la VCMN como inaceptable y prevenible a largo plazo.</w:t>
            </w:r>
            <w:r w:rsidRPr="00F754EF">
              <w:rPr>
                <w:i/>
                <w:iCs/>
              </w:rPr>
              <w:t xml:space="preserve"> </w:t>
            </w:r>
          </w:p>
        </w:tc>
        <w:tc>
          <w:tcPr>
            <w:tcW w:w="914" w:type="dxa"/>
            <w:tcBorders>
              <w:top w:val="nil"/>
              <w:left w:val="nil"/>
              <w:bottom w:val="single" w:sz="8" w:space="0" w:color="CCCCCC"/>
              <w:right w:val="single" w:sz="8" w:space="0" w:color="CCCCCC"/>
            </w:tcBorders>
            <w:shd w:val="clear" w:color="auto" w:fill="D6E8F5"/>
            <w:vAlign w:val="center"/>
            <w:hideMark/>
          </w:tcPr>
          <w:p w14:paraId="0B077353" w14:textId="77777777" w:rsidR="0010213D" w:rsidRPr="00F754EF" w:rsidRDefault="0010213D" w:rsidP="00052C6D">
            <w:pPr>
              <w:spacing w:after="0" w:line="240" w:lineRule="auto"/>
            </w:pPr>
            <w:r w:rsidRPr="00F754EF">
              <w:rPr>
                <w:rFonts w:ascii="Aptos Display" w:hAnsi="Aptos Display"/>
                <w:b/>
                <w:bCs/>
                <w:color w:val="1A7A58"/>
                <w:sz w:val="16"/>
                <w:szCs w:val="16"/>
              </w:rPr>
              <w:t>Programa conjunto</w:t>
            </w:r>
            <w:r w:rsidRPr="00F754EF">
              <w:rPr>
                <w:b/>
                <w:bCs/>
              </w:rPr>
              <w:t xml:space="preserve"> </w:t>
            </w:r>
          </w:p>
        </w:tc>
        <w:tc>
          <w:tcPr>
            <w:tcW w:w="1081" w:type="dxa"/>
            <w:tcBorders>
              <w:top w:val="nil"/>
              <w:left w:val="nil"/>
              <w:bottom w:val="single" w:sz="8" w:space="0" w:color="CCCCCC"/>
              <w:right w:val="single" w:sz="8" w:space="0" w:color="CCCCCC"/>
            </w:tcBorders>
            <w:shd w:val="clear" w:color="auto" w:fill="D6E8F5"/>
            <w:vAlign w:val="center"/>
            <w:hideMark/>
          </w:tcPr>
          <w:p w14:paraId="37DFFDA9" w14:textId="77777777" w:rsidR="0010213D" w:rsidRPr="00F754EF" w:rsidRDefault="0010213D" w:rsidP="00052C6D">
            <w:pPr>
              <w:spacing w:after="0" w:line="240" w:lineRule="auto"/>
            </w:pPr>
            <w:r w:rsidRPr="00F754EF">
              <w:rPr>
                <w:rFonts w:ascii="Aptos Display" w:hAnsi="Aptos Display"/>
                <w:color w:val="5A6678"/>
                <w:sz w:val="16"/>
                <w:szCs w:val="16"/>
              </w:rPr>
              <w:t>Portoviejo, Morona</w:t>
            </w:r>
            <w:r w:rsidRPr="00F754EF">
              <w:t xml:space="preserve"> </w:t>
            </w:r>
          </w:p>
        </w:tc>
        <w:tc>
          <w:tcPr>
            <w:tcW w:w="948" w:type="dxa"/>
            <w:tcBorders>
              <w:top w:val="nil"/>
              <w:left w:val="nil"/>
              <w:bottom w:val="single" w:sz="8" w:space="0" w:color="CCCCCC"/>
              <w:right w:val="single" w:sz="8" w:space="0" w:color="CCCCCC"/>
            </w:tcBorders>
            <w:shd w:val="clear" w:color="auto" w:fill="D6E8F5"/>
            <w:vAlign w:val="center"/>
            <w:hideMark/>
          </w:tcPr>
          <w:p w14:paraId="27131350" w14:textId="77777777" w:rsidR="0010213D" w:rsidRPr="00F754EF" w:rsidRDefault="0010213D" w:rsidP="00052C6D">
            <w:pPr>
              <w:spacing w:after="0" w:line="240" w:lineRule="auto"/>
            </w:pPr>
            <w:r w:rsidRPr="00F754EF">
              <w:rPr>
                <w:rFonts w:ascii="Aptos Display" w:hAnsi="Aptos Display"/>
                <w:b/>
                <w:bCs/>
                <w:color w:val="2E6DA4"/>
                <w:sz w:val="18"/>
                <w:szCs w:val="18"/>
              </w:rPr>
              <w:t>$1,3M</w:t>
            </w:r>
            <w:r w:rsidRPr="00F754EF">
              <w:rPr>
                <w:b/>
                <w:bCs/>
              </w:rPr>
              <w:t xml:space="preserve"> </w:t>
            </w:r>
          </w:p>
        </w:tc>
        <w:tc>
          <w:tcPr>
            <w:tcW w:w="1477" w:type="dxa"/>
            <w:tcBorders>
              <w:top w:val="nil"/>
              <w:left w:val="nil"/>
              <w:bottom w:val="single" w:sz="8" w:space="0" w:color="CCCCCC"/>
              <w:right w:val="single" w:sz="8" w:space="0" w:color="CCCCCC"/>
            </w:tcBorders>
            <w:shd w:val="clear" w:color="auto" w:fill="D6E8F5"/>
            <w:vAlign w:val="center"/>
            <w:hideMark/>
          </w:tcPr>
          <w:p w14:paraId="21D8B284" w14:textId="77777777" w:rsidR="0010213D" w:rsidRPr="00F754EF" w:rsidRDefault="0010213D" w:rsidP="00052C6D">
            <w:pPr>
              <w:spacing w:after="0" w:line="240" w:lineRule="auto"/>
            </w:pPr>
            <w:r w:rsidRPr="00F754EF">
              <w:rPr>
                <w:rFonts w:ascii="Aptos Display" w:hAnsi="Aptos Display"/>
                <w:sz w:val="16"/>
                <w:szCs w:val="16"/>
              </w:rPr>
              <w:t>ONU Mujeres, PNUD, UNFPA · CEPLAES · Red de Mujeres Amazónicas · Ministerio de la Mujer</w:t>
            </w:r>
            <w:r w:rsidRPr="00F754EF">
              <w:t xml:space="preserve"> </w:t>
            </w:r>
          </w:p>
        </w:tc>
        <w:tc>
          <w:tcPr>
            <w:tcW w:w="1102" w:type="dxa"/>
            <w:tcBorders>
              <w:top w:val="nil"/>
              <w:left w:val="nil"/>
              <w:bottom w:val="single" w:sz="8" w:space="0" w:color="CCCCCC"/>
              <w:right w:val="single" w:sz="8" w:space="0" w:color="CCCCCC"/>
            </w:tcBorders>
            <w:shd w:val="clear" w:color="auto" w:fill="D6E8F5"/>
            <w:vAlign w:val="center"/>
            <w:hideMark/>
          </w:tcPr>
          <w:p w14:paraId="11452C40" w14:textId="77777777" w:rsidR="0010213D" w:rsidRPr="00F754EF" w:rsidRDefault="0010213D" w:rsidP="00052C6D">
            <w:pPr>
              <w:spacing w:after="0" w:line="240" w:lineRule="auto"/>
            </w:pPr>
            <w:r w:rsidRPr="00F754EF">
              <w:rPr>
                <w:rFonts w:ascii="Aptos Display" w:hAnsi="Aptos Display"/>
                <w:sz w:val="16"/>
                <w:szCs w:val="16"/>
              </w:rPr>
              <w:t>Unión Europea · USAID · FIEDS</w:t>
            </w:r>
            <w:r w:rsidRPr="00F754EF">
              <w:t xml:space="preserve"> </w:t>
            </w:r>
          </w:p>
        </w:tc>
      </w:tr>
      <w:tr w:rsidR="0010213D" w:rsidRPr="00F754EF" w14:paraId="5F17B283" w14:textId="77777777" w:rsidTr="00433DDD">
        <w:tc>
          <w:tcPr>
            <w:tcW w:w="4527" w:type="dxa"/>
            <w:tcBorders>
              <w:top w:val="nil"/>
              <w:left w:val="single" w:sz="8" w:space="0" w:color="CCCCCC"/>
              <w:bottom w:val="single" w:sz="8" w:space="0" w:color="CCCCCC"/>
              <w:right w:val="single" w:sz="8" w:space="0" w:color="CCCCCC"/>
            </w:tcBorders>
            <w:shd w:val="clear" w:color="auto" w:fill="D6E8F5"/>
            <w:vAlign w:val="center"/>
            <w:hideMark/>
          </w:tcPr>
          <w:p w14:paraId="37DACA4B" w14:textId="77777777" w:rsidR="0010213D" w:rsidRPr="00F754EF" w:rsidRDefault="0010213D" w:rsidP="00052C6D">
            <w:pPr>
              <w:spacing w:after="0" w:line="240" w:lineRule="auto"/>
            </w:pPr>
            <w:r w:rsidRPr="00F754EF">
              <w:rPr>
                <w:rFonts w:ascii="Aptos Display" w:hAnsi="Aptos Display"/>
                <w:b/>
                <w:bCs/>
                <w:sz w:val="18"/>
                <w:szCs w:val="18"/>
              </w:rPr>
              <w:t>Ciudades Seguras y Espacios Públicos Seguros</w:t>
            </w:r>
            <w:r w:rsidRPr="00F754EF">
              <w:rPr>
                <w:b/>
                <w:bCs/>
              </w:rPr>
              <w:t xml:space="preserve"> </w:t>
            </w:r>
          </w:p>
          <w:p w14:paraId="5F8F6933" w14:textId="77777777" w:rsidR="0010213D" w:rsidRPr="00F754EF" w:rsidRDefault="0010213D" w:rsidP="00052C6D">
            <w:pPr>
              <w:spacing w:after="0" w:line="240" w:lineRule="auto"/>
            </w:pPr>
            <w:r w:rsidRPr="00F754EF">
              <w:rPr>
                <w:rFonts w:ascii="Aptos Display" w:hAnsi="Aptos Display"/>
                <w:color w:val="5A6678"/>
                <w:sz w:val="16"/>
                <w:szCs w:val="16"/>
              </w:rPr>
              <w:t>Ene 2020 – Jun 2025</w:t>
            </w:r>
            <w:r w:rsidRPr="00F754EF">
              <w:t xml:space="preserve"> </w:t>
            </w:r>
          </w:p>
          <w:p w14:paraId="1BC3AE15" w14:textId="77777777" w:rsidR="0010213D" w:rsidRPr="00F754EF" w:rsidRDefault="0010213D" w:rsidP="00052C6D">
            <w:pPr>
              <w:spacing w:after="0" w:line="240" w:lineRule="auto"/>
            </w:pPr>
            <w:r w:rsidRPr="00F754EF">
              <w:rPr>
                <w:rFonts w:ascii="Aptos Display" w:hAnsi="Aptos Display"/>
                <w:i/>
                <w:iCs/>
                <w:color w:val="5A6678"/>
                <w:sz w:val="16"/>
                <w:szCs w:val="16"/>
              </w:rPr>
              <w:lastRenderedPageBreak/>
              <w:t>Reducir el acoso sexual y la violencia en espacios públicos, disminuir la percepción de inseguridad de las mujeres y aumentar su movilidad segura y autónoma.</w:t>
            </w:r>
            <w:r w:rsidRPr="00F754EF">
              <w:rPr>
                <w:i/>
                <w:iCs/>
              </w:rPr>
              <w:t xml:space="preserve"> </w:t>
            </w:r>
          </w:p>
        </w:tc>
        <w:tc>
          <w:tcPr>
            <w:tcW w:w="914" w:type="dxa"/>
            <w:tcBorders>
              <w:top w:val="nil"/>
              <w:left w:val="nil"/>
              <w:bottom w:val="single" w:sz="8" w:space="0" w:color="CCCCCC"/>
              <w:right w:val="single" w:sz="8" w:space="0" w:color="CCCCCC"/>
            </w:tcBorders>
            <w:shd w:val="clear" w:color="auto" w:fill="D6E8F5"/>
            <w:vAlign w:val="center"/>
            <w:hideMark/>
          </w:tcPr>
          <w:p w14:paraId="3CFA2C54" w14:textId="77777777" w:rsidR="0010213D" w:rsidRPr="00F754EF" w:rsidRDefault="0010213D" w:rsidP="00052C6D">
            <w:pPr>
              <w:spacing w:after="0" w:line="240" w:lineRule="auto"/>
            </w:pPr>
            <w:r w:rsidRPr="00F754EF">
              <w:rPr>
                <w:rFonts w:ascii="Aptos Display" w:hAnsi="Aptos Display"/>
                <w:b/>
                <w:bCs/>
                <w:color w:val="92600A"/>
                <w:sz w:val="16"/>
                <w:szCs w:val="16"/>
              </w:rPr>
              <w:lastRenderedPageBreak/>
              <w:t>Bilateral</w:t>
            </w:r>
            <w:r w:rsidRPr="00F754EF">
              <w:rPr>
                <w:b/>
                <w:bCs/>
              </w:rPr>
              <w:t xml:space="preserve"> </w:t>
            </w:r>
          </w:p>
        </w:tc>
        <w:tc>
          <w:tcPr>
            <w:tcW w:w="1081" w:type="dxa"/>
            <w:tcBorders>
              <w:top w:val="nil"/>
              <w:left w:val="nil"/>
              <w:bottom w:val="single" w:sz="8" w:space="0" w:color="CCCCCC"/>
              <w:right w:val="single" w:sz="8" w:space="0" w:color="CCCCCC"/>
            </w:tcBorders>
            <w:shd w:val="clear" w:color="auto" w:fill="D6E8F5"/>
            <w:vAlign w:val="center"/>
            <w:hideMark/>
          </w:tcPr>
          <w:p w14:paraId="64835E0B" w14:textId="77777777" w:rsidR="0010213D" w:rsidRPr="00F754EF" w:rsidRDefault="0010213D" w:rsidP="00052C6D">
            <w:pPr>
              <w:spacing w:after="0" w:line="240" w:lineRule="auto"/>
            </w:pPr>
            <w:r w:rsidRPr="00F754EF">
              <w:rPr>
                <w:rFonts w:ascii="Aptos Display" w:hAnsi="Aptos Display"/>
                <w:color w:val="5A6678"/>
                <w:sz w:val="16"/>
                <w:szCs w:val="16"/>
              </w:rPr>
              <w:t>Quito, Guayaquil, Cuenca, Ibarra</w:t>
            </w:r>
            <w:r w:rsidRPr="00F754EF">
              <w:t xml:space="preserve"> </w:t>
            </w:r>
          </w:p>
        </w:tc>
        <w:tc>
          <w:tcPr>
            <w:tcW w:w="948" w:type="dxa"/>
            <w:tcBorders>
              <w:top w:val="nil"/>
              <w:left w:val="nil"/>
              <w:bottom w:val="single" w:sz="8" w:space="0" w:color="CCCCCC"/>
              <w:right w:val="single" w:sz="8" w:space="0" w:color="CCCCCC"/>
            </w:tcBorders>
            <w:shd w:val="clear" w:color="auto" w:fill="D6E8F5"/>
            <w:vAlign w:val="center"/>
            <w:hideMark/>
          </w:tcPr>
          <w:p w14:paraId="1EBBA96F" w14:textId="77777777" w:rsidR="0010213D" w:rsidRPr="00F754EF" w:rsidRDefault="0010213D" w:rsidP="00052C6D">
            <w:pPr>
              <w:spacing w:after="0" w:line="240" w:lineRule="auto"/>
            </w:pPr>
            <w:r w:rsidRPr="00F754EF">
              <w:rPr>
                <w:rFonts w:ascii="Aptos Display" w:hAnsi="Aptos Display"/>
                <w:b/>
                <w:bCs/>
                <w:color w:val="2E6DA4"/>
                <w:sz w:val="18"/>
                <w:szCs w:val="18"/>
              </w:rPr>
              <w:t>$613K</w:t>
            </w:r>
            <w:r w:rsidRPr="00F754EF">
              <w:rPr>
                <w:b/>
                <w:bCs/>
              </w:rPr>
              <w:t xml:space="preserve"> </w:t>
            </w:r>
          </w:p>
        </w:tc>
        <w:tc>
          <w:tcPr>
            <w:tcW w:w="1477" w:type="dxa"/>
            <w:tcBorders>
              <w:top w:val="nil"/>
              <w:left w:val="nil"/>
              <w:bottom w:val="single" w:sz="8" w:space="0" w:color="CCCCCC"/>
              <w:right w:val="single" w:sz="8" w:space="0" w:color="CCCCCC"/>
            </w:tcBorders>
            <w:shd w:val="clear" w:color="auto" w:fill="D6E8F5"/>
            <w:vAlign w:val="center"/>
            <w:hideMark/>
          </w:tcPr>
          <w:p w14:paraId="205FCE35" w14:textId="77777777" w:rsidR="0010213D" w:rsidRPr="00F754EF" w:rsidRDefault="0010213D" w:rsidP="00052C6D">
            <w:pPr>
              <w:spacing w:after="0" w:line="240" w:lineRule="auto"/>
            </w:pPr>
            <w:r w:rsidRPr="00F754EF">
              <w:rPr>
                <w:rFonts w:ascii="Aptos Display" w:hAnsi="Aptos Display"/>
                <w:sz w:val="16"/>
                <w:szCs w:val="16"/>
              </w:rPr>
              <w:t xml:space="preserve">ONU Mujeres · Metro de Quito · </w:t>
            </w:r>
            <w:proofErr w:type="spellStart"/>
            <w:r w:rsidRPr="00F754EF">
              <w:rPr>
                <w:rFonts w:ascii="Aptos Display" w:hAnsi="Aptos Display"/>
                <w:sz w:val="16"/>
                <w:szCs w:val="16"/>
              </w:rPr>
              <w:t>Metrovía</w:t>
            </w:r>
            <w:proofErr w:type="spellEnd"/>
            <w:r w:rsidRPr="00F754EF">
              <w:rPr>
                <w:rFonts w:ascii="Aptos Display" w:hAnsi="Aptos Display"/>
                <w:sz w:val="16"/>
                <w:szCs w:val="16"/>
              </w:rPr>
              <w:t xml:space="preserve"> &amp; Aerovía Guayaquil · Municipio de Ibarra</w:t>
            </w:r>
            <w:r w:rsidRPr="00F754EF">
              <w:t xml:space="preserve"> </w:t>
            </w:r>
          </w:p>
        </w:tc>
        <w:tc>
          <w:tcPr>
            <w:tcW w:w="1102" w:type="dxa"/>
            <w:tcBorders>
              <w:top w:val="nil"/>
              <w:left w:val="nil"/>
              <w:bottom w:val="single" w:sz="8" w:space="0" w:color="CCCCCC"/>
              <w:right w:val="single" w:sz="8" w:space="0" w:color="CCCCCC"/>
            </w:tcBorders>
            <w:shd w:val="clear" w:color="auto" w:fill="D6E8F5"/>
            <w:vAlign w:val="center"/>
            <w:hideMark/>
          </w:tcPr>
          <w:p w14:paraId="16769AA7" w14:textId="77777777" w:rsidR="0010213D" w:rsidRPr="00F754EF" w:rsidRDefault="0010213D" w:rsidP="00052C6D">
            <w:pPr>
              <w:spacing w:after="0" w:line="240" w:lineRule="auto"/>
            </w:pPr>
            <w:r w:rsidRPr="00F754EF">
              <w:rPr>
                <w:rFonts w:ascii="Aptos Display" w:hAnsi="Aptos Display"/>
                <w:sz w:val="16"/>
                <w:szCs w:val="16"/>
              </w:rPr>
              <w:t>República de Corea (KOICA) · España (AECID)</w:t>
            </w:r>
            <w:r w:rsidRPr="00F754EF">
              <w:t xml:space="preserve"> </w:t>
            </w:r>
          </w:p>
        </w:tc>
      </w:tr>
      <w:tr w:rsidR="0010213D" w:rsidRPr="00F754EF" w14:paraId="51381F06" w14:textId="77777777" w:rsidTr="00433DDD">
        <w:tc>
          <w:tcPr>
            <w:tcW w:w="4527" w:type="dxa"/>
            <w:tcBorders>
              <w:top w:val="nil"/>
              <w:left w:val="single" w:sz="8" w:space="0" w:color="CCCCCC"/>
              <w:bottom w:val="single" w:sz="8" w:space="0" w:color="CCCCCC"/>
              <w:right w:val="single" w:sz="8" w:space="0" w:color="CCCCCC"/>
            </w:tcBorders>
            <w:shd w:val="clear" w:color="auto" w:fill="D6E8F5"/>
            <w:vAlign w:val="center"/>
            <w:hideMark/>
          </w:tcPr>
          <w:p w14:paraId="2B282E1F" w14:textId="77777777" w:rsidR="0010213D" w:rsidRPr="00F754EF" w:rsidRDefault="0010213D" w:rsidP="00052C6D">
            <w:pPr>
              <w:spacing w:after="0" w:line="240" w:lineRule="auto"/>
            </w:pPr>
            <w:r w:rsidRPr="00F754EF">
              <w:rPr>
                <w:rFonts w:ascii="Aptos Display" w:hAnsi="Aptos Display"/>
                <w:b/>
                <w:bCs/>
                <w:sz w:val="18"/>
                <w:szCs w:val="18"/>
              </w:rPr>
              <w:t>Construcción de Paz (Fondo para la Consolidación de la Paz)</w:t>
            </w:r>
            <w:r w:rsidRPr="00F754EF">
              <w:rPr>
                <w:b/>
                <w:bCs/>
              </w:rPr>
              <w:t xml:space="preserve"> </w:t>
            </w:r>
          </w:p>
          <w:p w14:paraId="3F7E2FA2" w14:textId="77777777" w:rsidR="0010213D" w:rsidRPr="00F754EF" w:rsidRDefault="0010213D" w:rsidP="00052C6D">
            <w:pPr>
              <w:spacing w:after="0" w:line="240" w:lineRule="auto"/>
            </w:pPr>
            <w:r w:rsidRPr="00F754EF">
              <w:rPr>
                <w:rFonts w:ascii="Aptos Display" w:hAnsi="Aptos Display"/>
                <w:color w:val="5A6678"/>
                <w:sz w:val="16"/>
                <w:szCs w:val="16"/>
              </w:rPr>
              <w:t>Dic 2022 – Jun 2025</w:t>
            </w:r>
            <w:r w:rsidRPr="00F754EF">
              <w:t xml:space="preserve"> </w:t>
            </w:r>
          </w:p>
          <w:p w14:paraId="66F6218E" w14:textId="77777777" w:rsidR="0010213D" w:rsidRPr="00F754EF" w:rsidRDefault="0010213D" w:rsidP="00052C6D">
            <w:pPr>
              <w:spacing w:after="0" w:line="240" w:lineRule="auto"/>
            </w:pPr>
            <w:r w:rsidRPr="00F754EF">
              <w:rPr>
                <w:rFonts w:ascii="Aptos Display" w:hAnsi="Aptos Display"/>
                <w:i/>
                <w:iCs/>
                <w:color w:val="5A6678"/>
                <w:sz w:val="16"/>
                <w:szCs w:val="16"/>
              </w:rPr>
              <w:t>Fortalecer capacidades estatales y comunitarias para prevenir conflictos sociales y reducir la violencia en provincias altamente afectadas, con atención a la igualdad de género y juventud.</w:t>
            </w:r>
            <w:r w:rsidRPr="00F754EF">
              <w:rPr>
                <w:i/>
                <w:iCs/>
              </w:rPr>
              <w:t xml:space="preserve"> </w:t>
            </w:r>
          </w:p>
        </w:tc>
        <w:tc>
          <w:tcPr>
            <w:tcW w:w="914" w:type="dxa"/>
            <w:tcBorders>
              <w:top w:val="nil"/>
              <w:left w:val="nil"/>
              <w:bottom w:val="single" w:sz="8" w:space="0" w:color="CCCCCC"/>
              <w:right w:val="single" w:sz="8" w:space="0" w:color="CCCCCC"/>
            </w:tcBorders>
            <w:shd w:val="clear" w:color="auto" w:fill="D6E8F5"/>
            <w:vAlign w:val="center"/>
            <w:hideMark/>
          </w:tcPr>
          <w:p w14:paraId="0B723E46" w14:textId="77777777" w:rsidR="0010213D" w:rsidRPr="00F754EF" w:rsidRDefault="0010213D" w:rsidP="00052C6D">
            <w:pPr>
              <w:spacing w:after="0" w:line="240" w:lineRule="auto"/>
            </w:pPr>
            <w:r w:rsidRPr="00F754EF">
              <w:rPr>
                <w:rFonts w:ascii="Aptos Display" w:hAnsi="Aptos Display"/>
                <w:b/>
                <w:bCs/>
                <w:color w:val="1A7A58"/>
                <w:sz w:val="16"/>
                <w:szCs w:val="16"/>
              </w:rPr>
              <w:t>Programa conjunto</w:t>
            </w:r>
            <w:r w:rsidRPr="00F754EF">
              <w:rPr>
                <w:b/>
                <w:bCs/>
              </w:rPr>
              <w:t xml:space="preserve"> </w:t>
            </w:r>
          </w:p>
        </w:tc>
        <w:tc>
          <w:tcPr>
            <w:tcW w:w="1081" w:type="dxa"/>
            <w:tcBorders>
              <w:top w:val="nil"/>
              <w:left w:val="nil"/>
              <w:bottom w:val="single" w:sz="8" w:space="0" w:color="CCCCCC"/>
              <w:right w:val="single" w:sz="8" w:space="0" w:color="CCCCCC"/>
            </w:tcBorders>
            <w:shd w:val="clear" w:color="auto" w:fill="D6E8F5"/>
            <w:vAlign w:val="center"/>
            <w:hideMark/>
          </w:tcPr>
          <w:p w14:paraId="38CBB64F" w14:textId="77777777" w:rsidR="0010213D" w:rsidRPr="00F754EF" w:rsidRDefault="0010213D" w:rsidP="00052C6D">
            <w:pPr>
              <w:spacing w:after="0" w:line="240" w:lineRule="auto"/>
            </w:pPr>
            <w:r w:rsidRPr="00F754EF">
              <w:rPr>
                <w:rFonts w:ascii="Aptos Display" w:hAnsi="Aptos Display"/>
                <w:color w:val="5A6678"/>
                <w:sz w:val="16"/>
                <w:szCs w:val="16"/>
              </w:rPr>
              <w:t>Guayas (componentes nacionales)</w:t>
            </w:r>
            <w:r w:rsidRPr="00F754EF">
              <w:t xml:space="preserve"> </w:t>
            </w:r>
          </w:p>
        </w:tc>
        <w:tc>
          <w:tcPr>
            <w:tcW w:w="948" w:type="dxa"/>
            <w:tcBorders>
              <w:top w:val="nil"/>
              <w:left w:val="nil"/>
              <w:bottom w:val="single" w:sz="8" w:space="0" w:color="CCCCCC"/>
              <w:right w:val="single" w:sz="8" w:space="0" w:color="CCCCCC"/>
            </w:tcBorders>
            <w:shd w:val="clear" w:color="auto" w:fill="D6E8F5"/>
            <w:vAlign w:val="center"/>
            <w:hideMark/>
          </w:tcPr>
          <w:p w14:paraId="7A1DB4FC" w14:textId="77777777" w:rsidR="0010213D" w:rsidRPr="00F754EF" w:rsidRDefault="0010213D" w:rsidP="00052C6D">
            <w:pPr>
              <w:spacing w:after="0" w:line="240" w:lineRule="auto"/>
            </w:pPr>
            <w:r w:rsidRPr="00F754EF">
              <w:rPr>
                <w:rFonts w:ascii="Aptos Display" w:hAnsi="Aptos Display"/>
                <w:b/>
                <w:bCs/>
                <w:color w:val="2E6DA4"/>
                <w:sz w:val="18"/>
                <w:szCs w:val="18"/>
              </w:rPr>
              <w:t>$613K</w:t>
            </w:r>
            <w:r w:rsidRPr="00F754EF">
              <w:rPr>
                <w:b/>
                <w:bCs/>
              </w:rPr>
              <w:t xml:space="preserve"> </w:t>
            </w:r>
          </w:p>
        </w:tc>
        <w:tc>
          <w:tcPr>
            <w:tcW w:w="1477" w:type="dxa"/>
            <w:tcBorders>
              <w:top w:val="nil"/>
              <w:left w:val="nil"/>
              <w:bottom w:val="single" w:sz="8" w:space="0" w:color="CCCCCC"/>
              <w:right w:val="single" w:sz="8" w:space="0" w:color="CCCCCC"/>
            </w:tcBorders>
            <w:shd w:val="clear" w:color="auto" w:fill="D6E8F5"/>
            <w:vAlign w:val="center"/>
            <w:hideMark/>
          </w:tcPr>
          <w:p w14:paraId="60B521E7" w14:textId="77777777" w:rsidR="0010213D" w:rsidRPr="00F754EF" w:rsidRDefault="0010213D" w:rsidP="00052C6D">
            <w:pPr>
              <w:spacing w:after="0" w:line="240" w:lineRule="auto"/>
            </w:pPr>
            <w:r w:rsidRPr="00F754EF">
              <w:rPr>
                <w:rFonts w:ascii="Aptos Display" w:hAnsi="Aptos Display"/>
                <w:sz w:val="16"/>
                <w:szCs w:val="16"/>
              </w:rPr>
              <w:t>ONU Mujeres, PNUD, UNODC · Municipio de Guayaquil · Instituciones del sector justicia</w:t>
            </w:r>
            <w:r w:rsidRPr="00F754EF">
              <w:t xml:space="preserve"> </w:t>
            </w:r>
          </w:p>
        </w:tc>
        <w:tc>
          <w:tcPr>
            <w:tcW w:w="1102" w:type="dxa"/>
            <w:tcBorders>
              <w:top w:val="nil"/>
              <w:left w:val="nil"/>
              <w:bottom w:val="single" w:sz="8" w:space="0" w:color="CCCCCC"/>
              <w:right w:val="single" w:sz="8" w:space="0" w:color="CCCCCC"/>
            </w:tcBorders>
            <w:shd w:val="clear" w:color="auto" w:fill="D6E8F5"/>
            <w:vAlign w:val="center"/>
            <w:hideMark/>
          </w:tcPr>
          <w:p w14:paraId="1FE28C96" w14:textId="77777777" w:rsidR="0010213D" w:rsidRPr="00F754EF" w:rsidRDefault="0010213D" w:rsidP="00052C6D">
            <w:pPr>
              <w:spacing w:after="0" w:line="240" w:lineRule="auto"/>
            </w:pPr>
            <w:r w:rsidRPr="00F754EF">
              <w:rPr>
                <w:rFonts w:ascii="Aptos Display" w:hAnsi="Aptos Display"/>
                <w:sz w:val="16"/>
                <w:szCs w:val="16"/>
              </w:rPr>
              <w:t>Fondo de Consolidación de la Paz de la ONU</w:t>
            </w:r>
            <w:r w:rsidRPr="00F754EF">
              <w:t xml:space="preserve"> </w:t>
            </w:r>
          </w:p>
        </w:tc>
      </w:tr>
      <w:tr w:rsidR="0010213D" w:rsidRPr="00F754EF" w14:paraId="0E7B64D2" w14:textId="77777777" w:rsidTr="00433DDD">
        <w:tc>
          <w:tcPr>
            <w:tcW w:w="4527" w:type="dxa"/>
            <w:tcBorders>
              <w:top w:val="nil"/>
              <w:left w:val="single" w:sz="8" w:space="0" w:color="CCCCCC"/>
              <w:bottom w:val="single" w:sz="8" w:space="0" w:color="CCCCCC"/>
              <w:right w:val="single" w:sz="8" w:space="0" w:color="CCCCCC"/>
            </w:tcBorders>
            <w:shd w:val="clear" w:color="auto" w:fill="D6E8F5"/>
            <w:vAlign w:val="center"/>
            <w:hideMark/>
          </w:tcPr>
          <w:p w14:paraId="710AFC6C" w14:textId="77777777" w:rsidR="0010213D" w:rsidRPr="00F754EF" w:rsidRDefault="0010213D" w:rsidP="00052C6D">
            <w:pPr>
              <w:spacing w:after="0" w:line="240" w:lineRule="auto"/>
            </w:pPr>
            <w:r w:rsidRPr="00F754EF">
              <w:rPr>
                <w:rFonts w:ascii="Aptos Display" w:hAnsi="Aptos Display"/>
                <w:b/>
                <w:bCs/>
                <w:sz w:val="18"/>
                <w:szCs w:val="18"/>
              </w:rPr>
              <w:t>Transversalización de género electoral</w:t>
            </w:r>
            <w:r w:rsidRPr="00F754EF">
              <w:rPr>
                <w:b/>
                <w:bCs/>
              </w:rPr>
              <w:t xml:space="preserve"> </w:t>
            </w:r>
          </w:p>
          <w:p w14:paraId="4D82B3DE" w14:textId="77777777" w:rsidR="0010213D" w:rsidRPr="00F754EF" w:rsidRDefault="0010213D" w:rsidP="00052C6D">
            <w:pPr>
              <w:spacing w:after="0" w:line="240" w:lineRule="auto"/>
            </w:pPr>
            <w:r w:rsidRPr="00F754EF">
              <w:rPr>
                <w:rFonts w:ascii="Aptos Display" w:hAnsi="Aptos Display"/>
                <w:color w:val="5A6678"/>
                <w:sz w:val="16"/>
                <w:szCs w:val="16"/>
              </w:rPr>
              <w:t>Fase 1: 2021 · Fase 2: Jun 2024 – Oct 2025</w:t>
            </w:r>
            <w:r w:rsidRPr="00F754EF">
              <w:t xml:space="preserve"> </w:t>
            </w:r>
          </w:p>
          <w:p w14:paraId="2A3B3693" w14:textId="77777777" w:rsidR="0010213D" w:rsidRPr="00F754EF" w:rsidRDefault="0010213D" w:rsidP="00052C6D">
            <w:pPr>
              <w:spacing w:after="0" w:line="240" w:lineRule="auto"/>
            </w:pPr>
            <w:r w:rsidRPr="00F754EF">
              <w:rPr>
                <w:rFonts w:ascii="Aptos Display" w:hAnsi="Aptos Display"/>
                <w:i/>
                <w:iCs/>
                <w:color w:val="5A6678"/>
                <w:sz w:val="16"/>
                <w:szCs w:val="16"/>
              </w:rPr>
              <w:t>Promover procesos electorales inclusivos fortaleciendo la transversalización de género, previniendo violencia política contra mujeres e involucrando autoridades electorales y sociedad civil.</w:t>
            </w:r>
            <w:r w:rsidRPr="00F754EF">
              <w:rPr>
                <w:i/>
                <w:iCs/>
              </w:rPr>
              <w:t xml:space="preserve"> </w:t>
            </w:r>
          </w:p>
        </w:tc>
        <w:tc>
          <w:tcPr>
            <w:tcW w:w="914" w:type="dxa"/>
            <w:tcBorders>
              <w:top w:val="nil"/>
              <w:left w:val="nil"/>
              <w:bottom w:val="single" w:sz="8" w:space="0" w:color="CCCCCC"/>
              <w:right w:val="single" w:sz="8" w:space="0" w:color="CCCCCC"/>
            </w:tcBorders>
            <w:shd w:val="clear" w:color="auto" w:fill="D6E8F5"/>
            <w:vAlign w:val="center"/>
            <w:hideMark/>
          </w:tcPr>
          <w:p w14:paraId="3CA96099" w14:textId="77777777" w:rsidR="0010213D" w:rsidRPr="00F754EF" w:rsidRDefault="0010213D" w:rsidP="00052C6D">
            <w:pPr>
              <w:spacing w:after="0" w:line="240" w:lineRule="auto"/>
            </w:pPr>
            <w:r w:rsidRPr="00F754EF">
              <w:rPr>
                <w:rFonts w:ascii="Aptos Display" w:hAnsi="Aptos Display"/>
                <w:b/>
                <w:bCs/>
                <w:color w:val="1A7A58"/>
                <w:sz w:val="16"/>
                <w:szCs w:val="16"/>
              </w:rPr>
              <w:t>Programa conjunto</w:t>
            </w:r>
            <w:r w:rsidRPr="00F754EF">
              <w:rPr>
                <w:b/>
                <w:bCs/>
              </w:rPr>
              <w:t xml:space="preserve"> </w:t>
            </w:r>
          </w:p>
        </w:tc>
        <w:tc>
          <w:tcPr>
            <w:tcW w:w="1081" w:type="dxa"/>
            <w:tcBorders>
              <w:top w:val="nil"/>
              <w:left w:val="nil"/>
              <w:bottom w:val="single" w:sz="8" w:space="0" w:color="CCCCCC"/>
              <w:right w:val="single" w:sz="8" w:space="0" w:color="CCCCCC"/>
            </w:tcBorders>
            <w:shd w:val="clear" w:color="auto" w:fill="D6E8F5"/>
            <w:vAlign w:val="center"/>
            <w:hideMark/>
          </w:tcPr>
          <w:p w14:paraId="48EB9417" w14:textId="77777777" w:rsidR="0010213D" w:rsidRPr="00F754EF" w:rsidRDefault="0010213D" w:rsidP="00052C6D">
            <w:pPr>
              <w:spacing w:after="0" w:line="240" w:lineRule="auto"/>
            </w:pPr>
            <w:r w:rsidRPr="00F754EF">
              <w:rPr>
                <w:rFonts w:ascii="Aptos Display" w:hAnsi="Aptos Display"/>
                <w:color w:val="5A6678"/>
                <w:sz w:val="16"/>
                <w:szCs w:val="16"/>
              </w:rPr>
              <w:t>Nacional</w:t>
            </w:r>
            <w:r w:rsidRPr="00F754EF">
              <w:t xml:space="preserve"> </w:t>
            </w:r>
          </w:p>
        </w:tc>
        <w:tc>
          <w:tcPr>
            <w:tcW w:w="948" w:type="dxa"/>
            <w:tcBorders>
              <w:top w:val="nil"/>
              <w:left w:val="nil"/>
              <w:bottom w:val="single" w:sz="8" w:space="0" w:color="CCCCCC"/>
              <w:right w:val="single" w:sz="8" w:space="0" w:color="CCCCCC"/>
            </w:tcBorders>
            <w:shd w:val="clear" w:color="auto" w:fill="D6E8F5"/>
            <w:vAlign w:val="center"/>
            <w:hideMark/>
          </w:tcPr>
          <w:p w14:paraId="109D0D47" w14:textId="77777777" w:rsidR="0010213D" w:rsidRPr="00F754EF" w:rsidRDefault="0010213D" w:rsidP="00052C6D">
            <w:pPr>
              <w:spacing w:after="0" w:line="240" w:lineRule="auto"/>
            </w:pPr>
            <w:r w:rsidRPr="00F754EF">
              <w:rPr>
                <w:rFonts w:ascii="Aptos Display" w:hAnsi="Aptos Display"/>
                <w:b/>
                <w:bCs/>
                <w:color w:val="2E6DA4"/>
                <w:sz w:val="18"/>
                <w:szCs w:val="18"/>
              </w:rPr>
              <w:t>$181K</w:t>
            </w:r>
            <w:r w:rsidRPr="00F754EF">
              <w:rPr>
                <w:b/>
                <w:bCs/>
              </w:rPr>
              <w:t xml:space="preserve"> </w:t>
            </w:r>
          </w:p>
        </w:tc>
        <w:tc>
          <w:tcPr>
            <w:tcW w:w="1477" w:type="dxa"/>
            <w:tcBorders>
              <w:top w:val="nil"/>
              <w:left w:val="nil"/>
              <w:bottom w:val="single" w:sz="8" w:space="0" w:color="CCCCCC"/>
              <w:right w:val="single" w:sz="8" w:space="0" w:color="CCCCCC"/>
            </w:tcBorders>
            <w:shd w:val="clear" w:color="auto" w:fill="D6E8F5"/>
            <w:vAlign w:val="center"/>
            <w:hideMark/>
          </w:tcPr>
          <w:p w14:paraId="741304E0" w14:textId="77777777" w:rsidR="0010213D" w:rsidRPr="00F754EF" w:rsidRDefault="0010213D" w:rsidP="00052C6D">
            <w:pPr>
              <w:spacing w:after="0" w:line="240" w:lineRule="auto"/>
            </w:pPr>
            <w:r w:rsidRPr="00F754EF">
              <w:rPr>
                <w:rFonts w:ascii="Aptos Display" w:hAnsi="Aptos Display"/>
                <w:sz w:val="16"/>
                <w:szCs w:val="16"/>
              </w:rPr>
              <w:t>ONU Mujeres, PNUD, UNDPPA · Consejo Nacional Electoral (CNE) · Tribunal Contencioso Electoral (TCE)</w:t>
            </w:r>
            <w:r w:rsidRPr="00F754EF">
              <w:t xml:space="preserve"> </w:t>
            </w:r>
          </w:p>
        </w:tc>
        <w:tc>
          <w:tcPr>
            <w:tcW w:w="1102" w:type="dxa"/>
            <w:tcBorders>
              <w:top w:val="nil"/>
              <w:left w:val="nil"/>
              <w:bottom w:val="single" w:sz="8" w:space="0" w:color="CCCCCC"/>
              <w:right w:val="single" w:sz="8" w:space="0" w:color="CCCCCC"/>
            </w:tcBorders>
            <w:shd w:val="clear" w:color="auto" w:fill="D6E8F5"/>
            <w:vAlign w:val="center"/>
            <w:hideMark/>
          </w:tcPr>
          <w:p w14:paraId="18AF0C66" w14:textId="77777777" w:rsidR="0010213D" w:rsidRPr="00F754EF" w:rsidRDefault="0010213D" w:rsidP="00052C6D">
            <w:pPr>
              <w:spacing w:after="0" w:line="240" w:lineRule="auto"/>
            </w:pPr>
            <w:r w:rsidRPr="00F754EF">
              <w:rPr>
                <w:rFonts w:ascii="Aptos Display" w:hAnsi="Aptos Display"/>
                <w:sz w:val="16"/>
                <w:szCs w:val="16"/>
              </w:rPr>
              <w:t>PNUD</w:t>
            </w:r>
            <w:r w:rsidRPr="00F754EF">
              <w:t xml:space="preserve"> </w:t>
            </w:r>
          </w:p>
        </w:tc>
      </w:tr>
      <w:tr w:rsidR="0010213D" w:rsidRPr="00F754EF" w14:paraId="54BDF833" w14:textId="77777777" w:rsidTr="00433DDD">
        <w:tc>
          <w:tcPr>
            <w:tcW w:w="4527" w:type="dxa"/>
            <w:tcBorders>
              <w:top w:val="nil"/>
              <w:left w:val="single" w:sz="8" w:space="0" w:color="CCCCCC"/>
              <w:bottom w:val="single" w:sz="8" w:space="0" w:color="CCCCCC"/>
              <w:right w:val="single" w:sz="8" w:space="0" w:color="CCCCCC"/>
            </w:tcBorders>
            <w:shd w:val="clear" w:color="auto" w:fill="D6E8F5"/>
            <w:vAlign w:val="center"/>
            <w:hideMark/>
          </w:tcPr>
          <w:p w14:paraId="2ED795DF" w14:textId="77777777" w:rsidR="0010213D" w:rsidRPr="00F754EF" w:rsidRDefault="0010213D" w:rsidP="00052C6D">
            <w:pPr>
              <w:spacing w:after="0" w:line="240" w:lineRule="auto"/>
            </w:pPr>
            <w:r w:rsidRPr="00F754EF">
              <w:rPr>
                <w:rFonts w:ascii="Aptos Display" w:hAnsi="Aptos Display"/>
                <w:b/>
                <w:bCs/>
                <w:sz w:val="18"/>
                <w:szCs w:val="18"/>
              </w:rPr>
              <w:t>Protegiendo a los Caminantes</w:t>
            </w:r>
            <w:r w:rsidRPr="00F754EF">
              <w:rPr>
                <w:b/>
                <w:bCs/>
              </w:rPr>
              <w:t xml:space="preserve"> </w:t>
            </w:r>
          </w:p>
          <w:p w14:paraId="1F9D4DBA" w14:textId="77777777" w:rsidR="0010213D" w:rsidRPr="00F754EF" w:rsidRDefault="0010213D" w:rsidP="00052C6D">
            <w:pPr>
              <w:spacing w:after="0" w:line="240" w:lineRule="auto"/>
            </w:pPr>
            <w:r w:rsidRPr="00F754EF">
              <w:rPr>
                <w:rFonts w:ascii="Aptos Display" w:hAnsi="Aptos Display"/>
                <w:color w:val="5A6678"/>
                <w:sz w:val="16"/>
                <w:szCs w:val="16"/>
              </w:rPr>
              <w:t>Jun 2023 – Nov 2025</w:t>
            </w:r>
            <w:r w:rsidRPr="00F754EF">
              <w:t xml:space="preserve"> </w:t>
            </w:r>
          </w:p>
          <w:p w14:paraId="70BB9782" w14:textId="77777777" w:rsidR="0010213D" w:rsidRPr="00F754EF" w:rsidRDefault="0010213D" w:rsidP="00052C6D">
            <w:pPr>
              <w:spacing w:after="0" w:line="240" w:lineRule="auto"/>
            </w:pPr>
            <w:r w:rsidRPr="00F754EF">
              <w:rPr>
                <w:rFonts w:ascii="Aptos Display" w:hAnsi="Aptos Display"/>
                <w:i/>
                <w:iCs/>
                <w:color w:val="5A6678"/>
                <w:sz w:val="16"/>
                <w:szCs w:val="16"/>
              </w:rPr>
              <w:t>Reducir la vulnerabilidad de mujeres y niñas en movilidad humana a lo largo de la frontera Ecuador–Colombia mediante el fortalecimiento de mecanismos de protección y cooperación binacional contra la trata y la VCMN.</w:t>
            </w:r>
            <w:r w:rsidRPr="00F754EF">
              <w:rPr>
                <w:i/>
                <w:iCs/>
              </w:rPr>
              <w:t xml:space="preserve"> </w:t>
            </w:r>
          </w:p>
        </w:tc>
        <w:tc>
          <w:tcPr>
            <w:tcW w:w="914" w:type="dxa"/>
            <w:tcBorders>
              <w:top w:val="nil"/>
              <w:left w:val="nil"/>
              <w:bottom w:val="single" w:sz="8" w:space="0" w:color="CCCCCC"/>
              <w:right w:val="single" w:sz="8" w:space="0" w:color="CCCCCC"/>
            </w:tcBorders>
            <w:shd w:val="clear" w:color="auto" w:fill="D6E8F5"/>
            <w:vAlign w:val="center"/>
            <w:hideMark/>
          </w:tcPr>
          <w:p w14:paraId="67B0463E" w14:textId="77777777" w:rsidR="0010213D" w:rsidRPr="00F754EF" w:rsidRDefault="0010213D" w:rsidP="00052C6D">
            <w:pPr>
              <w:spacing w:after="0" w:line="240" w:lineRule="auto"/>
            </w:pPr>
            <w:r w:rsidRPr="00F754EF">
              <w:rPr>
                <w:rFonts w:ascii="Aptos Display" w:hAnsi="Aptos Display"/>
                <w:b/>
                <w:bCs/>
                <w:color w:val="1A7A58"/>
                <w:sz w:val="16"/>
                <w:szCs w:val="16"/>
              </w:rPr>
              <w:t>Programa conjunto</w:t>
            </w:r>
            <w:r w:rsidRPr="00F754EF">
              <w:rPr>
                <w:b/>
                <w:bCs/>
              </w:rPr>
              <w:t xml:space="preserve"> </w:t>
            </w:r>
          </w:p>
        </w:tc>
        <w:tc>
          <w:tcPr>
            <w:tcW w:w="1081" w:type="dxa"/>
            <w:tcBorders>
              <w:top w:val="nil"/>
              <w:left w:val="nil"/>
              <w:bottom w:val="single" w:sz="8" w:space="0" w:color="CCCCCC"/>
              <w:right w:val="single" w:sz="8" w:space="0" w:color="CCCCCC"/>
            </w:tcBorders>
            <w:shd w:val="clear" w:color="auto" w:fill="D6E8F5"/>
            <w:vAlign w:val="center"/>
            <w:hideMark/>
          </w:tcPr>
          <w:p w14:paraId="7083A7A4" w14:textId="77777777" w:rsidR="0010213D" w:rsidRPr="00F754EF" w:rsidRDefault="0010213D" w:rsidP="00052C6D">
            <w:pPr>
              <w:spacing w:after="0" w:line="240" w:lineRule="auto"/>
            </w:pPr>
            <w:r w:rsidRPr="00F754EF">
              <w:rPr>
                <w:rFonts w:ascii="Aptos Display" w:hAnsi="Aptos Display"/>
                <w:color w:val="5A6678"/>
                <w:sz w:val="16"/>
                <w:szCs w:val="16"/>
              </w:rPr>
              <w:t>Tulcán, Lago Agrio, Imbabura (ECU) · Ipiales, Pasto (COL)</w:t>
            </w:r>
            <w:r w:rsidRPr="00F754EF">
              <w:t xml:space="preserve"> </w:t>
            </w:r>
          </w:p>
        </w:tc>
        <w:tc>
          <w:tcPr>
            <w:tcW w:w="948" w:type="dxa"/>
            <w:tcBorders>
              <w:top w:val="nil"/>
              <w:left w:val="nil"/>
              <w:bottom w:val="single" w:sz="8" w:space="0" w:color="CCCCCC"/>
              <w:right w:val="single" w:sz="8" w:space="0" w:color="CCCCCC"/>
            </w:tcBorders>
            <w:shd w:val="clear" w:color="auto" w:fill="D6E8F5"/>
            <w:vAlign w:val="center"/>
            <w:hideMark/>
          </w:tcPr>
          <w:p w14:paraId="05C326BB" w14:textId="77777777" w:rsidR="0010213D" w:rsidRPr="00F754EF" w:rsidRDefault="0010213D" w:rsidP="00052C6D">
            <w:pPr>
              <w:spacing w:after="0" w:line="240" w:lineRule="auto"/>
            </w:pPr>
            <w:r w:rsidRPr="00F754EF">
              <w:rPr>
                <w:rFonts w:ascii="Aptos Display" w:hAnsi="Aptos Display"/>
                <w:b/>
                <w:bCs/>
                <w:color w:val="2E6DA4"/>
                <w:sz w:val="18"/>
                <w:szCs w:val="18"/>
              </w:rPr>
              <w:t>$1,0M</w:t>
            </w:r>
            <w:r w:rsidRPr="00F754EF">
              <w:rPr>
                <w:b/>
                <w:bCs/>
              </w:rPr>
              <w:t xml:space="preserve"> </w:t>
            </w:r>
          </w:p>
        </w:tc>
        <w:tc>
          <w:tcPr>
            <w:tcW w:w="1477" w:type="dxa"/>
            <w:tcBorders>
              <w:top w:val="nil"/>
              <w:left w:val="nil"/>
              <w:bottom w:val="single" w:sz="8" w:space="0" w:color="CCCCCC"/>
              <w:right w:val="single" w:sz="8" w:space="0" w:color="CCCCCC"/>
            </w:tcBorders>
            <w:shd w:val="clear" w:color="auto" w:fill="D6E8F5"/>
            <w:vAlign w:val="center"/>
            <w:hideMark/>
          </w:tcPr>
          <w:p w14:paraId="2AB199FE" w14:textId="77777777" w:rsidR="0010213D" w:rsidRPr="00F754EF" w:rsidRDefault="0010213D" w:rsidP="00052C6D">
            <w:pPr>
              <w:spacing w:after="0" w:line="240" w:lineRule="auto"/>
            </w:pPr>
            <w:r w:rsidRPr="00F754EF">
              <w:rPr>
                <w:rFonts w:ascii="Aptos Display" w:hAnsi="Aptos Display"/>
                <w:sz w:val="16"/>
                <w:szCs w:val="16"/>
              </w:rPr>
              <w:t>ONU Mujeres Ecuador y Colombia</w:t>
            </w:r>
            <w:r w:rsidRPr="00F754EF">
              <w:t xml:space="preserve"> </w:t>
            </w:r>
          </w:p>
        </w:tc>
        <w:tc>
          <w:tcPr>
            <w:tcW w:w="1102" w:type="dxa"/>
            <w:tcBorders>
              <w:top w:val="nil"/>
              <w:left w:val="nil"/>
              <w:bottom w:val="single" w:sz="8" w:space="0" w:color="CCCCCC"/>
              <w:right w:val="single" w:sz="8" w:space="0" w:color="CCCCCC"/>
            </w:tcBorders>
            <w:shd w:val="clear" w:color="auto" w:fill="D6E8F5"/>
            <w:vAlign w:val="center"/>
            <w:hideMark/>
          </w:tcPr>
          <w:p w14:paraId="7A6D78BE" w14:textId="77777777" w:rsidR="0010213D" w:rsidRPr="00F754EF" w:rsidRDefault="0010213D" w:rsidP="00052C6D">
            <w:pPr>
              <w:spacing w:after="0" w:line="240" w:lineRule="auto"/>
            </w:pPr>
            <w:r w:rsidRPr="00F754EF">
              <w:rPr>
                <w:rFonts w:ascii="Aptos Display" w:hAnsi="Aptos Display"/>
                <w:sz w:val="16"/>
                <w:szCs w:val="16"/>
              </w:rPr>
              <w:t>COSUDE (Suiza)</w:t>
            </w:r>
            <w:r w:rsidRPr="00F754EF">
              <w:t xml:space="preserve"> </w:t>
            </w:r>
          </w:p>
        </w:tc>
      </w:tr>
      <w:tr w:rsidR="0010213D" w:rsidRPr="00F754EF" w14:paraId="4BBD4D02" w14:textId="77777777" w:rsidTr="00433DDD">
        <w:tc>
          <w:tcPr>
            <w:tcW w:w="4527" w:type="dxa"/>
            <w:tcBorders>
              <w:top w:val="nil"/>
              <w:left w:val="single" w:sz="8" w:space="0" w:color="CCCCCC"/>
              <w:bottom w:val="single" w:sz="8" w:space="0" w:color="CCCCCC"/>
              <w:right w:val="single" w:sz="8" w:space="0" w:color="CCCCCC"/>
            </w:tcBorders>
            <w:shd w:val="clear" w:color="auto" w:fill="D6E8F5"/>
            <w:vAlign w:val="center"/>
            <w:hideMark/>
          </w:tcPr>
          <w:p w14:paraId="16E79B04" w14:textId="77777777" w:rsidR="0010213D" w:rsidRPr="00F754EF" w:rsidRDefault="0010213D" w:rsidP="00052C6D">
            <w:pPr>
              <w:spacing w:after="0" w:line="240" w:lineRule="auto"/>
            </w:pPr>
            <w:r w:rsidRPr="00F754EF">
              <w:rPr>
                <w:rFonts w:ascii="Aptos Display" w:hAnsi="Aptos Display"/>
                <w:b/>
                <w:bCs/>
                <w:sz w:val="18"/>
                <w:szCs w:val="18"/>
              </w:rPr>
              <w:t>Gobernanza pública para derechos económicos y vida libre de violencia</w:t>
            </w:r>
            <w:r w:rsidRPr="00F754EF">
              <w:rPr>
                <w:b/>
                <w:bCs/>
              </w:rPr>
              <w:t xml:space="preserve"> </w:t>
            </w:r>
          </w:p>
          <w:p w14:paraId="4E329DCD" w14:textId="77777777" w:rsidR="0010213D" w:rsidRPr="00F754EF" w:rsidRDefault="0010213D" w:rsidP="00052C6D">
            <w:pPr>
              <w:spacing w:after="0" w:line="240" w:lineRule="auto"/>
            </w:pPr>
            <w:r w:rsidRPr="00F754EF">
              <w:rPr>
                <w:rFonts w:ascii="Aptos Display" w:hAnsi="Aptos Display"/>
                <w:color w:val="5A6678"/>
                <w:sz w:val="16"/>
                <w:szCs w:val="16"/>
              </w:rPr>
              <w:t>Sept 2023 – May 2025</w:t>
            </w:r>
            <w:r w:rsidRPr="00F754EF">
              <w:t xml:space="preserve"> </w:t>
            </w:r>
          </w:p>
          <w:p w14:paraId="06DCA7E7" w14:textId="77777777" w:rsidR="0010213D" w:rsidRPr="00F754EF" w:rsidRDefault="0010213D" w:rsidP="00052C6D">
            <w:pPr>
              <w:spacing w:after="0" w:line="240" w:lineRule="auto"/>
            </w:pPr>
            <w:r w:rsidRPr="00F754EF">
              <w:rPr>
                <w:rFonts w:ascii="Aptos Display" w:hAnsi="Aptos Display"/>
                <w:i/>
                <w:iCs/>
                <w:color w:val="5A6678"/>
                <w:sz w:val="16"/>
                <w:szCs w:val="16"/>
              </w:rPr>
              <w:t>Fortalecer la capacidad estatal para garantizar derechos económicos y libertad de violencia a mujeres y personas LGBTIQ+ mediante asistencia técnica al Ministerio de la Mujer.</w:t>
            </w:r>
            <w:r w:rsidRPr="00F754EF">
              <w:rPr>
                <w:i/>
                <w:iCs/>
              </w:rPr>
              <w:t xml:space="preserve"> </w:t>
            </w:r>
          </w:p>
        </w:tc>
        <w:tc>
          <w:tcPr>
            <w:tcW w:w="914" w:type="dxa"/>
            <w:tcBorders>
              <w:top w:val="nil"/>
              <w:left w:val="nil"/>
              <w:bottom w:val="single" w:sz="8" w:space="0" w:color="CCCCCC"/>
              <w:right w:val="single" w:sz="8" w:space="0" w:color="CCCCCC"/>
            </w:tcBorders>
            <w:shd w:val="clear" w:color="auto" w:fill="D6E8F5"/>
            <w:vAlign w:val="center"/>
            <w:hideMark/>
          </w:tcPr>
          <w:p w14:paraId="5A220802" w14:textId="77777777" w:rsidR="0010213D" w:rsidRPr="00F754EF" w:rsidRDefault="0010213D" w:rsidP="00052C6D">
            <w:pPr>
              <w:spacing w:after="0" w:line="240" w:lineRule="auto"/>
            </w:pPr>
            <w:r w:rsidRPr="00F754EF">
              <w:rPr>
                <w:rFonts w:ascii="Aptos Display" w:hAnsi="Aptos Display"/>
                <w:b/>
                <w:bCs/>
                <w:color w:val="5B21B6"/>
                <w:sz w:val="16"/>
                <w:szCs w:val="16"/>
              </w:rPr>
              <w:t>Asistencia técnica</w:t>
            </w:r>
            <w:r w:rsidRPr="00F754EF">
              <w:rPr>
                <w:b/>
                <w:bCs/>
              </w:rPr>
              <w:t xml:space="preserve"> </w:t>
            </w:r>
          </w:p>
        </w:tc>
        <w:tc>
          <w:tcPr>
            <w:tcW w:w="1081" w:type="dxa"/>
            <w:tcBorders>
              <w:top w:val="nil"/>
              <w:left w:val="nil"/>
              <w:bottom w:val="single" w:sz="8" w:space="0" w:color="CCCCCC"/>
              <w:right w:val="single" w:sz="8" w:space="0" w:color="CCCCCC"/>
            </w:tcBorders>
            <w:shd w:val="clear" w:color="auto" w:fill="D6E8F5"/>
            <w:vAlign w:val="center"/>
            <w:hideMark/>
          </w:tcPr>
          <w:p w14:paraId="669A0C51" w14:textId="77777777" w:rsidR="0010213D" w:rsidRPr="00F754EF" w:rsidRDefault="0010213D" w:rsidP="00052C6D">
            <w:pPr>
              <w:spacing w:after="0" w:line="240" w:lineRule="auto"/>
            </w:pPr>
            <w:r w:rsidRPr="00F754EF">
              <w:rPr>
                <w:rFonts w:ascii="Aptos Display" w:hAnsi="Aptos Display"/>
                <w:color w:val="5A6678"/>
                <w:sz w:val="16"/>
                <w:szCs w:val="16"/>
              </w:rPr>
              <w:t>Nacional</w:t>
            </w:r>
            <w:r w:rsidRPr="00F754EF">
              <w:t xml:space="preserve"> </w:t>
            </w:r>
          </w:p>
        </w:tc>
        <w:tc>
          <w:tcPr>
            <w:tcW w:w="948" w:type="dxa"/>
            <w:tcBorders>
              <w:top w:val="nil"/>
              <w:left w:val="nil"/>
              <w:bottom w:val="single" w:sz="8" w:space="0" w:color="CCCCCC"/>
              <w:right w:val="single" w:sz="8" w:space="0" w:color="CCCCCC"/>
            </w:tcBorders>
            <w:shd w:val="clear" w:color="auto" w:fill="D6E8F5"/>
            <w:vAlign w:val="center"/>
            <w:hideMark/>
          </w:tcPr>
          <w:p w14:paraId="3ED7663A" w14:textId="77777777" w:rsidR="0010213D" w:rsidRPr="00F754EF" w:rsidRDefault="0010213D" w:rsidP="00052C6D">
            <w:pPr>
              <w:spacing w:after="0" w:line="240" w:lineRule="auto"/>
            </w:pPr>
            <w:r w:rsidRPr="00F754EF">
              <w:rPr>
                <w:rFonts w:ascii="Aptos Display" w:hAnsi="Aptos Display"/>
                <w:b/>
                <w:bCs/>
                <w:color w:val="2E6DA4"/>
                <w:sz w:val="18"/>
                <w:szCs w:val="18"/>
              </w:rPr>
              <w:t>$960K</w:t>
            </w:r>
            <w:r w:rsidRPr="00F754EF">
              <w:rPr>
                <w:b/>
                <w:bCs/>
              </w:rPr>
              <w:t xml:space="preserve"> </w:t>
            </w:r>
          </w:p>
        </w:tc>
        <w:tc>
          <w:tcPr>
            <w:tcW w:w="1477" w:type="dxa"/>
            <w:tcBorders>
              <w:top w:val="nil"/>
              <w:left w:val="nil"/>
              <w:bottom w:val="single" w:sz="8" w:space="0" w:color="CCCCCC"/>
              <w:right w:val="single" w:sz="8" w:space="0" w:color="CCCCCC"/>
            </w:tcBorders>
            <w:shd w:val="clear" w:color="auto" w:fill="D6E8F5"/>
            <w:vAlign w:val="center"/>
            <w:hideMark/>
          </w:tcPr>
          <w:p w14:paraId="6879A100" w14:textId="77777777" w:rsidR="0010213D" w:rsidRPr="00F754EF" w:rsidRDefault="0010213D" w:rsidP="00052C6D">
            <w:pPr>
              <w:spacing w:after="0" w:line="240" w:lineRule="auto"/>
            </w:pPr>
            <w:r w:rsidRPr="00F754EF">
              <w:rPr>
                <w:rFonts w:ascii="Aptos Display" w:hAnsi="Aptos Display"/>
                <w:sz w:val="16"/>
                <w:szCs w:val="16"/>
              </w:rPr>
              <w:t>ONU Mujeres · Ministerio de la Mujer y Derechos Humanos · Organizaciones de mujeres y LGBTIQ+</w:t>
            </w:r>
            <w:r w:rsidRPr="00F754EF">
              <w:t xml:space="preserve"> </w:t>
            </w:r>
          </w:p>
        </w:tc>
        <w:tc>
          <w:tcPr>
            <w:tcW w:w="1102" w:type="dxa"/>
            <w:tcBorders>
              <w:top w:val="nil"/>
              <w:left w:val="nil"/>
              <w:bottom w:val="single" w:sz="8" w:space="0" w:color="CCCCCC"/>
              <w:right w:val="single" w:sz="8" w:space="0" w:color="CCCCCC"/>
            </w:tcBorders>
            <w:shd w:val="clear" w:color="auto" w:fill="D6E8F5"/>
            <w:vAlign w:val="center"/>
            <w:hideMark/>
          </w:tcPr>
          <w:p w14:paraId="1D22665A" w14:textId="77777777" w:rsidR="0010213D" w:rsidRPr="00F754EF" w:rsidRDefault="0010213D" w:rsidP="00052C6D">
            <w:pPr>
              <w:spacing w:after="0" w:line="240" w:lineRule="auto"/>
            </w:pPr>
            <w:r w:rsidRPr="00F754EF">
              <w:rPr>
                <w:rFonts w:ascii="Aptos Display" w:hAnsi="Aptos Display"/>
                <w:sz w:val="16"/>
                <w:szCs w:val="16"/>
              </w:rPr>
              <w:t>Ministerio de la Mujer y Derechos Humanos</w:t>
            </w:r>
            <w:r w:rsidRPr="00F754EF">
              <w:t xml:space="preserve"> </w:t>
            </w:r>
          </w:p>
        </w:tc>
      </w:tr>
      <w:tr w:rsidR="0010213D" w:rsidRPr="00F754EF" w14:paraId="5B53F64A" w14:textId="77777777" w:rsidTr="00433DDD">
        <w:tc>
          <w:tcPr>
            <w:tcW w:w="4527" w:type="dxa"/>
            <w:tcBorders>
              <w:top w:val="nil"/>
              <w:left w:val="single" w:sz="8" w:space="0" w:color="CCCCCC"/>
              <w:bottom w:val="single" w:sz="8" w:space="0" w:color="CCCCCC"/>
              <w:right w:val="single" w:sz="8" w:space="0" w:color="CCCCCC"/>
            </w:tcBorders>
            <w:shd w:val="clear" w:color="auto" w:fill="D6E8F5"/>
            <w:vAlign w:val="center"/>
            <w:hideMark/>
          </w:tcPr>
          <w:p w14:paraId="3840160D" w14:textId="77777777" w:rsidR="0010213D" w:rsidRPr="00F754EF" w:rsidRDefault="0010213D" w:rsidP="00052C6D">
            <w:pPr>
              <w:spacing w:after="0" w:line="240" w:lineRule="auto"/>
            </w:pPr>
            <w:r w:rsidRPr="00F754EF">
              <w:rPr>
                <w:rFonts w:ascii="Aptos Display" w:hAnsi="Aptos Display"/>
                <w:b/>
                <w:bCs/>
                <w:sz w:val="18"/>
                <w:szCs w:val="18"/>
              </w:rPr>
              <w:t>Observatorio Social</w:t>
            </w:r>
            <w:r w:rsidRPr="00F754EF">
              <w:rPr>
                <w:b/>
                <w:bCs/>
              </w:rPr>
              <w:t xml:space="preserve"> </w:t>
            </w:r>
          </w:p>
          <w:p w14:paraId="0D9ABFC7" w14:textId="77777777" w:rsidR="0010213D" w:rsidRPr="00F754EF" w:rsidRDefault="0010213D" w:rsidP="00052C6D">
            <w:pPr>
              <w:spacing w:after="0" w:line="240" w:lineRule="auto"/>
            </w:pPr>
            <w:proofErr w:type="spellStart"/>
            <w:r w:rsidRPr="00F754EF">
              <w:rPr>
                <w:rFonts w:ascii="Aptos Display" w:hAnsi="Aptos Display"/>
                <w:color w:val="5A6678"/>
                <w:sz w:val="16"/>
                <w:szCs w:val="16"/>
              </w:rPr>
              <w:t>Ago</w:t>
            </w:r>
            <w:proofErr w:type="spellEnd"/>
            <w:r w:rsidRPr="00F754EF">
              <w:rPr>
                <w:rFonts w:ascii="Aptos Display" w:hAnsi="Aptos Display"/>
                <w:color w:val="5A6678"/>
                <w:sz w:val="16"/>
                <w:szCs w:val="16"/>
              </w:rPr>
              <w:t xml:space="preserve"> 2024 – Dic 2025</w:t>
            </w:r>
            <w:r w:rsidRPr="00F754EF">
              <w:t xml:space="preserve"> </w:t>
            </w:r>
          </w:p>
          <w:p w14:paraId="04BBDA9C" w14:textId="77777777" w:rsidR="0010213D" w:rsidRPr="00F754EF" w:rsidRDefault="0010213D" w:rsidP="00052C6D">
            <w:pPr>
              <w:spacing w:after="0" w:line="240" w:lineRule="auto"/>
            </w:pPr>
            <w:r w:rsidRPr="00F754EF">
              <w:rPr>
                <w:rFonts w:ascii="Aptos Display" w:hAnsi="Aptos Display"/>
                <w:i/>
                <w:iCs/>
                <w:color w:val="5A6678"/>
                <w:sz w:val="16"/>
                <w:szCs w:val="16"/>
              </w:rPr>
              <w:t>Desarrollo de una plataforma de datos de género con 71 indicadores georreferenciados en violencia, igualdad económica y social, entregada e instalada en la infraestructura propia del Municipio de Quito, acompañada de una encuesta cantonal sobre violencia contra mujeres.</w:t>
            </w:r>
            <w:r w:rsidRPr="00F754EF">
              <w:rPr>
                <w:i/>
                <w:iCs/>
              </w:rPr>
              <w:t xml:space="preserve"> </w:t>
            </w:r>
          </w:p>
        </w:tc>
        <w:tc>
          <w:tcPr>
            <w:tcW w:w="914" w:type="dxa"/>
            <w:tcBorders>
              <w:top w:val="nil"/>
              <w:left w:val="nil"/>
              <w:bottom w:val="single" w:sz="8" w:space="0" w:color="CCCCCC"/>
              <w:right w:val="single" w:sz="8" w:space="0" w:color="CCCCCC"/>
            </w:tcBorders>
            <w:shd w:val="clear" w:color="auto" w:fill="D6E8F5"/>
            <w:vAlign w:val="center"/>
            <w:hideMark/>
          </w:tcPr>
          <w:p w14:paraId="35BE57AF" w14:textId="77777777" w:rsidR="0010213D" w:rsidRPr="00F754EF" w:rsidRDefault="0010213D" w:rsidP="00052C6D">
            <w:pPr>
              <w:spacing w:after="0" w:line="240" w:lineRule="auto"/>
            </w:pPr>
            <w:r w:rsidRPr="00F754EF">
              <w:rPr>
                <w:rFonts w:ascii="Aptos Display" w:hAnsi="Aptos Display"/>
                <w:b/>
                <w:bCs/>
                <w:color w:val="5B21B6"/>
                <w:sz w:val="16"/>
                <w:szCs w:val="16"/>
              </w:rPr>
              <w:t>Asistencia técnica</w:t>
            </w:r>
            <w:r w:rsidRPr="00F754EF">
              <w:rPr>
                <w:b/>
                <w:bCs/>
              </w:rPr>
              <w:t xml:space="preserve"> </w:t>
            </w:r>
          </w:p>
        </w:tc>
        <w:tc>
          <w:tcPr>
            <w:tcW w:w="1081" w:type="dxa"/>
            <w:tcBorders>
              <w:top w:val="nil"/>
              <w:left w:val="nil"/>
              <w:bottom w:val="single" w:sz="8" w:space="0" w:color="CCCCCC"/>
              <w:right w:val="single" w:sz="8" w:space="0" w:color="CCCCCC"/>
            </w:tcBorders>
            <w:shd w:val="clear" w:color="auto" w:fill="D6E8F5"/>
            <w:vAlign w:val="center"/>
            <w:hideMark/>
          </w:tcPr>
          <w:p w14:paraId="62369336" w14:textId="77777777" w:rsidR="0010213D" w:rsidRPr="00F754EF" w:rsidRDefault="0010213D" w:rsidP="00052C6D">
            <w:pPr>
              <w:spacing w:after="0" w:line="240" w:lineRule="auto"/>
            </w:pPr>
            <w:r w:rsidRPr="00F754EF">
              <w:rPr>
                <w:rFonts w:ascii="Aptos Display" w:hAnsi="Aptos Display"/>
                <w:color w:val="5A6678"/>
                <w:sz w:val="16"/>
                <w:szCs w:val="16"/>
              </w:rPr>
              <w:t>Quito</w:t>
            </w:r>
            <w:r w:rsidRPr="00F754EF">
              <w:t xml:space="preserve"> </w:t>
            </w:r>
          </w:p>
        </w:tc>
        <w:tc>
          <w:tcPr>
            <w:tcW w:w="948" w:type="dxa"/>
            <w:tcBorders>
              <w:top w:val="nil"/>
              <w:left w:val="nil"/>
              <w:bottom w:val="single" w:sz="8" w:space="0" w:color="CCCCCC"/>
              <w:right w:val="single" w:sz="8" w:space="0" w:color="CCCCCC"/>
            </w:tcBorders>
            <w:shd w:val="clear" w:color="auto" w:fill="D6E8F5"/>
            <w:vAlign w:val="center"/>
            <w:hideMark/>
          </w:tcPr>
          <w:p w14:paraId="62BA7920" w14:textId="77777777" w:rsidR="0010213D" w:rsidRPr="00F754EF" w:rsidRDefault="0010213D" w:rsidP="00052C6D">
            <w:pPr>
              <w:spacing w:after="0" w:line="240" w:lineRule="auto"/>
            </w:pPr>
            <w:r w:rsidRPr="00F754EF">
              <w:rPr>
                <w:rFonts w:ascii="Aptos Display" w:hAnsi="Aptos Display"/>
                <w:b/>
                <w:bCs/>
                <w:color w:val="2E6DA4"/>
                <w:sz w:val="18"/>
                <w:szCs w:val="18"/>
              </w:rPr>
              <w:t>$400K</w:t>
            </w:r>
            <w:r w:rsidRPr="00F754EF">
              <w:rPr>
                <w:b/>
                <w:bCs/>
              </w:rPr>
              <w:t xml:space="preserve"> </w:t>
            </w:r>
          </w:p>
        </w:tc>
        <w:tc>
          <w:tcPr>
            <w:tcW w:w="1477" w:type="dxa"/>
            <w:tcBorders>
              <w:top w:val="nil"/>
              <w:left w:val="nil"/>
              <w:bottom w:val="single" w:sz="8" w:space="0" w:color="CCCCCC"/>
              <w:right w:val="single" w:sz="8" w:space="0" w:color="CCCCCC"/>
            </w:tcBorders>
            <w:shd w:val="clear" w:color="auto" w:fill="D6E8F5"/>
            <w:vAlign w:val="center"/>
            <w:hideMark/>
          </w:tcPr>
          <w:p w14:paraId="26C599CB" w14:textId="77777777" w:rsidR="0010213D" w:rsidRPr="00F754EF" w:rsidRDefault="0010213D" w:rsidP="00052C6D">
            <w:pPr>
              <w:spacing w:after="0" w:line="240" w:lineRule="auto"/>
            </w:pPr>
            <w:r w:rsidRPr="00F754EF">
              <w:rPr>
                <w:rFonts w:ascii="Aptos Display" w:hAnsi="Aptos Display"/>
                <w:sz w:val="16"/>
                <w:szCs w:val="16"/>
              </w:rPr>
              <w:t>ONU Mujeres · Ministerio de Inclusión, Municipio de Quito</w:t>
            </w:r>
            <w:r w:rsidRPr="00F754EF">
              <w:t xml:space="preserve"> </w:t>
            </w:r>
          </w:p>
        </w:tc>
        <w:tc>
          <w:tcPr>
            <w:tcW w:w="1102" w:type="dxa"/>
            <w:tcBorders>
              <w:top w:val="nil"/>
              <w:left w:val="nil"/>
              <w:bottom w:val="single" w:sz="8" w:space="0" w:color="CCCCCC"/>
              <w:right w:val="single" w:sz="8" w:space="0" w:color="CCCCCC"/>
            </w:tcBorders>
            <w:shd w:val="clear" w:color="auto" w:fill="D6E8F5"/>
            <w:vAlign w:val="center"/>
            <w:hideMark/>
          </w:tcPr>
          <w:p w14:paraId="05A9BA12" w14:textId="77777777" w:rsidR="0010213D" w:rsidRPr="00F754EF" w:rsidRDefault="0010213D" w:rsidP="00052C6D">
            <w:pPr>
              <w:spacing w:after="0" w:line="240" w:lineRule="auto"/>
            </w:pPr>
            <w:r w:rsidRPr="00F754EF">
              <w:rPr>
                <w:rFonts w:ascii="Aptos Display" w:hAnsi="Aptos Display"/>
                <w:sz w:val="16"/>
                <w:szCs w:val="16"/>
              </w:rPr>
              <w:t>Municipio de Quito</w:t>
            </w:r>
            <w:r w:rsidRPr="00F754EF">
              <w:t xml:space="preserve"> </w:t>
            </w:r>
          </w:p>
        </w:tc>
      </w:tr>
      <w:tr w:rsidR="00B34C8C" w:rsidRPr="00F754EF" w14:paraId="73378AEE" w14:textId="77777777" w:rsidTr="00B34C8C">
        <w:tc>
          <w:tcPr>
            <w:tcW w:w="10049" w:type="dxa"/>
            <w:gridSpan w:val="6"/>
            <w:tcBorders>
              <w:top w:val="nil"/>
              <w:left w:val="single" w:sz="8" w:space="0" w:color="CCCCCC"/>
              <w:bottom w:val="single" w:sz="8" w:space="0" w:color="CCCCCC"/>
              <w:right w:val="single" w:sz="8" w:space="0" w:color="CCCCCC"/>
            </w:tcBorders>
            <w:shd w:val="clear" w:color="auto" w:fill="C75B7A"/>
            <w:vAlign w:val="center"/>
          </w:tcPr>
          <w:p w14:paraId="0B19AE11" w14:textId="5C37B636" w:rsidR="00B34C8C" w:rsidRPr="00F754EF" w:rsidRDefault="00B34C8C" w:rsidP="00052C6D">
            <w:pPr>
              <w:spacing w:after="0" w:line="240" w:lineRule="auto"/>
              <w:rPr>
                <w:rFonts w:ascii="Aptos Display" w:hAnsi="Aptos Display"/>
                <w:b/>
                <w:bCs/>
                <w:color w:val="1A2744"/>
                <w:sz w:val="17"/>
                <w:szCs w:val="17"/>
              </w:rPr>
            </w:pPr>
            <w:r w:rsidRPr="00F754EF">
              <w:rPr>
                <w:rFonts w:ascii="Aptos Display" w:hAnsi="Aptos Display"/>
                <w:b/>
                <w:bCs/>
                <w:color w:val="FFFFFF"/>
                <w:sz w:val="20"/>
                <w:szCs w:val="20"/>
              </w:rPr>
              <w:t>RESULTADO 1 · USD 5,2M (39</w:t>
            </w:r>
            <w:proofErr w:type="gramStart"/>
            <w:r w:rsidRPr="00F754EF">
              <w:rPr>
                <w:rFonts w:ascii="Aptos Display" w:hAnsi="Aptos Display"/>
                <w:b/>
                <w:bCs/>
                <w:color w:val="FFFFFF"/>
                <w:sz w:val="20"/>
                <w:szCs w:val="20"/>
              </w:rPr>
              <w:t>%)  |</w:t>
            </w:r>
            <w:proofErr w:type="gramEnd"/>
            <w:r w:rsidRPr="00F754EF">
              <w:rPr>
                <w:rFonts w:ascii="Aptos Display" w:hAnsi="Aptos Display"/>
                <w:b/>
                <w:bCs/>
                <w:color w:val="FFFFFF"/>
                <w:sz w:val="20"/>
                <w:szCs w:val="20"/>
              </w:rPr>
              <w:t>  Las mujeres tienen seguridad de ingresos, trabajo decente y autonomía económica</w:t>
            </w:r>
          </w:p>
        </w:tc>
      </w:tr>
      <w:tr w:rsidR="0010213D" w:rsidRPr="00F754EF" w14:paraId="4827B533" w14:textId="77777777" w:rsidTr="00433DDD">
        <w:tc>
          <w:tcPr>
            <w:tcW w:w="4527" w:type="dxa"/>
            <w:tcBorders>
              <w:top w:val="nil"/>
              <w:left w:val="single" w:sz="8" w:space="0" w:color="CCCCCC"/>
              <w:bottom w:val="single" w:sz="8" w:space="0" w:color="CCCCCC"/>
              <w:right w:val="single" w:sz="8" w:space="0" w:color="CCCCCC"/>
            </w:tcBorders>
            <w:shd w:val="clear" w:color="auto" w:fill="E8ECF0"/>
            <w:vAlign w:val="center"/>
            <w:hideMark/>
          </w:tcPr>
          <w:p w14:paraId="3C287997" w14:textId="77777777" w:rsidR="0010213D" w:rsidRPr="00F754EF" w:rsidRDefault="0010213D" w:rsidP="00052C6D">
            <w:pPr>
              <w:spacing w:after="0" w:line="240" w:lineRule="auto"/>
            </w:pPr>
            <w:r w:rsidRPr="00F754EF">
              <w:rPr>
                <w:rFonts w:ascii="Aptos Display" w:hAnsi="Aptos Display"/>
                <w:b/>
                <w:bCs/>
                <w:color w:val="1A2744"/>
                <w:sz w:val="17"/>
                <w:szCs w:val="17"/>
              </w:rPr>
              <w:t>Programa</w:t>
            </w:r>
            <w:r w:rsidRPr="00F754EF">
              <w:rPr>
                <w:b/>
                <w:bCs/>
              </w:rPr>
              <w:t xml:space="preserve"> </w:t>
            </w:r>
          </w:p>
        </w:tc>
        <w:tc>
          <w:tcPr>
            <w:tcW w:w="914" w:type="dxa"/>
            <w:tcBorders>
              <w:top w:val="nil"/>
              <w:left w:val="nil"/>
              <w:bottom w:val="single" w:sz="8" w:space="0" w:color="CCCCCC"/>
              <w:right w:val="single" w:sz="8" w:space="0" w:color="CCCCCC"/>
            </w:tcBorders>
            <w:shd w:val="clear" w:color="auto" w:fill="E8ECF0"/>
            <w:vAlign w:val="center"/>
            <w:hideMark/>
          </w:tcPr>
          <w:p w14:paraId="77CD6FB1" w14:textId="77777777" w:rsidR="0010213D" w:rsidRPr="00F754EF" w:rsidRDefault="0010213D" w:rsidP="00052C6D">
            <w:pPr>
              <w:spacing w:after="0" w:line="240" w:lineRule="auto"/>
            </w:pPr>
            <w:r w:rsidRPr="00F754EF">
              <w:rPr>
                <w:rFonts w:ascii="Aptos Display" w:hAnsi="Aptos Display"/>
                <w:b/>
                <w:bCs/>
                <w:color w:val="1A2744"/>
                <w:sz w:val="17"/>
                <w:szCs w:val="17"/>
              </w:rPr>
              <w:t>Modalidad</w:t>
            </w:r>
            <w:r w:rsidRPr="00F754EF">
              <w:rPr>
                <w:b/>
                <w:bCs/>
              </w:rPr>
              <w:t xml:space="preserve"> </w:t>
            </w:r>
          </w:p>
        </w:tc>
        <w:tc>
          <w:tcPr>
            <w:tcW w:w="1081" w:type="dxa"/>
            <w:tcBorders>
              <w:top w:val="nil"/>
              <w:left w:val="nil"/>
              <w:bottom w:val="single" w:sz="8" w:space="0" w:color="CCCCCC"/>
              <w:right w:val="single" w:sz="8" w:space="0" w:color="CCCCCC"/>
            </w:tcBorders>
            <w:shd w:val="clear" w:color="auto" w:fill="E8ECF0"/>
            <w:vAlign w:val="center"/>
            <w:hideMark/>
          </w:tcPr>
          <w:p w14:paraId="1F42D157" w14:textId="77777777" w:rsidR="0010213D" w:rsidRPr="00F754EF" w:rsidRDefault="0010213D" w:rsidP="00052C6D">
            <w:pPr>
              <w:spacing w:after="0" w:line="240" w:lineRule="auto"/>
            </w:pPr>
            <w:r w:rsidRPr="00F754EF">
              <w:rPr>
                <w:rFonts w:ascii="Aptos Display" w:hAnsi="Aptos Display"/>
                <w:b/>
                <w:bCs/>
                <w:color w:val="1A2744"/>
                <w:sz w:val="17"/>
                <w:szCs w:val="17"/>
              </w:rPr>
              <w:t>Enfoque geográfico</w:t>
            </w:r>
            <w:r w:rsidRPr="00F754EF">
              <w:rPr>
                <w:b/>
                <w:bCs/>
              </w:rPr>
              <w:t xml:space="preserve"> </w:t>
            </w:r>
          </w:p>
        </w:tc>
        <w:tc>
          <w:tcPr>
            <w:tcW w:w="948" w:type="dxa"/>
            <w:tcBorders>
              <w:top w:val="nil"/>
              <w:left w:val="nil"/>
              <w:bottom w:val="single" w:sz="8" w:space="0" w:color="CCCCCC"/>
              <w:right w:val="single" w:sz="8" w:space="0" w:color="CCCCCC"/>
            </w:tcBorders>
            <w:shd w:val="clear" w:color="auto" w:fill="E8ECF0"/>
            <w:vAlign w:val="center"/>
            <w:hideMark/>
          </w:tcPr>
          <w:p w14:paraId="6165A9C8" w14:textId="77777777" w:rsidR="0010213D" w:rsidRPr="00F754EF" w:rsidRDefault="0010213D" w:rsidP="00052C6D">
            <w:pPr>
              <w:spacing w:after="0" w:line="240" w:lineRule="auto"/>
            </w:pPr>
            <w:r w:rsidRPr="00F754EF">
              <w:rPr>
                <w:rFonts w:ascii="Aptos Display" w:hAnsi="Aptos Display"/>
                <w:b/>
                <w:bCs/>
                <w:color w:val="1A2744"/>
                <w:sz w:val="17"/>
                <w:szCs w:val="17"/>
              </w:rPr>
              <w:t>Presupuesto</w:t>
            </w:r>
            <w:r w:rsidRPr="00F754EF">
              <w:rPr>
                <w:b/>
                <w:bCs/>
              </w:rPr>
              <w:t xml:space="preserve"> </w:t>
            </w:r>
          </w:p>
        </w:tc>
        <w:tc>
          <w:tcPr>
            <w:tcW w:w="1477" w:type="dxa"/>
            <w:tcBorders>
              <w:top w:val="nil"/>
              <w:left w:val="nil"/>
              <w:bottom w:val="single" w:sz="8" w:space="0" w:color="CCCCCC"/>
              <w:right w:val="single" w:sz="8" w:space="0" w:color="CCCCCC"/>
            </w:tcBorders>
            <w:shd w:val="clear" w:color="auto" w:fill="E8ECF0"/>
            <w:vAlign w:val="center"/>
            <w:hideMark/>
          </w:tcPr>
          <w:p w14:paraId="142F39D2" w14:textId="77777777" w:rsidR="0010213D" w:rsidRPr="00F754EF" w:rsidRDefault="0010213D" w:rsidP="00052C6D">
            <w:pPr>
              <w:spacing w:after="0" w:line="240" w:lineRule="auto"/>
            </w:pPr>
            <w:r w:rsidRPr="00F754EF">
              <w:rPr>
                <w:rFonts w:ascii="Aptos Display" w:hAnsi="Aptos Display"/>
                <w:b/>
                <w:bCs/>
                <w:color w:val="1A2744"/>
                <w:sz w:val="17"/>
                <w:szCs w:val="17"/>
              </w:rPr>
              <w:t>Socios implementadores</w:t>
            </w:r>
            <w:r w:rsidRPr="00F754EF">
              <w:rPr>
                <w:b/>
                <w:bCs/>
              </w:rPr>
              <w:t xml:space="preserve"> </w:t>
            </w:r>
          </w:p>
        </w:tc>
        <w:tc>
          <w:tcPr>
            <w:tcW w:w="1102" w:type="dxa"/>
            <w:tcBorders>
              <w:top w:val="nil"/>
              <w:left w:val="nil"/>
              <w:bottom w:val="single" w:sz="8" w:space="0" w:color="CCCCCC"/>
              <w:right w:val="single" w:sz="8" w:space="0" w:color="CCCCCC"/>
            </w:tcBorders>
            <w:shd w:val="clear" w:color="auto" w:fill="E8ECF0"/>
            <w:vAlign w:val="center"/>
            <w:hideMark/>
          </w:tcPr>
          <w:p w14:paraId="72C9F0CC" w14:textId="77777777" w:rsidR="0010213D" w:rsidRPr="00F754EF" w:rsidRDefault="0010213D" w:rsidP="00052C6D">
            <w:pPr>
              <w:spacing w:after="0" w:line="240" w:lineRule="auto"/>
            </w:pPr>
            <w:r w:rsidRPr="00F754EF">
              <w:rPr>
                <w:rFonts w:ascii="Aptos Display" w:hAnsi="Aptos Display"/>
                <w:b/>
                <w:bCs/>
                <w:color w:val="1A2744"/>
                <w:sz w:val="17"/>
                <w:szCs w:val="17"/>
              </w:rPr>
              <w:t>Donantes</w:t>
            </w:r>
            <w:r w:rsidRPr="00F754EF">
              <w:rPr>
                <w:b/>
                <w:bCs/>
              </w:rPr>
              <w:t xml:space="preserve"> </w:t>
            </w:r>
          </w:p>
        </w:tc>
      </w:tr>
      <w:tr w:rsidR="0010213D" w:rsidRPr="00F754EF" w14:paraId="396A5905" w14:textId="77777777" w:rsidTr="00433DDD">
        <w:tc>
          <w:tcPr>
            <w:tcW w:w="4527" w:type="dxa"/>
            <w:tcBorders>
              <w:top w:val="nil"/>
              <w:left w:val="single" w:sz="8" w:space="0" w:color="CCCCCC"/>
              <w:bottom w:val="single" w:sz="8" w:space="0" w:color="CCCCCC"/>
              <w:right w:val="single" w:sz="8" w:space="0" w:color="CCCCCC"/>
            </w:tcBorders>
            <w:shd w:val="clear" w:color="auto" w:fill="F9E0E8"/>
            <w:vAlign w:val="center"/>
            <w:hideMark/>
          </w:tcPr>
          <w:p w14:paraId="365F3F5E" w14:textId="77777777" w:rsidR="0010213D" w:rsidRPr="00F754EF" w:rsidRDefault="0010213D" w:rsidP="00052C6D">
            <w:pPr>
              <w:spacing w:after="0" w:line="240" w:lineRule="auto"/>
            </w:pPr>
            <w:r w:rsidRPr="00F754EF">
              <w:rPr>
                <w:rFonts w:ascii="Aptos Display" w:hAnsi="Aptos Display"/>
                <w:b/>
                <w:bCs/>
                <w:sz w:val="18"/>
                <w:szCs w:val="18"/>
              </w:rPr>
              <w:t>Integración socioeconómica de migrantes y comunidades de acogida</w:t>
            </w:r>
            <w:r w:rsidRPr="00F754EF">
              <w:rPr>
                <w:b/>
                <w:bCs/>
              </w:rPr>
              <w:t xml:space="preserve"> </w:t>
            </w:r>
          </w:p>
          <w:p w14:paraId="7F0ECAD1" w14:textId="77777777" w:rsidR="0010213D" w:rsidRPr="00F754EF" w:rsidRDefault="0010213D" w:rsidP="00052C6D">
            <w:pPr>
              <w:spacing w:after="0" w:line="240" w:lineRule="auto"/>
            </w:pPr>
            <w:r w:rsidRPr="00F754EF">
              <w:rPr>
                <w:rFonts w:ascii="Aptos Display" w:hAnsi="Aptos Display"/>
                <w:color w:val="5A6678"/>
                <w:sz w:val="16"/>
                <w:szCs w:val="16"/>
              </w:rPr>
              <w:t>Dic 2021 – Mar 2024</w:t>
            </w:r>
            <w:r w:rsidRPr="00F754EF">
              <w:t xml:space="preserve"> </w:t>
            </w:r>
          </w:p>
          <w:p w14:paraId="7587B3AD" w14:textId="77777777" w:rsidR="0010213D" w:rsidRPr="00F754EF" w:rsidRDefault="0010213D" w:rsidP="00052C6D">
            <w:pPr>
              <w:spacing w:after="0" w:line="240" w:lineRule="auto"/>
            </w:pPr>
            <w:r w:rsidRPr="00F754EF">
              <w:rPr>
                <w:rFonts w:ascii="Aptos Display" w:hAnsi="Aptos Display"/>
                <w:i/>
                <w:iCs/>
                <w:color w:val="5A6678"/>
                <w:sz w:val="16"/>
                <w:szCs w:val="16"/>
              </w:rPr>
              <w:t>Promover medios de vida sostenibles, emprendimiento e integración socioeconómica de personas en movilidad y comunidades de acogida, con énfasis en mujeres y jóvenes.</w:t>
            </w:r>
            <w:r w:rsidRPr="00F754EF">
              <w:rPr>
                <w:i/>
                <w:iCs/>
              </w:rPr>
              <w:t xml:space="preserve"> </w:t>
            </w:r>
          </w:p>
        </w:tc>
        <w:tc>
          <w:tcPr>
            <w:tcW w:w="914" w:type="dxa"/>
            <w:tcBorders>
              <w:top w:val="nil"/>
              <w:left w:val="nil"/>
              <w:bottom w:val="single" w:sz="8" w:space="0" w:color="CCCCCC"/>
              <w:right w:val="single" w:sz="8" w:space="0" w:color="CCCCCC"/>
            </w:tcBorders>
            <w:shd w:val="clear" w:color="auto" w:fill="F9E0E8"/>
            <w:vAlign w:val="center"/>
            <w:hideMark/>
          </w:tcPr>
          <w:p w14:paraId="7204E882" w14:textId="77777777" w:rsidR="0010213D" w:rsidRPr="00F754EF" w:rsidRDefault="0010213D" w:rsidP="00052C6D">
            <w:pPr>
              <w:spacing w:after="0" w:line="240" w:lineRule="auto"/>
            </w:pPr>
            <w:r w:rsidRPr="00F754EF">
              <w:rPr>
                <w:rFonts w:ascii="Aptos Display" w:hAnsi="Aptos Display"/>
                <w:b/>
                <w:bCs/>
                <w:color w:val="1A7A58"/>
                <w:sz w:val="16"/>
                <w:szCs w:val="16"/>
              </w:rPr>
              <w:t>Programa conjunto</w:t>
            </w:r>
            <w:r w:rsidRPr="00F754EF">
              <w:rPr>
                <w:b/>
                <w:bCs/>
              </w:rPr>
              <w:t xml:space="preserve"> </w:t>
            </w:r>
          </w:p>
        </w:tc>
        <w:tc>
          <w:tcPr>
            <w:tcW w:w="1081" w:type="dxa"/>
            <w:tcBorders>
              <w:top w:val="nil"/>
              <w:left w:val="nil"/>
              <w:bottom w:val="single" w:sz="8" w:space="0" w:color="CCCCCC"/>
              <w:right w:val="single" w:sz="8" w:space="0" w:color="CCCCCC"/>
            </w:tcBorders>
            <w:shd w:val="clear" w:color="auto" w:fill="F9E0E8"/>
            <w:vAlign w:val="center"/>
            <w:hideMark/>
          </w:tcPr>
          <w:p w14:paraId="4158BC63" w14:textId="77777777" w:rsidR="0010213D" w:rsidRPr="00F754EF" w:rsidRDefault="0010213D" w:rsidP="00052C6D">
            <w:pPr>
              <w:spacing w:after="0" w:line="240" w:lineRule="auto"/>
            </w:pPr>
            <w:r w:rsidRPr="00F754EF">
              <w:rPr>
                <w:rFonts w:ascii="Aptos Display" w:hAnsi="Aptos Display"/>
                <w:color w:val="5A6678"/>
                <w:sz w:val="16"/>
                <w:szCs w:val="16"/>
              </w:rPr>
              <w:t>Imbabura, Sucumbíos</w:t>
            </w:r>
            <w:r w:rsidRPr="00F754EF">
              <w:t xml:space="preserve"> </w:t>
            </w:r>
          </w:p>
        </w:tc>
        <w:tc>
          <w:tcPr>
            <w:tcW w:w="948" w:type="dxa"/>
            <w:tcBorders>
              <w:top w:val="nil"/>
              <w:left w:val="nil"/>
              <w:bottom w:val="single" w:sz="8" w:space="0" w:color="CCCCCC"/>
              <w:right w:val="single" w:sz="8" w:space="0" w:color="CCCCCC"/>
            </w:tcBorders>
            <w:shd w:val="clear" w:color="auto" w:fill="F9E0E8"/>
            <w:vAlign w:val="center"/>
            <w:hideMark/>
          </w:tcPr>
          <w:p w14:paraId="043FF0DE" w14:textId="77777777" w:rsidR="0010213D" w:rsidRPr="00F754EF" w:rsidRDefault="0010213D" w:rsidP="00052C6D">
            <w:pPr>
              <w:spacing w:after="0" w:line="240" w:lineRule="auto"/>
            </w:pPr>
            <w:r w:rsidRPr="00F754EF">
              <w:rPr>
                <w:rFonts w:ascii="Aptos Display" w:hAnsi="Aptos Display"/>
                <w:b/>
                <w:bCs/>
                <w:color w:val="C75B7A"/>
                <w:sz w:val="18"/>
                <w:szCs w:val="18"/>
              </w:rPr>
              <w:t>$1,5M</w:t>
            </w:r>
            <w:r w:rsidRPr="00F754EF">
              <w:rPr>
                <w:b/>
                <w:bCs/>
              </w:rPr>
              <w:t xml:space="preserve"> </w:t>
            </w:r>
          </w:p>
        </w:tc>
        <w:tc>
          <w:tcPr>
            <w:tcW w:w="1477" w:type="dxa"/>
            <w:tcBorders>
              <w:top w:val="nil"/>
              <w:left w:val="nil"/>
              <w:bottom w:val="single" w:sz="8" w:space="0" w:color="CCCCCC"/>
              <w:right w:val="single" w:sz="8" w:space="0" w:color="CCCCCC"/>
            </w:tcBorders>
            <w:shd w:val="clear" w:color="auto" w:fill="F9E0E8"/>
            <w:vAlign w:val="center"/>
            <w:hideMark/>
          </w:tcPr>
          <w:p w14:paraId="24083264" w14:textId="77777777" w:rsidR="0010213D" w:rsidRPr="00F754EF" w:rsidRDefault="0010213D" w:rsidP="00052C6D">
            <w:pPr>
              <w:spacing w:after="0" w:line="240" w:lineRule="auto"/>
            </w:pPr>
            <w:r w:rsidRPr="00F754EF">
              <w:rPr>
                <w:rFonts w:ascii="Aptos Display" w:hAnsi="Aptos Display"/>
                <w:sz w:val="16"/>
                <w:szCs w:val="16"/>
              </w:rPr>
              <w:t>OIM, PNUD, ONU Mujeres · Gobiernos locales (Imbabura, Sucumbíos) · Sector privado</w:t>
            </w:r>
            <w:r w:rsidRPr="00F754EF">
              <w:t xml:space="preserve"> </w:t>
            </w:r>
          </w:p>
        </w:tc>
        <w:tc>
          <w:tcPr>
            <w:tcW w:w="1102" w:type="dxa"/>
            <w:tcBorders>
              <w:top w:val="nil"/>
              <w:left w:val="nil"/>
              <w:bottom w:val="single" w:sz="8" w:space="0" w:color="CCCCCC"/>
              <w:right w:val="single" w:sz="8" w:space="0" w:color="CCCCCC"/>
            </w:tcBorders>
            <w:shd w:val="clear" w:color="auto" w:fill="F9E0E8"/>
            <w:vAlign w:val="center"/>
            <w:hideMark/>
          </w:tcPr>
          <w:p w14:paraId="6981F394" w14:textId="77777777" w:rsidR="0010213D" w:rsidRPr="00F754EF" w:rsidRDefault="0010213D" w:rsidP="00052C6D">
            <w:pPr>
              <w:spacing w:after="0" w:line="240" w:lineRule="auto"/>
            </w:pPr>
            <w:r w:rsidRPr="00F754EF">
              <w:rPr>
                <w:rFonts w:ascii="Aptos Display" w:hAnsi="Aptos Display"/>
                <w:sz w:val="16"/>
                <w:szCs w:val="16"/>
              </w:rPr>
              <w:t>Fondo Fiduciario de Socios de Migración</w:t>
            </w:r>
            <w:r w:rsidRPr="00F754EF">
              <w:t xml:space="preserve"> </w:t>
            </w:r>
          </w:p>
        </w:tc>
      </w:tr>
      <w:tr w:rsidR="0010213D" w:rsidRPr="00F754EF" w14:paraId="6E5A0758" w14:textId="77777777" w:rsidTr="00433DDD">
        <w:tc>
          <w:tcPr>
            <w:tcW w:w="4527" w:type="dxa"/>
            <w:tcBorders>
              <w:top w:val="nil"/>
              <w:left w:val="single" w:sz="8" w:space="0" w:color="CCCCCC"/>
              <w:bottom w:val="single" w:sz="8" w:space="0" w:color="CCCCCC"/>
              <w:right w:val="single" w:sz="8" w:space="0" w:color="CCCCCC"/>
            </w:tcBorders>
            <w:shd w:val="clear" w:color="auto" w:fill="F9E0E8"/>
            <w:vAlign w:val="center"/>
            <w:hideMark/>
          </w:tcPr>
          <w:p w14:paraId="3FE5F001" w14:textId="77777777" w:rsidR="0010213D" w:rsidRPr="00F754EF" w:rsidRDefault="0010213D" w:rsidP="00052C6D">
            <w:pPr>
              <w:spacing w:after="0" w:line="240" w:lineRule="auto"/>
            </w:pPr>
            <w:r w:rsidRPr="00F754EF">
              <w:rPr>
                <w:rFonts w:ascii="Aptos Display" w:hAnsi="Aptos Display"/>
                <w:b/>
                <w:bCs/>
                <w:sz w:val="18"/>
                <w:szCs w:val="18"/>
              </w:rPr>
              <w:t>Medios de vida culturales para mujeres rurales en Quito</w:t>
            </w:r>
            <w:r w:rsidRPr="00F754EF">
              <w:rPr>
                <w:b/>
                <w:bCs/>
              </w:rPr>
              <w:t xml:space="preserve"> </w:t>
            </w:r>
          </w:p>
          <w:p w14:paraId="7335325F" w14:textId="77777777" w:rsidR="0010213D" w:rsidRPr="00F754EF" w:rsidRDefault="0010213D" w:rsidP="00052C6D">
            <w:pPr>
              <w:spacing w:after="0" w:line="240" w:lineRule="auto"/>
            </w:pPr>
            <w:r w:rsidRPr="00F754EF">
              <w:rPr>
                <w:rFonts w:ascii="Aptos Display" w:hAnsi="Aptos Display"/>
                <w:color w:val="5A6678"/>
                <w:sz w:val="16"/>
                <w:szCs w:val="16"/>
              </w:rPr>
              <w:t>Jun 2023 – Oct 2024</w:t>
            </w:r>
            <w:r w:rsidRPr="00F754EF">
              <w:t xml:space="preserve"> </w:t>
            </w:r>
          </w:p>
          <w:p w14:paraId="5ADA68D0" w14:textId="77777777" w:rsidR="0010213D" w:rsidRPr="00F754EF" w:rsidRDefault="0010213D" w:rsidP="00052C6D">
            <w:pPr>
              <w:spacing w:after="0" w:line="240" w:lineRule="auto"/>
            </w:pPr>
            <w:r w:rsidRPr="00F754EF">
              <w:rPr>
                <w:rFonts w:ascii="Aptos Display" w:hAnsi="Aptos Display"/>
                <w:i/>
                <w:iCs/>
                <w:color w:val="5A6678"/>
                <w:sz w:val="16"/>
                <w:szCs w:val="16"/>
              </w:rPr>
              <w:t>Mejorar las condiciones de vida de mujeres rurales en Quito fortaleciendo medios de vida culturales y artísticos y promoviendo el empoderamiento económico mediante aumento de ingresos y acceso a recursos.</w:t>
            </w:r>
            <w:r w:rsidRPr="00F754EF">
              <w:rPr>
                <w:i/>
                <w:iCs/>
              </w:rPr>
              <w:t xml:space="preserve"> </w:t>
            </w:r>
          </w:p>
        </w:tc>
        <w:tc>
          <w:tcPr>
            <w:tcW w:w="914" w:type="dxa"/>
            <w:tcBorders>
              <w:top w:val="nil"/>
              <w:left w:val="nil"/>
              <w:bottom w:val="single" w:sz="8" w:space="0" w:color="CCCCCC"/>
              <w:right w:val="single" w:sz="8" w:space="0" w:color="CCCCCC"/>
            </w:tcBorders>
            <w:shd w:val="clear" w:color="auto" w:fill="F9E0E8"/>
            <w:vAlign w:val="center"/>
            <w:hideMark/>
          </w:tcPr>
          <w:p w14:paraId="07F3C89C" w14:textId="77777777" w:rsidR="0010213D" w:rsidRPr="00F754EF" w:rsidRDefault="0010213D" w:rsidP="00052C6D">
            <w:pPr>
              <w:spacing w:after="0" w:line="240" w:lineRule="auto"/>
            </w:pPr>
            <w:r w:rsidRPr="00F754EF">
              <w:rPr>
                <w:rFonts w:ascii="Aptos Display" w:hAnsi="Aptos Display"/>
                <w:b/>
                <w:bCs/>
                <w:color w:val="92600A"/>
                <w:sz w:val="16"/>
                <w:szCs w:val="16"/>
              </w:rPr>
              <w:t>Bilateral</w:t>
            </w:r>
            <w:r w:rsidRPr="00F754EF">
              <w:rPr>
                <w:b/>
                <w:bCs/>
              </w:rPr>
              <w:t xml:space="preserve"> </w:t>
            </w:r>
          </w:p>
        </w:tc>
        <w:tc>
          <w:tcPr>
            <w:tcW w:w="1081" w:type="dxa"/>
            <w:tcBorders>
              <w:top w:val="nil"/>
              <w:left w:val="nil"/>
              <w:bottom w:val="single" w:sz="8" w:space="0" w:color="CCCCCC"/>
              <w:right w:val="single" w:sz="8" w:space="0" w:color="CCCCCC"/>
            </w:tcBorders>
            <w:shd w:val="clear" w:color="auto" w:fill="F9E0E8"/>
            <w:vAlign w:val="center"/>
            <w:hideMark/>
          </w:tcPr>
          <w:p w14:paraId="2E63C25E" w14:textId="77777777" w:rsidR="0010213D" w:rsidRPr="00F754EF" w:rsidRDefault="0010213D" w:rsidP="00052C6D">
            <w:pPr>
              <w:spacing w:after="0" w:line="240" w:lineRule="auto"/>
            </w:pPr>
            <w:r w:rsidRPr="00F754EF">
              <w:rPr>
                <w:rFonts w:ascii="Aptos Display" w:hAnsi="Aptos Display"/>
                <w:color w:val="5A6678"/>
                <w:sz w:val="16"/>
                <w:szCs w:val="16"/>
              </w:rPr>
              <w:t>Distrito Metropolitano de Quito</w:t>
            </w:r>
            <w:r w:rsidRPr="00F754EF">
              <w:t xml:space="preserve"> </w:t>
            </w:r>
          </w:p>
        </w:tc>
        <w:tc>
          <w:tcPr>
            <w:tcW w:w="948" w:type="dxa"/>
            <w:tcBorders>
              <w:top w:val="nil"/>
              <w:left w:val="nil"/>
              <w:bottom w:val="single" w:sz="8" w:space="0" w:color="CCCCCC"/>
              <w:right w:val="single" w:sz="8" w:space="0" w:color="CCCCCC"/>
            </w:tcBorders>
            <w:shd w:val="clear" w:color="auto" w:fill="F9E0E8"/>
            <w:vAlign w:val="center"/>
            <w:hideMark/>
          </w:tcPr>
          <w:p w14:paraId="442464BE" w14:textId="77777777" w:rsidR="0010213D" w:rsidRPr="00F754EF" w:rsidRDefault="0010213D" w:rsidP="00052C6D">
            <w:pPr>
              <w:spacing w:after="0" w:line="240" w:lineRule="auto"/>
            </w:pPr>
            <w:r w:rsidRPr="00F754EF">
              <w:rPr>
                <w:rFonts w:ascii="Aptos Display" w:hAnsi="Aptos Display"/>
                <w:b/>
                <w:bCs/>
                <w:color w:val="C75B7A"/>
                <w:sz w:val="18"/>
                <w:szCs w:val="18"/>
              </w:rPr>
              <w:t>$200K</w:t>
            </w:r>
            <w:r w:rsidRPr="00F754EF">
              <w:rPr>
                <w:b/>
                <w:bCs/>
              </w:rPr>
              <w:t xml:space="preserve"> </w:t>
            </w:r>
          </w:p>
        </w:tc>
        <w:tc>
          <w:tcPr>
            <w:tcW w:w="1477" w:type="dxa"/>
            <w:tcBorders>
              <w:top w:val="nil"/>
              <w:left w:val="nil"/>
              <w:bottom w:val="single" w:sz="8" w:space="0" w:color="CCCCCC"/>
              <w:right w:val="single" w:sz="8" w:space="0" w:color="CCCCCC"/>
            </w:tcBorders>
            <w:shd w:val="clear" w:color="auto" w:fill="F9E0E8"/>
            <w:vAlign w:val="center"/>
            <w:hideMark/>
          </w:tcPr>
          <w:p w14:paraId="4339A9A3" w14:textId="77777777" w:rsidR="0010213D" w:rsidRPr="00F754EF" w:rsidRDefault="0010213D" w:rsidP="00052C6D">
            <w:pPr>
              <w:spacing w:after="0" w:line="240" w:lineRule="auto"/>
            </w:pPr>
            <w:r w:rsidRPr="00F754EF">
              <w:rPr>
                <w:rFonts w:ascii="Aptos Display" w:hAnsi="Aptos Display"/>
                <w:sz w:val="16"/>
                <w:szCs w:val="16"/>
              </w:rPr>
              <w:t>ONU Mujeres · Secretaría de Cultura, Distrito Metropolitano de Quito · Organizaciones de mujeres rurales</w:t>
            </w:r>
            <w:r w:rsidRPr="00F754EF">
              <w:t xml:space="preserve"> </w:t>
            </w:r>
          </w:p>
        </w:tc>
        <w:tc>
          <w:tcPr>
            <w:tcW w:w="1102" w:type="dxa"/>
            <w:tcBorders>
              <w:top w:val="nil"/>
              <w:left w:val="nil"/>
              <w:bottom w:val="single" w:sz="8" w:space="0" w:color="CCCCCC"/>
              <w:right w:val="single" w:sz="8" w:space="0" w:color="CCCCCC"/>
            </w:tcBorders>
            <w:shd w:val="clear" w:color="auto" w:fill="F9E0E8"/>
            <w:vAlign w:val="center"/>
            <w:hideMark/>
          </w:tcPr>
          <w:p w14:paraId="162D992D" w14:textId="77777777" w:rsidR="0010213D" w:rsidRPr="00F754EF" w:rsidRDefault="0010213D" w:rsidP="00052C6D">
            <w:pPr>
              <w:spacing w:after="0" w:line="240" w:lineRule="auto"/>
            </w:pPr>
            <w:r w:rsidRPr="00F754EF">
              <w:rPr>
                <w:rFonts w:ascii="Aptos Display" w:hAnsi="Aptos Display"/>
                <w:sz w:val="16"/>
                <w:szCs w:val="16"/>
              </w:rPr>
              <w:t>Municipio de Quito</w:t>
            </w:r>
            <w:r w:rsidRPr="00F754EF">
              <w:t xml:space="preserve"> </w:t>
            </w:r>
          </w:p>
        </w:tc>
      </w:tr>
      <w:tr w:rsidR="0010213D" w:rsidRPr="00F754EF" w14:paraId="35250D53" w14:textId="77777777" w:rsidTr="00433DDD">
        <w:trPr>
          <w:trHeight w:val="1547"/>
        </w:trPr>
        <w:tc>
          <w:tcPr>
            <w:tcW w:w="4527" w:type="dxa"/>
            <w:tcBorders>
              <w:top w:val="nil"/>
              <w:left w:val="single" w:sz="8" w:space="0" w:color="CCCCCC"/>
              <w:bottom w:val="single" w:sz="8" w:space="0" w:color="CCCCCC"/>
              <w:right w:val="single" w:sz="8" w:space="0" w:color="CCCCCC"/>
            </w:tcBorders>
            <w:shd w:val="clear" w:color="auto" w:fill="F9E0E8"/>
            <w:vAlign w:val="center"/>
            <w:hideMark/>
          </w:tcPr>
          <w:p w14:paraId="0ED8BD6C" w14:textId="77777777" w:rsidR="0010213D" w:rsidRPr="00F754EF" w:rsidRDefault="0010213D" w:rsidP="00052C6D">
            <w:pPr>
              <w:spacing w:after="0" w:line="240" w:lineRule="auto"/>
            </w:pPr>
            <w:r w:rsidRPr="00F754EF">
              <w:rPr>
                <w:rFonts w:ascii="Aptos Display" w:hAnsi="Aptos Display"/>
                <w:b/>
                <w:bCs/>
                <w:sz w:val="18"/>
                <w:szCs w:val="18"/>
              </w:rPr>
              <w:t>Fortalecimiento de identidades de mujeres rurales en Quito</w:t>
            </w:r>
            <w:r w:rsidRPr="00F754EF">
              <w:rPr>
                <w:b/>
                <w:bCs/>
              </w:rPr>
              <w:t xml:space="preserve"> </w:t>
            </w:r>
          </w:p>
          <w:p w14:paraId="2BE794DA" w14:textId="77777777" w:rsidR="0010213D" w:rsidRPr="00F754EF" w:rsidRDefault="0010213D" w:rsidP="00052C6D">
            <w:pPr>
              <w:spacing w:after="0" w:line="240" w:lineRule="auto"/>
            </w:pPr>
            <w:r w:rsidRPr="00F754EF">
              <w:rPr>
                <w:rFonts w:ascii="Aptos Display" w:hAnsi="Aptos Display"/>
                <w:color w:val="5A6678"/>
                <w:sz w:val="16"/>
                <w:szCs w:val="16"/>
              </w:rPr>
              <w:t>Ene 2023 – Dic 2023</w:t>
            </w:r>
            <w:r w:rsidRPr="00F754EF">
              <w:t xml:space="preserve"> </w:t>
            </w:r>
          </w:p>
          <w:p w14:paraId="6E464702" w14:textId="77777777" w:rsidR="0010213D" w:rsidRPr="00F754EF" w:rsidRDefault="0010213D" w:rsidP="00052C6D">
            <w:pPr>
              <w:spacing w:after="0" w:line="240" w:lineRule="auto"/>
            </w:pPr>
            <w:r w:rsidRPr="00F754EF">
              <w:rPr>
                <w:rFonts w:ascii="Aptos Display" w:hAnsi="Aptos Display"/>
                <w:i/>
                <w:iCs/>
                <w:color w:val="5A6678"/>
                <w:sz w:val="16"/>
                <w:szCs w:val="16"/>
              </w:rPr>
              <w:t>Fortalecer procesos culturales y organizativos relacionados con la memoria social para promover el empoderamiento de mujeres rurales en cinco circuitos del Distrito Metropolitano de Quito.</w:t>
            </w:r>
            <w:r w:rsidRPr="00F754EF">
              <w:rPr>
                <w:i/>
                <w:iCs/>
              </w:rPr>
              <w:t xml:space="preserve"> </w:t>
            </w:r>
          </w:p>
        </w:tc>
        <w:tc>
          <w:tcPr>
            <w:tcW w:w="914" w:type="dxa"/>
            <w:tcBorders>
              <w:top w:val="nil"/>
              <w:left w:val="nil"/>
              <w:bottom w:val="single" w:sz="8" w:space="0" w:color="CCCCCC"/>
              <w:right w:val="single" w:sz="8" w:space="0" w:color="CCCCCC"/>
            </w:tcBorders>
            <w:shd w:val="clear" w:color="auto" w:fill="F9E0E8"/>
            <w:vAlign w:val="center"/>
            <w:hideMark/>
          </w:tcPr>
          <w:p w14:paraId="191F1370" w14:textId="77777777" w:rsidR="0010213D" w:rsidRPr="00F754EF" w:rsidRDefault="0010213D" w:rsidP="00052C6D">
            <w:pPr>
              <w:spacing w:after="0" w:line="240" w:lineRule="auto"/>
            </w:pPr>
            <w:r w:rsidRPr="00F754EF">
              <w:rPr>
                <w:rFonts w:ascii="Aptos Display" w:hAnsi="Aptos Display"/>
                <w:b/>
                <w:bCs/>
                <w:color w:val="92600A"/>
                <w:sz w:val="16"/>
                <w:szCs w:val="16"/>
              </w:rPr>
              <w:t>Bilateral</w:t>
            </w:r>
            <w:r w:rsidRPr="00F754EF">
              <w:rPr>
                <w:b/>
                <w:bCs/>
              </w:rPr>
              <w:t xml:space="preserve"> </w:t>
            </w:r>
          </w:p>
        </w:tc>
        <w:tc>
          <w:tcPr>
            <w:tcW w:w="1081" w:type="dxa"/>
            <w:tcBorders>
              <w:top w:val="nil"/>
              <w:left w:val="nil"/>
              <w:bottom w:val="single" w:sz="8" w:space="0" w:color="CCCCCC"/>
              <w:right w:val="single" w:sz="8" w:space="0" w:color="CCCCCC"/>
            </w:tcBorders>
            <w:shd w:val="clear" w:color="auto" w:fill="F9E0E8"/>
            <w:vAlign w:val="center"/>
            <w:hideMark/>
          </w:tcPr>
          <w:p w14:paraId="58395EF7" w14:textId="77777777" w:rsidR="0010213D" w:rsidRPr="00F754EF" w:rsidRDefault="0010213D" w:rsidP="00052C6D">
            <w:pPr>
              <w:spacing w:after="0" w:line="240" w:lineRule="auto"/>
            </w:pPr>
            <w:r w:rsidRPr="00F754EF">
              <w:rPr>
                <w:rFonts w:ascii="Aptos Display" w:hAnsi="Aptos Display"/>
                <w:color w:val="5A6678"/>
                <w:sz w:val="16"/>
                <w:szCs w:val="16"/>
              </w:rPr>
              <w:t>Distrito Metropolitano de Quito</w:t>
            </w:r>
            <w:r w:rsidRPr="00F754EF">
              <w:t xml:space="preserve"> </w:t>
            </w:r>
          </w:p>
        </w:tc>
        <w:tc>
          <w:tcPr>
            <w:tcW w:w="948" w:type="dxa"/>
            <w:tcBorders>
              <w:top w:val="nil"/>
              <w:left w:val="nil"/>
              <w:bottom w:val="single" w:sz="8" w:space="0" w:color="CCCCCC"/>
              <w:right w:val="single" w:sz="8" w:space="0" w:color="CCCCCC"/>
            </w:tcBorders>
            <w:shd w:val="clear" w:color="auto" w:fill="F9E0E8"/>
            <w:vAlign w:val="center"/>
            <w:hideMark/>
          </w:tcPr>
          <w:p w14:paraId="2BFD1B2C" w14:textId="77777777" w:rsidR="0010213D" w:rsidRPr="00F754EF" w:rsidRDefault="0010213D" w:rsidP="00052C6D">
            <w:pPr>
              <w:spacing w:after="0" w:line="240" w:lineRule="auto"/>
            </w:pPr>
            <w:r w:rsidRPr="00F754EF">
              <w:rPr>
                <w:rFonts w:ascii="Aptos Display" w:hAnsi="Aptos Display"/>
                <w:b/>
                <w:bCs/>
                <w:color w:val="C75B7A"/>
                <w:sz w:val="18"/>
                <w:szCs w:val="18"/>
              </w:rPr>
              <w:t>$300K</w:t>
            </w:r>
            <w:r w:rsidRPr="00F754EF">
              <w:rPr>
                <w:b/>
                <w:bCs/>
              </w:rPr>
              <w:t xml:space="preserve"> </w:t>
            </w:r>
          </w:p>
        </w:tc>
        <w:tc>
          <w:tcPr>
            <w:tcW w:w="1477" w:type="dxa"/>
            <w:tcBorders>
              <w:top w:val="nil"/>
              <w:left w:val="nil"/>
              <w:bottom w:val="single" w:sz="8" w:space="0" w:color="CCCCCC"/>
              <w:right w:val="single" w:sz="8" w:space="0" w:color="CCCCCC"/>
            </w:tcBorders>
            <w:shd w:val="clear" w:color="auto" w:fill="F9E0E8"/>
            <w:vAlign w:val="center"/>
            <w:hideMark/>
          </w:tcPr>
          <w:p w14:paraId="280840FA" w14:textId="77777777" w:rsidR="0010213D" w:rsidRPr="00F754EF" w:rsidRDefault="0010213D" w:rsidP="00052C6D">
            <w:pPr>
              <w:spacing w:after="0" w:line="240" w:lineRule="auto"/>
            </w:pPr>
            <w:r w:rsidRPr="00F754EF">
              <w:rPr>
                <w:rFonts w:ascii="Aptos Display" w:hAnsi="Aptos Display"/>
                <w:sz w:val="16"/>
                <w:szCs w:val="16"/>
              </w:rPr>
              <w:t>ONU Mujeres · Secretaría de Cultura, Distrito Metropolitano de Quito · Organizaciones de mujeres rurales (362 participantes)</w:t>
            </w:r>
            <w:r w:rsidRPr="00F754EF">
              <w:t xml:space="preserve"> </w:t>
            </w:r>
          </w:p>
        </w:tc>
        <w:tc>
          <w:tcPr>
            <w:tcW w:w="1102" w:type="dxa"/>
            <w:tcBorders>
              <w:top w:val="nil"/>
              <w:left w:val="nil"/>
              <w:bottom w:val="single" w:sz="8" w:space="0" w:color="CCCCCC"/>
              <w:right w:val="single" w:sz="8" w:space="0" w:color="CCCCCC"/>
            </w:tcBorders>
            <w:shd w:val="clear" w:color="auto" w:fill="F9E0E8"/>
            <w:vAlign w:val="center"/>
            <w:hideMark/>
          </w:tcPr>
          <w:p w14:paraId="5FB17010" w14:textId="77777777" w:rsidR="0010213D" w:rsidRPr="00F754EF" w:rsidRDefault="0010213D" w:rsidP="00052C6D">
            <w:pPr>
              <w:spacing w:after="0" w:line="240" w:lineRule="auto"/>
            </w:pPr>
            <w:r w:rsidRPr="00F754EF">
              <w:rPr>
                <w:rFonts w:ascii="Aptos Display" w:hAnsi="Aptos Display"/>
                <w:sz w:val="16"/>
                <w:szCs w:val="16"/>
              </w:rPr>
              <w:t>Municipio de Quito</w:t>
            </w:r>
            <w:r w:rsidRPr="00F754EF">
              <w:t xml:space="preserve"> </w:t>
            </w:r>
          </w:p>
        </w:tc>
      </w:tr>
      <w:tr w:rsidR="0010213D" w:rsidRPr="00F754EF" w14:paraId="2E263760" w14:textId="77777777" w:rsidTr="00433DDD">
        <w:tc>
          <w:tcPr>
            <w:tcW w:w="4527" w:type="dxa"/>
            <w:tcBorders>
              <w:top w:val="nil"/>
              <w:left w:val="single" w:sz="8" w:space="0" w:color="CCCCCC"/>
              <w:bottom w:val="single" w:sz="8" w:space="0" w:color="CCCCCC"/>
              <w:right w:val="single" w:sz="8" w:space="0" w:color="CCCCCC"/>
            </w:tcBorders>
            <w:shd w:val="clear" w:color="auto" w:fill="F9E0E8"/>
            <w:vAlign w:val="center"/>
            <w:hideMark/>
          </w:tcPr>
          <w:p w14:paraId="697CF820" w14:textId="77777777" w:rsidR="0010213D" w:rsidRPr="00F754EF" w:rsidRDefault="0010213D" w:rsidP="00052C6D">
            <w:pPr>
              <w:spacing w:after="0" w:line="240" w:lineRule="auto"/>
            </w:pPr>
            <w:r w:rsidRPr="00F754EF">
              <w:rPr>
                <w:rFonts w:ascii="Aptos Display" w:hAnsi="Aptos Display"/>
                <w:b/>
                <w:bCs/>
                <w:sz w:val="18"/>
                <w:szCs w:val="18"/>
              </w:rPr>
              <w:t>Programa Regional de Economía de los Cuidados</w:t>
            </w:r>
            <w:r w:rsidRPr="00F754EF">
              <w:rPr>
                <w:b/>
                <w:bCs/>
              </w:rPr>
              <w:t xml:space="preserve"> </w:t>
            </w:r>
          </w:p>
          <w:p w14:paraId="7A47CEB2" w14:textId="77777777" w:rsidR="0010213D" w:rsidRPr="00F754EF" w:rsidRDefault="0010213D" w:rsidP="00052C6D">
            <w:pPr>
              <w:spacing w:after="0" w:line="240" w:lineRule="auto"/>
            </w:pPr>
            <w:r w:rsidRPr="00F754EF">
              <w:rPr>
                <w:rFonts w:ascii="Aptos Display" w:hAnsi="Aptos Display"/>
                <w:color w:val="5A6678"/>
                <w:sz w:val="16"/>
                <w:szCs w:val="16"/>
              </w:rPr>
              <w:t>2023–2026</w:t>
            </w:r>
            <w:r w:rsidRPr="00F754EF">
              <w:t xml:space="preserve"> </w:t>
            </w:r>
          </w:p>
          <w:p w14:paraId="2FD17229" w14:textId="77777777" w:rsidR="0010213D" w:rsidRPr="00F754EF" w:rsidRDefault="0010213D" w:rsidP="00052C6D">
            <w:pPr>
              <w:spacing w:after="0" w:line="240" w:lineRule="auto"/>
            </w:pPr>
            <w:r w:rsidRPr="00F754EF">
              <w:rPr>
                <w:rFonts w:ascii="Aptos Display" w:hAnsi="Aptos Display"/>
                <w:i/>
                <w:iCs/>
                <w:color w:val="5A6678"/>
                <w:sz w:val="16"/>
                <w:szCs w:val="16"/>
              </w:rPr>
              <w:t>Impulsar la acción política y programática sobre la economía de los cuidados en América Latina y el Caribe, con implementación nacional que apoye sistemas de cuidados con enfoque de género en Ecuador.</w:t>
            </w:r>
            <w:r w:rsidRPr="00F754EF">
              <w:rPr>
                <w:i/>
                <w:iCs/>
              </w:rPr>
              <w:t xml:space="preserve"> </w:t>
            </w:r>
          </w:p>
        </w:tc>
        <w:tc>
          <w:tcPr>
            <w:tcW w:w="914" w:type="dxa"/>
            <w:tcBorders>
              <w:top w:val="nil"/>
              <w:left w:val="nil"/>
              <w:bottom w:val="single" w:sz="8" w:space="0" w:color="CCCCCC"/>
              <w:right w:val="single" w:sz="8" w:space="0" w:color="CCCCCC"/>
            </w:tcBorders>
            <w:shd w:val="clear" w:color="auto" w:fill="F9E0E8"/>
            <w:vAlign w:val="center"/>
            <w:hideMark/>
          </w:tcPr>
          <w:p w14:paraId="11154D2A" w14:textId="77777777" w:rsidR="0010213D" w:rsidRPr="00F754EF" w:rsidRDefault="0010213D" w:rsidP="00052C6D">
            <w:pPr>
              <w:spacing w:after="0" w:line="240" w:lineRule="auto"/>
            </w:pPr>
            <w:r w:rsidRPr="00F754EF">
              <w:rPr>
                <w:rFonts w:ascii="Aptos Display" w:hAnsi="Aptos Display"/>
                <w:b/>
                <w:bCs/>
                <w:color w:val="9D174D"/>
                <w:sz w:val="16"/>
                <w:szCs w:val="16"/>
              </w:rPr>
              <w:t>Regional</w:t>
            </w:r>
            <w:r w:rsidRPr="00F754EF">
              <w:rPr>
                <w:b/>
                <w:bCs/>
              </w:rPr>
              <w:t xml:space="preserve"> </w:t>
            </w:r>
          </w:p>
        </w:tc>
        <w:tc>
          <w:tcPr>
            <w:tcW w:w="1081" w:type="dxa"/>
            <w:tcBorders>
              <w:top w:val="nil"/>
              <w:left w:val="nil"/>
              <w:bottom w:val="single" w:sz="8" w:space="0" w:color="CCCCCC"/>
              <w:right w:val="single" w:sz="8" w:space="0" w:color="CCCCCC"/>
            </w:tcBorders>
            <w:shd w:val="clear" w:color="auto" w:fill="F9E0E8"/>
            <w:vAlign w:val="center"/>
            <w:hideMark/>
          </w:tcPr>
          <w:p w14:paraId="793DF58F" w14:textId="77777777" w:rsidR="0010213D" w:rsidRPr="00F754EF" w:rsidRDefault="0010213D" w:rsidP="00052C6D">
            <w:pPr>
              <w:spacing w:after="0" w:line="240" w:lineRule="auto"/>
            </w:pPr>
            <w:r w:rsidRPr="00F754EF">
              <w:rPr>
                <w:rFonts w:ascii="Aptos Display" w:hAnsi="Aptos Display"/>
                <w:color w:val="5A6678"/>
                <w:sz w:val="16"/>
                <w:szCs w:val="16"/>
              </w:rPr>
              <w:t>Nacional (marco regional LAC)</w:t>
            </w:r>
            <w:r w:rsidRPr="00F754EF">
              <w:t xml:space="preserve"> </w:t>
            </w:r>
          </w:p>
        </w:tc>
        <w:tc>
          <w:tcPr>
            <w:tcW w:w="948" w:type="dxa"/>
            <w:tcBorders>
              <w:top w:val="nil"/>
              <w:left w:val="nil"/>
              <w:bottom w:val="single" w:sz="8" w:space="0" w:color="CCCCCC"/>
              <w:right w:val="single" w:sz="8" w:space="0" w:color="CCCCCC"/>
            </w:tcBorders>
            <w:shd w:val="clear" w:color="auto" w:fill="F9E0E8"/>
            <w:vAlign w:val="center"/>
            <w:hideMark/>
          </w:tcPr>
          <w:p w14:paraId="59025CB8" w14:textId="77777777" w:rsidR="0010213D" w:rsidRPr="00F754EF" w:rsidRDefault="0010213D" w:rsidP="00052C6D">
            <w:pPr>
              <w:spacing w:after="0" w:line="240" w:lineRule="auto"/>
            </w:pPr>
            <w:r w:rsidRPr="00F754EF">
              <w:rPr>
                <w:rFonts w:ascii="Aptos Display" w:hAnsi="Aptos Display"/>
                <w:b/>
                <w:bCs/>
                <w:color w:val="C75B7A"/>
                <w:sz w:val="18"/>
                <w:szCs w:val="18"/>
              </w:rPr>
              <w:t>$4K</w:t>
            </w:r>
            <w:r w:rsidRPr="00F754EF">
              <w:rPr>
                <w:b/>
                <w:bCs/>
              </w:rPr>
              <w:t xml:space="preserve"> </w:t>
            </w:r>
          </w:p>
        </w:tc>
        <w:tc>
          <w:tcPr>
            <w:tcW w:w="1477" w:type="dxa"/>
            <w:tcBorders>
              <w:top w:val="nil"/>
              <w:left w:val="nil"/>
              <w:bottom w:val="single" w:sz="8" w:space="0" w:color="CCCCCC"/>
              <w:right w:val="single" w:sz="8" w:space="0" w:color="CCCCCC"/>
            </w:tcBorders>
            <w:shd w:val="clear" w:color="auto" w:fill="F9E0E8"/>
            <w:vAlign w:val="center"/>
            <w:hideMark/>
          </w:tcPr>
          <w:p w14:paraId="4AABDCBB" w14:textId="77777777" w:rsidR="0010213D" w:rsidRPr="00F754EF" w:rsidRDefault="0010213D" w:rsidP="00052C6D">
            <w:pPr>
              <w:spacing w:after="0" w:line="240" w:lineRule="auto"/>
            </w:pPr>
            <w:r w:rsidRPr="00F754EF">
              <w:rPr>
                <w:rFonts w:ascii="Aptos Display" w:hAnsi="Aptos Display"/>
                <w:sz w:val="16"/>
                <w:szCs w:val="16"/>
              </w:rPr>
              <w:t xml:space="preserve">ONU Mujeres Oficina Regional (ACRO) · Ministerio de Inclusión Económica y Social · Consejo Nacional </w:t>
            </w:r>
            <w:r w:rsidRPr="00F754EF">
              <w:rPr>
                <w:rFonts w:ascii="Aptos Display" w:hAnsi="Aptos Display"/>
                <w:sz w:val="16"/>
                <w:szCs w:val="16"/>
              </w:rPr>
              <w:lastRenderedPageBreak/>
              <w:t>para la Igualdad de Género</w:t>
            </w:r>
            <w:r w:rsidRPr="00F754EF">
              <w:t xml:space="preserve"> </w:t>
            </w:r>
          </w:p>
        </w:tc>
        <w:tc>
          <w:tcPr>
            <w:tcW w:w="1102" w:type="dxa"/>
            <w:tcBorders>
              <w:top w:val="nil"/>
              <w:left w:val="nil"/>
              <w:bottom w:val="single" w:sz="8" w:space="0" w:color="CCCCCC"/>
              <w:right w:val="single" w:sz="8" w:space="0" w:color="CCCCCC"/>
            </w:tcBorders>
            <w:shd w:val="clear" w:color="auto" w:fill="F9E0E8"/>
            <w:vAlign w:val="center"/>
            <w:hideMark/>
          </w:tcPr>
          <w:p w14:paraId="3E3FBC43" w14:textId="77777777" w:rsidR="0010213D" w:rsidRPr="00F754EF" w:rsidRDefault="0010213D" w:rsidP="00052C6D">
            <w:pPr>
              <w:spacing w:after="0" w:line="240" w:lineRule="auto"/>
            </w:pPr>
            <w:r w:rsidRPr="00F754EF">
              <w:rPr>
                <w:rFonts w:ascii="Aptos Display" w:hAnsi="Aptos Display"/>
                <w:sz w:val="16"/>
                <w:szCs w:val="16"/>
              </w:rPr>
              <w:lastRenderedPageBreak/>
              <w:t>[Por confirmar]</w:t>
            </w:r>
            <w:r w:rsidRPr="00F754EF">
              <w:t xml:space="preserve"> </w:t>
            </w:r>
          </w:p>
        </w:tc>
      </w:tr>
    </w:tbl>
    <w:p w14:paraId="761C0C7E" w14:textId="77777777" w:rsidR="0010213D" w:rsidRPr="00F754EF" w:rsidRDefault="0010213D" w:rsidP="005831BD">
      <w:pPr>
        <w:spacing w:line="240" w:lineRule="auto"/>
        <w:rPr>
          <w:rFonts w:ascii="Calibri Light" w:hAnsi="Calibri Light" w:cs="Calibri Light"/>
        </w:rPr>
      </w:pPr>
      <w:r w:rsidRPr="00F754EF">
        <w:rPr>
          <w:rFonts w:ascii="Aptos Display" w:hAnsi="Aptos Display"/>
          <w:i/>
          <w:iCs/>
          <w:color w:val="5A6678"/>
          <w:sz w:val="16"/>
          <w:szCs w:val="16"/>
        </w:rPr>
        <w:t>Fuente: Informe de inicio, Tabla 3 — Respuesta programática de ONU Mujeres bajo la Nota Estratégica 2023–2026 (Equipo de Evaluación, enero 2026); datos RMS a enero 2026.</w:t>
      </w:r>
      <w:r w:rsidRPr="00F754EF">
        <w:rPr>
          <w:i/>
          <w:iCs/>
        </w:rPr>
        <w:t xml:space="preserve"> </w:t>
      </w:r>
    </w:p>
    <w:bookmarkEnd w:id="12"/>
    <w:bookmarkEnd w:id="13"/>
    <w:p w14:paraId="6D792800" w14:textId="77777777" w:rsidR="001C13B3" w:rsidRPr="00F754EF" w:rsidRDefault="001C13B3" w:rsidP="005831BD">
      <w:pPr>
        <w:spacing w:line="240" w:lineRule="auto"/>
      </w:pPr>
      <w:r w:rsidRPr="00F754EF">
        <w:rPr>
          <w:rFonts w:ascii="Aptos Display" w:hAnsi="Aptos Display"/>
          <w:b/>
          <w:bCs/>
          <w:i/>
          <w:iCs/>
          <w:color w:val="1F4E79"/>
        </w:rPr>
        <w:t>Recursos Humanos</w:t>
      </w:r>
      <w:r w:rsidRPr="00F754EF">
        <w:rPr>
          <w:b/>
          <w:bCs/>
          <w:i/>
          <w:iCs/>
        </w:rPr>
        <w:t xml:space="preserve"> </w:t>
      </w:r>
    </w:p>
    <w:p w14:paraId="67CF2F3F" w14:textId="77777777" w:rsidR="00052C6D" w:rsidRPr="00F754EF" w:rsidRDefault="00052C6D" w:rsidP="005831BD">
      <w:pPr>
        <w:spacing w:line="240" w:lineRule="auto"/>
        <w:rPr>
          <w:rFonts w:ascii="Aptos Display" w:hAnsi="Aptos Display"/>
        </w:rPr>
        <w:sectPr w:rsidR="00052C6D" w:rsidRPr="00F754EF" w:rsidSect="005831BD">
          <w:type w:val="continuous"/>
          <w:pgSz w:w="12240" w:h="15840"/>
          <w:pgMar w:top="1440" w:right="1080" w:bottom="1440" w:left="1080" w:header="708" w:footer="708" w:gutter="0"/>
          <w:cols w:space="708"/>
          <w:docGrid w:linePitch="360"/>
        </w:sectPr>
      </w:pPr>
    </w:p>
    <w:p w14:paraId="5C0088F3" w14:textId="77777777" w:rsidR="001C13B3" w:rsidRPr="00F754EF" w:rsidRDefault="001C13B3" w:rsidP="005831BD">
      <w:pPr>
        <w:spacing w:line="240" w:lineRule="auto"/>
      </w:pPr>
      <w:r w:rsidRPr="00F754EF">
        <w:rPr>
          <w:rFonts w:ascii="Aptos Display" w:hAnsi="Aptos Display"/>
        </w:rPr>
        <w:t>La Oficina de País de Ecuador operó con un equipo de aproximadamente 30 personas en 2024, combinando puestos de plantilla, cargos financiados por proyectos y contratos de servicios. La oficina se organiza en torno a tres pilares programáticos (EVAWG, WEE y Gobernanza/Participación Política), apoyados por un equipo centralizado de operaciones. La implementación de los programas está liderada por Especialistas y Analistas responsables de las carteras temáticas.</w:t>
      </w:r>
    </w:p>
    <w:p w14:paraId="1B92C359" w14:textId="77777777" w:rsidR="001C13B3" w:rsidRPr="00F754EF" w:rsidRDefault="001C13B3" w:rsidP="005831BD">
      <w:pPr>
        <w:spacing w:line="240" w:lineRule="auto"/>
      </w:pPr>
      <w:r w:rsidRPr="00F754EF">
        <w:rPr>
          <w:rFonts w:ascii="Aptos Display" w:hAnsi="Aptos Display"/>
        </w:rPr>
        <w:t>El periodo estuvo marcado por importantes transiciones de personal. Tras la jubilación de la Representante en abril de 2023, la oficina funcionó sin liderazgo permanente durante un periodo prolongado, asumiendo temporalmente las funciones de Jefatura de Agencia la Especialista de Programa para el Empoderamiento Económico de las Mujeres. Esto coincidió con una rotación significativa en roles clave de programa y coordinación, lo que requirió la redistribución de responsabilidades en todo el equipo. La nueva Representante de la Oficina de País llegó en marzo de 2026.</w:t>
      </w:r>
    </w:p>
    <w:p w14:paraId="12547F39" w14:textId="77777777" w:rsidR="00052C6D" w:rsidRPr="00F754EF" w:rsidRDefault="00052C6D" w:rsidP="005831BD">
      <w:pPr>
        <w:pStyle w:val="Heading2"/>
        <w:rPr>
          <w:rStyle w:val="normaltextrun"/>
          <w:rFonts w:eastAsia="Times New Roman"/>
          <w:lang w:val="es-ES"/>
        </w:rPr>
        <w:sectPr w:rsidR="00052C6D" w:rsidRPr="00F754EF" w:rsidSect="00052C6D">
          <w:type w:val="continuous"/>
          <w:pgSz w:w="12240" w:h="15840"/>
          <w:pgMar w:top="1440" w:right="1080" w:bottom="1440" w:left="1080" w:header="708" w:footer="708" w:gutter="0"/>
          <w:cols w:num="2" w:space="708"/>
          <w:docGrid w:linePitch="360"/>
        </w:sectPr>
      </w:pPr>
    </w:p>
    <w:p w14:paraId="685CE47A" w14:textId="3C78FD02" w:rsidR="001C13B3" w:rsidRPr="00F754EF" w:rsidRDefault="001C13B3" w:rsidP="005831BD">
      <w:pPr>
        <w:pStyle w:val="Heading2"/>
        <w:rPr>
          <w:rFonts w:eastAsia="Times New Roman"/>
          <w:lang w:val="es-ES"/>
        </w:rPr>
      </w:pPr>
      <w:bookmarkStart w:id="18" w:name="_Toc233830034"/>
      <w:r w:rsidRPr="00F754EF">
        <w:rPr>
          <w:rStyle w:val="normaltextrun"/>
          <w:rFonts w:eastAsia="Times New Roman"/>
          <w:lang w:val="es-ES"/>
        </w:rPr>
        <w:t>1.2 Contexto de igualdad de género en Ecuador</w:t>
      </w:r>
      <w:bookmarkEnd w:id="18"/>
      <w:r w:rsidRPr="00F754EF">
        <w:rPr>
          <w:rStyle w:val="normaltextrun"/>
          <w:rFonts w:eastAsia="Times New Roman"/>
          <w:lang w:val="es-ES"/>
        </w:rPr>
        <w:t xml:space="preserve"> </w:t>
      </w:r>
    </w:p>
    <w:p w14:paraId="587CBF49" w14:textId="77777777" w:rsidR="00C33148" w:rsidRPr="00F754EF" w:rsidRDefault="00C33148" w:rsidP="005831BD">
      <w:pPr>
        <w:spacing w:line="240" w:lineRule="auto"/>
        <w:rPr>
          <w:rFonts w:ascii="Aptos Display" w:hAnsi="Aptos Display"/>
        </w:rPr>
        <w:sectPr w:rsidR="00C33148" w:rsidRPr="00F754EF" w:rsidSect="005831BD">
          <w:type w:val="continuous"/>
          <w:pgSz w:w="12240" w:h="15840"/>
          <w:pgMar w:top="1440" w:right="1080" w:bottom="1440" w:left="1080" w:header="708" w:footer="708" w:gutter="0"/>
          <w:cols w:space="708"/>
          <w:docGrid w:linePitch="360"/>
        </w:sectPr>
      </w:pPr>
    </w:p>
    <w:p w14:paraId="4EB61089" w14:textId="0D197989" w:rsidR="001C13B3" w:rsidRPr="00F754EF" w:rsidRDefault="001C13B3" w:rsidP="005831BD">
      <w:pPr>
        <w:spacing w:line="240" w:lineRule="auto"/>
      </w:pPr>
      <w:r w:rsidRPr="00F754EF">
        <w:rPr>
          <w:rFonts w:ascii="Aptos Display" w:hAnsi="Aptos Display"/>
        </w:rPr>
        <w:t xml:space="preserve">El ciclo 2023-2026 coincidió con un periodo de cambio institucional significativo en Ecuador que afectó casi todos los programas del portafolio. La siguiente tabla describe el contexto país que condicionó la implementación durante el periodo. </w:t>
      </w:r>
    </w:p>
    <w:p w14:paraId="44C32B8F" w14:textId="77777777" w:rsidR="00C33148" w:rsidRPr="00F754EF" w:rsidRDefault="00C33148" w:rsidP="005831BD">
      <w:pPr>
        <w:pStyle w:val="Caption"/>
        <w:spacing w:after="120"/>
        <w:sectPr w:rsidR="00C33148" w:rsidRPr="00F754EF" w:rsidSect="00C33148">
          <w:type w:val="continuous"/>
          <w:pgSz w:w="12240" w:h="15840"/>
          <w:pgMar w:top="1440" w:right="1080" w:bottom="1440" w:left="1080" w:header="708" w:footer="708" w:gutter="0"/>
          <w:cols w:num="2" w:space="708"/>
          <w:docGrid w:linePitch="360"/>
        </w:sectPr>
      </w:pPr>
      <w:bookmarkStart w:id="19" w:name="_Toc227279868"/>
    </w:p>
    <w:p w14:paraId="2DEF4D24" w14:textId="0F871716" w:rsidR="004D5B91" w:rsidRPr="00F754EF" w:rsidRDefault="00BC711A" w:rsidP="005831BD">
      <w:pPr>
        <w:pStyle w:val="Caption"/>
        <w:spacing w:after="120"/>
      </w:pPr>
      <w:r w:rsidRPr="00F754EF">
        <w:lastRenderedPageBreak/>
        <w:t xml:space="preserve">Tabla </w:t>
      </w:r>
      <w:r w:rsidRPr="00F754EF">
        <w:fldChar w:fldCharType="begin"/>
      </w:r>
      <w:r w:rsidRPr="00F754EF">
        <w:instrText xml:space="preserve"> SEQ Table \* ARABIC </w:instrText>
      </w:r>
      <w:r w:rsidRPr="00F754EF">
        <w:fldChar w:fldCharType="separate"/>
      </w:r>
      <w:r w:rsidR="004C6C83">
        <w:rPr>
          <w:noProof/>
        </w:rPr>
        <w:t>2</w:t>
      </w:r>
      <w:r w:rsidRPr="00F754EF">
        <w:fldChar w:fldCharType="end"/>
      </w:r>
      <w:r w:rsidR="00FA3071" w:rsidRPr="00F754EF">
        <w:t xml:space="preserve"> </w:t>
      </w:r>
      <w:r w:rsidR="001C13B3" w:rsidRPr="00F754EF">
        <w:t>Contexto país e impacto en la implementación</w:t>
      </w:r>
      <w:bookmarkEnd w:id="19"/>
      <w:r w:rsidR="001C13B3" w:rsidRPr="00F754EF">
        <w:t xml:space="preserve"> </w:t>
      </w:r>
    </w:p>
    <w:tbl>
      <w:tblPr>
        <w:tblW w:w="0" w:type="auto"/>
        <w:tblBorders>
          <w:top w:val="single" w:sz="4" w:space="0" w:color="009DDC"/>
          <w:left w:val="single" w:sz="4" w:space="0" w:color="009DDC"/>
          <w:bottom w:val="single" w:sz="4" w:space="0" w:color="009DDC"/>
          <w:right w:val="single" w:sz="4" w:space="0" w:color="009DDC"/>
          <w:insideH w:val="single" w:sz="4" w:space="0" w:color="009DDC"/>
          <w:insideV w:val="single" w:sz="4" w:space="0" w:color="009DDC"/>
        </w:tblBorders>
        <w:tblCellMar>
          <w:top w:w="15" w:type="dxa"/>
          <w:left w:w="15" w:type="dxa"/>
          <w:bottom w:w="15" w:type="dxa"/>
          <w:right w:w="15" w:type="dxa"/>
        </w:tblCellMar>
        <w:tblLook w:val="04A0" w:firstRow="1" w:lastRow="0" w:firstColumn="1" w:lastColumn="0" w:noHBand="0" w:noVBand="1"/>
      </w:tblPr>
      <w:tblGrid>
        <w:gridCol w:w="1376"/>
        <w:gridCol w:w="4361"/>
        <w:gridCol w:w="4333"/>
      </w:tblGrid>
      <w:tr w:rsidR="004D5B91" w:rsidRPr="00F754EF" w14:paraId="3B2E070F" w14:textId="77777777" w:rsidTr="00AD525F">
        <w:trPr>
          <w:trHeight w:val="26"/>
        </w:trPr>
        <w:tc>
          <w:tcPr>
            <w:tcW w:w="0" w:type="auto"/>
            <w:shd w:val="clear" w:color="auto" w:fill="009DDC"/>
            <w:vAlign w:val="center"/>
            <w:hideMark/>
          </w:tcPr>
          <w:p w14:paraId="488E0DCB" w14:textId="77777777" w:rsidR="004D5B91" w:rsidRPr="00F754EF" w:rsidRDefault="004D5B91" w:rsidP="00AD525F">
            <w:pPr>
              <w:spacing w:after="0" w:line="240" w:lineRule="auto"/>
              <w:rPr>
                <w:sz w:val="18"/>
                <w:szCs w:val="18"/>
              </w:rPr>
            </w:pPr>
            <w:r w:rsidRPr="00F754EF">
              <w:rPr>
                <w:rFonts w:ascii="Aptos Display" w:hAnsi="Aptos Display"/>
                <w:b/>
                <w:bCs/>
                <w:color w:val="FFFFFF"/>
                <w:sz w:val="18"/>
                <w:szCs w:val="18"/>
              </w:rPr>
              <w:t>Factor Contextual</w:t>
            </w:r>
            <w:r w:rsidRPr="00F754EF">
              <w:rPr>
                <w:b/>
                <w:bCs/>
                <w:sz w:val="18"/>
                <w:szCs w:val="18"/>
              </w:rPr>
              <w:t xml:space="preserve"> </w:t>
            </w:r>
          </w:p>
        </w:tc>
        <w:tc>
          <w:tcPr>
            <w:tcW w:w="0" w:type="auto"/>
            <w:shd w:val="clear" w:color="auto" w:fill="009DDC"/>
            <w:vAlign w:val="center"/>
            <w:hideMark/>
          </w:tcPr>
          <w:p w14:paraId="0CB40688" w14:textId="77777777" w:rsidR="004D5B91" w:rsidRPr="00F754EF" w:rsidRDefault="004D5B91" w:rsidP="00AD525F">
            <w:pPr>
              <w:spacing w:after="0" w:line="240" w:lineRule="auto"/>
              <w:rPr>
                <w:sz w:val="18"/>
                <w:szCs w:val="18"/>
              </w:rPr>
            </w:pPr>
            <w:r w:rsidRPr="00F754EF">
              <w:rPr>
                <w:rFonts w:ascii="Aptos Display" w:hAnsi="Aptos Display"/>
                <w:b/>
                <w:bCs/>
                <w:color w:val="FFFFFF"/>
                <w:sz w:val="18"/>
                <w:szCs w:val="18"/>
              </w:rPr>
              <w:t>Tendencias Clave y Datos</w:t>
            </w:r>
            <w:r w:rsidRPr="00F754EF">
              <w:rPr>
                <w:b/>
                <w:bCs/>
                <w:sz w:val="18"/>
                <w:szCs w:val="18"/>
              </w:rPr>
              <w:t xml:space="preserve"> </w:t>
            </w:r>
          </w:p>
        </w:tc>
        <w:tc>
          <w:tcPr>
            <w:tcW w:w="0" w:type="auto"/>
            <w:shd w:val="clear" w:color="auto" w:fill="009DDC"/>
            <w:vAlign w:val="center"/>
            <w:hideMark/>
          </w:tcPr>
          <w:p w14:paraId="716B4474" w14:textId="77777777" w:rsidR="004D5B91" w:rsidRPr="00F754EF" w:rsidRDefault="004D5B91" w:rsidP="00AD525F">
            <w:pPr>
              <w:spacing w:after="0" w:line="240" w:lineRule="auto"/>
              <w:rPr>
                <w:sz w:val="18"/>
                <w:szCs w:val="18"/>
              </w:rPr>
            </w:pPr>
            <w:r w:rsidRPr="00F754EF">
              <w:rPr>
                <w:rFonts w:ascii="Aptos Display" w:hAnsi="Aptos Display"/>
                <w:b/>
                <w:bCs/>
                <w:color w:val="FFFFFF"/>
                <w:sz w:val="18"/>
                <w:szCs w:val="18"/>
              </w:rPr>
              <w:t>Impacto en la Implementación</w:t>
            </w:r>
            <w:r w:rsidRPr="00F754EF">
              <w:rPr>
                <w:b/>
                <w:bCs/>
                <w:sz w:val="18"/>
                <w:szCs w:val="18"/>
              </w:rPr>
              <w:t xml:space="preserve"> </w:t>
            </w:r>
          </w:p>
        </w:tc>
      </w:tr>
      <w:tr w:rsidR="004D5B91" w:rsidRPr="00F754EF" w14:paraId="6E186535" w14:textId="77777777" w:rsidTr="00AD525F">
        <w:tc>
          <w:tcPr>
            <w:tcW w:w="0" w:type="auto"/>
            <w:vAlign w:val="center"/>
            <w:hideMark/>
          </w:tcPr>
          <w:p w14:paraId="6FD19A18" w14:textId="77777777" w:rsidR="004D5B91" w:rsidRPr="00F754EF" w:rsidRDefault="004D5B91" w:rsidP="00AD525F">
            <w:pPr>
              <w:spacing w:after="0" w:line="240" w:lineRule="auto"/>
              <w:rPr>
                <w:sz w:val="18"/>
                <w:szCs w:val="18"/>
              </w:rPr>
            </w:pPr>
            <w:r w:rsidRPr="00F754EF">
              <w:rPr>
                <w:rFonts w:ascii="Aptos Display" w:hAnsi="Aptos Display"/>
                <w:b/>
                <w:bCs/>
                <w:sz w:val="18"/>
                <w:szCs w:val="18"/>
              </w:rPr>
              <w:t>Desigualdades Estructurales Persistentes</w:t>
            </w:r>
            <w:r w:rsidRPr="00F754EF">
              <w:rPr>
                <w:b/>
                <w:bCs/>
                <w:sz w:val="18"/>
                <w:szCs w:val="18"/>
              </w:rPr>
              <w:t xml:space="preserve"> </w:t>
            </w:r>
          </w:p>
        </w:tc>
        <w:tc>
          <w:tcPr>
            <w:tcW w:w="0" w:type="auto"/>
            <w:vAlign w:val="center"/>
            <w:hideMark/>
          </w:tcPr>
          <w:p w14:paraId="57118E24" w14:textId="6A83548C" w:rsidR="004D5B91" w:rsidRPr="00F754EF" w:rsidRDefault="004D5B91" w:rsidP="00AD525F">
            <w:pPr>
              <w:spacing w:after="0" w:line="240" w:lineRule="auto"/>
              <w:ind w:left="57" w:right="113"/>
              <w:rPr>
                <w:sz w:val="18"/>
                <w:szCs w:val="18"/>
              </w:rPr>
            </w:pPr>
            <w:r w:rsidRPr="00F754EF">
              <w:rPr>
                <w:rFonts w:ascii="Aptos Display" w:hAnsi="Aptos Display"/>
                <w:sz w:val="18"/>
                <w:szCs w:val="18"/>
              </w:rPr>
              <w:t>Ecuador es un país de renta media-alta donde la desigualdad de género es estructural. El Índice de Desigualdad de Género se estancó después de 2016, lo que indica que los avances legislativos no se han traducido en igualdad real.</w:t>
            </w:r>
            <w:r w:rsidRPr="00F754EF">
              <w:rPr>
                <w:sz w:val="18"/>
                <w:szCs w:val="18"/>
              </w:rPr>
              <w:t xml:space="preserve"> </w:t>
            </w:r>
            <w:r w:rsidR="005D236E" w:rsidRPr="00F754EF">
              <w:rPr>
                <w:rStyle w:val="FootnoteReference"/>
                <w:sz w:val="18"/>
                <w:szCs w:val="18"/>
              </w:rPr>
              <w:footnoteReference w:id="3"/>
            </w:r>
            <w:r w:rsidRPr="00F754EF">
              <w:rPr>
                <w:rFonts w:ascii="Aptos Display" w:hAnsi="Aptos Display"/>
                <w:sz w:val="18"/>
                <w:szCs w:val="18"/>
                <w:vertAlign w:val="superscript"/>
              </w:rPr>
              <w:t xml:space="preserve"> </w:t>
            </w:r>
            <w:r w:rsidRPr="00F754EF">
              <w:rPr>
                <w:rFonts w:ascii="Aptos Display" w:hAnsi="Aptos Display"/>
                <w:sz w:val="18"/>
                <w:szCs w:val="18"/>
              </w:rPr>
              <w:t>Las mujeres encabezan el 38</w:t>
            </w:r>
            <w:r w:rsidR="00D90CBE" w:rsidRPr="00F754EF">
              <w:rPr>
                <w:rFonts w:ascii="Aptos Display" w:hAnsi="Aptos Display"/>
                <w:sz w:val="18"/>
                <w:szCs w:val="18"/>
              </w:rPr>
              <w:t>.</w:t>
            </w:r>
            <w:r w:rsidRPr="00F754EF">
              <w:rPr>
                <w:rFonts w:ascii="Aptos Display" w:hAnsi="Aptos Display"/>
                <w:sz w:val="18"/>
                <w:szCs w:val="18"/>
              </w:rPr>
              <w:t>5 % de los hogares a nivel nacional, cifra que refleja tanto el cambio demográfico como la creciente responsabilidad económica de las mujeres en contextos de migración e inseguridad.</w:t>
            </w:r>
            <w:r w:rsidR="00F100F3" w:rsidRPr="00F754EF">
              <w:rPr>
                <w:sz w:val="18"/>
                <w:szCs w:val="18"/>
              </w:rPr>
              <w:t xml:space="preserve"> </w:t>
            </w:r>
            <w:r w:rsidR="00F100F3" w:rsidRPr="00F754EF">
              <w:rPr>
                <w:rStyle w:val="FootnoteReference"/>
                <w:sz w:val="18"/>
                <w:szCs w:val="18"/>
              </w:rPr>
              <w:footnoteReference w:id="4"/>
            </w:r>
            <w:r w:rsidRPr="00F754EF">
              <w:rPr>
                <w:rFonts w:ascii="Aptos Display" w:hAnsi="Aptos Display"/>
                <w:sz w:val="18"/>
                <w:szCs w:val="18"/>
                <w:vertAlign w:val="superscript"/>
              </w:rPr>
              <w:t xml:space="preserve"> </w:t>
            </w:r>
            <w:r w:rsidRPr="00F754EF">
              <w:rPr>
                <w:rFonts w:ascii="Aptos Display" w:hAnsi="Aptos Display"/>
                <w:sz w:val="18"/>
                <w:szCs w:val="18"/>
              </w:rPr>
              <w:t>La pobreza afecta al 27% de la población, pero la pobreza multidimensional entre mujeres indígenas supera el 78%. La participación de las mujeres en la fuerza laboral es del 53% frente al 78% de los hombres</w:t>
            </w:r>
            <w:r w:rsidR="00CC5DF3" w:rsidRPr="00F754EF">
              <w:rPr>
                <w:rFonts w:ascii="Aptos Display" w:hAnsi="Aptos Display"/>
                <w:sz w:val="18"/>
                <w:szCs w:val="18"/>
              </w:rPr>
              <w:t xml:space="preserve"> </w:t>
            </w:r>
            <w:r w:rsidR="007D57D6" w:rsidRPr="00F754EF">
              <w:rPr>
                <w:rStyle w:val="FootnoteReference"/>
                <w:rFonts w:ascii="Aptos Display" w:hAnsi="Aptos Display"/>
                <w:sz w:val="18"/>
                <w:szCs w:val="18"/>
              </w:rPr>
              <w:footnoteReference w:id="5"/>
            </w:r>
            <w:r w:rsidRPr="00F754EF">
              <w:rPr>
                <w:rFonts w:ascii="Aptos Display" w:hAnsi="Aptos Display"/>
                <w:sz w:val="18"/>
                <w:szCs w:val="18"/>
                <w:vertAlign w:val="superscript"/>
              </w:rPr>
              <w:t xml:space="preserve"> </w:t>
            </w:r>
            <w:r w:rsidRPr="00F754EF">
              <w:rPr>
                <w:rFonts w:ascii="Aptos Display" w:hAnsi="Aptos Display"/>
                <w:sz w:val="18"/>
                <w:szCs w:val="18"/>
              </w:rPr>
              <w:t>, realizan tres veces más trabajo de cuidados no remunerado que los hombres</w:t>
            </w:r>
            <w:r w:rsidRPr="00F754EF">
              <w:rPr>
                <w:sz w:val="18"/>
                <w:szCs w:val="18"/>
              </w:rPr>
              <w:t xml:space="preserve"> </w:t>
            </w:r>
            <w:r w:rsidRPr="00F754EF">
              <w:rPr>
                <w:rFonts w:ascii="Aptos Display" w:hAnsi="Aptos Display"/>
                <w:sz w:val="18"/>
                <w:szCs w:val="18"/>
                <w:vertAlign w:val="superscript"/>
              </w:rPr>
              <w:t>[</w:t>
            </w:r>
            <w:r w:rsidR="00362890" w:rsidRPr="00F754EF">
              <w:rPr>
                <w:rStyle w:val="FootnoteReference"/>
                <w:rFonts w:ascii="Aptos Display" w:hAnsi="Aptos Display"/>
                <w:sz w:val="18"/>
                <w:szCs w:val="18"/>
              </w:rPr>
              <w:footnoteReference w:id="6"/>
            </w:r>
            <w:r w:rsidRPr="00F754EF">
              <w:rPr>
                <w:rFonts w:ascii="Aptos Display" w:hAnsi="Aptos Display"/>
                <w:sz w:val="18"/>
                <w:szCs w:val="18"/>
                <w:vertAlign w:val="superscript"/>
              </w:rPr>
              <w:t xml:space="preserve">] </w:t>
            </w:r>
            <w:r w:rsidRPr="00F754EF">
              <w:rPr>
                <w:rFonts w:ascii="Aptos Display" w:hAnsi="Aptos Display"/>
                <w:sz w:val="18"/>
                <w:szCs w:val="18"/>
              </w:rPr>
              <w:t>y acceden a crédito en menor proporción (18% frente al 24% de los hombres).</w:t>
            </w:r>
            <w:r w:rsidRPr="00F754EF">
              <w:rPr>
                <w:sz w:val="18"/>
                <w:szCs w:val="18"/>
              </w:rPr>
              <w:t xml:space="preserve"> </w:t>
            </w:r>
            <w:r w:rsidRPr="00F754EF">
              <w:rPr>
                <w:rStyle w:val="FootnoteReference"/>
                <w:sz w:val="18"/>
                <w:szCs w:val="18"/>
              </w:rPr>
              <w:t>[</w:t>
            </w:r>
            <w:r w:rsidR="002635F5" w:rsidRPr="00F754EF">
              <w:rPr>
                <w:rStyle w:val="FootnoteReference"/>
                <w:sz w:val="18"/>
                <w:szCs w:val="18"/>
              </w:rPr>
              <w:footnoteReference w:id="7"/>
            </w:r>
            <w:r w:rsidRPr="00F754EF">
              <w:rPr>
                <w:rStyle w:val="FootnoteReference"/>
                <w:sz w:val="18"/>
                <w:szCs w:val="18"/>
              </w:rPr>
              <w:t xml:space="preserve">] </w:t>
            </w:r>
          </w:p>
        </w:tc>
        <w:tc>
          <w:tcPr>
            <w:tcW w:w="0" w:type="auto"/>
            <w:vAlign w:val="center"/>
            <w:hideMark/>
          </w:tcPr>
          <w:p w14:paraId="5786EBFE" w14:textId="77777777" w:rsidR="004D5B91" w:rsidRPr="00F754EF" w:rsidRDefault="004D5B91" w:rsidP="00AD525F">
            <w:pPr>
              <w:spacing w:after="0" w:line="240" w:lineRule="auto"/>
              <w:ind w:left="57" w:right="113"/>
              <w:rPr>
                <w:sz w:val="18"/>
                <w:szCs w:val="18"/>
              </w:rPr>
            </w:pPr>
            <w:r w:rsidRPr="00F754EF">
              <w:rPr>
                <w:rFonts w:ascii="Aptos Display" w:hAnsi="Aptos Display"/>
                <w:sz w:val="18"/>
                <w:szCs w:val="18"/>
              </w:rPr>
              <w:t>Estas condiciones justificaron la arquitectura de doble resultado de la Nota Estratégica. El enfoque en mujeres indígenas, afroecuatorianas y migrantes se estableció como línea base. La oficina trabajó en problemas arraigados con recursos limitados, centrando sus esfuerzos en avances incrementales como unidad realista de cambio.</w:t>
            </w:r>
            <w:r w:rsidRPr="00F754EF">
              <w:rPr>
                <w:sz w:val="18"/>
                <w:szCs w:val="18"/>
              </w:rPr>
              <w:t xml:space="preserve"> </w:t>
            </w:r>
          </w:p>
        </w:tc>
      </w:tr>
      <w:tr w:rsidR="004D5B91" w:rsidRPr="00F754EF" w14:paraId="55948FA3" w14:textId="77777777" w:rsidTr="00AD525F">
        <w:tc>
          <w:tcPr>
            <w:tcW w:w="0" w:type="auto"/>
            <w:vAlign w:val="center"/>
            <w:hideMark/>
          </w:tcPr>
          <w:p w14:paraId="38EF9EB6" w14:textId="77777777" w:rsidR="004D5B91" w:rsidRPr="00F754EF" w:rsidRDefault="004D5B91" w:rsidP="00AD525F">
            <w:pPr>
              <w:spacing w:after="0" w:line="240" w:lineRule="auto"/>
              <w:rPr>
                <w:sz w:val="18"/>
                <w:szCs w:val="18"/>
              </w:rPr>
            </w:pPr>
            <w:r w:rsidRPr="00F754EF">
              <w:rPr>
                <w:rFonts w:ascii="Aptos Display" w:hAnsi="Aptos Display"/>
                <w:b/>
                <w:bCs/>
                <w:sz w:val="18"/>
                <w:szCs w:val="18"/>
              </w:rPr>
              <w:t>Violencia Contra las Mujeres y Seguridad</w:t>
            </w:r>
            <w:r w:rsidRPr="00F754EF">
              <w:rPr>
                <w:b/>
                <w:bCs/>
                <w:sz w:val="18"/>
                <w:szCs w:val="18"/>
              </w:rPr>
              <w:t xml:space="preserve"> </w:t>
            </w:r>
          </w:p>
        </w:tc>
        <w:tc>
          <w:tcPr>
            <w:tcW w:w="0" w:type="auto"/>
            <w:vAlign w:val="center"/>
            <w:hideMark/>
          </w:tcPr>
          <w:p w14:paraId="5BA87AB7" w14:textId="0E5B1CDF" w:rsidR="004D5B91" w:rsidRPr="00F754EF" w:rsidRDefault="00E66B78" w:rsidP="00AD525F">
            <w:pPr>
              <w:spacing w:after="0" w:line="240" w:lineRule="auto"/>
              <w:ind w:left="57" w:right="113"/>
              <w:rPr>
                <w:sz w:val="18"/>
                <w:szCs w:val="18"/>
              </w:rPr>
            </w:pPr>
            <w:r w:rsidRPr="00F754EF">
              <w:rPr>
                <w:rFonts w:ascii="Aptos Display" w:hAnsi="Aptos Display"/>
                <w:sz w:val="18"/>
                <w:szCs w:val="18"/>
              </w:rPr>
              <w:t>La violencia basada en género constituye uno de los desafíos persistentes en materia de derechos humanos en Ecuador</w:t>
            </w:r>
            <w:r w:rsidR="004D5B91" w:rsidRPr="00F754EF">
              <w:rPr>
                <w:rFonts w:ascii="Aptos Display" w:hAnsi="Aptos Display"/>
                <w:sz w:val="18"/>
                <w:szCs w:val="18"/>
              </w:rPr>
              <w:t xml:space="preserve">. </w:t>
            </w:r>
            <w:r w:rsidR="005214A1">
              <w:rPr>
                <w:rFonts w:ascii="Aptos Display" w:hAnsi="Aptos Display"/>
                <w:sz w:val="18"/>
                <w:szCs w:val="18"/>
              </w:rPr>
              <w:t>En el 2019, e</w:t>
            </w:r>
            <w:r w:rsidR="004D5B91" w:rsidRPr="00F754EF">
              <w:rPr>
                <w:rFonts w:ascii="Aptos Display" w:hAnsi="Aptos Display"/>
                <w:sz w:val="18"/>
                <w:szCs w:val="18"/>
              </w:rPr>
              <w:t>l 64</w:t>
            </w:r>
            <w:r w:rsidR="008C55D3" w:rsidRPr="00F754EF">
              <w:rPr>
                <w:rFonts w:ascii="Aptos Display" w:hAnsi="Aptos Display"/>
                <w:sz w:val="18"/>
                <w:szCs w:val="18"/>
              </w:rPr>
              <w:t>.</w:t>
            </w:r>
            <w:r w:rsidR="004D5B91" w:rsidRPr="00F754EF">
              <w:rPr>
                <w:rFonts w:ascii="Aptos Display" w:hAnsi="Aptos Display"/>
                <w:sz w:val="18"/>
                <w:szCs w:val="18"/>
              </w:rPr>
              <w:t>9% de las mujeres mayores de 15 años han experimentado algún tipo de violencia en su vida, con tasas significativamente más altas entre mujeres indígenas y afroecuatorianas.</w:t>
            </w:r>
            <w:r w:rsidR="004D5B91" w:rsidRPr="00F754EF">
              <w:rPr>
                <w:sz w:val="18"/>
                <w:szCs w:val="18"/>
              </w:rPr>
              <w:t xml:space="preserve"> </w:t>
            </w:r>
            <w:r w:rsidR="004D5B91" w:rsidRPr="00F754EF">
              <w:rPr>
                <w:rStyle w:val="FootnoteReference"/>
                <w:sz w:val="18"/>
                <w:szCs w:val="18"/>
              </w:rPr>
              <w:t>[</w:t>
            </w:r>
            <w:r w:rsidR="002635F5" w:rsidRPr="00F754EF">
              <w:rPr>
                <w:rStyle w:val="FootnoteReference"/>
                <w:sz w:val="18"/>
                <w:szCs w:val="18"/>
              </w:rPr>
              <w:footnoteReference w:id="8"/>
            </w:r>
            <w:r w:rsidR="004D5B91" w:rsidRPr="00F754EF">
              <w:rPr>
                <w:rStyle w:val="FootnoteReference"/>
                <w:sz w:val="18"/>
                <w:szCs w:val="18"/>
              </w:rPr>
              <w:t xml:space="preserve">] </w:t>
            </w:r>
            <w:r w:rsidR="004D5B91" w:rsidRPr="00F754EF">
              <w:rPr>
                <w:rFonts w:ascii="Aptos Display" w:hAnsi="Aptos Display"/>
                <w:sz w:val="18"/>
                <w:szCs w:val="18"/>
              </w:rPr>
              <w:t>Las tasas de denuncia son extremadamente bajas, reflejando una profunda desconfianza hacia las instituciones, miedo a represalias y barreras estructurales para acceder a la justicia, especialmente en zonas rurales y fronterizas donde los servicios son escasos o inexistentes.</w:t>
            </w:r>
            <w:r w:rsidR="004D5B91" w:rsidRPr="00F754EF">
              <w:rPr>
                <w:sz w:val="18"/>
                <w:szCs w:val="18"/>
              </w:rPr>
              <w:t xml:space="preserve"> </w:t>
            </w:r>
            <w:r w:rsidR="004D5B91" w:rsidRPr="00F754EF">
              <w:rPr>
                <w:rStyle w:val="FootnoteReference"/>
                <w:sz w:val="18"/>
                <w:szCs w:val="18"/>
              </w:rPr>
              <w:t>[</w:t>
            </w:r>
            <w:r w:rsidR="003B17A1" w:rsidRPr="00F754EF">
              <w:rPr>
                <w:rStyle w:val="FootnoteReference"/>
                <w:sz w:val="18"/>
                <w:szCs w:val="18"/>
              </w:rPr>
              <w:footnoteReference w:id="9"/>
            </w:r>
            <w:r w:rsidR="004D5B91" w:rsidRPr="00F754EF">
              <w:rPr>
                <w:rStyle w:val="FootnoteReference"/>
                <w:sz w:val="18"/>
                <w:szCs w:val="18"/>
              </w:rPr>
              <w:t xml:space="preserve">] </w:t>
            </w:r>
            <w:r w:rsidR="004D5B91" w:rsidRPr="00F754EF">
              <w:rPr>
                <w:rFonts w:ascii="Aptos Display" w:hAnsi="Aptos Display"/>
                <w:sz w:val="18"/>
                <w:szCs w:val="18"/>
              </w:rPr>
              <w:t xml:space="preserve">En 2024, </w:t>
            </w:r>
            <w:r w:rsidR="001E7FBA" w:rsidRPr="00F754EF">
              <w:rPr>
                <w:rFonts w:ascii="Aptos Display" w:hAnsi="Aptos Display"/>
                <w:sz w:val="18"/>
                <w:szCs w:val="18"/>
              </w:rPr>
              <w:t>según datos de la organización ALDEA (2025), una proporción significativa de los feminicidios registrados se documentó en contextos asociados a la presencia de criminalidad organizada</w:t>
            </w:r>
            <w:r w:rsidR="004D5B91" w:rsidRPr="00F754EF">
              <w:rPr>
                <w:rFonts w:ascii="Aptos Display" w:hAnsi="Aptos Display"/>
                <w:sz w:val="18"/>
                <w:szCs w:val="18"/>
              </w:rPr>
              <w:t>, lo que evidencia un cambio cualitativo en los factores y dinámicas de la violencia contra las mujeres.</w:t>
            </w:r>
            <w:r w:rsidR="004D5B91" w:rsidRPr="00F754EF">
              <w:rPr>
                <w:rStyle w:val="FootnoteReference"/>
                <w:sz w:val="18"/>
                <w:szCs w:val="18"/>
              </w:rPr>
              <w:t>[</w:t>
            </w:r>
            <w:r w:rsidR="00C10BA3" w:rsidRPr="00F754EF">
              <w:rPr>
                <w:rStyle w:val="FootnoteReference"/>
                <w:sz w:val="18"/>
                <w:szCs w:val="18"/>
              </w:rPr>
              <w:footnoteReference w:id="10"/>
            </w:r>
            <w:r w:rsidR="004D5B91" w:rsidRPr="00F754EF">
              <w:rPr>
                <w:rStyle w:val="FootnoteReference"/>
                <w:sz w:val="18"/>
                <w:szCs w:val="18"/>
              </w:rPr>
              <w:t xml:space="preserve">] </w:t>
            </w:r>
            <w:r w:rsidR="004D5B91" w:rsidRPr="00F754EF">
              <w:rPr>
                <w:rFonts w:ascii="Aptos Display" w:hAnsi="Aptos Display"/>
                <w:sz w:val="18"/>
                <w:szCs w:val="18"/>
              </w:rPr>
              <w:t>Los refugios estuvieron amenazados, las lideresas comunitarias sufrieron intimidación directa y varias organizaciones de la sociedad civil se retiraron de ciertos territorios al no poder garantizar la seguridad de su personal y participantes.</w:t>
            </w:r>
            <w:r w:rsidR="004D5B91" w:rsidRPr="00F754EF">
              <w:rPr>
                <w:sz w:val="18"/>
                <w:szCs w:val="18"/>
              </w:rPr>
              <w:t xml:space="preserve"> </w:t>
            </w:r>
            <w:r w:rsidR="004D5B91" w:rsidRPr="00F754EF">
              <w:rPr>
                <w:rStyle w:val="FootnoteReference"/>
                <w:sz w:val="18"/>
                <w:szCs w:val="18"/>
              </w:rPr>
              <w:t>[</w:t>
            </w:r>
            <w:r w:rsidR="00DF0761" w:rsidRPr="00F754EF">
              <w:rPr>
                <w:rStyle w:val="FootnoteReference"/>
                <w:sz w:val="18"/>
                <w:szCs w:val="18"/>
              </w:rPr>
              <w:footnoteReference w:id="11"/>
            </w:r>
            <w:r w:rsidR="004D5B91" w:rsidRPr="00F754EF">
              <w:rPr>
                <w:rStyle w:val="FootnoteReference"/>
                <w:sz w:val="18"/>
                <w:szCs w:val="18"/>
              </w:rPr>
              <w:t xml:space="preserve">] </w:t>
            </w:r>
            <w:r w:rsidR="004D5B91" w:rsidRPr="00F754EF">
              <w:rPr>
                <w:rFonts w:ascii="Aptos Display" w:hAnsi="Aptos Display"/>
                <w:sz w:val="18"/>
                <w:szCs w:val="18"/>
              </w:rPr>
              <w:t>La tasa nacional de homicidios en Ecuador aumentó significativamente entre 2020 y 2023, situando al país entre los más violentos de América Latina.</w:t>
            </w:r>
            <w:r w:rsidR="004D5B91" w:rsidRPr="00F754EF">
              <w:rPr>
                <w:sz w:val="18"/>
                <w:szCs w:val="18"/>
              </w:rPr>
              <w:t xml:space="preserve"> </w:t>
            </w:r>
            <w:r w:rsidR="004D5B91" w:rsidRPr="00F754EF">
              <w:rPr>
                <w:rStyle w:val="FootnoteReference"/>
                <w:sz w:val="18"/>
                <w:szCs w:val="18"/>
              </w:rPr>
              <w:t>[</w:t>
            </w:r>
            <w:r w:rsidR="00E416E3" w:rsidRPr="00F754EF">
              <w:rPr>
                <w:rStyle w:val="FootnoteReference"/>
                <w:sz w:val="18"/>
                <w:szCs w:val="18"/>
              </w:rPr>
              <w:footnoteReference w:id="12"/>
            </w:r>
            <w:r w:rsidR="004D5B91" w:rsidRPr="00F754EF">
              <w:rPr>
                <w:rStyle w:val="FootnoteReference"/>
                <w:sz w:val="18"/>
                <w:szCs w:val="18"/>
              </w:rPr>
              <w:t xml:space="preserve">] </w:t>
            </w:r>
          </w:p>
        </w:tc>
        <w:tc>
          <w:tcPr>
            <w:tcW w:w="0" w:type="auto"/>
            <w:vAlign w:val="center"/>
            <w:hideMark/>
          </w:tcPr>
          <w:p w14:paraId="6978AD13" w14:textId="45C5AE18" w:rsidR="004D5B91" w:rsidRPr="00F754EF" w:rsidRDefault="003F15CB" w:rsidP="00AD525F">
            <w:pPr>
              <w:spacing w:after="0" w:line="240" w:lineRule="auto"/>
              <w:ind w:left="57" w:right="113"/>
              <w:rPr>
                <w:sz w:val="18"/>
                <w:szCs w:val="18"/>
              </w:rPr>
            </w:pPr>
            <w:r w:rsidRPr="00F754EF">
              <w:rPr>
                <w:rFonts w:ascii="Aptos Display" w:hAnsi="Aptos Display"/>
                <w:sz w:val="18"/>
                <w:szCs w:val="18"/>
              </w:rPr>
              <w:t>Estas circunstancias llevaron a la oficina a adaptar sus enfoques programáticos ante un entorno de mayor riesgo para el personal, los socios y las personas beneficiarias</w:t>
            </w:r>
            <w:r w:rsidR="004D5B91" w:rsidRPr="00F754EF">
              <w:rPr>
                <w:rFonts w:ascii="Aptos Display" w:hAnsi="Aptos Display"/>
                <w:sz w:val="18"/>
                <w:szCs w:val="18"/>
              </w:rPr>
              <w:t>. Los programas de prevención y respuesta se volvieron más difíciles de sostener en territorios disputados. Se ponderaron los riesgos de seguridad para los socios frente a la continuidad, ajustando el alcance geográfico o las modalidades de entrega durante la implementación.</w:t>
            </w:r>
            <w:r w:rsidR="004D5B91" w:rsidRPr="00F754EF">
              <w:rPr>
                <w:sz w:val="18"/>
                <w:szCs w:val="18"/>
              </w:rPr>
              <w:t xml:space="preserve"> </w:t>
            </w:r>
          </w:p>
        </w:tc>
      </w:tr>
      <w:tr w:rsidR="004D5B91" w:rsidRPr="00F754EF" w14:paraId="423F9601" w14:textId="77777777" w:rsidTr="00AD525F">
        <w:tc>
          <w:tcPr>
            <w:tcW w:w="0" w:type="auto"/>
            <w:vAlign w:val="center"/>
            <w:hideMark/>
          </w:tcPr>
          <w:p w14:paraId="3F5742F8" w14:textId="77777777" w:rsidR="004D5B91" w:rsidRPr="00F754EF" w:rsidRDefault="004D5B91" w:rsidP="00AD525F">
            <w:pPr>
              <w:spacing w:after="0" w:line="240" w:lineRule="auto"/>
              <w:rPr>
                <w:sz w:val="18"/>
                <w:szCs w:val="18"/>
              </w:rPr>
            </w:pPr>
            <w:r w:rsidRPr="00F754EF">
              <w:rPr>
                <w:rFonts w:ascii="Aptos Display" w:hAnsi="Aptos Display"/>
                <w:b/>
                <w:bCs/>
                <w:sz w:val="18"/>
                <w:szCs w:val="18"/>
              </w:rPr>
              <w:t>Participación Política y Voz</w:t>
            </w:r>
            <w:r w:rsidRPr="00F754EF">
              <w:rPr>
                <w:b/>
                <w:bCs/>
                <w:sz w:val="18"/>
                <w:szCs w:val="18"/>
              </w:rPr>
              <w:t xml:space="preserve"> </w:t>
            </w:r>
          </w:p>
        </w:tc>
        <w:tc>
          <w:tcPr>
            <w:tcW w:w="0" w:type="auto"/>
            <w:vAlign w:val="center"/>
            <w:hideMark/>
          </w:tcPr>
          <w:p w14:paraId="11B10D5F" w14:textId="684F7E18" w:rsidR="004D5B91" w:rsidRPr="00F754EF" w:rsidRDefault="004D5B91" w:rsidP="00AD525F">
            <w:pPr>
              <w:spacing w:after="0" w:line="240" w:lineRule="auto"/>
              <w:ind w:left="57" w:right="113"/>
              <w:rPr>
                <w:sz w:val="18"/>
                <w:szCs w:val="18"/>
              </w:rPr>
            </w:pPr>
            <w:r w:rsidRPr="00F754EF">
              <w:rPr>
                <w:rFonts w:ascii="Aptos Display" w:hAnsi="Aptos Display"/>
                <w:sz w:val="18"/>
                <w:szCs w:val="18"/>
              </w:rPr>
              <w:t xml:space="preserve">A pesar de los marcos legales que exigen paridad y alternancia en las listas electorales, la representación política efectiva de las mujeres sigue siendo limitada: aproximadamente el 36% de los escaños de la Asamblea </w:t>
            </w:r>
            <w:r w:rsidRPr="00F754EF">
              <w:rPr>
                <w:rFonts w:ascii="Aptos Display" w:hAnsi="Aptos Display"/>
                <w:sz w:val="18"/>
                <w:szCs w:val="18"/>
              </w:rPr>
              <w:lastRenderedPageBreak/>
              <w:t>Nacional, menos del 20% de las alcaldías y menos del 30% de las prefecturas.</w:t>
            </w:r>
            <w:r w:rsidRPr="00F754EF">
              <w:rPr>
                <w:sz w:val="18"/>
                <w:szCs w:val="18"/>
              </w:rPr>
              <w:t xml:space="preserve"> </w:t>
            </w:r>
            <w:r w:rsidRPr="00F754EF">
              <w:rPr>
                <w:rStyle w:val="FootnoteReference"/>
                <w:sz w:val="18"/>
                <w:szCs w:val="18"/>
              </w:rPr>
              <w:t>[</w:t>
            </w:r>
            <w:r w:rsidR="007F1ED1" w:rsidRPr="00F754EF">
              <w:rPr>
                <w:rStyle w:val="FootnoteReference"/>
                <w:sz w:val="18"/>
                <w:szCs w:val="18"/>
              </w:rPr>
              <w:footnoteReference w:id="13"/>
            </w:r>
            <w:r w:rsidRPr="00F754EF">
              <w:rPr>
                <w:rStyle w:val="FootnoteReference"/>
                <w:sz w:val="18"/>
                <w:szCs w:val="18"/>
              </w:rPr>
              <w:t xml:space="preserve">] </w:t>
            </w:r>
            <w:r w:rsidRPr="00F754EF">
              <w:rPr>
                <w:rFonts w:ascii="Aptos Display" w:hAnsi="Aptos Display"/>
                <w:sz w:val="18"/>
                <w:szCs w:val="18"/>
              </w:rPr>
              <w:t>La violencia política contra las mujeres también es generalizada: el 66% de las mujeres en política reportan haber sufrido trato degradante o despreciativo.</w:t>
            </w:r>
            <w:r w:rsidRPr="00F754EF">
              <w:rPr>
                <w:sz w:val="18"/>
                <w:szCs w:val="18"/>
              </w:rPr>
              <w:t xml:space="preserve"> </w:t>
            </w:r>
            <w:r w:rsidRPr="00F754EF">
              <w:rPr>
                <w:rStyle w:val="FootnoteReference"/>
                <w:sz w:val="18"/>
                <w:szCs w:val="18"/>
              </w:rPr>
              <w:t>[</w:t>
            </w:r>
            <w:r w:rsidR="0093050A" w:rsidRPr="00F754EF">
              <w:rPr>
                <w:rStyle w:val="FootnoteReference"/>
                <w:sz w:val="18"/>
                <w:szCs w:val="18"/>
              </w:rPr>
              <w:footnoteReference w:id="14"/>
            </w:r>
            <w:r w:rsidRPr="00F754EF">
              <w:rPr>
                <w:rStyle w:val="FootnoteReference"/>
                <w:sz w:val="18"/>
                <w:szCs w:val="18"/>
              </w:rPr>
              <w:t xml:space="preserve">] </w:t>
            </w:r>
            <w:r w:rsidRPr="00F754EF">
              <w:rPr>
                <w:rFonts w:ascii="Aptos Display" w:hAnsi="Aptos Display"/>
                <w:sz w:val="18"/>
                <w:szCs w:val="18"/>
              </w:rPr>
              <w:t xml:space="preserve">Estas dinámicas afectan de manera desproporcionada a las mujeres indígenas y afroecuatorianas y ocurren junto a la reducción del espacio cívico, mayor presión sobre defensoras de derechos humanos y </w:t>
            </w:r>
            <w:r w:rsidR="00664813" w:rsidRPr="00F754EF">
              <w:rPr>
                <w:rFonts w:ascii="Aptos Display" w:hAnsi="Aptos Display"/>
                <w:sz w:val="18"/>
                <w:szCs w:val="18"/>
              </w:rPr>
              <w:t>la creciente presencia de corrientes de opinión y movimientos sociales con posiciones contrarias a los marcos de igualdad de género</w:t>
            </w:r>
            <w:r w:rsidRPr="00F754EF">
              <w:rPr>
                <w:rFonts w:ascii="Aptos Display" w:hAnsi="Aptos Display"/>
                <w:sz w:val="18"/>
                <w:szCs w:val="18"/>
              </w:rPr>
              <w:t>.</w:t>
            </w:r>
            <w:r w:rsidRPr="00F754EF">
              <w:rPr>
                <w:sz w:val="18"/>
                <w:szCs w:val="18"/>
              </w:rPr>
              <w:t xml:space="preserve"> </w:t>
            </w:r>
          </w:p>
        </w:tc>
        <w:tc>
          <w:tcPr>
            <w:tcW w:w="0" w:type="auto"/>
            <w:vAlign w:val="center"/>
            <w:hideMark/>
          </w:tcPr>
          <w:p w14:paraId="505AB0DB" w14:textId="301C79B5" w:rsidR="004D5B91" w:rsidRPr="00F754EF" w:rsidRDefault="004D5B91" w:rsidP="00AD525F">
            <w:pPr>
              <w:spacing w:after="0" w:line="240" w:lineRule="auto"/>
              <w:ind w:left="57" w:right="113"/>
              <w:rPr>
                <w:sz w:val="18"/>
                <w:szCs w:val="18"/>
              </w:rPr>
            </w:pPr>
            <w:r w:rsidRPr="00F754EF">
              <w:rPr>
                <w:rFonts w:ascii="Aptos Display" w:hAnsi="Aptos Display"/>
                <w:sz w:val="18"/>
                <w:szCs w:val="18"/>
              </w:rPr>
              <w:lastRenderedPageBreak/>
              <w:t xml:space="preserve">El trabajo normativo y de incidencia se desarrolló en contracorriente. Las actividades para fortalecer las instituciones electorales tuvieron que sortear </w:t>
            </w:r>
            <w:r w:rsidR="00EC2F8D" w:rsidRPr="00F754EF">
              <w:rPr>
                <w:rFonts w:ascii="Aptos Display" w:hAnsi="Aptos Display"/>
                <w:sz w:val="18"/>
                <w:szCs w:val="18"/>
              </w:rPr>
              <w:lastRenderedPageBreak/>
              <w:t>interlocutores institucionales con distintos niveles de priorización de la agenda de igualdad de género.</w:t>
            </w:r>
          </w:p>
        </w:tc>
      </w:tr>
      <w:tr w:rsidR="00BC555A" w:rsidRPr="00F754EF" w14:paraId="78BD5B17" w14:textId="77777777" w:rsidTr="00AD525F">
        <w:tc>
          <w:tcPr>
            <w:tcW w:w="0" w:type="auto"/>
            <w:vAlign w:val="center"/>
          </w:tcPr>
          <w:p w14:paraId="4975B547" w14:textId="06495966" w:rsidR="00BC555A" w:rsidRPr="00F754EF" w:rsidRDefault="00BC555A" w:rsidP="00AD525F">
            <w:pPr>
              <w:spacing w:after="0" w:line="240" w:lineRule="auto"/>
              <w:rPr>
                <w:rFonts w:ascii="Aptos Display" w:hAnsi="Aptos Display"/>
                <w:b/>
                <w:bCs/>
                <w:sz w:val="18"/>
                <w:szCs w:val="18"/>
              </w:rPr>
            </w:pPr>
            <w:r w:rsidRPr="00F754EF">
              <w:rPr>
                <w:rFonts w:ascii="Aptos Display" w:hAnsi="Aptos Display"/>
                <w:b/>
                <w:bCs/>
                <w:sz w:val="18"/>
                <w:szCs w:val="18"/>
              </w:rPr>
              <w:t>Movilidad Humana: Un panorama cambiante</w:t>
            </w:r>
            <w:r w:rsidRPr="00F754EF">
              <w:rPr>
                <w:b/>
                <w:bCs/>
                <w:sz w:val="18"/>
                <w:szCs w:val="18"/>
              </w:rPr>
              <w:t xml:space="preserve"> </w:t>
            </w:r>
          </w:p>
        </w:tc>
        <w:tc>
          <w:tcPr>
            <w:tcW w:w="0" w:type="auto"/>
            <w:vAlign w:val="center"/>
          </w:tcPr>
          <w:p w14:paraId="43B83198" w14:textId="28458533" w:rsidR="00BC555A" w:rsidRPr="00F754EF" w:rsidRDefault="00BC555A" w:rsidP="00AD525F">
            <w:pPr>
              <w:spacing w:after="0" w:line="240" w:lineRule="auto"/>
              <w:ind w:left="57" w:right="113"/>
              <w:rPr>
                <w:rFonts w:ascii="Aptos Display" w:hAnsi="Aptos Display"/>
                <w:sz w:val="18"/>
                <w:szCs w:val="18"/>
              </w:rPr>
            </w:pPr>
            <w:r w:rsidRPr="00F754EF">
              <w:rPr>
                <w:rFonts w:ascii="Aptos Display" w:hAnsi="Aptos Display"/>
                <w:sz w:val="18"/>
                <w:szCs w:val="18"/>
              </w:rPr>
              <w:t>Ecuador es simultáneamente país de origen, tránsito y destino de migrantes y refugiados. En 2024, el país acogía a más de 500</w:t>
            </w:r>
            <w:r w:rsidR="0061182C" w:rsidRPr="00F754EF">
              <w:rPr>
                <w:rFonts w:ascii="Aptos Display" w:hAnsi="Aptos Display"/>
                <w:sz w:val="18"/>
                <w:szCs w:val="18"/>
              </w:rPr>
              <w:t>,</w:t>
            </w:r>
            <w:r w:rsidRPr="00F754EF">
              <w:rPr>
                <w:rFonts w:ascii="Aptos Display" w:hAnsi="Aptos Display"/>
                <w:sz w:val="18"/>
                <w:szCs w:val="18"/>
              </w:rPr>
              <w:t>000 migrantes y refugiados venezolanos, junto con un número significativo de ciudadanos colombianos.</w:t>
            </w:r>
            <w:r w:rsidRPr="00F754EF">
              <w:rPr>
                <w:sz w:val="18"/>
                <w:szCs w:val="18"/>
              </w:rPr>
              <w:t xml:space="preserve"> </w:t>
            </w:r>
            <w:r w:rsidRPr="00F754EF">
              <w:rPr>
                <w:rStyle w:val="FootnoteReference"/>
                <w:sz w:val="18"/>
                <w:szCs w:val="18"/>
              </w:rPr>
              <w:t>[</w:t>
            </w:r>
            <w:r w:rsidR="0093050A" w:rsidRPr="00F754EF">
              <w:rPr>
                <w:rStyle w:val="FootnoteReference"/>
                <w:sz w:val="18"/>
                <w:szCs w:val="18"/>
              </w:rPr>
              <w:footnoteReference w:id="15"/>
            </w:r>
            <w:r w:rsidRPr="00F754EF">
              <w:rPr>
                <w:rStyle w:val="FootnoteReference"/>
                <w:sz w:val="18"/>
                <w:szCs w:val="18"/>
              </w:rPr>
              <w:t xml:space="preserve">] </w:t>
            </w:r>
            <w:r w:rsidRPr="00F754EF">
              <w:rPr>
                <w:rFonts w:ascii="Aptos Display" w:hAnsi="Aptos Display"/>
                <w:sz w:val="18"/>
                <w:szCs w:val="18"/>
              </w:rPr>
              <w:t>Las mujeres y niñas en movilidad humana enfrentan mayores riesgos de violencia de género, trata, explotación laboral y discriminación xenófoba, especialmente cuando se encuentran en situación migratoria irregular.</w:t>
            </w:r>
            <w:r w:rsidRPr="00F754EF">
              <w:rPr>
                <w:sz w:val="18"/>
                <w:szCs w:val="18"/>
              </w:rPr>
              <w:t xml:space="preserve"> </w:t>
            </w:r>
            <w:r w:rsidRPr="00F754EF">
              <w:rPr>
                <w:rFonts w:ascii="Aptos Display" w:hAnsi="Aptos Display"/>
                <w:sz w:val="18"/>
                <w:szCs w:val="18"/>
              </w:rPr>
              <w:t>Durante el periodo de evaluación, el perfil de las poblaciones móviles en la frontera norte cambió de manera significativa: los flujos de mujeres venezolanas comenzaron a disminuir, mientras que aumentó la llegada de mujeres colombianas que huían del conflicto armado, trayendo consigo necesidades de protección específicas como la complejidad legal binacional y la exposición a violencia sexual relacionada con el conflicto.</w:t>
            </w:r>
            <w:r w:rsidRPr="00F754EF">
              <w:rPr>
                <w:sz w:val="18"/>
                <w:szCs w:val="18"/>
              </w:rPr>
              <w:t xml:space="preserve"> </w:t>
            </w:r>
            <w:r w:rsidRPr="00F754EF">
              <w:rPr>
                <w:rStyle w:val="FootnoteReference"/>
                <w:sz w:val="18"/>
                <w:szCs w:val="18"/>
              </w:rPr>
              <w:t>[</w:t>
            </w:r>
            <w:r w:rsidR="00650A70" w:rsidRPr="00F754EF">
              <w:rPr>
                <w:rStyle w:val="FootnoteReference"/>
                <w:sz w:val="18"/>
                <w:szCs w:val="18"/>
              </w:rPr>
              <w:footnoteReference w:id="16"/>
            </w:r>
            <w:r w:rsidRPr="00F754EF">
              <w:rPr>
                <w:rStyle w:val="FootnoteReference"/>
                <w:sz w:val="18"/>
                <w:szCs w:val="18"/>
              </w:rPr>
              <w:t xml:space="preserve">] </w:t>
            </w:r>
          </w:p>
        </w:tc>
        <w:tc>
          <w:tcPr>
            <w:tcW w:w="0" w:type="auto"/>
            <w:vAlign w:val="center"/>
          </w:tcPr>
          <w:p w14:paraId="0C537508" w14:textId="1BD3FF7E" w:rsidR="00BC555A" w:rsidRPr="00F754EF" w:rsidRDefault="00BC555A" w:rsidP="00AD525F">
            <w:pPr>
              <w:spacing w:after="0" w:line="240" w:lineRule="auto"/>
              <w:ind w:left="57" w:right="113"/>
              <w:rPr>
                <w:rFonts w:ascii="Aptos Display" w:hAnsi="Aptos Display"/>
                <w:sz w:val="18"/>
                <w:szCs w:val="18"/>
              </w:rPr>
            </w:pPr>
            <w:r w:rsidRPr="00F754EF">
              <w:rPr>
                <w:rFonts w:ascii="Aptos Display" w:hAnsi="Aptos Display"/>
                <w:sz w:val="18"/>
                <w:szCs w:val="18"/>
              </w:rPr>
              <w:t>Estos cambios requirieron que la oficina adaptara su programación sobre movilidad humana a un perfil poblacional cambiante. Los enfoques y alianzas desarrollados para el desplazamiento venezolano necesitaron ajustes para mujeres colombianas afectadas por el conflicto, con diferentes estatus legales, necesidades de protección y vínculos comunitarios. La dimensión digital de la explotación también puso de manifiesto carencias en las herramientas existentes y en las capacidades de los socios, que no se habían previsto en el diseño de la Nota Estratégica.</w:t>
            </w:r>
            <w:r w:rsidRPr="00F754EF">
              <w:rPr>
                <w:sz w:val="18"/>
                <w:szCs w:val="18"/>
              </w:rPr>
              <w:t xml:space="preserve"> </w:t>
            </w:r>
          </w:p>
        </w:tc>
      </w:tr>
      <w:tr w:rsidR="00BC555A" w:rsidRPr="00F754EF" w14:paraId="6FBF6254" w14:textId="77777777" w:rsidTr="00AD525F">
        <w:tc>
          <w:tcPr>
            <w:tcW w:w="0" w:type="auto"/>
            <w:vAlign w:val="center"/>
          </w:tcPr>
          <w:p w14:paraId="42BD7066" w14:textId="798F7BB0" w:rsidR="00BC555A" w:rsidRPr="00F754EF" w:rsidRDefault="00BC555A" w:rsidP="00AD525F">
            <w:pPr>
              <w:spacing w:after="0" w:line="240" w:lineRule="auto"/>
              <w:rPr>
                <w:rFonts w:ascii="Aptos Display" w:hAnsi="Aptos Display"/>
                <w:b/>
                <w:bCs/>
                <w:sz w:val="18"/>
                <w:szCs w:val="18"/>
              </w:rPr>
            </w:pPr>
            <w:r w:rsidRPr="00F754EF">
              <w:rPr>
                <w:rFonts w:ascii="Aptos Display" w:hAnsi="Aptos Display"/>
                <w:b/>
                <w:bCs/>
                <w:sz w:val="18"/>
                <w:szCs w:val="18"/>
              </w:rPr>
              <w:t>Inestabilidad política y Muerte Cruzada</w:t>
            </w:r>
            <w:r w:rsidRPr="00F754EF">
              <w:rPr>
                <w:b/>
                <w:bCs/>
                <w:sz w:val="18"/>
                <w:szCs w:val="18"/>
              </w:rPr>
              <w:t xml:space="preserve"> </w:t>
            </w:r>
          </w:p>
        </w:tc>
        <w:tc>
          <w:tcPr>
            <w:tcW w:w="0" w:type="auto"/>
            <w:vAlign w:val="center"/>
          </w:tcPr>
          <w:p w14:paraId="788DDEE1" w14:textId="57978E64" w:rsidR="00BC555A" w:rsidRPr="00F754EF" w:rsidRDefault="00BC555A" w:rsidP="00AD525F">
            <w:pPr>
              <w:spacing w:after="0" w:line="240" w:lineRule="auto"/>
              <w:ind w:left="57" w:right="113"/>
              <w:rPr>
                <w:rFonts w:ascii="Aptos Display" w:hAnsi="Aptos Display"/>
                <w:sz w:val="18"/>
                <w:szCs w:val="18"/>
              </w:rPr>
            </w:pPr>
            <w:r w:rsidRPr="00F754EF">
              <w:rPr>
                <w:rFonts w:ascii="Aptos Display" w:hAnsi="Aptos Display"/>
                <w:sz w:val="18"/>
                <w:szCs w:val="18"/>
              </w:rPr>
              <w:t xml:space="preserve">En mayo de 2023, </w:t>
            </w:r>
            <w:r w:rsidR="008F6F47" w:rsidRPr="008F6F47">
              <w:rPr>
                <w:rFonts w:ascii="Aptos Display" w:hAnsi="Aptos Display"/>
                <w:sz w:val="18"/>
                <w:szCs w:val="18"/>
              </w:rPr>
              <w:t>se invocó el mecanismo constitucional de disolución mutua, lo que desencadenó elecciones anticipadas y una transición de gobierno</w:t>
            </w:r>
            <w:r w:rsidRPr="00F754EF">
              <w:rPr>
                <w:rFonts w:ascii="Aptos Display" w:hAnsi="Aptos Display"/>
                <w:sz w:val="18"/>
                <w:szCs w:val="18"/>
              </w:rPr>
              <w:t xml:space="preserve">. </w:t>
            </w:r>
            <w:r w:rsidRPr="00F754EF">
              <w:rPr>
                <w:rStyle w:val="FootnoteReference"/>
                <w:sz w:val="18"/>
                <w:szCs w:val="18"/>
              </w:rPr>
              <w:t>[</w:t>
            </w:r>
            <w:r w:rsidR="00532218" w:rsidRPr="00F754EF">
              <w:rPr>
                <w:rStyle w:val="FootnoteReference"/>
                <w:sz w:val="18"/>
                <w:szCs w:val="18"/>
              </w:rPr>
              <w:footnoteReference w:id="17"/>
            </w:r>
            <w:r w:rsidRPr="00F754EF">
              <w:rPr>
                <w:rStyle w:val="FootnoteReference"/>
                <w:sz w:val="18"/>
                <w:szCs w:val="18"/>
              </w:rPr>
              <w:t xml:space="preserve">] </w:t>
            </w:r>
            <w:r w:rsidRPr="00F754EF">
              <w:rPr>
                <w:rFonts w:ascii="Aptos Display" w:hAnsi="Aptos Display"/>
                <w:sz w:val="18"/>
                <w:szCs w:val="18"/>
              </w:rPr>
              <w:t>Dos elecciones presidenciales tuvieron lugar en menos de doce meses, y una nueva administración asumió en noviembre de 2023. Esta transición generó una alta rotación de funcionarios públicos, interrumpió la coordinación interinstitucional y retrasó la puesta en marcha de políticas y presupuestos en el sector de igualdad de género.</w:t>
            </w:r>
            <w:r w:rsidRPr="00F754EF">
              <w:rPr>
                <w:sz w:val="18"/>
                <w:szCs w:val="18"/>
              </w:rPr>
              <w:t xml:space="preserve"> </w:t>
            </w:r>
            <w:r w:rsidRPr="00F754EF">
              <w:rPr>
                <w:rStyle w:val="FootnoteReference"/>
                <w:sz w:val="18"/>
                <w:szCs w:val="18"/>
              </w:rPr>
              <w:t>[</w:t>
            </w:r>
            <w:r w:rsidR="00810CE2" w:rsidRPr="00F754EF">
              <w:rPr>
                <w:rStyle w:val="FootnoteReference"/>
                <w:sz w:val="18"/>
                <w:szCs w:val="18"/>
              </w:rPr>
              <w:footnoteReference w:id="18"/>
            </w:r>
            <w:r w:rsidRPr="00F754EF">
              <w:rPr>
                <w:rStyle w:val="FootnoteReference"/>
                <w:sz w:val="18"/>
                <w:szCs w:val="18"/>
              </w:rPr>
              <w:t xml:space="preserve">] </w:t>
            </w:r>
            <w:r w:rsidRPr="00F754EF">
              <w:rPr>
                <w:rFonts w:ascii="Aptos Display" w:hAnsi="Aptos Display"/>
                <w:sz w:val="18"/>
                <w:szCs w:val="18"/>
              </w:rPr>
              <w:t>Una grave crisis energética iniciada en abril de 2024 agravó estas interrupciones, con cortes de luz de hasta 14 horas al día en algunas regiones, que se prolongaron hasta diciembre de 2024.</w:t>
            </w:r>
            <w:r w:rsidRPr="00F754EF">
              <w:rPr>
                <w:sz w:val="18"/>
                <w:szCs w:val="18"/>
              </w:rPr>
              <w:t xml:space="preserve"> </w:t>
            </w:r>
            <w:r w:rsidRPr="00F754EF">
              <w:rPr>
                <w:rStyle w:val="FootnoteReference"/>
                <w:sz w:val="18"/>
                <w:szCs w:val="18"/>
              </w:rPr>
              <w:t>[</w:t>
            </w:r>
            <w:r w:rsidR="007C54F2" w:rsidRPr="00F754EF">
              <w:rPr>
                <w:rStyle w:val="FootnoteReference"/>
                <w:sz w:val="18"/>
                <w:szCs w:val="18"/>
              </w:rPr>
              <w:footnoteReference w:id="19"/>
            </w:r>
            <w:r w:rsidRPr="00F754EF">
              <w:rPr>
                <w:rStyle w:val="FootnoteReference"/>
                <w:sz w:val="18"/>
                <w:szCs w:val="18"/>
              </w:rPr>
              <w:t xml:space="preserve">] </w:t>
            </w:r>
          </w:p>
        </w:tc>
        <w:tc>
          <w:tcPr>
            <w:tcW w:w="0" w:type="auto"/>
            <w:vAlign w:val="center"/>
          </w:tcPr>
          <w:p w14:paraId="75AC582B" w14:textId="74F80A14" w:rsidR="00BC555A" w:rsidRPr="00F754EF" w:rsidRDefault="00BC555A" w:rsidP="00AD525F">
            <w:pPr>
              <w:spacing w:after="0" w:line="240" w:lineRule="auto"/>
              <w:ind w:left="57" w:right="113"/>
              <w:rPr>
                <w:rFonts w:ascii="Aptos Display" w:hAnsi="Aptos Display"/>
                <w:sz w:val="18"/>
                <w:szCs w:val="18"/>
              </w:rPr>
            </w:pPr>
            <w:r w:rsidRPr="00F754EF">
              <w:rPr>
                <w:rFonts w:ascii="Aptos Display" w:hAnsi="Aptos Display"/>
                <w:sz w:val="18"/>
                <w:szCs w:val="18"/>
              </w:rPr>
              <w:t xml:space="preserve">La oficina absorbió estos impactos manteniendo la continuidad. La interlocución con instituciones nacionales fue interrumpida repetidamente. En las regiones afectadas por la crisis energética, los sistemas digitales se suspendieron, lo que </w:t>
            </w:r>
            <w:r w:rsidR="005B765B" w:rsidRPr="00F754EF">
              <w:rPr>
                <w:rFonts w:ascii="Aptos Display" w:hAnsi="Aptos Display"/>
                <w:sz w:val="18"/>
                <w:szCs w:val="18"/>
              </w:rPr>
              <w:t>llevó</w:t>
            </w:r>
            <w:r w:rsidRPr="00F754EF">
              <w:rPr>
                <w:rFonts w:ascii="Aptos Display" w:hAnsi="Aptos Display"/>
                <w:sz w:val="18"/>
                <w:szCs w:val="18"/>
              </w:rPr>
              <w:t xml:space="preserve"> a volver a procesos en papel y a prórrogas sin coste.</w:t>
            </w:r>
            <w:r w:rsidRPr="00F754EF">
              <w:rPr>
                <w:sz w:val="18"/>
                <w:szCs w:val="18"/>
              </w:rPr>
              <w:t xml:space="preserve"> </w:t>
            </w:r>
          </w:p>
        </w:tc>
      </w:tr>
      <w:tr w:rsidR="00BC555A" w:rsidRPr="00F754EF" w14:paraId="74E29386" w14:textId="77777777" w:rsidTr="00AD525F">
        <w:tc>
          <w:tcPr>
            <w:tcW w:w="0" w:type="auto"/>
            <w:vAlign w:val="center"/>
          </w:tcPr>
          <w:p w14:paraId="6F258998" w14:textId="71E5CEE1" w:rsidR="00BC555A" w:rsidRPr="00F754EF" w:rsidRDefault="00BC555A" w:rsidP="00AD525F">
            <w:pPr>
              <w:spacing w:after="0" w:line="240" w:lineRule="auto"/>
              <w:rPr>
                <w:rFonts w:ascii="Aptos Display" w:hAnsi="Aptos Display"/>
                <w:b/>
                <w:bCs/>
                <w:sz w:val="18"/>
                <w:szCs w:val="18"/>
              </w:rPr>
            </w:pPr>
            <w:r w:rsidRPr="00F754EF">
              <w:rPr>
                <w:rFonts w:ascii="Aptos Display" w:hAnsi="Aptos Display"/>
                <w:b/>
                <w:bCs/>
                <w:sz w:val="18"/>
                <w:szCs w:val="18"/>
              </w:rPr>
              <w:t>Deterioro institucional</w:t>
            </w:r>
            <w:r w:rsidRPr="00F754EF">
              <w:rPr>
                <w:b/>
                <w:bCs/>
                <w:sz w:val="18"/>
                <w:szCs w:val="18"/>
              </w:rPr>
              <w:t xml:space="preserve"> </w:t>
            </w:r>
          </w:p>
        </w:tc>
        <w:tc>
          <w:tcPr>
            <w:tcW w:w="0" w:type="auto"/>
            <w:vAlign w:val="center"/>
          </w:tcPr>
          <w:p w14:paraId="0E1C6FA7" w14:textId="6D5714EB" w:rsidR="00BC555A" w:rsidRPr="00F754EF" w:rsidRDefault="00BC555A" w:rsidP="00AD525F">
            <w:pPr>
              <w:spacing w:after="0" w:line="240" w:lineRule="auto"/>
              <w:ind w:left="57" w:right="113"/>
              <w:rPr>
                <w:rFonts w:ascii="Aptos Display" w:hAnsi="Aptos Display"/>
                <w:sz w:val="18"/>
                <w:szCs w:val="18"/>
              </w:rPr>
            </w:pPr>
            <w:r w:rsidRPr="00F754EF">
              <w:rPr>
                <w:rFonts w:ascii="Aptos Display" w:hAnsi="Aptos Display"/>
                <w:sz w:val="18"/>
                <w:szCs w:val="18"/>
              </w:rPr>
              <w:t xml:space="preserve">Tras su fusión con el Ministerio de Gobierno por Decreto Ejecutivo 60, el Ministerio de la Mujer y Derechos Humanos fue </w:t>
            </w:r>
            <w:r w:rsidR="00550577">
              <w:rPr>
                <w:rFonts w:ascii="Aptos Display" w:hAnsi="Aptos Display"/>
                <w:sz w:val="18"/>
                <w:szCs w:val="18"/>
              </w:rPr>
              <w:t>integrado</w:t>
            </w:r>
            <w:r w:rsidRPr="00F754EF">
              <w:rPr>
                <w:rFonts w:ascii="Aptos Display" w:hAnsi="Aptos Display"/>
                <w:sz w:val="18"/>
                <w:szCs w:val="18"/>
              </w:rPr>
              <w:t xml:space="preserve"> como un Viceministerio con menos personal, sin presencia territorial y con presupuesto reducido.</w:t>
            </w:r>
            <w:r w:rsidRPr="00F754EF">
              <w:rPr>
                <w:sz w:val="18"/>
                <w:szCs w:val="18"/>
              </w:rPr>
              <w:t xml:space="preserve"> </w:t>
            </w:r>
            <w:r w:rsidRPr="00F754EF">
              <w:rPr>
                <w:rStyle w:val="FootnoteReference"/>
                <w:sz w:val="18"/>
                <w:szCs w:val="18"/>
              </w:rPr>
              <w:t>[</w:t>
            </w:r>
            <w:r w:rsidR="00150143" w:rsidRPr="00F754EF">
              <w:rPr>
                <w:rStyle w:val="FootnoteReference"/>
                <w:sz w:val="18"/>
                <w:szCs w:val="18"/>
              </w:rPr>
              <w:footnoteReference w:id="20"/>
            </w:r>
            <w:r w:rsidRPr="00F754EF">
              <w:rPr>
                <w:rStyle w:val="FootnoteReference"/>
                <w:sz w:val="18"/>
                <w:szCs w:val="18"/>
              </w:rPr>
              <w:t xml:space="preserve">] </w:t>
            </w:r>
            <w:r w:rsidRPr="00F754EF">
              <w:rPr>
                <w:rFonts w:ascii="Aptos Display" w:hAnsi="Aptos Display"/>
                <w:sz w:val="18"/>
                <w:szCs w:val="18"/>
              </w:rPr>
              <w:t xml:space="preserve">Instrumentos clave como el registro nacional de violencia (RUV) y el sistema de alerta </w:t>
            </w:r>
            <w:r w:rsidRPr="00F754EF">
              <w:rPr>
                <w:rFonts w:ascii="Aptos Display" w:hAnsi="Aptos Display"/>
                <w:sz w:val="18"/>
                <w:szCs w:val="18"/>
              </w:rPr>
              <w:lastRenderedPageBreak/>
              <w:t xml:space="preserve">temprana (SAT) quedaron </w:t>
            </w:r>
            <w:r w:rsidR="009268FD" w:rsidRPr="00F754EF">
              <w:rPr>
                <w:rFonts w:ascii="Aptos Display" w:hAnsi="Aptos Display"/>
                <w:sz w:val="18"/>
                <w:szCs w:val="18"/>
              </w:rPr>
              <w:t>detenidos</w:t>
            </w:r>
            <w:r w:rsidRPr="00F754EF">
              <w:rPr>
                <w:rFonts w:ascii="Aptos Display" w:hAnsi="Aptos Display"/>
                <w:sz w:val="18"/>
                <w:szCs w:val="18"/>
              </w:rPr>
              <w:t xml:space="preserve"> durante la transición.</w:t>
            </w:r>
            <w:r w:rsidRPr="00F754EF">
              <w:rPr>
                <w:sz w:val="18"/>
                <w:szCs w:val="18"/>
              </w:rPr>
              <w:t xml:space="preserve"> </w:t>
            </w:r>
            <w:r w:rsidRPr="00F754EF">
              <w:rPr>
                <w:rStyle w:val="FootnoteReference"/>
                <w:sz w:val="18"/>
                <w:szCs w:val="18"/>
              </w:rPr>
              <w:t>[</w:t>
            </w:r>
            <w:r w:rsidR="00187BA7" w:rsidRPr="00F754EF">
              <w:rPr>
                <w:rStyle w:val="FootnoteReference"/>
                <w:sz w:val="18"/>
                <w:szCs w:val="18"/>
              </w:rPr>
              <w:footnoteReference w:id="21"/>
            </w:r>
            <w:r w:rsidRPr="00F754EF">
              <w:rPr>
                <w:rStyle w:val="FootnoteReference"/>
                <w:sz w:val="18"/>
                <w:szCs w:val="18"/>
              </w:rPr>
              <w:t xml:space="preserve">] </w:t>
            </w:r>
          </w:p>
        </w:tc>
        <w:tc>
          <w:tcPr>
            <w:tcW w:w="0" w:type="auto"/>
            <w:vAlign w:val="center"/>
          </w:tcPr>
          <w:p w14:paraId="73F40EA4" w14:textId="6C3E6B1E" w:rsidR="00BC555A" w:rsidRPr="00F754EF" w:rsidRDefault="00BC555A" w:rsidP="00AD525F">
            <w:pPr>
              <w:spacing w:after="0" w:line="240" w:lineRule="auto"/>
              <w:ind w:left="57" w:right="113"/>
              <w:rPr>
                <w:rFonts w:ascii="Aptos Display" w:hAnsi="Aptos Display"/>
                <w:sz w:val="18"/>
                <w:szCs w:val="18"/>
              </w:rPr>
            </w:pPr>
            <w:r w:rsidRPr="00F754EF">
              <w:rPr>
                <w:rFonts w:ascii="Aptos Display" w:hAnsi="Aptos Display"/>
                <w:sz w:val="18"/>
                <w:szCs w:val="18"/>
              </w:rPr>
              <w:lastRenderedPageBreak/>
              <w:t xml:space="preserve">La oficina perdió </w:t>
            </w:r>
            <w:proofErr w:type="gramStart"/>
            <w:r w:rsidRPr="00F754EF">
              <w:rPr>
                <w:rFonts w:ascii="Aptos Display" w:hAnsi="Aptos Display"/>
                <w:sz w:val="18"/>
                <w:szCs w:val="18"/>
              </w:rPr>
              <w:t>un contraparte nacional funcional</w:t>
            </w:r>
            <w:proofErr w:type="gramEnd"/>
            <w:r w:rsidRPr="00F754EF">
              <w:rPr>
                <w:rFonts w:ascii="Aptos Display" w:hAnsi="Aptos Display"/>
                <w:sz w:val="18"/>
                <w:szCs w:val="18"/>
              </w:rPr>
              <w:t xml:space="preserve"> en pleno proceso de implementación. En algunos programas, el cambio de interlocutores alcanzó hasta diez personas distintas en un solo año, cada una requiriendo renegociación desde cero.</w:t>
            </w:r>
            <w:r w:rsidRPr="00F754EF">
              <w:rPr>
                <w:sz w:val="18"/>
                <w:szCs w:val="18"/>
              </w:rPr>
              <w:t xml:space="preserve"> </w:t>
            </w:r>
            <w:r w:rsidRPr="00F754EF">
              <w:rPr>
                <w:rStyle w:val="FootnoteReference"/>
                <w:sz w:val="18"/>
                <w:szCs w:val="18"/>
              </w:rPr>
              <w:t>[</w:t>
            </w:r>
            <w:r w:rsidR="00F10824" w:rsidRPr="00F754EF">
              <w:rPr>
                <w:rStyle w:val="FootnoteReference"/>
                <w:sz w:val="18"/>
                <w:szCs w:val="18"/>
              </w:rPr>
              <w:footnoteReference w:id="22"/>
            </w:r>
            <w:r w:rsidRPr="00F754EF">
              <w:rPr>
                <w:rStyle w:val="FootnoteReference"/>
                <w:sz w:val="18"/>
                <w:szCs w:val="18"/>
              </w:rPr>
              <w:t xml:space="preserve">] </w:t>
            </w:r>
            <w:r w:rsidRPr="00F754EF">
              <w:rPr>
                <w:rFonts w:ascii="Aptos Display" w:hAnsi="Aptos Display"/>
                <w:sz w:val="18"/>
                <w:szCs w:val="18"/>
              </w:rPr>
              <w:t xml:space="preserve">La oficina tuvo que decidir si invertir en la construcción de relaciones con una entidad de </w:t>
            </w:r>
            <w:proofErr w:type="spellStart"/>
            <w:r w:rsidR="002750CA" w:rsidRPr="002750CA">
              <w:rPr>
                <w:rFonts w:ascii="Aptos Display" w:hAnsi="Aptos Display"/>
                <w:sz w:val="18"/>
                <w:szCs w:val="18"/>
              </w:rPr>
              <w:t>de</w:t>
            </w:r>
            <w:proofErr w:type="spellEnd"/>
            <w:r w:rsidR="002750CA" w:rsidRPr="002750CA">
              <w:rPr>
                <w:rFonts w:ascii="Aptos Display" w:hAnsi="Aptos Display"/>
                <w:sz w:val="18"/>
                <w:szCs w:val="18"/>
              </w:rPr>
              <w:t xml:space="preserve"> capacidad limitada y prioridades </w:t>
            </w:r>
            <w:r w:rsidR="002750CA" w:rsidRPr="002750CA">
              <w:rPr>
                <w:rFonts w:ascii="Aptos Display" w:hAnsi="Aptos Display"/>
                <w:sz w:val="18"/>
                <w:szCs w:val="18"/>
              </w:rPr>
              <w:lastRenderedPageBreak/>
              <w:t xml:space="preserve">institucionales cambiantes durante el periodo de </w:t>
            </w:r>
            <w:proofErr w:type="spellStart"/>
            <w:r w:rsidR="002750CA" w:rsidRPr="002750CA">
              <w:rPr>
                <w:rFonts w:ascii="Aptos Display" w:hAnsi="Aptos Display"/>
                <w:sz w:val="18"/>
                <w:szCs w:val="18"/>
              </w:rPr>
              <w:t>transición</w:t>
            </w:r>
            <w:r w:rsidRPr="00F754EF">
              <w:rPr>
                <w:rFonts w:ascii="Aptos Display" w:hAnsi="Aptos Display"/>
                <w:sz w:val="18"/>
                <w:szCs w:val="18"/>
              </w:rPr>
              <w:t>a</w:t>
            </w:r>
            <w:proofErr w:type="spellEnd"/>
            <w:r w:rsidRPr="00F754EF">
              <w:rPr>
                <w:rFonts w:ascii="Aptos Display" w:hAnsi="Aptos Display"/>
                <w:sz w:val="18"/>
                <w:szCs w:val="18"/>
              </w:rPr>
              <w:t>, redirigir esfuerzos hacia gobiernos subnacionales o mantener la posición esperando una futura estabilización.</w:t>
            </w:r>
            <w:r w:rsidRPr="00F754EF">
              <w:rPr>
                <w:sz w:val="18"/>
                <w:szCs w:val="18"/>
              </w:rPr>
              <w:t xml:space="preserve"> </w:t>
            </w:r>
          </w:p>
        </w:tc>
      </w:tr>
      <w:tr w:rsidR="00BC555A" w:rsidRPr="00F754EF" w14:paraId="60F590AF" w14:textId="77777777" w:rsidTr="00AD525F">
        <w:tc>
          <w:tcPr>
            <w:tcW w:w="0" w:type="auto"/>
            <w:vAlign w:val="center"/>
          </w:tcPr>
          <w:p w14:paraId="334275E4" w14:textId="4D5F159C" w:rsidR="00BC555A" w:rsidRPr="00F754EF" w:rsidRDefault="00BC555A" w:rsidP="00AD525F">
            <w:pPr>
              <w:spacing w:after="0" w:line="240" w:lineRule="auto"/>
              <w:rPr>
                <w:rFonts w:ascii="Aptos Display" w:hAnsi="Aptos Display"/>
                <w:b/>
                <w:bCs/>
                <w:sz w:val="18"/>
                <w:szCs w:val="18"/>
              </w:rPr>
            </w:pPr>
            <w:r w:rsidRPr="00F754EF">
              <w:rPr>
                <w:rFonts w:ascii="Aptos Display" w:hAnsi="Aptos Display"/>
                <w:b/>
                <w:bCs/>
                <w:sz w:val="18"/>
                <w:szCs w:val="18"/>
              </w:rPr>
              <w:lastRenderedPageBreak/>
              <w:t>Reducción del espacio cívico</w:t>
            </w:r>
            <w:r w:rsidRPr="00F754EF">
              <w:rPr>
                <w:b/>
                <w:bCs/>
                <w:sz w:val="18"/>
                <w:szCs w:val="18"/>
              </w:rPr>
              <w:t xml:space="preserve"> </w:t>
            </w:r>
          </w:p>
        </w:tc>
        <w:tc>
          <w:tcPr>
            <w:tcW w:w="0" w:type="auto"/>
            <w:vAlign w:val="center"/>
          </w:tcPr>
          <w:p w14:paraId="17B16932" w14:textId="18E7F52B" w:rsidR="00BC555A" w:rsidRPr="00F754EF" w:rsidRDefault="00BC555A" w:rsidP="00AD525F">
            <w:pPr>
              <w:spacing w:after="0" w:line="240" w:lineRule="auto"/>
              <w:ind w:left="57" w:right="113"/>
              <w:rPr>
                <w:rFonts w:ascii="Aptos Display" w:hAnsi="Aptos Display"/>
                <w:sz w:val="18"/>
                <w:szCs w:val="18"/>
              </w:rPr>
            </w:pPr>
            <w:r w:rsidRPr="00F754EF">
              <w:rPr>
                <w:rFonts w:ascii="Aptos Display" w:hAnsi="Aptos Display"/>
                <w:sz w:val="18"/>
                <w:szCs w:val="18"/>
              </w:rPr>
              <w:t xml:space="preserve">En agosto de 2025 entró en vigor la Ley Orgánica de Transparencia Social, </w:t>
            </w:r>
            <w:r w:rsidR="003C2CB8" w:rsidRPr="00F754EF">
              <w:rPr>
                <w:rFonts w:ascii="Aptos Display" w:hAnsi="Aptos Display"/>
                <w:sz w:val="18"/>
                <w:szCs w:val="18"/>
              </w:rPr>
              <w:t>estableciendo un nuevo marco regulatorio para organizaciones de la sociedad civil, formalmente orientado al combate del lavado de dinero. Organizaciones de la sociedad civil señalaron preocupaciones sobre sus posibles efectos sobre el espacio cívico y la libertad de asociación</w:t>
            </w:r>
            <w:r w:rsidRPr="00F754EF">
              <w:rPr>
                <w:rFonts w:ascii="Aptos Display" w:hAnsi="Aptos Display"/>
                <w:sz w:val="18"/>
                <w:szCs w:val="18"/>
              </w:rPr>
              <w:t>.</w:t>
            </w:r>
            <w:r w:rsidRPr="00F754EF">
              <w:rPr>
                <w:sz w:val="18"/>
                <w:szCs w:val="18"/>
              </w:rPr>
              <w:t xml:space="preserve"> </w:t>
            </w:r>
            <w:r w:rsidRPr="00F754EF">
              <w:rPr>
                <w:rStyle w:val="FootnoteReference"/>
                <w:sz w:val="18"/>
                <w:szCs w:val="18"/>
              </w:rPr>
              <w:t>[</w:t>
            </w:r>
            <w:r w:rsidR="00187BA7" w:rsidRPr="00F754EF">
              <w:rPr>
                <w:rStyle w:val="FootnoteReference"/>
                <w:sz w:val="18"/>
                <w:szCs w:val="18"/>
              </w:rPr>
              <w:footnoteReference w:id="23"/>
            </w:r>
            <w:r w:rsidRPr="00F754EF">
              <w:rPr>
                <w:rStyle w:val="FootnoteReference"/>
                <w:sz w:val="18"/>
                <w:szCs w:val="18"/>
              </w:rPr>
              <w:t xml:space="preserve">] </w:t>
            </w:r>
            <w:r w:rsidRPr="00F754EF">
              <w:rPr>
                <w:rFonts w:ascii="Aptos Display" w:hAnsi="Aptos Display"/>
                <w:sz w:val="18"/>
                <w:szCs w:val="18"/>
              </w:rPr>
              <w:t>El efecto más amplio ha sido una contracción medible del espacio cívico: las organizaciones han reducido su perfil público, disminuido operaciones territoriales y, en algunos casos, han dejado de trabajar en áreas específicas.</w:t>
            </w:r>
            <w:r w:rsidRPr="00F754EF">
              <w:rPr>
                <w:sz w:val="18"/>
                <w:szCs w:val="18"/>
              </w:rPr>
              <w:t xml:space="preserve"> </w:t>
            </w:r>
          </w:p>
        </w:tc>
        <w:tc>
          <w:tcPr>
            <w:tcW w:w="0" w:type="auto"/>
            <w:vAlign w:val="center"/>
          </w:tcPr>
          <w:p w14:paraId="0C1D73F1" w14:textId="16D65183" w:rsidR="00BC555A" w:rsidRPr="00F754EF" w:rsidRDefault="00BC555A" w:rsidP="00AD525F">
            <w:pPr>
              <w:spacing w:after="0" w:line="240" w:lineRule="auto"/>
              <w:ind w:left="57" w:right="113"/>
              <w:rPr>
                <w:rFonts w:ascii="Aptos Display" w:hAnsi="Aptos Display"/>
                <w:sz w:val="18"/>
                <w:szCs w:val="18"/>
              </w:rPr>
            </w:pPr>
            <w:r w:rsidRPr="00F754EF">
              <w:rPr>
                <w:rFonts w:ascii="Aptos Display" w:hAnsi="Aptos Display"/>
                <w:sz w:val="18"/>
                <w:szCs w:val="18"/>
              </w:rPr>
              <w:t xml:space="preserve">Esto afectó la capacidad de la oficina para trabajar a través de la sociedad civil. Los socios </w:t>
            </w:r>
            <w:proofErr w:type="gramStart"/>
            <w:r w:rsidRPr="00F754EF">
              <w:rPr>
                <w:rFonts w:ascii="Aptos Display" w:hAnsi="Aptos Display"/>
                <w:sz w:val="18"/>
                <w:szCs w:val="18"/>
              </w:rPr>
              <w:t>operando</w:t>
            </w:r>
            <w:proofErr w:type="gramEnd"/>
            <w:r w:rsidRPr="00F754EF">
              <w:rPr>
                <w:rFonts w:ascii="Aptos Display" w:hAnsi="Aptos Display"/>
                <w:sz w:val="18"/>
                <w:szCs w:val="18"/>
              </w:rPr>
              <w:t xml:space="preserve"> bajo amenaza legal no podían asumir nuevas actividades ni mantener visibilidad en áreas sensibles. </w:t>
            </w:r>
            <w:r w:rsidR="00940944" w:rsidRPr="00F754EF">
              <w:rPr>
                <w:rFonts w:ascii="Aptos Display" w:hAnsi="Aptos Display"/>
                <w:sz w:val="18"/>
                <w:szCs w:val="18"/>
              </w:rPr>
              <w:t>Algunas organizaciones de la sociedad civil mantienen posicionamientos políticos propios que han generado tensiones en la gestión simultánea de relaciones con el gobierno y la sociedad civil</w:t>
            </w:r>
            <w:r w:rsidRPr="00F754EF">
              <w:rPr>
                <w:rFonts w:ascii="Aptos Display" w:hAnsi="Aptos Display"/>
                <w:sz w:val="18"/>
                <w:szCs w:val="18"/>
              </w:rPr>
              <w:t>.</w:t>
            </w:r>
            <w:r w:rsidRPr="00F754EF">
              <w:rPr>
                <w:sz w:val="18"/>
                <w:szCs w:val="18"/>
              </w:rPr>
              <w:t xml:space="preserve"> </w:t>
            </w:r>
            <w:r w:rsidRPr="00F754EF">
              <w:rPr>
                <w:rStyle w:val="FootnoteReference"/>
                <w:sz w:val="18"/>
                <w:szCs w:val="18"/>
              </w:rPr>
              <w:t>[</w:t>
            </w:r>
            <w:r w:rsidR="00187BA7" w:rsidRPr="00F754EF">
              <w:rPr>
                <w:rStyle w:val="FootnoteReference"/>
                <w:sz w:val="18"/>
                <w:szCs w:val="18"/>
              </w:rPr>
              <w:footnoteReference w:id="24"/>
            </w:r>
            <w:r w:rsidRPr="00F754EF">
              <w:rPr>
                <w:rStyle w:val="FootnoteReference"/>
                <w:sz w:val="18"/>
                <w:szCs w:val="18"/>
              </w:rPr>
              <w:t xml:space="preserve">] </w:t>
            </w:r>
            <w:r w:rsidRPr="00F754EF">
              <w:rPr>
                <w:rFonts w:ascii="Aptos Display" w:hAnsi="Aptos Display"/>
                <w:sz w:val="18"/>
                <w:szCs w:val="18"/>
              </w:rPr>
              <w:t>Esto generó un riesgo para un portafolio que depende de la sociedad civil como garantía de sostenibilidad a nivel comunitario.</w:t>
            </w:r>
            <w:r w:rsidRPr="00F754EF">
              <w:rPr>
                <w:sz w:val="18"/>
                <w:szCs w:val="18"/>
              </w:rPr>
              <w:t xml:space="preserve"> </w:t>
            </w:r>
          </w:p>
        </w:tc>
      </w:tr>
      <w:tr w:rsidR="00BC555A" w:rsidRPr="00F754EF" w14:paraId="6CC60667" w14:textId="77777777" w:rsidTr="00AD525F">
        <w:tc>
          <w:tcPr>
            <w:tcW w:w="0" w:type="auto"/>
            <w:vAlign w:val="center"/>
          </w:tcPr>
          <w:p w14:paraId="3BCDCB40" w14:textId="0C42D1A6" w:rsidR="00BC555A" w:rsidRPr="00F754EF" w:rsidRDefault="00BC555A" w:rsidP="00AD525F">
            <w:pPr>
              <w:spacing w:after="0" w:line="240" w:lineRule="auto"/>
              <w:rPr>
                <w:rFonts w:ascii="Aptos Display" w:hAnsi="Aptos Display"/>
                <w:b/>
                <w:bCs/>
                <w:sz w:val="18"/>
                <w:szCs w:val="18"/>
              </w:rPr>
            </w:pPr>
            <w:r w:rsidRPr="00F754EF">
              <w:rPr>
                <w:rFonts w:ascii="Aptos Display" w:hAnsi="Aptos Display"/>
                <w:b/>
                <w:bCs/>
                <w:sz w:val="18"/>
                <w:szCs w:val="18"/>
              </w:rPr>
              <w:t>Contracción de la financiación</w:t>
            </w:r>
            <w:r w:rsidRPr="00F754EF">
              <w:rPr>
                <w:b/>
                <w:bCs/>
                <w:sz w:val="18"/>
                <w:szCs w:val="18"/>
              </w:rPr>
              <w:t xml:space="preserve"> </w:t>
            </w:r>
          </w:p>
        </w:tc>
        <w:tc>
          <w:tcPr>
            <w:tcW w:w="0" w:type="auto"/>
            <w:vAlign w:val="center"/>
          </w:tcPr>
          <w:p w14:paraId="60FB3ABA" w14:textId="72D52D7C" w:rsidR="00BC555A" w:rsidRPr="00F754EF" w:rsidRDefault="00BC555A" w:rsidP="00AD525F">
            <w:pPr>
              <w:spacing w:after="0" w:line="240" w:lineRule="auto"/>
              <w:ind w:left="57" w:right="113"/>
              <w:rPr>
                <w:rFonts w:ascii="Aptos Display" w:hAnsi="Aptos Display"/>
                <w:sz w:val="18"/>
                <w:szCs w:val="18"/>
              </w:rPr>
            </w:pPr>
            <w:r w:rsidRPr="00F754EF">
              <w:rPr>
                <w:rFonts w:ascii="Aptos Display" w:hAnsi="Aptos Display"/>
                <w:sz w:val="18"/>
                <w:szCs w:val="18"/>
              </w:rPr>
              <w:t xml:space="preserve">El cierre de los programas de USAID a comienzos de 2025 afectó a todas las agencias de </w:t>
            </w:r>
            <w:proofErr w:type="gramStart"/>
            <w:r w:rsidRPr="00F754EF">
              <w:rPr>
                <w:rFonts w:ascii="Aptos Display" w:hAnsi="Aptos Display"/>
                <w:sz w:val="18"/>
                <w:szCs w:val="18"/>
              </w:rPr>
              <w:t>ONU</w:t>
            </w:r>
            <w:proofErr w:type="gramEnd"/>
            <w:r w:rsidRPr="00F754EF">
              <w:rPr>
                <w:rFonts w:ascii="Aptos Display" w:hAnsi="Aptos Display"/>
                <w:sz w:val="18"/>
                <w:szCs w:val="18"/>
              </w:rPr>
              <w:t xml:space="preserve"> operando en Ecuador, con consecuencias inmediatas para actividades en curso y la planificación a medio plazo.</w:t>
            </w:r>
            <w:r w:rsidRPr="00F754EF">
              <w:rPr>
                <w:sz w:val="18"/>
                <w:szCs w:val="18"/>
              </w:rPr>
              <w:t xml:space="preserve"> </w:t>
            </w:r>
            <w:r w:rsidRPr="00F754EF">
              <w:rPr>
                <w:rStyle w:val="FootnoteReference"/>
                <w:sz w:val="18"/>
                <w:szCs w:val="18"/>
              </w:rPr>
              <w:t>[</w:t>
            </w:r>
            <w:r w:rsidR="00187BA7" w:rsidRPr="00F754EF">
              <w:rPr>
                <w:rStyle w:val="FootnoteReference"/>
                <w:sz w:val="18"/>
                <w:szCs w:val="18"/>
              </w:rPr>
              <w:footnoteReference w:id="25"/>
            </w:r>
            <w:r w:rsidRPr="00F754EF">
              <w:rPr>
                <w:rStyle w:val="FootnoteReference"/>
                <w:sz w:val="18"/>
                <w:szCs w:val="18"/>
              </w:rPr>
              <w:t xml:space="preserve">] </w:t>
            </w:r>
            <w:r w:rsidRPr="00F754EF">
              <w:rPr>
                <w:rFonts w:ascii="Aptos Display" w:hAnsi="Aptos Display"/>
                <w:sz w:val="18"/>
                <w:szCs w:val="18"/>
              </w:rPr>
              <w:t xml:space="preserve">La Unión Europea, principal financiador de este portafolio a través de la Iniciativa </w:t>
            </w:r>
            <w:proofErr w:type="spellStart"/>
            <w:r w:rsidRPr="00F754EF">
              <w:rPr>
                <w:rFonts w:ascii="Aptos Display" w:hAnsi="Aptos Display"/>
                <w:sz w:val="18"/>
                <w:szCs w:val="18"/>
              </w:rPr>
              <w:t>Spotlight</w:t>
            </w:r>
            <w:proofErr w:type="spellEnd"/>
            <w:r w:rsidRPr="00F754EF">
              <w:rPr>
                <w:rFonts w:ascii="Aptos Display" w:hAnsi="Aptos Display"/>
                <w:sz w:val="18"/>
                <w:szCs w:val="18"/>
              </w:rPr>
              <w:t>, indicó que su ciclo financiero actual termina en 2027, y que la financiación sucesora es muy incierta debido a la reasignación de fondos hacia Ucrania y prioridades de seguridad europeas.</w:t>
            </w:r>
            <w:r w:rsidRPr="00F754EF">
              <w:rPr>
                <w:sz w:val="18"/>
                <w:szCs w:val="18"/>
              </w:rPr>
              <w:t xml:space="preserve"> </w:t>
            </w:r>
            <w:r w:rsidRPr="00F754EF">
              <w:rPr>
                <w:rStyle w:val="FootnoteReference"/>
                <w:sz w:val="18"/>
                <w:szCs w:val="18"/>
              </w:rPr>
              <w:t>[</w:t>
            </w:r>
            <w:r w:rsidR="00237A44" w:rsidRPr="00F754EF">
              <w:rPr>
                <w:rStyle w:val="FootnoteReference"/>
                <w:sz w:val="18"/>
                <w:szCs w:val="18"/>
              </w:rPr>
              <w:footnoteReference w:id="26"/>
            </w:r>
            <w:r w:rsidRPr="00F754EF">
              <w:rPr>
                <w:rStyle w:val="FootnoteReference"/>
                <w:sz w:val="18"/>
                <w:szCs w:val="18"/>
              </w:rPr>
              <w:t xml:space="preserve">] </w:t>
            </w:r>
            <w:r w:rsidRPr="00F754EF">
              <w:rPr>
                <w:rFonts w:ascii="Aptos Display" w:hAnsi="Aptos Display"/>
                <w:sz w:val="18"/>
                <w:szCs w:val="18"/>
              </w:rPr>
              <w:t>Estas tendencias no constituyen una interrupción temporal. Representan un cambio estructural en el panorama de la cooperación internacional que limitará de manera sustancial lo que será financieramente posible en el próximo ciclo de programación de Ecuador.</w:t>
            </w:r>
            <w:r w:rsidRPr="00F754EF">
              <w:rPr>
                <w:sz w:val="18"/>
                <w:szCs w:val="18"/>
              </w:rPr>
              <w:t xml:space="preserve"> </w:t>
            </w:r>
          </w:p>
        </w:tc>
        <w:tc>
          <w:tcPr>
            <w:tcW w:w="0" w:type="auto"/>
            <w:vAlign w:val="center"/>
          </w:tcPr>
          <w:p w14:paraId="2108E1AA" w14:textId="4601570C" w:rsidR="00BC555A" w:rsidRPr="00F754EF" w:rsidRDefault="00BC555A" w:rsidP="00AD525F">
            <w:pPr>
              <w:spacing w:after="0" w:line="240" w:lineRule="auto"/>
              <w:ind w:left="57" w:right="113"/>
              <w:rPr>
                <w:rFonts w:ascii="Aptos Display" w:hAnsi="Aptos Display"/>
                <w:sz w:val="18"/>
                <w:szCs w:val="18"/>
              </w:rPr>
            </w:pPr>
            <w:r w:rsidRPr="00F754EF">
              <w:rPr>
                <w:rFonts w:ascii="Aptos Display" w:hAnsi="Aptos Display"/>
                <w:sz w:val="18"/>
                <w:szCs w:val="18"/>
              </w:rPr>
              <w:t xml:space="preserve">La oficina reevaluó su estrategia de movilización de recursos a mitad de ciclo. La combinación de menor interés de donantes, </w:t>
            </w:r>
            <w:r w:rsidR="006B55D1" w:rsidRPr="00F754EF">
              <w:rPr>
                <w:rFonts w:ascii="Aptos Display" w:hAnsi="Aptos Display"/>
                <w:sz w:val="18"/>
                <w:szCs w:val="18"/>
              </w:rPr>
              <w:t>una contraparte nacional</w:t>
            </w:r>
            <w:r w:rsidRPr="00F754EF">
              <w:rPr>
                <w:rFonts w:ascii="Aptos Display" w:hAnsi="Aptos Display"/>
                <w:sz w:val="18"/>
                <w:szCs w:val="18"/>
              </w:rPr>
              <w:t xml:space="preserve"> debilitado y una sociedad civil contraída creó un entorno difícil para sostener resultados y financiar el siguiente ciclo.</w:t>
            </w:r>
            <w:r w:rsidRPr="00F754EF">
              <w:rPr>
                <w:sz w:val="18"/>
                <w:szCs w:val="18"/>
              </w:rPr>
              <w:t xml:space="preserve"> </w:t>
            </w:r>
          </w:p>
        </w:tc>
      </w:tr>
    </w:tbl>
    <w:p w14:paraId="5889B922" w14:textId="4E973286" w:rsidR="00EF69D1" w:rsidRPr="00F754EF" w:rsidRDefault="00EF69D1" w:rsidP="005831BD">
      <w:pPr>
        <w:pStyle w:val="Heading1"/>
        <w:spacing w:after="120"/>
        <w:rPr>
          <w:rFonts w:eastAsia="Times New Roman"/>
          <w:kern w:val="36"/>
          <w:szCs w:val="48"/>
          <w:lang w:val="es-ES"/>
        </w:rPr>
      </w:pPr>
      <w:bookmarkStart w:id="20" w:name="_Toc233830035"/>
      <w:r w:rsidRPr="00F754EF">
        <w:rPr>
          <w:rStyle w:val="normaltextrun"/>
          <w:rFonts w:eastAsia="Times New Roman"/>
          <w:caps w:val="0"/>
          <w:lang w:val="es-ES"/>
        </w:rPr>
        <w:t>SECCIÓN 2. PROPÓSITO, OBJETIVOS Y ALCANCE</w:t>
      </w:r>
      <w:bookmarkEnd w:id="20"/>
      <w:r w:rsidRPr="00F754EF">
        <w:rPr>
          <w:rStyle w:val="normaltextrun"/>
          <w:rFonts w:eastAsia="Times New Roman"/>
          <w:lang w:val="es-ES"/>
        </w:rPr>
        <w:t xml:space="preserve"> </w:t>
      </w:r>
    </w:p>
    <w:p w14:paraId="37B0DF18" w14:textId="77777777" w:rsidR="008577E4" w:rsidRPr="00F754EF" w:rsidRDefault="00EF69D1" w:rsidP="008577E4">
      <w:pPr>
        <w:pStyle w:val="Heading2"/>
        <w:rPr>
          <w:rStyle w:val="normaltextrun"/>
          <w:rFonts w:eastAsia="Times New Roman"/>
          <w:lang w:val="es-ES"/>
        </w:rPr>
      </w:pPr>
      <w:bookmarkStart w:id="21" w:name="_Toc233830036"/>
      <w:r w:rsidRPr="00F754EF">
        <w:rPr>
          <w:rStyle w:val="normaltextrun"/>
          <w:rFonts w:eastAsia="Times New Roman"/>
          <w:lang w:val="es-ES"/>
        </w:rPr>
        <w:t>2.1 Propósito y uso previsto</w:t>
      </w:r>
      <w:bookmarkEnd w:id="21"/>
      <w:r w:rsidRPr="00F754EF">
        <w:rPr>
          <w:rStyle w:val="normaltextrun"/>
          <w:rFonts w:eastAsia="Times New Roman"/>
          <w:lang w:val="es-ES"/>
        </w:rPr>
        <w:t xml:space="preserve"> </w:t>
      </w:r>
    </w:p>
    <w:p w14:paraId="0E3651BE" w14:textId="77777777" w:rsidR="008577E4" w:rsidRPr="00F754EF" w:rsidRDefault="008577E4" w:rsidP="008577E4">
      <w:pPr>
        <w:spacing w:line="240" w:lineRule="auto"/>
        <w:rPr>
          <w:rFonts w:ascii="Aptos Display" w:hAnsi="Aptos Display"/>
        </w:rPr>
        <w:sectPr w:rsidR="008577E4" w:rsidRPr="00F754EF" w:rsidSect="005831BD">
          <w:pgSz w:w="12240" w:h="15840"/>
          <w:pgMar w:top="1440" w:right="1080" w:bottom="1440" w:left="1080" w:header="720" w:footer="252" w:gutter="0"/>
          <w:cols w:space="720"/>
          <w:docGrid w:linePitch="360"/>
        </w:sectPr>
      </w:pPr>
    </w:p>
    <w:p w14:paraId="54674706" w14:textId="3F1C31D7" w:rsidR="00EF69D1" w:rsidRPr="00F754EF" w:rsidRDefault="00EF69D1" w:rsidP="008577E4">
      <w:pPr>
        <w:spacing w:line="240" w:lineRule="auto"/>
        <w:rPr>
          <w:rFonts w:ascii="Aptos Display" w:hAnsi="Aptos Display"/>
        </w:rPr>
      </w:pPr>
      <w:r w:rsidRPr="00F754EF">
        <w:rPr>
          <w:rFonts w:ascii="Aptos Display" w:hAnsi="Aptos Display"/>
        </w:rPr>
        <w:t xml:space="preserve">Esta Evaluación de Portafolio de País (CPE) fue encargada por el Servicio de Evaluación Independiente de ONU Mujeres (IES) para valorar las contribuciones de la Oficina de País de Ecuador a la igualdad de género y el empoderamiento de las mujeres mediante la implementación de la Nota Estratégica 2023-2026. Cumple dos propósitos complementarios: rendición de cuentas, documentando el grado en que se lograron los resultados previstos y se utilizaron los recursos de manera eficaz; y aprendizaje, generando evidencia y lecciones para informar el diseño de la próxima Nota Estratégica (2027-2031). </w:t>
      </w:r>
    </w:p>
    <w:p w14:paraId="191C83FA" w14:textId="77777777" w:rsidR="00EF69D1" w:rsidRPr="00F754EF" w:rsidRDefault="00EF69D1" w:rsidP="005831BD">
      <w:pPr>
        <w:spacing w:line="240" w:lineRule="auto"/>
      </w:pPr>
      <w:r w:rsidRPr="00F754EF">
        <w:rPr>
          <w:rFonts w:ascii="Aptos Display" w:hAnsi="Aptos Display"/>
        </w:rPr>
        <w:t xml:space="preserve">Los usuarios principales previstos son la Oficina de País de Ecuador, la Oficina Regional de América y el Caribe, y la Sede de ONU Mujeres. </w:t>
      </w:r>
      <w:r w:rsidRPr="00F754EF">
        <w:rPr>
          <w:rFonts w:ascii="Aptos Display" w:hAnsi="Aptos Display"/>
          <w:b/>
          <w:bCs/>
        </w:rPr>
        <w:t>Usuarios secundarios</w:t>
      </w:r>
      <w:r w:rsidRPr="00F754EF">
        <w:rPr>
          <w:rFonts w:ascii="Aptos Display" w:hAnsi="Aptos Display"/>
        </w:rPr>
        <w:t xml:space="preserve"> incluyen instituciones gubernamentales nacionales, donantes, socios de la sociedad civil, el Equipo de País de la ONU y el Grupo Temático de Género. Se espera que la evaluación apoye la mejora de la toma de decisiones estratégicas, fortalezca la capacidad de los actores nacionales para avanzar en la igualdad de género y permita identificar enfoques efectivos e innovadores que merezcan ser sostenidos o ampliados en el próximo ciclo. </w:t>
      </w:r>
    </w:p>
    <w:p w14:paraId="54EAA809" w14:textId="77777777" w:rsidR="008577E4" w:rsidRPr="00F754EF" w:rsidRDefault="008577E4" w:rsidP="005831BD">
      <w:pPr>
        <w:pStyle w:val="Heading2"/>
        <w:rPr>
          <w:rStyle w:val="normaltextrun"/>
          <w:rFonts w:eastAsia="Times New Roman"/>
          <w:lang w:val="es-ES"/>
        </w:rPr>
        <w:sectPr w:rsidR="008577E4" w:rsidRPr="00F754EF" w:rsidSect="008577E4">
          <w:type w:val="continuous"/>
          <w:pgSz w:w="12240" w:h="15840"/>
          <w:pgMar w:top="1440" w:right="1080" w:bottom="1440" w:left="1080" w:header="720" w:footer="252" w:gutter="0"/>
          <w:cols w:num="2" w:space="720"/>
          <w:docGrid w:linePitch="360"/>
        </w:sectPr>
      </w:pPr>
    </w:p>
    <w:p w14:paraId="75FFDCA4" w14:textId="6B1A36FE" w:rsidR="00EF69D1" w:rsidRPr="00F754EF" w:rsidRDefault="00EF69D1" w:rsidP="005831BD">
      <w:pPr>
        <w:pStyle w:val="Heading2"/>
        <w:rPr>
          <w:rFonts w:eastAsia="Times New Roman"/>
          <w:lang w:val="es-ES"/>
        </w:rPr>
      </w:pPr>
      <w:bookmarkStart w:id="22" w:name="_Toc233830037"/>
      <w:r w:rsidRPr="00F754EF">
        <w:rPr>
          <w:rStyle w:val="normaltextrun"/>
          <w:rFonts w:eastAsia="Times New Roman"/>
          <w:lang w:val="es-ES"/>
        </w:rPr>
        <w:lastRenderedPageBreak/>
        <w:t xml:space="preserve">2.2 </w:t>
      </w:r>
      <w:r w:rsidR="00121A7B" w:rsidRPr="00F754EF">
        <w:rPr>
          <w:rStyle w:val="normaltextrun"/>
          <w:rFonts w:eastAsia="Times New Roman"/>
          <w:lang w:val="es-ES"/>
        </w:rPr>
        <w:t>C</w:t>
      </w:r>
      <w:r w:rsidRPr="00F754EF">
        <w:rPr>
          <w:rStyle w:val="normaltextrun"/>
          <w:rFonts w:eastAsia="Times New Roman"/>
          <w:lang w:val="es-ES"/>
        </w:rPr>
        <w:t>riterios y preguntas de la evaluación</w:t>
      </w:r>
      <w:bookmarkEnd w:id="22"/>
      <w:r w:rsidRPr="00F754EF">
        <w:rPr>
          <w:rStyle w:val="normaltextrun"/>
          <w:rFonts w:eastAsia="Times New Roman"/>
          <w:lang w:val="es-ES"/>
        </w:rPr>
        <w:t xml:space="preserve"> </w:t>
      </w:r>
    </w:p>
    <w:p w14:paraId="493D3C15" w14:textId="77777777" w:rsidR="008577E4" w:rsidRPr="00F754EF" w:rsidRDefault="008577E4" w:rsidP="005831BD">
      <w:pPr>
        <w:shd w:val="clear" w:color="auto" w:fill="FFFFFF"/>
        <w:spacing w:line="240" w:lineRule="auto"/>
        <w:rPr>
          <w:rFonts w:ascii="Aptos Display" w:hAnsi="Aptos Display"/>
        </w:rPr>
        <w:sectPr w:rsidR="008577E4" w:rsidRPr="00F754EF" w:rsidSect="008577E4">
          <w:type w:val="continuous"/>
          <w:pgSz w:w="12240" w:h="15840"/>
          <w:pgMar w:top="1440" w:right="1080" w:bottom="1440" w:left="1080" w:header="720" w:footer="252" w:gutter="0"/>
          <w:cols w:space="720"/>
          <w:docGrid w:linePitch="360"/>
        </w:sectPr>
      </w:pPr>
    </w:p>
    <w:p w14:paraId="01D9C89F" w14:textId="77777777" w:rsidR="00EF69D1" w:rsidRPr="00F754EF" w:rsidRDefault="00EF69D1" w:rsidP="005831BD">
      <w:pPr>
        <w:shd w:val="clear" w:color="auto" w:fill="FFFFFF"/>
        <w:spacing w:line="240" w:lineRule="auto"/>
      </w:pPr>
      <w:r w:rsidRPr="00F754EF">
        <w:rPr>
          <w:rFonts w:ascii="Aptos Display" w:hAnsi="Aptos Display"/>
        </w:rPr>
        <w:t xml:space="preserve">La evaluación analiza la Nota Estratégica según cinco criterios de la OCDE-CAD (relevancia, coherencia, eficacia, eficiencia y sostenibilidad) y un sexto criterio </w:t>
      </w:r>
      <w:r w:rsidRPr="00F754EF">
        <w:rPr>
          <w:rFonts w:ascii="Aptos Display" w:hAnsi="Aptos Display"/>
        </w:rPr>
        <w:t>sobre derechos humanos e igualdad de género, aplicados en todo el proceso. Las preguntas clave de evaluación se presentan en la Tabla 3.</w:t>
      </w:r>
    </w:p>
    <w:p w14:paraId="4D36D129" w14:textId="77777777" w:rsidR="008577E4" w:rsidRPr="00F754EF" w:rsidRDefault="008577E4" w:rsidP="005831BD">
      <w:pPr>
        <w:pStyle w:val="Caption"/>
        <w:spacing w:after="120"/>
        <w:sectPr w:rsidR="008577E4" w:rsidRPr="00F754EF" w:rsidSect="008577E4">
          <w:type w:val="continuous"/>
          <w:pgSz w:w="12240" w:h="15840"/>
          <w:pgMar w:top="1440" w:right="1080" w:bottom="1440" w:left="1080" w:header="720" w:footer="252" w:gutter="0"/>
          <w:cols w:num="2" w:space="720"/>
          <w:docGrid w:linePitch="360"/>
        </w:sectPr>
      </w:pPr>
      <w:bookmarkStart w:id="23" w:name="_Toc227279869"/>
    </w:p>
    <w:p w14:paraId="0C874904" w14:textId="72A7CC7A" w:rsidR="00747DE4" w:rsidRPr="00F754EF" w:rsidRDefault="00EB6CB3" w:rsidP="005831BD">
      <w:pPr>
        <w:pStyle w:val="Caption"/>
        <w:spacing w:after="120"/>
      </w:pPr>
      <w:r w:rsidRPr="00F754EF">
        <w:t>Tabl</w:t>
      </w:r>
      <w:r w:rsidR="00EF69D1" w:rsidRPr="00F754EF">
        <w:t>a</w:t>
      </w:r>
      <w:r w:rsidRPr="00F754EF">
        <w:t xml:space="preserve"> </w:t>
      </w:r>
      <w:r w:rsidRPr="00F754EF">
        <w:fldChar w:fldCharType="begin"/>
      </w:r>
      <w:r w:rsidRPr="00F754EF">
        <w:instrText xml:space="preserve"> SEQ Table \* ARABIC </w:instrText>
      </w:r>
      <w:r w:rsidRPr="00F754EF">
        <w:fldChar w:fldCharType="separate"/>
      </w:r>
      <w:r w:rsidR="004C6C83">
        <w:rPr>
          <w:noProof/>
        </w:rPr>
        <w:t>3</w:t>
      </w:r>
      <w:r w:rsidRPr="00F754EF">
        <w:fldChar w:fldCharType="end"/>
      </w:r>
      <w:r w:rsidRPr="00F754EF">
        <w:t xml:space="preserve"> </w:t>
      </w:r>
      <w:r w:rsidR="00EF69D1" w:rsidRPr="00F754EF">
        <w:t xml:space="preserve">Preguntas de </w:t>
      </w:r>
      <w:r w:rsidRPr="00F754EF">
        <w:t>Evalua</w:t>
      </w:r>
      <w:r w:rsidR="00EF69D1" w:rsidRPr="00F754EF">
        <w:t>ción</w:t>
      </w:r>
      <w:bookmarkEnd w:id="23"/>
      <w:r w:rsidRPr="00F754EF">
        <w:t xml:space="preserve"> </w:t>
      </w:r>
    </w:p>
    <w:tbl>
      <w:tblPr>
        <w:tblStyle w:val="AlternateRowShding"/>
        <w:tblW w:w="5000" w:type="pct"/>
        <w:tblLook w:val="04A0" w:firstRow="1" w:lastRow="0" w:firstColumn="1" w:lastColumn="0" w:noHBand="0" w:noVBand="1"/>
      </w:tblPr>
      <w:tblGrid>
        <w:gridCol w:w="1437"/>
        <w:gridCol w:w="8643"/>
      </w:tblGrid>
      <w:tr w:rsidR="00747DE4" w:rsidRPr="00F754EF" w14:paraId="422582EB" w14:textId="77777777">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713" w:type="pct"/>
            <w:hideMark/>
          </w:tcPr>
          <w:p w14:paraId="3D08DE25" w14:textId="2D04F872" w:rsidR="00747DE4" w:rsidRPr="00F754EF" w:rsidRDefault="00747DE4" w:rsidP="00C33148">
            <w:pPr>
              <w:spacing w:after="0" w:line="240" w:lineRule="auto"/>
              <w:textAlignment w:val="baseline"/>
              <w:rPr>
                <w:rFonts w:ascii="Aptos Display" w:hAnsi="Aptos Display" w:cs="Arial"/>
                <w:bCs/>
                <w:color w:val="FFFFFF"/>
                <w:sz w:val="18"/>
                <w:szCs w:val="18"/>
              </w:rPr>
            </w:pPr>
            <w:r w:rsidRPr="00F754EF">
              <w:rPr>
                <w:rFonts w:ascii="Aptos Display" w:hAnsi="Aptos Display" w:cs="Arial"/>
                <w:bCs/>
                <w:color w:val="FFFFFF"/>
                <w:sz w:val="18"/>
                <w:szCs w:val="18"/>
              </w:rPr>
              <w:t>Criteri</w:t>
            </w:r>
            <w:r w:rsidR="001D281B" w:rsidRPr="00F754EF">
              <w:rPr>
                <w:rFonts w:ascii="Aptos Display" w:hAnsi="Aptos Display" w:cs="Arial"/>
                <w:bCs/>
                <w:color w:val="FFFFFF"/>
                <w:sz w:val="18"/>
                <w:szCs w:val="18"/>
              </w:rPr>
              <w:t>o</w:t>
            </w:r>
          </w:p>
        </w:tc>
        <w:tc>
          <w:tcPr>
            <w:tcW w:w="4287" w:type="pct"/>
            <w:hideMark/>
          </w:tcPr>
          <w:p w14:paraId="183EF40E" w14:textId="46588F9F" w:rsidR="00747DE4" w:rsidRPr="00F754EF" w:rsidRDefault="001D281B" w:rsidP="00C33148">
            <w:pPr>
              <w:spacing w:after="0" w:line="240" w:lineRule="auto"/>
              <w:textAlignment w:val="baseline"/>
              <w:cnfStyle w:val="100000000000" w:firstRow="1" w:lastRow="0" w:firstColumn="0" w:lastColumn="0" w:oddVBand="0" w:evenVBand="0" w:oddHBand="0" w:evenHBand="0" w:firstRowFirstColumn="0" w:firstRowLastColumn="0" w:lastRowFirstColumn="0" w:lastRowLastColumn="0"/>
              <w:rPr>
                <w:rFonts w:ascii="Aptos Display" w:hAnsi="Aptos Display" w:cs="Arial"/>
                <w:bCs/>
                <w:color w:val="FFFFFF"/>
                <w:sz w:val="18"/>
                <w:szCs w:val="18"/>
              </w:rPr>
            </w:pPr>
            <w:r w:rsidRPr="00F754EF">
              <w:rPr>
                <w:rFonts w:ascii="Aptos Display" w:hAnsi="Aptos Display" w:cs="Arial"/>
                <w:bCs/>
                <w:color w:val="FFFFFF"/>
                <w:sz w:val="18"/>
                <w:szCs w:val="18"/>
              </w:rPr>
              <w:t>Preguntas de evaluación</w:t>
            </w:r>
          </w:p>
        </w:tc>
      </w:tr>
      <w:tr w:rsidR="00747DE4" w:rsidRPr="00F754EF" w14:paraId="746CF264" w14:textId="77777777">
        <w:trPr>
          <w:trHeight w:val="300"/>
        </w:trPr>
        <w:tc>
          <w:tcPr>
            <w:cnfStyle w:val="001000000000" w:firstRow="0" w:lastRow="0" w:firstColumn="1" w:lastColumn="0" w:oddVBand="0" w:evenVBand="0" w:oddHBand="0" w:evenHBand="0" w:firstRowFirstColumn="0" w:firstRowLastColumn="0" w:lastRowFirstColumn="0" w:lastRowLastColumn="0"/>
            <w:tcW w:w="713" w:type="pct"/>
            <w:vAlign w:val="center"/>
            <w:hideMark/>
          </w:tcPr>
          <w:p w14:paraId="341C564D" w14:textId="2E81AF1C" w:rsidR="00747DE4" w:rsidRPr="00F754EF" w:rsidRDefault="00747DE4" w:rsidP="00C33148">
            <w:pPr>
              <w:spacing w:after="0" w:line="240" w:lineRule="auto"/>
              <w:textAlignment w:val="baseline"/>
              <w:rPr>
                <w:rFonts w:ascii="Aptos Display" w:hAnsi="Aptos Display" w:cs="Arial"/>
                <w:bCs/>
                <w:sz w:val="18"/>
                <w:szCs w:val="18"/>
              </w:rPr>
            </w:pPr>
            <w:r w:rsidRPr="00F754EF">
              <w:rPr>
                <w:rFonts w:ascii="Aptos Display" w:hAnsi="Aptos Display" w:cs="Arial"/>
                <w:bCs/>
                <w:sz w:val="18"/>
                <w:szCs w:val="18"/>
              </w:rPr>
              <w:t>Relevanc</w:t>
            </w:r>
            <w:r w:rsidR="001D281B" w:rsidRPr="00F754EF">
              <w:rPr>
                <w:rFonts w:ascii="Aptos Display" w:hAnsi="Aptos Display" w:cs="Arial"/>
                <w:bCs/>
                <w:sz w:val="18"/>
                <w:szCs w:val="18"/>
              </w:rPr>
              <w:t>ia</w:t>
            </w:r>
            <w:r w:rsidRPr="00F754EF">
              <w:rPr>
                <w:rFonts w:ascii="Aptos Display" w:hAnsi="Aptos Display" w:cs="Arial"/>
                <w:bCs/>
                <w:sz w:val="18"/>
                <w:szCs w:val="18"/>
              </w:rPr>
              <w:t> </w:t>
            </w:r>
          </w:p>
        </w:tc>
        <w:tc>
          <w:tcPr>
            <w:tcW w:w="4287" w:type="pct"/>
            <w:hideMark/>
          </w:tcPr>
          <w:p w14:paraId="797FEB81" w14:textId="73947491" w:rsidR="00712D85" w:rsidRPr="00F754EF" w:rsidRDefault="00E65C9C" w:rsidP="00C33148">
            <w:pPr>
              <w:suppressAutoHyphens w:val="0"/>
              <w:autoSpaceDE/>
              <w:autoSpaceDN/>
              <w:adjustRightInd/>
              <w:spacing w:after="0" w:line="240" w:lineRule="auto"/>
              <w:ind w:left="360" w:hanging="360"/>
              <w:contextualSpacing/>
              <w:jc w:val="left"/>
              <w:cnfStyle w:val="000000000000" w:firstRow="0" w:lastRow="0" w:firstColumn="0" w:lastColumn="0" w:oddVBand="0" w:evenVBand="0" w:oddHBand="0" w:evenHBand="0" w:firstRowFirstColumn="0" w:firstRowLastColumn="0" w:lastRowFirstColumn="0" w:lastRowLastColumn="0"/>
              <w:rPr>
                <w:rFonts w:ascii="Aptos Display" w:hAnsi="Aptos Display" w:cs="Arial"/>
                <w:sz w:val="18"/>
                <w:szCs w:val="18"/>
              </w:rPr>
            </w:pPr>
            <w:r w:rsidRPr="00F754EF">
              <w:rPr>
                <w:rFonts w:ascii="Aptos Display" w:hAnsi="Aptos Display" w:cs="Arial"/>
                <w:sz w:val="18"/>
                <w:szCs w:val="18"/>
              </w:rPr>
              <w:t>1.1</w:t>
            </w:r>
            <w:r w:rsidRPr="00F754EF">
              <w:rPr>
                <w:rFonts w:ascii="Arial" w:hAnsi="Arial" w:cs="Arial"/>
                <w:sz w:val="18"/>
                <w:szCs w:val="18"/>
              </w:rPr>
              <w:t> ¿</w:t>
            </w:r>
            <w:r w:rsidR="00712D85" w:rsidRPr="00F754EF">
              <w:rPr>
                <w:rFonts w:ascii="Aptos Display" w:hAnsi="Aptos Display" w:cs="Arial"/>
                <w:sz w:val="18"/>
                <w:szCs w:val="18"/>
              </w:rPr>
              <w:t>En qu</w:t>
            </w:r>
            <w:r w:rsidR="00712D85" w:rsidRPr="00F754EF">
              <w:rPr>
                <w:rFonts w:ascii="Aptos Display" w:hAnsi="Aptos Display" w:cs="Aptos Display"/>
                <w:sz w:val="18"/>
                <w:szCs w:val="18"/>
              </w:rPr>
              <w:t>é</w:t>
            </w:r>
            <w:r w:rsidR="00712D85" w:rsidRPr="00F754EF">
              <w:rPr>
                <w:rFonts w:ascii="Aptos Display" w:hAnsi="Aptos Display" w:cs="Arial"/>
                <w:sz w:val="18"/>
                <w:szCs w:val="18"/>
              </w:rPr>
              <w:t xml:space="preserve"> medida los objetivos, resultados y prioridades tem</w:t>
            </w:r>
            <w:r w:rsidR="00712D85" w:rsidRPr="00F754EF">
              <w:rPr>
                <w:rFonts w:ascii="Aptos Display" w:hAnsi="Aptos Display" w:cs="Aptos Display"/>
                <w:sz w:val="18"/>
                <w:szCs w:val="18"/>
              </w:rPr>
              <w:t>á</w:t>
            </w:r>
            <w:r w:rsidR="00712D85" w:rsidRPr="00F754EF">
              <w:rPr>
                <w:rFonts w:ascii="Aptos Display" w:hAnsi="Aptos Display" w:cs="Arial"/>
                <w:sz w:val="18"/>
                <w:szCs w:val="18"/>
              </w:rPr>
              <w:t>ticas de la Nota Estrat</w:t>
            </w:r>
            <w:r w:rsidR="00712D85" w:rsidRPr="00F754EF">
              <w:rPr>
                <w:rFonts w:ascii="Aptos Display" w:hAnsi="Aptos Display" w:cs="Aptos Display"/>
                <w:sz w:val="18"/>
                <w:szCs w:val="18"/>
              </w:rPr>
              <w:t>é</w:t>
            </w:r>
            <w:r w:rsidR="00712D85" w:rsidRPr="00F754EF">
              <w:rPr>
                <w:rFonts w:ascii="Aptos Display" w:hAnsi="Aptos Display" w:cs="Arial"/>
                <w:sz w:val="18"/>
                <w:szCs w:val="18"/>
              </w:rPr>
              <w:t>gica de la Oficina de Pa</w:t>
            </w:r>
            <w:r w:rsidR="00712D85" w:rsidRPr="00F754EF">
              <w:rPr>
                <w:rFonts w:ascii="Aptos Display" w:hAnsi="Aptos Display" w:cs="Aptos Display"/>
                <w:sz w:val="18"/>
                <w:szCs w:val="18"/>
              </w:rPr>
              <w:t>í</w:t>
            </w:r>
            <w:r w:rsidR="00712D85" w:rsidRPr="00F754EF">
              <w:rPr>
                <w:rFonts w:ascii="Aptos Display" w:hAnsi="Aptos Display" w:cs="Arial"/>
                <w:sz w:val="18"/>
                <w:szCs w:val="18"/>
              </w:rPr>
              <w:t>s (CO) est</w:t>
            </w:r>
            <w:r w:rsidR="00712D85" w:rsidRPr="00F754EF">
              <w:rPr>
                <w:rFonts w:ascii="Aptos Display" w:hAnsi="Aptos Display" w:cs="Aptos Display"/>
                <w:sz w:val="18"/>
                <w:szCs w:val="18"/>
              </w:rPr>
              <w:t>á</w:t>
            </w:r>
            <w:r w:rsidR="00712D85" w:rsidRPr="00F754EF">
              <w:rPr>
                <w:rFonts w:ascii="Aptos Display" w:hAnsi="Aptos Display" w:cs="Arial"/>
                <w:sz w:val="18"/>
                <w:szCs w:val="18"/>
              </w:rPr>
              <w:t>n alineados con las necesidades de desarrollo del pa</w:t>
            </w:r>
            <w:r w:rsidR="00712D85" w:rsidRPr="00F754EF">
              <w:rPr>
                <w:rFonts w:ascii="Aptos Display" w:hAnsi="Aptos Display" w:cs="Aptos Display"/>
                <w:sz w:val="18"/>
                <w:szCs w:val="18"/>
              </w:rPr>
              <w:t>í</w:t>
            </w:r>
            <w:r w:rsidR="00712D85" w:rsidRPr="00F754EF">
              <w:rPr>
                <w:rFonts w:ascii="Aptos Display" w:hAnsi="Aptos Display" w:cs="Arial"/>
                <w:sz w:val="18"/>
                <w:szCs w:val="18"/>
              </w:rPr>
              <w:t>s, las prioridades del gobierno y de los socios nacionales, el Marco de Cooperaci</w:t>
            </w:r>
            <w:r w:rsidR="00712D85" w:rsidRPr="00F754EF">
              <w:rPr>
                <w:rFonts w:ascii="Aptos Display" w:hAnsi="Aptos Display" w:cs="Aptos Display"/>
                <w:sz w:val="18"/>
                <w:szCs w:val="18"/>
              </w:rPr>
              <w:t>ó</w:t>
            </w:r>
            <w:r w:rsidR="00712D85" w:rsidRPr="00F754EF">
              <w:rPr>
                <w:rFonts w:ascii="Aptos Display" w:hAnsi="Aptos Display" w:cs="Arial"/>
                <w:sz w:val="18"/>
                <w:szCs w:val="18"/>
              </w:rPr>
              <w:t>n de las Naciones Unidas para el Desarrollo Sostenible (UNSDCF) y los Objetivos de Desarrollo Sostenible (ODS)?</w:t>
            </w:r>
          </w:p>
          <w:p w14:paraId="3B7AA036" w14:textId="2B544234" w:rsidR="00712D85" w:rsidRPr="00F754EF" w:rsidRDefault="00E65C9C" w:rsidP="00C33148">
            <w:pPr>
              <w:suppressAutoHyphens w:val="0"/>
              <w:autoSpaceDE/>
              <w:autoSpaceDN/>
              <w:adjustRightInd/>
              <w:spacing w:after="0" w:line="240" w:lineRule="auto"/>
              <w:ind w:left="360" w:hanging="360"/>
              <w:contextualSpacing/>
              <w:jc w:val="left"/>
              <w:cnfStyle w:val="000000000000" w:firstRow="0" w:lastRow="0" w:firstColumn="0" w:lastColumn="0" w:oddVBand="0" w:evenVBand="0" w:oddHBand="0" w:evenHBand="0" w:firstRowFirstColumn="0" w:firstRowLastColumn="0" w:lastRowFirstColumn="0" w:lastRowLastColumn="0"/>
              <w:rPr>
                <w:rFonts w:ascii="Aptos Display" w:hAnsi="Aptos Display" w:cs="Arial"/>
                <w:sz w:val="18"/>
                <w:szCs w:val="18"/>
              </w:rPr>
            </w:pPr>
            <w:r w:rsidRPr="00F754EF">
              <w:rPr>
                <w:rFonts w:ascii="Aptos Display" w:hAnsi="Aptos Display" w:cs="Arial"/>
                <w:sz w:val="18"/>
                <w:szCs w:val="18"/>
              </w:rPr>
              <w:t>1.2</w:t>
            </w:r>
            <w:r w:rsidRPr="00F754EF">
              <w:rPr>
                <w:rFonts w:ascii="Arial" w:hAnsi="Arial" w:cs="Arial"/>
                <w:sz w:val="18"/>
                <w:szCs w:val="18"/>
              </w:rPr>
              <w:t> ¿</w:t>
            </w:r>
            <w:r w:rsidR="00712D85" w:rsidRPr="00F754EF">
              <w:rPr>
                <w:rFonts w:ascii="Aptos Display" w:hAnsi="Aptos Display" w:cs="Arial"/>
                <w:sz w:val="18"/>
                <w:szCs w:val="18"/>
              </w:rPr>
              <w:t>Con qu</w:t>
            </w:r>
            <w:r w:rsidR="00712D85" w:rsidRPr="00F754EF">
              <w:rPr>
                <w:rFonts w:ascii="Aptos Display" w:hAnsi="Aptos Display" w:cs="Aptos Display"/>
                <w:sz w:val="18"/>
                <w:szCs w:val="18"/>
              </w:rPr>
              <w:t>é</w:t>
            </w:r>
            <w:r w:rsidR="00712D85" w:rsidRPr="00F754EF">
              <w:rPr>
                <w:rFonts w:ascii="Aptos Display" w:hAnsi="Aptos Display" w:cs="Arial"/>
                <w:sz w:val="18"/>
                <w:szCs w:val="18"/>
              </w:rPr>
              <w:t xml:space="preserve"> eficacia ha adaptado la Oficina de Pa</w:t>
            </w:r>
            <w:r w:rsidR="00712D85" w:rsidRPr="00F754EF">
              <w:rPr>
                <w:rFonts w:ascii="Aptos Display" w:hAnsi="Aptos Display" w:cs="Aptos Display"/>
                <w:sz w:val="18"/>
                <w:szCs w:val="18"/>
              </w:rPr>
              <w:t>í</w:t>
            </w:r>
            <w:r w:rsidR="00712D85" w:rsidRPr="00F754EF">
              <w:rPr>
                <w:rFonts w:ascii="Aptos Display" w:hAnsi="Aptos Display" w:cs="Arial"/>
                <w:sz w:val="18"/>
                <w:szCs w:val="18"/>
              </w:rPr>
              <w:t>s (CO) la implementaci</w:t>
            </w:r>
            <w:r w:rsidR="00712D85" w:rsidRPr="00F754EF">
              <w:rPr>
                <w:rFonts w:ascii="Aptos Display" w:hAnsi="Aptos Display" w:cs="Aptos Display"/>
                <w:sz w:val="18"/>
                <w:szCs w:val="18"/>
              </w:rPr>
              <w:t>ó</w:t>
            </w:r>
            <w:r w:rsidR="00712D85" w:rsidRPr="00F754EF">
              <w:rPr>
                <w:rFonts w:ascii="Aptos Display" w:hAnsi="Aptos Display" w:cs="Arial"/>
                <w:sz w:val="18"/>
                <w:szCs w:val="18"/>
              </w:rPr>
              <w:t>n de la Nota Estrat</w:t>
            </w:r>
            <w:r w:rsidR="00712D85" w:rsidRPr="00F754EF">
              <w:rPr>
                <w:rFonts w:ascii="Aptos Display" w:hAnsi="Aptos Display" w:cs="Aptos Display"/>
                <w:sz w:val="18"/>
                <w:szCs w:val="18"/>
              </w:rPr>
              <w:t>é</w:t>
            </w:r>
            <w:r w:rsidR="00712D85" w:rsidRPr="00F754EF">
              <w:rPr>
                <w:rFonts w:ascii="Aptos Display" w:hAnsi="Aptos Display" w:cs="Arial"/>
                <w:sz w:val="18"/>
                <w:szCs w:val="18"/>
              </w:rPr>
              <w:t>gica para responder a los desaf</w:t>
            </w:r>
            <w:r w:rsidR="00712D85" w:rsidRPr="00F754EF">
              <w:rPr>
                <w:rFonts w:ascii="Aptos Display" w:hAnsi="Aptos Display" w:cs="Aptos Display"/>
                <w:sz w:val="18"/>
                <w:szCs w:val="18"/>
              </w:rPr>
              <w:t>í</w:t>
            </w:r>
            <w:r w:rsidR="00712D85" w:rsidRPr="00F754EF">
              <w:rPr>
                <w:rFonts w:ascii="Aptos Display" w:hAnsi="Aptos Display" w:cs="Arial"/>
                <w:sz w:val="18"/>
                <w:szCs w:val="18"/>
              </w:rPr>
              <w:t>os emergentes, como los impactos de la crisis migratoria y las crecientes preocupaciones de seguridad?</w:t>
            </w:r>
          </w:p>
          <w:p w14:paraId="631D41AA" w14:textId="77777777" w:rsidR="00747DE4" w:rsidRPr="00F754EF" w:rsidRDefault="00747DE4" w:rsidP="00C33148">
            <w:pPr>
              <w:suppressAutoHyphens w:val="0"/>
              <w:autoSpaceDE/>
              <w:autoSpaceDN/>
              <w:adjustRightInd/>
              <w:spacing w:after="0" w:line="240" w:lineRule="auto"/>
              <w:ind w:left="360" w:hanging="360"/>
              <w:contextualSpacing/>
              <w:jc w:val="left"/>
              <w:cnfStyle w:val="000000000000" w:firstRow="0" w:lastRow="0" w:firstColumn="0" w:lastColumn="0" w:oddVBand="0" w:evenVBand="0" w:oddHBand="0" w:evenHBand="0" w:firstRowFirstColumn="0" w:firstRowLastColumn="0" w:lastRowFirstColumn="0" w:lastRowLastColumn="0"/>
              <w:rPr>
                <w:rFonts w:ascii="Aptos Display" w:hAnsi="Aptos Display" w:cs="Arial"/>
                <w:sz w:val="18"/>
                <w:szCs w:val="18"/>
              </w:rPr>
            </w:pPr>
          </w:p>
        </w:tc>
      </w:tr>
      <w:tr w:rsidR="00747DE4" w:rsidRPr="00F754EF" w14:paraId="35534F40" w14:textId="77777777">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3" w:type="pct"/>
            <w:vAlign w:val="center"/>
            <w:hideMark/>
          </w:tcPr>
          <w:p w14:paraId="129BEC27" w14:textId="7E6AC4D1" w:rsidR="00747DE4" w:rsidRPr="00F754EF" w:rsidRDefault="00747DE4" w:rsidP="00C33148">
            <w:pPr>
              <w:spacing w:after="0" w:line="240" w:lineRule="auto"/>
              <w:jc w:val="left"/>
              <w:textAlignment w:val="baseline"/>
              <w:rPr>
                <w:rFonts w:ascii="Aptos Display" w:hAnsi="Aptos Display" w:cs="Arial"/>
                <w:bCs/>
                <w:sz w:val="18"/>
                <w:szCs w:val="18"/>
              </w:rPr>
            </w:pPr>
            <w:r w:rsidRPr="00F754EF">
              <w:rPr>
                <w:rFonts w:ascii="Aptos Display" w:hAnsi="Aptos Display" w:cs="Arial"/>
                <w:bCs/>
                <w:sz w:val="18"/>
                <w:szCs w:val="18"/>
              </w:rPr>
              <w:t>Coherenc</w:t>
            </w:r>
            <w:r w:rsidR="001D281B" w:rsidRPr="00F754EF">
              <w:rPr>
                <w:rFonts w:ascii="Aptos Display" w:hAnsi="Aptos Display" w:cs="Arial"/>
                <w:bCs/>
                <w:sz w:val="18"/>
                <w:szCs w:val="18"/>
              </w:rPr>
              <w:t>ia</w:t>
            </w:r>
            <w:r w:rsidRPr="00F754EF">
              <w:rPr>
                <w:rFonts w:ascii="Aptos Display" w:hAnsi="Aptos Display" w:cs="Arial"/>
                <w:bCs/>
                <w:sz w:val="18"/>
                <w:szCs w:val="18"/>
              </w:rPr>
              <w:t xml:space="preserve"> </w:t>
            </w:r>
          </w:p>
        </w:tc>
        <w:tc>
          <w:tcPr>
            <w:tcW w:w="4287" w:type="pct"/>
            <w:hideMark/>
          </w:tcPr>
          <w:p w14:paraId="7FB58735" w14:textId="264F17E9" w:rsidR="00D21086" w:rsidRPr="00F754EF" w:rsidRDefault="00E65C9C" w:rsidP="00C33148">
            <w:pPr>
              <w:suppressAutoHyphens w:val="0"/>
              <w:autoSpaceDE/>
              <w:autoSpaceDN/>
              <w:adjustRightInd/>
              <w:spacing w:after="0" w:line="240" w:lineRule="auto"/>
              <w:ind w:left="360" w:hanging="360"/>
              <w:contextualSpacing/>
              <w:jc w:val="left"/>
              <w:cnfStyle w:val="000000010000" w:firstRow="0" w:lastRow="0" w:firstColumn="0" w:lastColumn="0" w:oddVBand="0" w:evenVBand="0" w:oddHBand="0" w:evenHBand="1" w:firstRowFirstColumn="0" w:firstRowLastColumn="0" w:lastRowFirstColumn="0" w:lastRowLastColumn="0"/>
              <w:rPr>
                <w:rFonts w:ascii="Aptos Display" w:hAnsi="Aptos Display"/>
                <w:sz w:val="18"/>
                <w:szCs w:val="18"/>
              </w:rPr>
            </w:pPr>
            <w:r w:rsidRPr="00F754EF">
              <w:rPr>
                <w:rFonts w:ascii="Aptos Display" w:hAnsi="Aptos Display"/>
                <w:sz w:val="18"/>
                <w:szCs w:val="18"/>
              </w:rPr>
              <w:t>2.1</w:t>
            </w:r>
            <w:r w:rsidRPr="00F754EF">
              <w:rPr>
                <w:rFonts w:ascii="Arial" w:hAnsi="Arial" w:cs="Arial"/>
                <w:sz w:val="18"/>
                <w:szCs w:val="18"/>
              </w:rPr>
              <w:t> ¿</w:t>
            </w:r>
            <w:r w:rsidR="00D21086" w:rsidRPr="00F754EF">
              <w:rPr>
                <w:rFonts w:ascii="Aptos Display" w:hAnsi="Aptos Display"/>
                <w:sz w:val="18"/>
                <w:szCs w:val="18"/>
              </w:rPr>
              <w:t>En qu</w:t>
            </w:r>
            <w:r w:rsidR="00D21086" w:rsidRPr="00F754EF">
              <w:rPr>
                <w:rFonts w:ascii="Aptos Display" w:hAnsi="Aptos Display" w:cs="Aptos Display"/>
                <w:sz w:val="18"/>
                <w:szCs w:val="18"/>
              </w:rPr>
              <w:t>é</w:t>
            </w:r>
            <w:r w:rsidR="00D21086" w:rsidRPr="00F754EF">
              <w:rPr>
                <w:rFonts w:ascii="Aptos Display" w:hAnsi="Aptos Display"/>
                <w:sz w:val="18"/>
                <w:szCs w:val="18"/>
              </w:rPr>
              <w:t xml:space="preserve"> medida la Nota Estrat</w:t>
            </w:r>
            <w:r w:rsidR="00D21086" w:rsidRPr="00F754EF">
              <w:rPr>
                <w:rFonts w:ascii="Aptos Display" w:hAnsi="Aptos Display" w:cs="Aptos Display"/>
                <w:sz w:val="18"/>
                <w:szCs w:val="18"/>
              </w:rPr>
              <w:t>é</w:t>
            </w:r>
            <w:r w:rsidR="00D21086" w:rsidRPr="00F754EF">
              <w:rPr>
                <w:rFonts w:ascii="Aptos Display" w:hAnsi="Aptos Display"/>
                <w:sz w:val="18"/>
                <w:szCs w:val="18"/>
              </w:rPr>
              <w:t>gica de la Oficina de Pa</w:t>
            </w:r>
            <w:r w:rsidR="00D21086" w:rsidRPr="00F754EF">
              <w:rPr>
                <w:rFonts w:ascii="Aptos Display" w:hAnsi="Aptos Display" w:cs="Aptos Display"/>
                <w:sz w:val="18"/>
                <w:szCs w:val="18"/>
              </w:rPr>
              <w:t>í</w:t>
            </w:r>
            <w:r w:rsidR="00D21086" w:rsidRPr="00F754EF">
              <w:rPr>
                <w:rFonts w:ascii="Aptos Display" w:hAnsi="Aptos Display"/>
                <w:sz w:val="18"/>
                <w:szCs w:val="18"/>
              </w:rPr>
              <w:t>s (CO) es coherente con el sistema m</w:t>
            </w:r>
            <w:r w:rsidR="00D21086" w:rsidRPr="00F754EF">
              <w:rPr>
                <w:rFonts w:ascii="Aptos Display" w:hAnsi="Aptos Display" w:cs="Aptos Display"/>
                <w:sz w:val="18"/>
                <w:szCs w:val="18"/>
              </w:rPr>
              <w:t>á</w:t>
            </w:r>
            <w:r w:rsidR="00D21086" w:rsidRPr="00F754EF">
              <w:rPr>
                <w:rFonts w:ascii="Aptos Display" w:hAnsi="Aptos Display"/>
                <w:sz w:val="18"/>
                <w:szCs w:val="18"/>
              </w:rPr>
              <w:t>s amplio de las Naciones Unidas? En espec</w:t>
            </w:r>
            <w:r w:rsidR="00D21086" w:rsidRPr="00F754EF">
              <w:rPr>
                <w:rFonts w:ascii="Aptos Display" w:hAnsi="Aptos Display" w:cs="Aptos Display"/>
                <w:sz w:val="18"/>
                <w:szCs w:val="18"/>
              </w:rPr>
              <w:t>í</w:t>
            </w:r>
            <w:r w:rsidR="00D21086" w:rsidRPr="00F754EF">
              <w:rPr>
                <w:rFonts w:ascii="Aptos Display" w:hAnsi="Aptos Display"/>
                <w:sz w:val="18"/>
                <w:szCs w:val="18"/>
              </w:rPr>
              <w:t xml:space="preserve">fico, </w:t>
            </w:r>
            <w:r w:rsidR="00D21086" w:rsidRPr="00F754EF">
              <w:rPr>
                <w:rFonts w:ascii="Aptos Display" w:hAnsi="Aptos Display" w:cs="Aptos Display"/>
                <w:sz w:val="18"/>
                <w:szCs w:val="18"/>
              </w:rPr>
              <w:t>¿</w:t>
            </w:r>
            <w:r w:rsidR="00D21086" w:rsidRPr="00F754EF">
              <w:rPr>
                <w:rFonts w:ascii="Aptos Display" w:hAnsi="Aptos Display"/>
                <w:sz w:val="18"/>
                <w:szCs w:val="18"/>
              </w:rPr>
              <w:t>con qu</w:t>
            </w:r>
            <w:r w:rsidR="00D21086" w:rsidRPr="00F754EF">
              <w:rPr>
                <w:rFonts w:ascii="Aptos Display" w:hAnsi="Aptos Display" w:cs="Aptos Display"/>
                <w:sz w:val="18"/>
                <w:szCs w:val="18"/>
              </w:rPr>
              <w:t>é</w:t>
            </w:r>
            <w:r w:rsidR="00D21086" w:rsidRPr="00F754EF">
              <w:rPr>
                <w:rFonts w:ascii="Aptos Display" w:hAnsi="Aptos Display"/>
                <w:sz w:val="18"/>
                <w:szCs w:val="18"/>
              </w:rPr>
              <w:t xml:space="preserve"> eficacia promueve la colaboraci</w:t>
            </w:r>
            <w:r w:rsidR="00D21086" w:rsidRPr="00F754EF">
              <w:rPr>
                <w:rFonts w:ascii="Aptos Display" w:hAnsi="Aptos Display" w:cs="Aptos Display"/>
                <w:sz w:val="18"/>
                <w:szCs w:val="18"/>
              </w:rPr>
              <w:t>ó</w:t>
            </w:r>
            <w:r w:rsidR="00D21086" w:rsidRPr="00F754EF">
              <w:rPr>
                <w:rFonts w:ascii="Aptos Display" w:hAnsi="Aptos Display"/>
                <w:sz w:val="18"/>
                <w:szCs w:val="18"/>
              </w:rPr>
              <w:t>n interinstitucional y la programaci</w:t>
            </w:r>
            <w:r w:rsidR="00D21086" w:rsidRPr="00F754EF">
              <w:rPr>
                <w:rFonts w:ascii="Aptos Display" w:hAnsi="Aptos Display" w:cs="Aptos Display"/>
                <w:sz w:val="18"/>
                <w:szCs w:val="18"/>
              </w:rPr>
              <w:t>ó</w:t>
            </w:r>
            <w:r w:rsidR="00D21086" w:rsidRPr="00F754EF">
              <w:rPr>
                <w:rFonts w:ascii="Aptos Display" w:hAnsi="Aptos Display"/>
                <w:sz w:val="18"/>
                <w:szCs w:val="18"/>
              </w:rPr>
              <w:t>n conjunta con el Equipo de Pa</w:t>
            </w:r>
            <w:r w:rsidR="00D21086" w:rsidRPr="00F754EF">
              <w:rPr>
                <w:rFonts w:ascii="Aptos Display" w:hAnsi="Aptos Display" w:cs="Aptos Display"/>
                <w:sz w:val="18"/>
                <w:szCs w:val="18"/>
              </w:rPr>
              <w:t>í</w:t>
            </w:r>
            <w:r w:rsidR="00D21086" w:rsidRPr="00F754EF">
              <w:rPr>
                <w:rFonts w:ascii="Aptos Display" w:hAnsi="Aptos Display"/>
                <w:sz w:val="18"/>
                <w:szCs w:val="18"/>
              </w:rPr>
              <w:t>s de las Naciones Unidas (UNCT)?</w:t>
            </w:r>
          </w:p>
          <w:p w14:paraId="018DBB33" w14:textId="142891F7" w:rsidR="00747DE4" w:rsidRPr="00F754EF" w:rsidRDefault="00E65C9C" w:rsidP="00C33148">
            <w:pPr>
              <w:suppressAutoHyphens w:val="0"/>
              <w:autoSpaceDE/>
              <w:autoSpaceDN/>
              <w:adjustRightInd/>
              <w:spacing w:after="0" w:line="240" w:lineRule="auto"/>
              <w:ind w:left="360" w:hanging="360"/>
              <w:contextualSpacing/>
              <w:jc w:val="left"/>
              <w:cnfStyle w:val="000000010000" w:firstRow="0" w:lastRow="0" w:firstColumn="0" w:lastColumn="0" w:oddVBand="0" w:evenVBand="0" w:oddHBand="0" w:evenHBand="1" w:firstRowFirstColumn="0" w:firstRowLastColumn="0" w:lastRowFirstColumn="0" w:lastRowLastColumn="0"/>
              <w:rPr>
                <w:rFonts w:ascii="Aptos Display" w:hAnsi="Aptos Display"/>
                <w:sz w:val="18"/>
                <w:szCs w:val="18"/>
              </w:rPr>
            </w:pPr>
            <w:r w:rsidRPr="00F754EF">
              <w:rPr>
                <w:rFonts w:ascii="Aptos Display" w:hAnsi="Aptos Display"/>
                <w:sz w:val="18"/>
                <w:szCs w:val="18"/>
              </w:rPr>
              <w:t>2.2</w:t>
            </w:r>
            <w:r w:rsidRPr="00F754EF">
              <w:rPr>
                <w:rFonts w:ascii="Arial" w:hAnsi="Arial" w:cs="Arial"/>
                <w:sz w:val="18"/>
                <w:szCs w:val="18"/>
              </w:rPr>
              <w:t> ¿</w:t>
            </w:r>
            <w:r w:rsidR="00D21086" w:rsidRPr="00F754EF">
              <w:rPr>
                <w:rFonts w:ascii="Aptos Display" w:hAnsi="Aptos Display"/>
                <w:sz w:val="18"/>
                <w:szCs w:val="18"/>
              </w:rPr>
              <w:t>En qu</w:t>
            </w:r>
            <w:r w:rsidR="00D21086" w:rsidRPr="00F754EF">
              <w:rPr>
                <w:rFonts w:ascii="Aptos Display" w:hAnsi="Aptos Display" w:cs="Aptos Display"/>
                <w:sz w:val="18"/>
                <w:szCs w:val="18"/>
              </w:rPr>
              <w:t>é</w:t>
            </w:r>
            <w:r w:rsidR="00D21086" w:rsidRPr="00F754EF">
              <w:rPr>
                <w:rFonts w:ascii="Aptos Display" w:hAnsi="Aptos Display"/>
                <w:sz w:val="18"/>
                <w:szCs w:val="18"/>
              </w:rPr>
              <w:t xml:space="preserve"> medida la Oficina de Pa</w:t>
            </w:r>
            <w:r w:rsidR="00D21086" w:rsidRPr="00F754EF">
              <w:rPr>
                <w:rFonts w:ascii="Aptos Display" w:hAnsi="Aptos Display" w:cs="Aptos Display"/>
                <w:sz w:val="18"/>
                <w:szCs w:val="18"/>
              </w:rPr>
              <w:t>í</w:t>
            </w:r>
            <w:r w:rsidR="00D21086" w:rsidRPr="00F754EF">
              <w:rPr>
                <w:rFonts w:ascii="Aptos Display" w:hAnsi="Aptos Display"/>
                <w:sz w:val="18"/>
                <w:szCs w:val="18"/>
              </w:rPr>
              <w:t>s (CO) ha aprovechado sus mandatos operativos, de coordinaci</w:t>
            </w:r>
            <w:r w:rsidR="00D21086" w:rsidRPr="00F754EF">
              <w:rPr>
                <w:rFonts w:ascii="Aptos Display" w:hAnsi="Aptos Display" w:cs="Aptos Display"/>
                <w:sz w:val="18"/>
                <w:szCs w:val="18"/>
              </w:rPr>
              <w:t>ó</w:t>
            </w:r>
            <w:r w:rsidR="00D21086" w:rsidRPr="00F754EF">
              <w:rPr>
                <w:rFonts w:ascii="Aptos Display" w:hAnsi="Aptos Display"/>
                <w:sz w:val="18"/>
                <w:szCs w:val="18"/>
              </w:rPr>
              <w:t>n y normativos para fomentar alianzas coherentes con los gobiernos nacionales, las organizaciones de la sociedad civil (OSC) y los organismos nacionales a fin de avanzar en la Igualdad de G</w:t>
            </w:r>
            <w:r w:rsidR="00D21086" w:rsidRPr="00F754EF">
              <w:rPr>
                <w:rFonts w:ascii="Aptos Display" w:hAnsi="Aptos Display" w:cs="Aptos Display"/>
                <w:sz w:val="18"/>
                <w:szCs w:val="18"/>
              </w:rPr>
              <w:t>é</w:t>
            </w:r>
            <w:r w:rsidR="00D21086" w:rsidRPr="00F754EF">
              <w:rPr>
                <w:rFonts w:ascii="Aptos Display" w:hAnsi="Aptos Display"/>
                <w:sz w:val="18"/>
                <w:szCs w:val="18"/>
              </w:rPr>
              <w:t>nero y el Empoderamiento de las Mujeres (GEWE)?</w:t>
            </w:r>
          </w:p>
        </w:tc>
      </w:tr>
      <w:tr w:rsidR="00747DE4" w:rsidRPr="00F754EF" w14:paraId="6587E170" w14:textId="77777777">
        <w:trPr>
          <w:trHeight w:val="300"/>
        </w:trPr>
        <w:tc>
          <w:tcPr>
            <w:cnfStyle w:val="001000000000" w:firstRow="0" w:lastRow="0" w:firstColumn="1" w:lastColumn="0" w:oddVBand="0" w:evenVBand="0" w:oddHBand="0" w:evenHBand="0" w:firstRowFirstColumn="0" w:firstRowLastColumn="0" w:lastRowFirstColumn="0" w:lastRowLastColumn="0"/>
            <w:tcW w:w="713" w:type="pct"/>
            <w:vAlign w:val="center"/>
            <w:hideMark/>
          </w:tcPr>
          <w:p w14:paraId="58140BCE" w14:textId="5B653DBE" w:rsidR="00747DE4" w:rsidRPr="00F754EF" w:rsidRDefault="00747DE4" w:rsidP="00C33148">
            <w:pPr>
              <w:spacing w:after="0" w:line="240" w:lineRule="auto"/>
              <w:textAlignment w:val="baseline"/>
              <w:rPr>
                <w:rFonts w:ascii="Aptos Display" w:hAnsi="Aptos Display" w:cs="Arial"/>
                <w:bCs/>
                <w:sz w:val="18"/>
                <w:szCs w:val="18"/>
              </w:rPr>
            </w:pPr>
            <w:r w:rsidRPr="00F754EF">
              <w:rPr>
                <w:rFonts w:ascii="Aptos Display" w:hAnsi="Aptos Display" w:cs="Arial"/>
                <w:bCs/>
                <w:sz w:val="18"/>
                <w:szCs w:val="18"/>
              </w:rPr>
              <w:t>Ef</w:t>
            </w:r>
            <w:r w:rsidR="001D281B" w:rsidRPr="00F754EF">
              <w:rPr>
                <w:rFonts w:ascii="Aptos Display" w:hAnsi="Aptos Display" w:cs="Arial"/>
                <w:bCs/>
                <w:sz w:val="18"/>
                <w:szCs w:val="18"/>
              </w:rPr>
              <w:t>ectividad</w:t>
            </w:r>
            <w:r w:rsidRPr="00F754EF">
              <w:rPr>
                <w:rFonts w:ascii="Aptos Display" w:hAnsi="Aptos Display" w:cs="Arial"/>
                <w:bCs/>
                <w:sz w:val="18"/>
                <w:szCs w:val="18"/>
              </w:rPr>
              <w:t> </w:t>
            </w:r>
          </w:p>
        </w:tc>
        <w:tc>
          <w:tcPr>
            <w:tcW w:w="4287" w:type="pct"/>
            <w:hideMark/>
          </w:tcPr>
          <w:p w14:paraId="7BEDCBA1" w14:textId="782F4D24" w:rsidR="00C21171" w:rsidRPr="00F754EF" w:rsidRDefault="00E65C9C" w:rsidP="00C33148">
            <w:pPr>
              <w:suppressAutoHyphens w:val="0"/>
              <w:autoSpaceDE/>
              <w:autoSpaceDN/>
              <w:adjustRightInd/>
              <w:spacing w:after="0" w:line="240" w:lineRule="auto"/>
              <w:ind w:left="360" w:hanging="360"/>
              <w:jc w:val="left"/>
              <w:cnfStyle w:val="000000000000" w:firstRow="0" w:lastRow="0" w:firstColumn="0" w:lastColumn="0" w:oddVBand="0" w:evenVBand="0" w:oddHBand="0" w:evenHBand="0" w:firstRowFirstColumn="0" w:firstRowLastColumn="0" w:lastRowFirstColumn="0" w:lastRowLastColumn="0"/>
              <w:rPr>
                <w:rFonts w:ascii="Aptos Display" w:hAnsi="Aptos Display"/>
                <w:sz w:val="18"/>
                <w:szCs w:val="18"/>
              </w:rPr>
            </w:pPr>
            <w:r w:rsidRPr="00F754EF">
              <w:rPr>
                <w:rFonts w:ascii="Aptos Display" w:hAnsi="Aptos Display"/>
                <w:sz w:val="18"/>
                <w:szCs w:val="18"/>
              </w:rPr>
              <w:t>3.1</w:t>
            </w:r>
            <w:r w:rsidRPr="00F754EF">
              <w:rPr>
                <w:rFonts w:ascii="Arial" w:hAnsi="Arial" w:cs="Arial"/>
                <w:sz w:val="18"/>
                <w:szCs w:val="18"/>
              </w:rPr>
              <w:t> ¿</w:t>
            </w:r>
            <w:r w:rsidR="00C21171" w:rsidRPr="00F754EF">
              <w:rPr>
                <w:rFonts w:ascii="Aptos Display" w:hAnsi="Aptos Display"/>
                <w:sz w:val="18"/>
                <w:szCs w:val="18"/>
              </w:rPr>
              <w:t>Qu</w:t>
            </w:r>
            <w:r w:rsidR="00C21171" w:rsidRPr="00F754EF">
              <w:rPr>
                <w:rFonts w:ascii="Aptos Display" w:hAnsi="Aptos Display" w:cs="Aptos Display"/>
                <w:sz w:val="18"/>
                <w:szCs w:val="18"/>
              </w:rPr>
              <w:t>é</w:t>
            </w:r>
            <w:r w:rsidR="00C21171" w:rsidRPr="00F754EF">
              <w:rPr>
                <w:rFonts w:ascii="Aptos Display" w:hAnsi="Aptos Display"/>
                <w:sz w:val="18"/>
                <w:szCs w:val="18"/>
              </w:rPr>
              <w:t xml:space="preserve"> avances se han logrado hacia el cumplimiento de los resultados y efectos previstos en la Nota Estrat</w:t>
            </w:r>
            <w:r w:rsidR="00C21171" w:rsidRPr="00F754EF">
              <w:rPr>
                <w:rFonts w:ascii="Aptos Display" w:hAnsi="Aptos Display" w:cs="Aptos Display"/>
                <w:sz w:val="18"/>
                <w:szCs w:val="18"/>
              </w:rPr>
              <w:t>é</w:t>
            </w:r>
            <w:r w:rsidR="00C21171" w:rsidRPr="00F754EF">
              <w:rPr>
                <w:rFonts w:ascii="Aptos Display" w:hAnsi="Aptos Display"/>
                <w:sz w:val="18"/>
                <w:szCs w:val="18"/>
              </w:rPr>
              <w:t xml:space="preserve">gica en sus principales </w:t>
            </w:r>
            <w:r w:rsidR="00C21171" w:rsidRPr="00F754EF">
              <w:rPr>
                <w:rFonts w:ascii="Aptos Display" w:hAnsi="Aptos Display" w:cs="Aptos Display"/>
                <w:sz w:val="18"/>
                <w:szCs w:val="18"/>
              </w:rPr>
              <w:t>á</w:t>
            </w:r>
            <w:r w:rsidR="00C21171" w:rsidRPr="00F754EF">
              <w:rPr>
                <w:rFonts w:ascii="Aptos Display" w:hAnsi="Aptos Display"/>
                <w:sz w:val="18"/>
                <w:szCs w:val="18"/>
              </w:rPr>
              <w:t>reas tem</w:t>
            </w:r>
            <w:r w:rsidR="00C21171" w:rsidRPr="00F754EF">
              <w:rPr>
                <w:rFonts w:ascii="Aptos Display" w:hAnsi="Aptos Display" w:cs="Aptos Display"/>
                <w:sz w:val="18"/>
                <w:szCs w:val="18"/>
              </w:rPr>
              <w:t>á</w:t>
            </w:r>
            <w:r w:rsidR="00C21171" w:rsidRPr="00F754EF">
              <w:rPr>
                <w:rFonts w:ascii="Aptos Display" w:hAnsi="Aptos Display"/>
                <w:sz w:val="18"/>
                <w:szCs w:val="18"/>
              </w:rPr>
              <w:t>ticas?</w:t>
            </w:r>
          </w:p>
          <w:p w14:paraId="6CA9D978" w14:textId="1D7D084D" w:rsidR="00C21171" w:rsidRPr="00F754EF" w:rsidRDefault="00E65C9C" w:rsidP="00C33148">
            <w:pPr>
              <w:suppressAutoHyphens w:val="0"/>
              <w:autoSpaceDE/>
              <w:autoSpaceDN/>
              <w:adjustRightInd/>
              <w:spacing w:after="0" w:line="240" w:lineRule="auto"/>
              <w:ind w:left="360" w:hanging="360"/>
              <w:jc w:val="left"/>
              <w:cnfStyle w:val="000000000000" w:firstRow="0" w:lastRow="0" w:firstColumn="0" w:lastColumn="0" w:oddVBand="0" w:evenVBand="0" w:oddHBand="0" w:evenHBand="0" w:firstRowFirstColumn="0" w:firstRowLastColumn="0" w:lastRowFirstColumn="0" w:lastRowLastColumn="0"/>
              <w:rPr>
                <w:rFonts w:ascii="Aptos Display" w:hAnsi="Aptos Display"/>
                <w:sz w:val="18"/>
                <w:szCs w:val="18"/>
              </w:rPr>
            </w:pPr>
            <w:r w:rsidRPr="00F754EF">
              <w:rPr>
                <w:rFonts w:ascii="Aptos Display" w:hAnsi="Aptos Display"/>
                <w:sz w:val="18"/>
                <w:szCs w:val="18"/>
              </w:rPr>
              <w:t>3.2</w:t>
            </w:r>
            <w:r w:rsidRPr="00F754EF">
              <w:rPr>
                <w:rFonts w:ascii="Arial" w:hAnsi="Arial" w:cs="Arial"/>
                <w:sz w:val="18"/>
                <w:szCs w:val="18"/>
              </w:rPr>
              <w:t> ¿</w:t>
            </w:r>
            <w:r w:rsidR="00C21171" w:rsidRPr="00F754EF">
              <w:rPr>
                <w:rFonts w:ascii="Aptos Display" w:hAnsi="Aptos Display"/>
                <w:sz w:val="18"/>
                <w:szCs w:val="18"/>
              </w:rPr>
              <w:t>Cu</w:t>
            </w:r>
            <w:r w:rsidR="00C21171" w:rsidRPr="00F754EF">
              <w:rPr>
                <w:rFonts w:ascii="Aptos Display" w:hAnsi="Aptos Display" w:cs="Aptos Display"/>
                <w:sz w:val="18"/>
                <w:szCs w:val="18"/>
              </w:rPr>
              <w:t>á</w:t>
            </w:r>
            <w:r w:rsidR="00C21171" w:rsidRPr="00F754EF">
              <w:rPr>
                <w:rFonts w:ascii="Aptos Display" w:hAnsi="Aptos Display"/>
                <w:sz w:val="18"/>
                <w:szCs w:val="18"/>
              </w:rPr>
              <w:t>les han sido los principales factores internos y externos (por ejemplo, capacidades, alianzas, contexto nacional) que han facilitado o dificultado el logro de estos resultados?</w:t>
            </w:r>
          </w:p>
          <w:p w14:paraId="7C510788" w14:textId="77777777" w:rsidR="00C21171" w:rsidRPr="00F754EF" w:rsidRDefault="00C21171" w:rsidP="00C33148">
            <w:pPr>
              <w:suppressAutoHyphens w:val="0"/>
              <w:autoSpaceDE/>
              <w:autoSpaceDN/>
              <w:adjustRightInd/>
              <w:spacing w:after="0" w:line="240" w:lineRule="auto"/>
              <w:ind w:left="360" w:hanging="360"/>
              <w:jc w:val="left"/>
              <w:cnfStyle w:val="000000000000" w:firstRow="0" w:lastRow="0" w:firstColumn="0" w:lastColumn="0" w:oddVBand="0" w:evenVBand="0" w:oddHBand="0" w:evenHBand="0" w:firstRowFirstColumn="0" w:firstRowLastColumn="0" w:lastRowFirstColumn="0" w:lastRowLastColumn="0"/>
              <w:rPr>
                <w:rFonts w:ascii="Aptos Display" w:hAnsi="Aptos Display"/>
                <w:sz w:val="18"/>
                <w:szCs w:val="18"/>
              </w:rPr>
            </w:pPr>
            <w:r w:rsidRPr="00F754EF">
              <w:rPr>
                <w:rFonts w:ascii="Aptos Display" w:hAnsi="Aptos Display"/>
                <w:b/>
                <w:bCs/>
                <w:sz w:val="18"/>
                <w:szCs w:val="18"/>
              </w:rPr>
              <w:t>Derechos humanos, inclusión de la discapacidad e igualdad de género:</w:t>
            </w:r>
            <w:r w:rsidRPr="00F754EF">
              <w:rPr>
                <w:rFonts w:ascii="Aptos Display" w:hAnsi="Aptos Display"/>
                <w:sz w:val="18"/>
                <w:szCs w:val="18"/>
              </w:rPr>
              <w:t xml:space="preserve"> </w:t>
            </w:r>
          </w:p>
          <w:p w14:paraId="4B08C5B5" w14:textId="6CC0096A" w:rsidR="00C21171" w:rsidRPr="00F754EF" w:rsidRDefault="00E65C9C" w:rsidP="00C33148">
            <w:pPr>
              <w:suppressAutoHyphens w:val="0"/>
              <w:autoSpaceDE/>
              <w:autoSpaceDN/>
              <w:adjustRightInd/>
              <w:spacing w:after="0" w:line="240" w:lineRule="auto"/>
              <w:ind w:left="360" w:hanging="360"/>
              <w:jc w:val="left"/>
              <w:cnfStyle w:val="000000000000" w:firstRow="0" w:lastRow="0" w:firstColumn="0" w:lastColumn="0" w:oddVBand="0" w:evenVBand="0" w:oddHBand="0" w:evenHBand="0" w:firstRowFirstColumn="0" w:firstRowLastColumn="0" w:lastRowFirstColumn="0" w:lastRowLastColumn="0"/>
              <w:rPr>
                <w:rFonts w:ascii="Aptos Display" w:hAnsi="Aptos Display"/>
                <w:sz w:val="18"/>
                <w:szCs w:val="18"/>
              </w:rPr>
            </w:pPr>
            <w:r w:rsidRPr="00F754EF">
              <w:rPr>
                <w:rFonts w:ascii="Aptos Display" w:hAnsi="Aptos Display"/>
                <w:sz w:val="18"/>
                <w:szCs w:val="18"/>
              </w:rPr>
              <w:t>3.3</w:t>
            </w:r>
            <w:r w:rsidRPr="00F754EF">
              <w:rPr>
                <w:rFonts w:ascii="Arial" w:hAnsi="Arial" w:cs="Arial"/>
                <w:sz w:val="18"/>
                <w:szCs w:val="18"/>
              </w:rPr>
              <w:t> ¿</w:t>
            </w:r>
            <w:r w:rsidR="00C21171" w:rsidRPr="00F754EF">
              <w:rPr>
                <w:rFonts w:ascii="Aptos Display" w:hAnsi="Aptos Display"/>
                <w:sz w:val="18"/>
                <w:szCs w:val="18"/>
              </w:rPr>
              <w:t>En qu</w:t>
            </w:r>
            <w:r w:rsidR="00C21171" w:rsidRPr="00F754EF">
              <w:rPr>
                <w:rFonts w:ascii="Aptos Display" w:hAnsi="Aptos Display" w:cs="Aptos Display"/>
                <w:sz w:val="18"/>
                <w:szCs w:val="18"/>
              </w:rPr>
              <w:t>é</w:t>
            </w:r>
            <w:r w:rsidR="00C21171" w:rsidRPr="00F754EF">
              <w:rPr>
                <w:rFonts w:ascii="Aptos Display" w:hAnsi="Aptos Display"/>
                <w:sz w:val="18"/>
                <w:szCs w:val="18"/>
              </w:rPr>
              <w:t xml:space="preserve"> medida la implementaci</w:t>
            </w:r>
            <w:r w:rsidR="00C21171" w:rsidRPr="00F754EF">
              <w:rPr>
                <w:rFonts w:ascii="Aptos Display" w:hAnsi="Aptos Display" w:cs="Aptos Display"/>
                <w:sz w:val="18"/>
                <w:szCs w:val="18"/>
              </w:rPr>
              <w:t>ó</w:t>
            </w:r>
            <w:r w:rsidR="00C21171" w:rsidRPr="00F754EF">
              <w:rPr>
                <w:rFonts w:ascii="Aptos Display" w:hAnsi="Aptos Display"/>
                <w:sz w:val="18"/>
                <w:szCs w:val="18"/>
              </w:rPr>
              <w:t>n de la Nota Estrat</w:t>
            </w:r>
            <w:r w:rsidR="00C21171" w:rsidRPr="00F754EF">
              <w:rPr>
                <w:rFonts w:ascii="Aptos Display" w:hAnsi="Aptos Display" w:cs="Aptos Display"/>
                <w:sz w:val="18"/>
                <w:szCs w:val="18"/>
              </w:rPr>
              <w:t>é</w:t>
            </w:r>
            <w:r w:rsidR="00C21171" w:rsidRPr="00F754EF">
              <w:rPr>
                <w:rFonts w:ascii="Aptos Display" w:hAnsi="Aptos Display"/>
                <w:sz w:val="18"/>
                <w:szCs w:val="18"/>
              </w:rPr>
              <w:t xml:space="preserve">gica ha contribuido a promover los derechos de los grupos marginados y a cumplir con el principio de </w:t>
            </w:r>
            <w:r w:rsidR="00C21171" w:rsidRPr="00F754EF">
              <w:rPr>
                <w:rFonts w:ascii="Aptos Display" w:hAnsi="Aptos Display"/>
                <w:i/>
                <w:iCs/>
                <w:sz w:val="18"/>
                <w:szCs w:val="18"/>
              </w:rPr>
              <w:t>No dejar a nadie atrás (LNOB)</w:t>
            </w:r>
            <w:r w:rsidR="00C21171" w:rsidRPr="00F754EF">
              <w:rPr>
                <w:rFonts w:ascii="Aptos Display" w:hAnsi="Aptos Display"/>
                <w:sz w:val="18"/>
                <w:szCs w:val="18"/>
              </w:rPr>
              <w:t>, incluyendo a las personas con discapacidad, jóvenes y otras poblaciones vulnerables?</w:t>
            </w:r>
          </w:p>
          <w:p w14:paraId="52280D02" w14:textId="51A6495A" w:rsidR="00747DE4" w:rsidRPr="00F754EF" w:rsidRDefault="00E65C9C" w:rsidP="00C33148">
            <w:pPr>
              <w:suppressAutoHyphens w:val="0"/>
              <w:autoSpaceDE/>
              <w:autoSpaceDN/>
              <w:adjustRightInd/>
              <w:spacing w:after="0" w:line="240" w:lineRule="auto"/>
              <w:ind w:left="360" w:hanging="360"/>
              <w:jc w:val="left"/>
              <w:cnfStyle w:val="000000000000" w:firstRow="0" w:lastRow="0" w:firstColumn="0" w:lastColumn="0" w:oddVBand="0" w:evenVBand="0" w:oddHBand="0" w:evenHBand="0" w:firstRowFirstColumn="0" w:firstRowLastColumn="0" w:lastRowFirstColumn="0" w:lastRowLastColumn="0"/>
              <w:rPr>
                <w:rFonts w:ascii="Aptos Display" w:hAnsi="Aptos Display"/>
                <w:sz w:val="18"/>
                <w:szCs w:val="18"/>
              </w:rPr>
            </w:pPr>
            <w:r w:rsidRPr="00F754EF">
              <w:rPr>
                <w:rFonts w:ascii="Aptos Display" w:hAnsi="Aptos Display"/>
                <w:sz w:val="18"/>
                <w:szCs w:val="18"/>
              </w:rPr>
              <w:t>3.4</w:t>
            </w:r>
            <w:r w:rsidRPr="00F754EF">
              <w:rPr>
                <w:rFonts w:ascii="Arial" w:hAnsi="Arial" w:cs="Arial"/>
                <w:sz w:val="18"/>
                <w:szCs w:val="18"/>
              </w:rPr>
              <w:t> ¿</w:t>
            </w:r>
            <w:r w:rsidR="00336668" w:rsidRPr="00F754EF">
              <w:rPr>
                <w:rFonts w:ascii="Aptos Display" w:hAnsi="Aptos Display"/>
                <w:sz w:val="18"/>
                <w:szCs w:val="18"/>
              </w:rPr>
              <w:t>En qu</w:t>
            </w:r>
            <w:r w:rsidR="00336668" w:rsidRPr="00F754EF">
              <w:rPr>
                <w:rFonts w:ascii="Aptos Display" w:hAnsi="Aptos Display" w:cs="Aptos Display"/>
                <w:sz w:val="18"/>
                <w:szCs w:val="18"/>
              </w:rPr>
              <w:t>é</w:t>
            </w:r>
            <w:r w:rsidR="00336668" w:rsidRPr="00F754EF">
              <w:rPr>
                <w:rFonts w:ascii="Aptos Display" w:hAnsi="Aptos Display"/>
                <w:sz w:val="18"/>
                <w:szCs w:val="18"/>
              </w:rPr>
              <w:t xml:space="preserve"> medida el portafolio aplic</w:t>
            </w:r>
            <w:r w:rsidR="00336668" w:rsidRPr="00F754EF">
              <w:rPr>
                <w:rFonts w:ascii="Aptos Display" w:hAnsi="Aptos Display" w:cs="Aptos Display"/>
                <w:sz w:val="18"/>
                <w:szCs w:val="18"/>
              </w:rPr>
              <w:t>ó</w:t>
            </w:r>
            <w:r w:rsidR="00336668" w:rsidRPr="00F754EF">
              <w:rPr>
                <w:rFonts w:ascii="Aptos Display" w:hAnsi="Aptos Display"/>
                <w:sz w:val="18"/>
                <w:szCs w:val="18"/>
              </w:rPr>
              <w:t xml:space="preserve"> un an</w:t>
            </w:r>
            <w:r w:rsidR="00336668" w:rsidRPr="00F754EF">
              <w:rPr>
                <w:rFonts w:ascii="Aptos Display" w:hAnsi="Aptos Display" w:cs="Aptos Display"/>
                <w:sz w:val="18"/>
                <w:szCs w:val="18"/>
              </w:rPr>
              <w:t>á</w:t>
            </w:r>
            <w:r w:rsidR="00336668" w:rsidRPr="00F754EF">
              <w:rPr>
                <w:rFonts w:ascii="Aptos Display" w:hAnsi="Aptos Display"/>
                <w:sz w:val="18"/>
                <w:szCs w:val="18"/>
              </w:rPr>
              <w:t>lisis interseccional, prioriz</w:t>
            </w:r>
            <w:r w:rsidR="00336668" w:rsidRPr="00F754EF">
              <w:rPr>
                <w:rFonts w:ascii="Aptos Display" w:hAnsi="Aptos Display" w:cs="Aptos Display"/>
                <w:sz w:val="18"/>
                <w:szCs w:val="18"/>
              </w:rPr>
              <w:t>ó</w:t>
            </w:r>
            <w:r w:rsidR="00336668" w:rsidRPr="00F754EF">
              <w:rPr>
                <w:rFonts w:ascii="Aptos Display" w:hAnsi="Aptos Display"/>
                <w:sz w:val="18"/>
                <w:szCs w:val="18"/>
              </w:rPr>
              <w:t xml:space="preserve"> a las mujeres m</w:t>
            </w:r>
            <w:r w:rsidR="00336668" w:rsidRPr="00F754EF">
              <w:rPr>
                <w:rFonts w:ascii="Aptos Display" w:hAnsi="Aptos Display" w:cs="Aptos Display"/>
                <w:sz w:val="18"/>
                <w:szCs w:val="18"/>
              </w:rPr>
              <w:t>á</w:t>
            </w:r>
            <w:r w:rsidR="00336668" w:rsidRPr="00F754EF">
              <w:rPr>
                <w:rFonts w:ascii="Aptos Display" w:hAnsi="Aptos Display"/>
                <w:sz w:val="18"/>
                <w:szCs w:val="18"/>
              </w:rPr>
              <w:t>s marginadas y contribuy</w:t>
            </w:r>
            <w:r w:rsidR="00336668" w:rsidRPr="00F754EF">
              <w:rPr>
                <w:rFonts w:ascii="Aptos Display" w:hAnsi="Aptos Display" w:cs="Aptos Display"/>
                <w:sz w:val="18"/>
                <w:szCs w:val="18"/>
              </w:rPr>
              <w:t>ó</w:t>
            </w:r>
            <w:r w:rsidR="00336668" w:rsidRPr="00F754EF">
              <w:rPr>
                <w:rFonts w:ascii="Aptos Display" w:hAnsi="Aptos Display"/>
                <w:sz w:val="18"/>
                <w:szCs w:val="18"/>
              </w:rPr>
              <w:t xml:space="preserve"> a un cambio transformador en las normas, leyes y relaciones de poder?</w:t>
            </w:r>
          </w:p>
        </w:tc>
      </w:tr>
      <w:tr w:rsidR="00747DE4" w:rsidRPr="00F754EF" w14:paraId="278A334E" w14:textId="77777777">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3" w:type="pct"/>
            <w:vAlign w:val="center"/>
            <w:hideMark/>
          </w:tcPr>
          <w:p w14:paraId="28E06C1E" w14:textId="1AABEE20" w:rsidR="00747DE4" w:rsidRPr="00F754EF" w:rsidRDefault="00747DE4" w:rsidP="00C33148">
            <w:pPr>
              <w:spacing w:after="0" w:line="240" w:lineRule="auto"/>
              <w:textAlignment w:val="baseline"/>
              <w:rPr>
                <w:rFonts w:ascii="Aptos Display" w:hAnsi="Aptos Display" w:cs="Arial"/>
                <w:bCs/>
                <w:sz w:val="18"/>
                <w:szCs w:val="18"/>
              </w:rPr>
            </w:pPr>
            <w:r w:rsidRPr="00F754EF">
              <w:rPr>
                <w:rFonts w:ascii="Aptos Display" w:hAnsi="Aptos Display" w:cs="Arial"/>
                <w:bCs/>
                <w:sz w:val="18"/>
                <w:szCs w:val="18"/>
              </w:rPr>
              <w:t>Ef</w:t>
            </w:r>
            <w:r w:rsidR="001D281B" w:rsidRPr="00F754EF">
              <w:rPr>
                <w:rFonts w:ascii="Aptos Display" w:hAnsi="Aptos Display" w:cs="Arial"/>
                <w:bCs/>
                <w:sz w:val="18"/>
                <w:szCs w:val="18"/>
              </w:rPr>
              <w:t>iciencia</w:t>
            </w:r>
          </w:p>
        </w:tc>
        <w:tc>
          <w:tcPr>
            <w:tcW w:w="4287" w:type="pct"/>
            <w:hideMark/>
          </w:tcPr>
          <w:p w14:paraId="2D4B8867" w14:textId="21036203" w:rsidR="00AF3648" w:rsidRPr="00F754EF" w:rsidRDefault="00E65C9C" w:rsidP="00C33148">
            <w:pPr>
              <w:suppressAutoHyphens w:val="0"/>
              <w:autoSpaceDE/>
              <w:autoSpaceDN/>
              <w:adjustRightInd/>
              <w:spacing w:after="0" w:line="240" w:lineRule="auto"/>
              <w:ind w:left="360" w:hanging="360"/>
              <w:contextualSpacing/>
              <w:jc w:val="left"/>
              <w:cnfStyle w:val="000000010000" w:firstRow="0" w:lastRow="0" w:firstColumn="0" w:lastColumn="0" w:oddVBand="0" w:evenVBand="0" w:oddHBand="0" w:evenHBand="1" w:firstRowFirstColumn="0" w:firstRowLastColumn="0" w:lastRowFirstColumn="0" w:lastRowLastColumn="0"/>
              <w:rPr>
                <w:rFonts w:ascii="Aptos Display" w:hAnsi="Aptos Display"/>
                <w:sz w:val="18"/>
                <w:szCs w:val="18"/>
              </w:rPr>
            </w:pPr>
            <w:r w:rsidRPr="00F754EF">
              <w:rPr>
                <w:rFonts w:ascii="Aptos Display" w:hAnsi="Aptos Display"/>
                <w:sz w:val="18"/>
                <w:szCs w:val="18"/>
              </w:rPr>
              <w:t>4.1</w:t>
            </w:r>
            <w:r w:rsidRPr="00F754EF">
              <w:rPr>
                <w:rFonts w:ascii="Arial" w:hAnsi="Arial" w:cs="Arial"/>
                <w:sz w:val="18"/>
                <w:szCs w:val="18"/>
              </w:rPr>
              <w:t> ¿</w:t>
            </w:r>
            <w:r w:rsidR="00AF3648" w:rsidRPr="00F754EF">
              <w:rPr>
                <w:rFonts w:ascii="Aptos Display" w:hAnsi="Aptos Display"/>
                <w:sz w:val="18"/>
                <w:szCs w:val="18"/>
              </w:rPr>
              <w:t>Con qu</w:t>
            </w:r>
            <w:r w:rsidR="00AF3648" w:rsidRPr="00F754EF">
              <w:rPr>
                <w:rFonts w:ascii="Aptos Display" w:hAnsi="Aptos Display" w:cs="Aptos Display"/>
                <w:sz w:val="18"/>
                <w:szCs w:val="18"/>
              </w:rPr>
              <w:t>é</w:t>
            </w:r>
            <w:r w:rsidR="00AF3648" w:rsidRPr="00F754EF">
              <w:rPr>
                <w:rFonts w:ascii="Aptos Display" w:hAnsi="Aptos Display"/>
                <w:sz w:val="18"/>
                <w:szCs w:val="18"/>
              </w:rPr>
              <w:t xml:space="preserve"> eficiencia se han asignado y gestionado los recursos financieros y humanos de la Oficina de Pa</w:t>
            </w:r>
            <w:r w:rsidR="00AF3648" w:rsidRPr="00F754EF">
              <w:rPr>
                <w:rFonts w:ascii="Aptos Display" w:hAnsi="Aptos Display" w:cs="Aptos Display"/>
                <w:sz w:val="18"/>
                <w:szCs w:val="18"/>
              </w:rPr>
              <w:t>í</w:t>
            </w:r>
            <w:r w:rsidR="00AF3648" w:rsidRPr="00F754EF">
              <w:rPr>
                <w:rFonts w:ascii="Aptos Display" w:hAnsi="Aptos Display"/>
                <w:sz w:val="18"/>
                <w:szCs w:val="18"/>
              </w:rPr>
              <w:t>s (CO) para alcanzar los resultados establecidos en la Nota Estrat</w:t>
            </w:r>
            <w:r w:rsidR="00AF3648" w:rsidRPr="00F754EF">
              <w:rPr>
                <w:rFonts w:ascii="Aptos Display" w:hAnsi="Aptos Display" w:cs="Aptos Display"/>
                <w:sz w:val="18"/>
                <w:szCs w:val="18"/>
              </w:rPr>
              <w:t>é</w:t>
            </w:r>
            <w:r w:rsidR="00AF3648" w:rsidRPr="00F754EF">
              <w:rPr>
                <w:rFonts w:ascii="Aptos Display" w:hAnsi="Aptos Display"/>
                <w:sz w:val="18"/>
                <w:szCs w:val="18"/>
              </w:rPr>
              <w:t>gica?</w:t>
            </w:r>
          </w:p>
          <w:p w14:paraId="5B74B680" w14:textId="7B372C5B" w:rsidR="00747DE4" w:rsidRPr="00F754EF" w:rsidRDefault="00E65C9C" w:rsidP="00C33148">
            <w:pPr>
              <w:suppressAutoHyphens w:val="0"/>
              <w:autoSpaceDE/>
              <w:autoSpaceDN/>
              <w:adjustRightInd/>
              <w:spacing w:after="0" w:line="240" w:lineRule="auto"/>
              <w:ind w:left="360" w:hanging="360"/>
              <w:contextualSpacing/>
              <w:jc w:val="left"/>
              <w:cnfStyle w:val="000000010000" w:firstRow="0" w:lastRow="0" w:firstColumn="0" w:lastColumn="0" w:oddVBand="0" w:evenVBand="0" w:oddHBand="0" w:evenHBand="1" w:firstRowFirstColumn="0" w:firstRowLastColumn="0" w:lastRowFirstColumn="0" w:lastRowLastColumn="0"/>
              <w:rPr>
                <w:rFonts w:ascii="Aptos Display" w:hAnsi="Aptos Display"/>
                <w:sz w:val="18"/>
                <w:szCs w:val="18"/>
              </w:rPr>
            </w:pPr>
            <w:r w:rsidRPr="00F754EF">
              <w:rPr>
                <w:rFonts w:ascii="Aptos Display" w:hAnsi="Aptos Display"/>
                <w:sz w:val="18"/>
                <w:szCs w:val="18"/>
              </w:rPr>
              <w:t>4.2</w:t>
            </w:r>
            <w:r w:rsidRPr="00F754EF">
              <w:rPr>
                <w:rFonts w:ascii="Arial" w:hAnsi="Arial" w:cs="Arial"/>
                <w:sz w:val="18"/>
                <w:szCs w:val="18"/>
              </w:rPr>
              <w:t> ¿</w:t>
            </w:r>
            <w:r w:rsidR="00AF3648" w:rsidRPr="00F754EF">
              <w:rPr>
                <w:rFonts w:ascii="Aptos Display" w:hAnsi="Aptos Display"/>
                <w:sz w:val="18"/>
                <w:szCs w:val="18"/>
              </w:rPr>
              <w:t>En qu</w:t>
            </w:r>
            <w:r w:rsidR="00AF3648" w:rsidRPr="00F754EF">
              <w:rPr>
                <w:rFonts w:ascii="Aptos Display" w:hAnsi="Aptos Display" w:cs="Aptos Display"/>
                <w:sz w:val="18"/>
                <w:szCs w:val="18"/>
              </w:rPr>
              <w:t>é</w:t>
            </w:r>
            <w:r w:rsidR="00AF3648" w:rsidRPr="00F754EF">
              <w:rPr>
                <w:rFonts w:ascii="Aptos Display" w:hAnsi="Aptos Display"/>
                <w:sz w:val="18"/>
                <w:szCs w:val="18"/>
              </w:rPr>
              <w:t xml:space="preserve"> medida las estrategias operativas, las estructuras de gesti</w:t>
            </w:r>
            <w:r w:rsidR="00AF3648" w:rsidRPr="00F754EF">
              <w:rPr>
                <w:rFonts w:ascii="Aptos Display" w:hAnsi="Aptos Display" w:cs="Aptos Display"/>
                <w:sz w:val="18"/>
                <w:szCs w:val="18"/>
              </w:rPr>
              <w:t>ó</w:t>
            </w:r>
            <w:r w:rsidR="00AF3648" w:rsidRPr="00F754EF">
              <w:rPr>
                <w:rFonts w:ascii="Aptos Display" w:hAnsi="Aptos Display"/>
                <w:sz w:val="18"/>
                <w:szCs w:val="18"/>
              </w:rPr>
              <w:t>n y los procesos administrativos de la Oficina de Pa</w:t>
            </w:r>
            <w:r w:rsidR="00AF3648" w:rsidRPr="00F754EF">
              <w:rPr>
                <w:rFonts w:ascii="Aptos Display" w:hAnsi="Aptos Display" w:cs="Aptos Display"/>
                <w:sz w:val="18"/>
                <w:szCs w:val="18"/>
              </w:rPr>
              <w:t>í</w:t>
            </w:r>
            <w:r w:rsidR="00AF3648" w:rsidRPr="00F754EF">
              <w:rPr>
                <w:rFonts w:ascii="Aptos Display" w:hAnsi="Aptos Display"/>
                <w:sz w:val="18"/>
                <w:szCs w:val="18"/>
              </w:rPr>
              <w:t>s (CO) han apoyado la implementaci</w:t>
            </w:r>
            <w:r w:rsidR="00AF3648" w:rsidRPr="00F754EF">
              <w:rPr>
                <w:rFonts w:ascii="Aptos Display" w:hAnsi="Aptos Display" w:cs="Aptos Display"/>
                <w:sz w:val="18"/>
                <w:szCs w:val="18"/>
              </w:rPr>
              <w:t>ó</w:t>
            </w:r>
            <w:r w:rsidR="00AF3648" w:rsidRPr="00F754EF">
              <w:rPr>
                <w:rFonts w:ascii="Aptos Display" w:hAnsi="Aptos Display"/>
                <w:sz w:val="18"/>
                <w:szCs w:val="18"/>
              </w:rPr>
              <w:t>n oportuna y rentable de su trabajo program</w:t>
            </w:r>
            <w:r w:rsidR="00AF3648" w:rsidRPr="00F754EF">
              <w:rPr>
                <w:rFonts w:ascii="Aptos Display" w:hAnsi="Aptos Display" w:cs="Aptos Display"/>
                <w:sz w:val="18"/>
                <w:szCs w:val="18"/>
              </w:rPr>
              <w:t>á</w:t>
            </w:r>
            <w:r w:rsidR="00AF3648" w:rsidRPr="00F754EF">
              <w:rPr>
                <w:rFonts w:ascii="Aptos Display" w:hAnsi="Aptos Display"/>
                <w:sz w:val="18"/>
                <w:szCs w:val="18"/>
              </w:rPr>
              <w:t>tico?</w:t>
            </w:r>
          </w:p>
        </w:tc>
      </w:tr>
      <w:tr w:rsidR="00747DE4" w:rsidRPr="00F754EF" w14:paraId="16A1E74E" w14:textId="77777777">
        <w:trPr>
          <w:trHeight w:val="300"/>
        </w:trPr>
        <w:tc>
          <w:tcPr>
            <w:cnfStyle w:val="001000000000" w:firstRow="0" w:lastRow="0" w:firstColumn="1" w:lastColumn="0" w:oddVBand="0" w:evenVBand="0" w:oddHBand="0" w:evenHBand="0" w:firstRowFirstColumn="0" w:firstRowLastColumn="0" w:lastRowFirstColumn="0" w:lastRowLastColumn="0"/>
            <w:tcW w:w="713" w:type="pct"/>
            <w:vAlign w:val="center"/>
            <w:hideMark/>
          </w:tcPr>
          <w:p w14:paraId="7BDEF2E7" w14:textId="746DB347" w:rsidR="00747DE4" w:rsidRPr="00F754EF" w:rsidRDefault="00747DE4" w:rsidP="00C33148">
            <w:pPr>
              <w:spacing w:after="0" w:line="240" w:lineRule="auto"/>
              <w:textAlignment w:val="baseline"/>
              <w:rPr>
                <w:rFonts w:ascii="Aptos Display" w:hAnsi="Aptos Display" w:cs="Arial"/>
                <w:bCs/>
                <w:sz w:val="18"/>
                <w:szCs w:val="18"/>
              </w:rPr>
            </w:pPr>
            <w:r w:rsidRPr="00F754EF">
              <w:rPr>
                <w:rFonts w:ascii="Aptos Display" w:hAnsi="Aptos Display" w:cs="Arial"/>
                <w:bCs/>
                <w:sz w:val="18"/>
                <w:szCs w:val="18"/>
              </w:rPr>
              <w:t>S</w:t>
            </w:r>
            <w:r w:rsidR="001D281B" w:rsidRPr="00F754EF">
              <w:rPr>
                <w:rFonts w:ascii="Aptos Display" w:hAnsi="Aptos Display" w:cs="Arial"/>
                <w:bCs/>
                <w:sz w:val="18"/>
                <w:szCs w:val="18"/>
              </w:rPr>
              <w:t>ostenibilidad</w:t>
            </w:r>
          </w:p>
        </w:tc>
        <w:tc>
          <w:tcPr>
            <w:tcW w:w="4287" w:type="pct"/>
            <w:hideMark/>
          </w:tcPr>
          <w:p w14:paraId="04A9F9E0" w14:textId="33EF6D63" w:rsidR="009F785C" w:rsidRPr="00F754EF" w:rsidRDefault="00E65C9C" w:rsidP="00C33148">
            <w:pPr>
              <w:suppressAutoHyphens w:val="0"/>
              <w:autoSpaceDE/>
              <w:autoSpaceDN/>
              <w:adjustRightInd/>
              <w:spacing w:after="0" w:line="240" w:lineRule="auto"/>
              <w:ind w:left="360" w:hanging="360"/>
              <w:contextualSpacing/>
              <w:jc w:val="left"/>
              <w:cnfStyle w:val="000000000000" w:firstRow="0" w:lastRow="0" w:firstColumn="0" w:lastColumn="0" w:oddVBand="0" w:evenVBand="0" w:oddHBand="0" w:evenHBand="0" w:firstRowFirstColumn="0" w:firstRowLastColumn="0" w:lastRowFirstColumn="0" w:lastRowLastColumn="0"/>
              <w:rPr>
                <w:rFonts w:ascii="Aptos Display" w:hAnsi="Aptos Display"/>
                <w:sz w:val="18"/>
                <w:szCs w:val="18"/>
              </w:rPr>
            </w:pPr>
            <w:r w:rsidRPr="00F754EF">
              <w:rPr>
                <w:rFonts w:ascii="Aptos Display" w:hAnsi="Aptos Display"/>
                <w:sz w:val="18"/>
                <w:szCs w:val="18"/>
              </w:rPr>
              <w:t>5.1</w:t>
            </w:r>
            <w:r w:rsidRPr="00F754EF">
              <w:rPr>
                <w:rFonts w:ascii="Arial" w:hAnsi="Arial" w:cs="Arial"/>
                <w:sz w:val="18"/>
                <w:szCs w:val="18"/>
              </w:rPr>
              <w:t> ¿</w:t>
            </w:r>
            <w:r w:rsidR="009F785C" w:rsidRPr="00F754EF">
              <w:rPr>
                <w:rFonts w:ascii="Aptos Display" w:hAnsi="Aptos Display"/>
                <w:sz w:val="18"/>
                <w:szCs w:val="18"/>
              </w:rPr>
              <w:t>Cu</w:t>
            </w:r>
            <w:r w:rsidR="009F785C" w:rsidRPr="00F754EF">
              <w:rPr>
                <w:rFonts w:ascii="Aptos Display" w:hAnsi="Aptos Display" w:cs="Aptos Display"/>
                <w:sz w:val="18"/>
                <w:szCs w:val="18"/>
              </w:rPr>
              <w:t>á</w:t>
            </w:r>
            <w:r w:rsidR="009F785C" w:rsidRPr="00F754EF">
              <w:rPr>
                <w:rFonts w:ascii="Aptos Display" w:hAnsi="Aptos Display"/>
                <w:sz w:val="18"/>
                <w:szCs w:val="18"/>
              </w:rPr>
              <w:t>l es la probabilidad de que los resultados y beneficios de las intervenciones de la Nota Estrat</w:t>
            </w:r>
            <w:r w:rsidR="009F785C" w:rsidRPr="00F754EF">
              <w:rPr>
                <w:rFonts w:ascii="Aptos Display" w:hAnsi="Aptos Display" w:cs="Aptos Display"/>
                <w:sz w:val="18"/>
                <w:szCs w:val="18"/>
              </w:rPr>
              <w:t>é</w:t>
            </w:r>
            <w:r w:rsidR="009F785C" w:rsidRPr="00F754EF">
              <w:rPr>
                <w:rFonts w:ascii="Aptos Display" w:hAnsi="Aptos Display"/>
                <w:sz w:val="18"/>
                <w:szCs w:val="18"/>
              </w:rPr>
              <w:t xml:space="preserve">gica se mantengan en el tiempo por parte de los socios nacionales? </w:t>
            </w:r>
            <w:r w:rsidR="009F785C" w:rsidRPr="00F754EF">
              <w:rPr>
                <w:rFonts w:ascii="Aptos Display" w:hAnsi="Aptos Display" w:cs="Aptos Display"/>
                <w:sz w:val="18"/>
                <w:szCs w:val="18"/>
              </w:rPr>
              <w:t>¿</w:t>
            </w:r>
            <w:r w:rsidR="009F785C" w:rsidRPr="00F754EF">
              <w:rPr>
                <w:rFonts w:ascii="Aptos Display" w:hAnsi="Aptos Display"/>
                <w:sz w:val="18"/>
                <w:szCs w:val="18"/>
              </w:rPr>
              <w:t>Qu</w:t>
            </w:r>
            <w:r w:rsidR="009F785C" w:rsidRPr="00F754EF">
              <w:rPr>
                <w:rFonts w:ascii="Aptos Display" w:hAnsi="Aptos Display" w:cs="Aptos Display"/>
                <w:sz w:val="18"/>
                <w:szCs w:val="18"/>
              </w:rPr>
              <w:t>é</w:t>
            </w:r>
            <w:r w:rsidR="009F785C" w:rsidRPr="00F754EF">
              <w:rPr>
                <w:rFonts w:ascii="Aptos Display" w:hAnsi="Aptos Display"/>
                <w:sz w:val="18"/>
                <w:szCs w:val="18"/>
              </w:rPr>
              <w:t xml:space="preserve"> mecanismos (por ejemplo, fortalecimiento de capacidades, integraci</w:t>
            </w:r>
            <w:r w:rsidR="009F785C" w:rsidRPr="00F754EF">
              <w:rPr>
                <w:rFonts w:ascii="Aptos Display" w:hAnsi="Aptos Display" w:cs="Aptos Display"/>
                <w:sz w:val="18"/>
                <w:szCs w:val="18"/>
              </w:rPr>
              <w:t>ó</w:t>
            </w:r>
            <w:r w:rsidR="009F785C" w:rsidRPr="00F754EF">
              <w:rPr>
                <w:rFonts w:ascii="Aptos Display" w:hAnsi="Aptos Display"/>
                <w:sz w:val="18"/>
                <w:szCs w:val="18"/>
              </w:rPr>
              <w:t>n de pol</w:t>
            </w:r>
            <w:r w:rsidR="009F785C" w:rsidRPr="00F754EF">
              <w:rPr>
                <w:rFonts w:ascii="Aptos Display" w:hAnsi="Aptos Display" w:cs="Aptos Display"/>
                <w:sz w:val="18"/>
                <w:szCs w:val="18"/>
              </w:rPr>
              <w:t>í</w:t>
            </w:r>
            <w:r w:rsidR="009F785C" w:rsidRPr="00F754EF">
              <w:rPr>
                <w:rFonts w:ascii="Aptos Display" w:hAnsi="Aptos Display"/>
                <w:sz w:val="18"/>
                <w:szCs w:val="18"/>
              </w:rPr>
              <w:t>ticas, apropiaci</w:t>
            </w:r>
            <w:r w:rsidR="009F785C" w:rsidRPr="00F754EF">
              <w:rPr>
                <w:rFonts w:ascii="Aptos Display" w:hAnsi="Aptos Display" w:cs="Aptos Display"/>
                <w:sz w:val="18"/>
                <w:szCs w:val="18"/>
              </w:rPr>
              <w:t>ó</w:t>
            </w:r>
            <w:r w:rsidR="009F785C" w:rsidRPr="00F754EF">
              <w:rPr>
                <w:rFonts w:ascii="Aptos Display" w:hAnsi="Aptos Display"/>
                <w:sz w:val="18"/>
                <w:szCs w:val="18"/>
              </w:rPr>
              <w:t>n nacional) se han establecido para apoyar esta sostenibilidad?</w:t>
            </w:r>
          </w:p>
          <w:p w14:paraId="07E3ACBE" w14:textId="1C7A743D" w:rsidR="009F785C" w:rsidRPr="00F754EF" w:rsidRDefault="00E65C9C" w:rsidP="00C33148">
            <w:pPr>
              <w:suppressAutoHyphens w:val="0"/>
              <w:autoSpaceDE/>
              <w:autoSpaceDN/>
              <w:adjustRightInd/>
              <w:spacing w:after="0" w:line="240" w:lineRule="auto"/>
              <w:ind w:left="360" w:hanging="360"/>
              <w:contextualSpacing/>
              <w:jc w:val="left"/>
              <w:cnfStyle w:val="000000000000" w:firstRow="0" w:lastRow="0" w:firstColumn="0" w:lastColumn="0" w:oddVBand="0" w:evenVBand="0" w:oddHBand="0" w:evenHBand="0" w:firstRowFirstColumn="0" w:firstRowLastColumn="0" w:lastRowFirstColumn="0" w:lastRowLastColumn="0"/>
              <w:rPr>
                <w:rFonts w:ascii="Aptos Display" w:hAnsi="Aptos Display"/>
                <w:sz w:val="18"/>
                <w:szCs w:val="18"/>
              </w:rPr>
            </w:pPr>
            <w:r w:rsidRPr="00F754EF">
              <w:rPr>
                <w:rFonts w:ascii="Aptos Display" w:hAnsi="Aptos Display"/>
                <w:sz w:val="18"/>
                <w:szCs w:val="18"/>
              </w:rPr>
              <w:t>5.2</w:t>
            </w:r>
            <w:r w:rsidRPr="00F754EF">
              <w:rPr>
                <w:rFonts w:ascii="Arial" w:hAnsi="Arial" w:cs="Arial"/>
                <w:sz w:val="18"/>
                <w:szCs w:val="18"/>
              </w:rPr>
              <w:t> ¿</w:t>
            </w:r>
            <w:r w:rsidR="009F785C" w:rsidRPr="00F754EF">
              <w:rPr>
                <w:rFonts w:ascii="Aptos Display" w:hAnsi="Aptos Display"/>
                <w:sz w:val="18"/>
                <w:szCs w:val="18"/>
              </w:rPr>
              <w:t>En qu</w:t>
            </w:r>
            <w:r w:rsidR="009F785C" w:rsidRPr="00F754EF">
              <w:rPr>
                <w:rFonts w:ascii="Aptos Display" w:hAnsi="Aptos Display" w:cs="Aptos Display"/>
                <w:sz w:val="18"/>
                <w:szCs w:val="18"/>
              </w:rPr>
              <w:t>é</w:t>
            </w:r>
            <w:r w:rsidR="009F785C" w:rsidRPr="00F754EF">
              <w:rPr>
                <w:rFonts w:ascii="Aptos Display" w:hAnsi="Aptos Display"/>
                <w:sz w:val="18"/>
                <w:szCs w:val="18"/>
              </w:rPr>
              <w:t xml:space="preserve"> medida la Nota Estrat</w:t>
            </w:r>
            <w:r w:rsidR="009F785C" w:rsidRPr="00F754EF">
              <w:rPr>
                <w:rFonts w:ascii="Aptos Display" w:hAnsi="Aptos Display" w:cs="Aptos Display"/>
                <w:sz w:val="18"/>
                <w:szCs w:val="18"/>
              </w:rPr>
              <w:t>é</w:t>
            </w:r>
            <w:r w:rsidR="009F785C" w:rsidRPr="00F754EF">
              <w:rPr>
                <w:rFonts w:ascii="Aptos Display" w:hAnsi="Aptos Display"/>
                <w:sz w:val="18"/>
                <w:szCs w:val="18"/>
              </w:rPr>
              <w:t>gica ha contribuido a generar cambios transformadores de mayor nivel, como influir en las normas nacionales, fortalecer las capacidades institucionales y acelerar el progreso hacia los Objetivos de Desarrollo Sostenible (ODS) relacionados con la igualdad de g</w:t>
            </w:r>
            <w:r w:rsidR="009F785C" w:rsidRPr="00F754EF">
              <w:rPr>
                <w:rFonts w:ascii="Aptos Display" w:hAnsi="Aptos Display" w:cs="Aptos Display"/>
                <w:sz w:val="18"/>
                <w:szCs w:val="18"/>
              </w:rPr>
              <w:t>é</w:t>
            </w:r>
            <w:r w:rsidR="009F785C" w:rsidRPr="00F754EF">
              <w:rPr>
                <w:rFonts w:ascii="Aptos Display" w:hAnsi="Aptos Display"/>
                <w:sz w:val="18"/>
                <w:szCs w:val="18"/>
              </w:rPr>
              <w:t>nero?</w:t>
            </w:r>
          </w:p>
          <w:p w14:paraId="721B2686" w14:textId="5A78B468" w:rsidR="00747DE4" w:rsidRPr="00F754EF" w:rsidRDefault="00747DE4" w:rsidP="00C33148">
            <w:pPr>
              <w:suppressAutoHyphens w:val="0"/>
              <w:autoSpaceDE/>
              <w:autoSpaceDN/>
              <w:adjustRightInd/>
              <w:spacing w:after="0" w:line="240" w:lineRule="auto"/>
              <w:ind w:left="360" w:hanging="360"/>
              <w:contextualSpacing/>
              <w:jc w:val="left"/>
              <w:cnfStyle w:val="000000000000" w:firstRow="0" w:lastRow="0" w:firstColumn="0" w:lastColumn="0" w:oddVBand="0" w:evenVBand="0" w:oddHBand="0" w:evenHBand="0" w:firstRowFirstColumn="0" w:firstRowLastColumn="0" w:lastRowFirstColumn="0" w:lastRowLastColumn="0"/>
              <w:rPr>
                <w:rFonts w:ascii="Aptos Display" w:hAnsi="Aptos Display"/>
                <w:sz w:val="18"/>
                <w:szCs w:val="18"/>
              </w:rPr>
            </w:pPr>
          </w:p>
        </w:tc>
      </w:tr>
    </w:tbl>
    <w:p w14:paraId="73F2DEA8" w14:textId="77777777" w:rsidR="00BB4A99" w:rsidRPr="00F754EF" w:rsidRDefault="00BB4A99" w:rsidP="005831BD">
      <w:pPr>
        <w:spacing w:line="240" w:lineRule="auto"/>
        <w:rPr>
          <w:rFonts w:ascii="Calibri Light" w:hAnsi="Calibri Light" w:cs="Calibri Light"/>
        </w:rPr>
      </w:pPr>
      <w:r w:rsidRPr="00F754EF">
        <w:rPr>
          <w:rStyle w:val="normaltextrun"/>
          <w:rFonts w:ascii="Aptos Display" w:hAnsi="Aptos Display"/>
          <w:sz w:val="18"/>
          <w:szCs w:val="18"/>
        </w:rPr>
        <w:t>Fuente: Elaboración del equipo de evaluación</w:t>
      </w:r>
      <w:r w:rsidRPr="00F754EF">
        <w:rPr>
          <w:rStyle w:val="normaltextrun"/>
        </w:rPr>
        <w:t xml:space="preserve"> </w:t>
      </w:r>
    </w:p>
    <w:p w14:paraId="4754C2AD" w14:textId="77777777" w:rsidR="00BB4A99" w:rsidRPr="00F754EF" w:rsidRDefault="00BB4A99" w:rsidP="005831BD">
      <w:pPr>
        <w:pStyle w:val="Heading2"/>
        <w:rPr>
          <w:rFonts w:eastAsia="Times New Roman"/>
          <w:lang w:val="es-ES"/>
        </w:rPr>
      </w:pPr>
      <w:bookmarkStart w:id="24" w:name="_Toc233830038"/>
      <w:r w:rsidRPr="00F754EF">
        <w:rPr>
          <w:rStyle w:val="normaltextrun"/>
          <w:rFonts w:eastAsia="Times New Roman"/>
          <w:lang w:val="es-ES"/>
        </w:rPr>
        <w:t xml:space="preserve">2.3 </w:t>
      </w:r>
      <w:r w:rsidRPr="00F754EF">
        <w:rPr>
          <w:rFonts w:eastAsia="Times New Roman"/>
          <w:lang w:val="es-ES"/>
        </w:rPr>
        <w:t>Alcance</w:t>
      </w:r>
      <w:bookmarkEnd w:id="24"/>
      <w:r w:rsidRPr="00F754EF">
        <w:rPr>
          <w:rFonts w:eastAsia="Times New Roman"/>
          <w:lang w:val="es-ES"/>
        </w:rPr>
        <w:t xml:space="preserve"> </w:t>
      </w:r>
    </w:p>
    <w:p w14:paraId="462C0314" w14:textId="77777777" w:rsidR="00371CB2" w:rsidRPr="00F754EF" w:rsidRDefault="00371CB2" w:rsidP="005831BD">
      <w:pPr>
        <w:spacing w:line="240" w:lineRule="auto"/>
        <w:rPr>
          <w:rFonts w:ascii="Aptos Display" w:hAnsi="Aptos Display"/>
        </w:rPr>
        <w:sectPr w:rsidR="00371CB2" w:rsidRPr="00F754EF" w:rsidSect="008577E4">
          <w:type w:val="continuous"/>
          <w:pgSz w:w="12240" w:h="15840"/>
          <w:pgMar w:top="1440" w:right="1080" w:bottom="1440" w:left="1080" w:header="720" w:footer="252" w:gutter="0"/>
          <w:cols w:space="720"/>
          <w:docGrid w:linePitch="360"/>
        </w:sectPr>
      </w:pPr>
    </w:p>
    <w:p w14:paraId="19BD3334" w14:textId="77777777" w:rsidR="00BB4A99" w:rsidRPr="00F754EF" w:rsidRDefault="00BB4A99" w:rsidP="005831BD">
      <w:pPr>
        <w:spacing w:line="240" w:lineRule="auto"/>
      </w:pPr>
      <w:r w:rsidRPr="00F754EF">
        <w:rPr>
          <w:rFonts w:ascii="Aptos Display" w:hAnsi="Aptos Display"/>
        </w:rPr>
        <w:t xml:space="preserve">La evaluación abarca todo el programa de trabajo 2023–2026 de la Oficina de País de Ecuador, integrando sus funciones normativas, de coordinación y operativas. El </w:t>
      </w:r>
      <w:r w:rsidRPr="00F754EF">
        <w:rPr>
          <w:rFonts w:ascii="Aptos Display" w:hAnsi="Aptos Display"/>
          <w:b/>
          <w:bCs/>
        </w:rPr>
        <w:t>enfoque temático</w:t>
      </w:r>
      <w:r w:rsidRPr="00F754EF">
        <w:rPr>
          <w:rFonts w:ascii="Aptos Display" w:hAnsi="Aptos Display"/>
        </w:rPr>
        <w:t xml:space="preserve"> comprende cuatro pilares principales: empoderamiento económico de las mujeres; erradicación de la violencia contra mujeres y niñas; participación política y gobernanza; y mujeres, paz, seguridad y acción humanitaria. </w:t>
      </w:r>
      <w:r w:rsidRPr="00F754EF">
        <w:rPr>
          <w:rFonts w:ascii="Aptos Display" w:hAnsi="Aptos Display"/>
          <w:b/>
          <w:bCs/>
        </w:rPr>
        <w:t>Geográficamente,</w:t>
      </w:r>
      <w:r w:rsidRPr="00F754EF">
        <w:rPr>
          <w:rFonts w:ascii="Aptos Display" w:hAnsi="Aptos Display"/>
        </w:rPr>
        <w:t xml:space="preserve"> la </w:t>
      </w:r>
      <w:r w:rsidRPr="00F754EF">
        <w:rPr>
          <w:rFonts w:ascii="Aptos Display" w:hAnsi="Aptos Display"/>
        </w:rPr>
        <w:t xml:space="preserve">evaluación prioriza las provincias con intervenciones principales, incluyendo Pichincha, Guayas, Imbabura, Azuay, Manabí y las regiones fronterizas del norte de Carchi, Esmeraldas y Sucumbíos, mientras que las actividades de coordinación y normativas a nivel nacional se evalúan en todas las provincias. </w:t>
      </w:r>
    </w:p>
    <w:p w14:paraId="0A6208E4" w14:textId="77777777" w:rsidR="00BB4A99" w:rsidRPr="00F754EF" w:rsidRDefault="00BB4A99" w:rsidP="005831BD">
      <w:pPr>
        <w:spacing w:line="240" w:lineRule="auto"/>
      </w:pPr>
      <w:r w:rsidRPr="00F754EF">
        <w:rPr>
          <w:rFonts w:ascii="Aptos Display" w:hAnsi="Aptos Display"/>
          <w:b/>
          <w:bCs/>
        </w:rPr>
        <w:lastRenderedPageBreak/>
        <w:t>Temporalmente,</w:t>
      </w:r>
      <w:r w:rsidRPr="00F754EF">
        <w:rPr>
          <w:b/>
          <w:bCs/>
        </w:rPr>
        <w:t xml:space="preserve"> </w:t>
      </w:r>
      <w:r w:rsidRPr="00F754EF">
        <w:rPr>
          <w:rFonts w:ascii="Aptos Display" w:hAnsi="Aptos Display"/>
        </w:rPr>
        <w:t>la evaluación funciona como una valoración sumativa de fin de ciclo que cubre el periodo de 2023 hasta principios de 2026. Aunque el análisis se basa principalmente en datos de 2023 a 2025, se han incorporado datos parciales de 2026 cuando estaban disponibles en el momento de la recopilación.</w:t>
      </w:r>
    </w:p>
    <w:p w14:paraId="44B07C7B" w14:textId="77777777" w:rsidR="00371CB2" w:rsidRPr="00F754EF" w:rsidRDefault="00BB4A99" w:rsidP="00371CB2">
      <w:pPr>
        <w:spacing w:line="240" w:lineRule="auto"/>
        <w:rPr>
          <w:rFonts w:ascii="Aptos Display" w:hAnsi="Aptos Display"/>
        </w:rPr>
      </w:pPr>
      <w:r w:rsidRPr="00F754EF">
        <w:rPr>
          <w:rFonts w:ascii="Aptos Display" w:hAnsi="Aptos Display"/>
        </w:rPr>
        <w:t xml:space="preserve">Para garantizar la viabilidad y mantener un enfoque estratégico claro, </w:t>
      </w:r>
      <w:r w:rsidRPr="00F754EF">
        <w:rPr>
          <w:rFonts w:ascii="Aptos Display" w:hAnsi="Aptos Display"/>
          <w:b/>
          <w:bCs/>
        </w:rPr>
        <w:t xml:space="preserve">ciertas áreas fueron excluidas del </w:t>
      </w:r>
      <w:proofErr w:type="gramStart"/>
      <w:r w:rsidRPr="00F754EF">
        <w:rPr>
          <w:rFonts w:ascii="Aptos Display" w:hAnsi="Aptos Display"/>
          <w:b/>
          <w:bCs/>
        </w:rPr>
        <w:t>análisis</w:t>
      </w:r>
      <w:r w:rsidRPr="00F754EF">
        <w:rPr>
          <w:rFonts w:ascii="Aptos Display" w:hAnsi="Aptos Display"/>
        </w:rPr>
        <w:t xml:space="preserve"> .</w:t>
      </w:r>
      <w:proofErr w:type="gramEnd"/>
      <w:r w:rsidRPr="00F754EF">
        <w:rPr>
          <w:rFonts w:ascii="Aptos Display" w:hAnsi="Aptos Display"/>
        </w:rPr>
        <w:t xml:space="preserve"> Se omitió el ciclo de programación 2019–2022 ya que fue objeto de una revisión intermedia previa, aunque proporciona contexto para la </w:t>
      </w:r>
      <w:r w:rsidRPr="00F754EF">
        <w:rPr>
          <w:rFonts w:ascii="Aptos Display" w:hAnsi="Aptos Display"/>
        </w:rPr>
        <w:t xml:space="preserve">continuidad. Del mismo modo, dado que la evaluación se realizó antes de la conclusión definitiva del ciclo actual, aún no se disponía de datos financieros y de resultados completos de 2026. El alcance también se limita al desempeño de la Oficina de País de Ecuador; por tanto, no se evaluaron las operaciones de la sede de ONU Mujeres, las políticas globales ni los sistemas corporativos, salvo que influyeran directamente en la implementación local. Finalmente, aunque la evaluación examina la gestión de recursos y la eficiencia, no constituye una auditoría financiera formal ni una verificación de gastos específicos. </w:t>
      </w:r>
      <w:bookmarkStart w:id="25" w:name="_Toc216803664"/>
    </w:p>
    <w:p w14:paraId="217EF44E" w14:textId="77777777" w:rsidR="00371CB2" w:rsidRPr="00F754EF" w:rsidRDefault="00371CB2" w:rsidP="00371CB2">
      <w:pPr>
        <w:spacing w:line="240" w:lineRule="auto"/>
        <w:rPr>
          <w:rStyle w:val="normaltextrun"/>
          <w:rFonts w:eastAsia="Times New Roman"/>
        </w:rPr>
        <w:sectPr w:rsidR="00371CB2" w:rsidRPr="00F754EF" w:rsidSect="00371CB2">
          <w:type w:val="continuous"/>
          <w:pgSz w:w="12240" w:h="15840"/>
          <w:pgMar w:top="1440" w:right="1080" w:bottom="1440" w:left="1080" w:header="720" w:footer="252" w:gutter="0"/>
          <w:cols w:num="2" w:space="720"/>
          <w:docGrid w:linePitch="360"/>
        </w:sectPr>
      </w:pPr>
    </w:p>
    <w:p w14:paraId="691469AB" w14:textId="21794749" w:rsidR="000F457D" w:rsidRPr="003A3913" w:rsidRDefault="000F457D" w:rsidP="003A3913">
      <w:pPr>
        <w:pStyle w:val="Heading1"/>
        <w:spacing w:after="120"/>
        <w:rPr>
          <w:rStyle w:val="normaltextrun"/>
          <w:rFonts w:eastAsia="Times New Roman"/>
          <w:caps w:val="0"/>
          <w:lang w:val="es-MX"/>
        </w:rPr>
      </w:pPr>
      <w:bookmarkStart w:id="26" w:name="_Toc233830039"/>
      <w:r w:rsidRPr="003A3913">
        <w:rPr>
          <w:rStyle w:val="normaltextrun"/>
          <w:rFonts w:eastAsia="Times New Roman"/>
          <w:caps w:val="0"/>
          <w:lang w:val="es-ES"/>
        </w:rPr>
        <w:t>SECCIÓN 3. METODOLOGÍA</w:t>
      </w:r>
      <w:bookmarkEnd w:id="26"/>
      <w:r w:rsidRPr="003A3913">
        <w:rPr>
          <w:rStyle w:val="normaltextrun"/>
          <w:rFonts w:eastAsia="Times New Roman"/>
          <w:caps w:val="0"/>
          <w:lang w:val="es-ES"/>
        </w:rPr>
        <w:t xml:space="preserve"> </w:t>
      </w:r>
    </w:p>
    <w:p w14:paraId="4F26B464" w14:textId="77777777" w:rsidR="000F457D" w:rsidRPr="00F754EF" w:rsidRDefault="000F457D" w:rsidP="005831BD">
      <w:pPr>
        <w:pStyle w:val="Heading2"/>
        <w:rPr>
          <w:rFonts w:eastAsia="Times New Roman"/>
          <w:lang w:val="es-ES"/>
        </w:rPr>
      </w:pPr>
      <w:bookmarkStart w:id="27" w:name="_Toc233830040"/>
      <w:r w:rsidRPr="00F754EF">
        <w:rPr>
          <w:rStyle w:val="normaltextrun"/>
          <w:rFonts w:eastAsia="Times New Roman"/>
          <w:lang w:val="es-ES"/>
        </w:rPr>
        <w:t>3.1 Enfoque y metodología de la evaluación</w:t>
      </w:r>
      <w:bookmarkEnd w:id="27"/>
      <w:r w:rsidRPr="00F754EF">
        <w:rPr>
          <w:rStyle w:val="normaltextrun"/>
          <w:rFonts w:eastAsia="Times New Roman"/>
          <w:lang w:val="es-ES"/>
        </w:rPr>
        <w:t xml:space="preserve"> </w:t>
      </w:r>
    </w:p>
    <w:p w14:paraId="4326A64C" w14:textId="77777777" w:rsidR="008577E4" w:rsidRPr="00F754EF" w:rsidRDefault="008577E4" w:rsidP="005831BD">
      <w:pPr>
        <w:spacing w:line="240" w:lineRule="auto"/>
        <w:rPr>
          <w:rFonts w:ascii="Aptos Display" w:hAnsi="Aptos Display"/>
        </w:rPr>
        <w:sectPr w:rsidR="008577E4" w:rsidRPr="00F754EF" w:rsidSect="00371CB2">
          <w:type w:val="continuous"/>
          <w:pgSz w:w="12240" w:h="15840"/>
          <w:pgMar w:top="1440" w:right="1080" w:bottom="1440" w:left="1080" w:header="720" w:footer="252" w:gutter="0"/>
          <w:cols w:space="720"/>
          <w:docGrid w:linePitch="360"/>
        </w:sectPr>
      </w:pPr>
    </w:p>
    <w:p w14:paraId="1AE3300E" w14:textId="77777777" w:rsidR="000F457D" w:rsidRPr="00F754EF" w:rsidRDefault="000F457D" w:rsidP="005831BD">
      <w:pPr>
        <w:spacing w:line="240" w:lineRule="auto"/>
      </w:pPr>
      <w:r w:rsidRPr="00F754EF">
        <w:rPr>
          <w:rFonts w:ascii="Aptos Display" w:hAnsi="Aptos Display"/>
        </w:rPr>
        <w:t>La evaluación utiliza un enfoque basado en la teoría, lo que significa que evalúa si y cómo las intervenciones de la Oficina de País contribuyeron a los cambios observados, en lugar de intentar demostrar causación directa. Esto es adecuado en un entorno complejo y con múltiples actores, donde ONU Mujeres es solo una de varias fuerzas que influyen en los resultados de igualdad de género en Ecuador.</w:t>
      </w:r>
      <w:r w:rsidRPr="00F754EF">
        <w:t xml:space="preserve"> </w:t>
      </w:r>
      <w:r w:rsidRPr="00F754EF">
        <w:rPr>
          <w:rFonts w:ascii="Aptos Display" w:hAnsi="Aptos Display"/>
        </w:rPr>
        <w:t>El enfoque está guiado por</w:t>
      </w:r>
      <w:r w:rsidRPr="00F754EF">
        <w:t xml:space="preserve"> </w:t>
      </w:r>
      <w:r w:rsidRPr="00F754EF">
        <w:rPr>
          <w:rFonts w:ascii="Aptos Display" w:hAnsi="Aptos Display"/>
          <w:color w:val="00B0F0"/>
          <w:shd w:val="clear" w:color="auto" w:fill="FFFFFF"/>
        </w:rPr>
        <w:t>la Política de Evaluación de ONU Mujeres</w:t>
      </w:r>
      <w:r w:rsidRPr="00F754EF">
        <w:t xml:space="preserve"> </w:t>
      </w:r>
      <w:r w:rsidRPr="00F754EF">
        <w:rPr>
          <w:rFonts w:ascii="Aptos Display" w:hAnsi="Aptos Display"/>
          <w:shd w:val="clear" w:color="auto" w:fill="FFFFFF"/>
        </w:rPr>
        <w:t>y el</w:t>
      </w:r>
      <w:r w:rsidRPr="00F754EF">
        <w:t xml:space="preserve"> </w:t>
      </w:r>
      <w:r w:rsidRPr="00F754EF">
        <w:rPr>
          <w:rFonts w:ascii="Aptos Display" w:hAnsi="Aptos Display"/>
          <w:color w:val="00B0F0"/>
          <w:shd w:val="clear" w:color="auto" w:fill="FFFFFF"/>
        </w:rPr>
        <w:t>Manual</w:t>
      </w:r>
      <w:r w:rsidRPr="00F754EF">
        <w:t xml:space="preserve"> </w:t>
      </w:r>
      <w:r w:rsidRPr="00F754EF">
        <w:rPr>
          <w:rFonts w:ascii="Aptos Display" w:hAnsi="Aptos Display"/>
        </w:rPr>
        <w:t>y las</w:t>
      </w:r>
      <w:r w:rsidRPr="00F754EF">
        <w:t xml:space="preserve"> </w:t>
      </w:r>
      <w:r w:rsidRPr="00F754EF">
        <w:rPr>
          <w:rFonts w:ascii="Aptos Display" w:hAnsi="Aptos Display"/>
          <w:color w:val="00B0F0"/>
        </w:rPr>
        <w:t>Normas y Estándares de UNEG</w:t>
      </w:r>
      <w:r w:rsidRPr="00F754EF">
        <w:t xml:space="preserve"> </w:t>
      </w:r>
      <w:r w:rsidRPr="00F754EF">
        <w:rPr>
          <w:rFonts w:ascii="Aptos Display" w:hAnsi="Aptos Display"/>
          <w:color w:val="00B0F0"/>
        </w:rPr>
        <w:t xml:space="preserve">(2016) para la Evaluación, y combina métodos cualitativos y cuantitativos a lo largo de todo el proceso. </w:t>
      </w:r>
    </w:p>
    <w:p w14:paraId="4A222065" w14:textId="1B025294" w:rsidR="000F457D" w:rsidRPr="00F754EF" w:rsidRDefault="000F457D" w:rsidP="005831BD">
      <w:pPr>
        <w:spacing w:line="240" w:lineRule="auto"/>
      </w:pPr>
      <w:r w:rsidRPr="00F754EF">
        <w:rPr>
          <w:rFonts w:ascii="Aptos Display" w:hAnsi="Aptos Display"/>
        </w:rPr>
        <w:t>La herramienta analítica principal es el análisis de contribución, que construye una narrativa creíble basada en evidencias sobre cómo el trabajo de la oficina contribuyó plausiblemente a los resultados observados, probada frente a la propia teoría de cambio de la Nota Estratégica.</w:t>
      </w:r>
      <w:r w:rsidR="008577E4" w:rsidRPr="00F754EF">
        <w:rPr>
          <w:rFonts w:ascii="Aptos Display" w:hAnsi="Aptos Display"/>
        </w:rPr>
        <w:t xml:space="preserve"> </w:t>
      </w:r>
      <w:r w:rsidRPr="00F754EF">
        <w:rPr>
          <w:rFonts w:ascii="Aptos Display" w:hAnsi="Aptos Display"/>
        </w:rPr>
        <w:t xml:space="preserve">Durante toda la evaluación se aplicó una perspectiva interseccional para entender cómo el género interactúa con la etnia, la edad, la discapacidad, la ubicación geográfica y la situación socioeconómica, configurando </w:t>
      </w:r>
      <w:r w:rsidRPr="00F754EF">
        <w:rPr>
          <w:rFonts w:ascii="Aptos Display" w:hAnsi="Aptos Display"/>
        </w:rPr>
        <w:t>experiencias diferenciadas para las mujeres. Esto implica que la evaluación no trató a las mujeres como una categoría homogénea, sino que preguntó de forma constante de quién son los resultados y si aquellas mujeres más marginadas fueron alcanzadas. Esto está guiado por</w:t>
      </w:r>
      <w:r w:rsidRPr="00F754EF">
        <w:t xml:space="preserve"> </w:t>
      </w:r>
      <w:r w:rsidRPr="00F754EF">
        <w:rPr>
          <w:rFonts w:ascii="Aptos Display" w:hAnsi="Aptos Display"/>
          <w:color w:val="00B0F0"/>
        </w:rPr>
        <w:t xml:space="preserve">la Guía de UNEG para la Integración de Derechos Humanos e Igualdad de </w:t>
      </w:r>
      <w:r w:rsidR="00924A8E" w:rsidRPr="00F754EF">
        <w:rPr>
          <w:rFonts w:ascii="Aptos Display" w:hAnsi="Aptos Display"/>
          <w:color w:val="00B0F0"/>
        </w:rPr>
        <w:t>Género</w:t>
      </w:r>
      <w:r w:rsidR="00924A8E" w:rsidRPr="00F754EF">
        <w:t>.</w:t>
      </w:r>
    </w:p>
    <w:p w14:paraId="3CC683BB" w14:textId="01F6B15A" w:rsidR="008577E4" w:rsidRPr="00F754EF" w:rsidRDefault="000F457D" w:rsidP="007B10F9">
      <w:pPr>
        <w:autoSpaceDE/>
        <w:spacing w:line="240" w:lineRule="auto"/>
        <w:rPr>
          <w:rFonts w:ascii="Calibri Light" w:hAnsi="Calibri Light" w:cs="Calibri Light"/>
        </w:rPr>
        <w:sectPr w:rsidR="008577E4" w:rsidRPr="00F754EF" w:rsidSect="008577E4">
          <w:type w:val="continuous"/>
          <w:pgSz w:w="12240" w:h="15840"/>
          <w:pgMar w:top="1440" w:right="1080" w:bottom="1440" w:left="1080" w:header="720" w:footer="252" w:gutter="0"/>
          <w:cols w:num="2" w:space="720"/>
          <w:docGrid w:linePitch="360"/>
        </w:sectPr>
      </w:pPr>
      <w:r w:rsidRPr="00F754EF">
        <w:rPr>
          <w:rFonts w:ascii="Aptos Display" w:hAnsi="Aptos Display"/>
        </w:rPr>
        <w:t xml:space="preserve">Dada la complejidad de atribuir resultados de igualdad de género en un entorno con múltiples actores, la evaluación empleó el </w:t>
      </w:r>
      <w:r w:rsidRPr="00F754EF">
        <w:rPr>
          <w:rFonts w:ascii="Aptos Display" w:hAnsi="Aptos Display"/>
          <w:b/>
          <w:bCs/>
        </w:rPr>
        <w:t>análisis de contribución</w:t>
      </w:r>
      <w:r w:rsidRPr="00F754EF">
        <w:rPr>
          <w:rFonts w:ascii="Aptos Display" w:hAnsi="Aptos Display"/>
        </w:rPr>
        <w:t xml:space="preserve"> como estrategia analítica principal. El análisis de contribución no intenta demostrar causalidad mediante contrafactuales (no era viable dado el diseño no experimental), sino que evalúa sistemáticamente las evidencias sobre si, cómo y en qué medida las intervenciones de ONU Mujeres contribuyeron a los resultados observados. La Tabla 4 presenta los criterios utilizados para calificar la solidez de la evidencia tanto de logro como de contribución</w:t>
      </w:r>
      <w:r w:rsidR="000F1525" w:rsidRPr="00F754EF">
        <w:rPr>
          <w:rFonts w:ascii="Aptos Display" w:hAnsi="Aptos Display"/>
        </w:rPr>
        <w:t xml:space="preserve">. La </w:t>
      </w:r>
      <w:r w:rsidR="000F1525" w:rsidRPr="00F754EF">
        <w:rPr>
          <w:rFonts w:ascii="Aptos Display" w:hAnsi="Aptos Display"/>
          <w:b/>
          <w:bCs/>
        </w:rPr>
        <w:t>Tabla 7</w:t>
      </w:r>
      <w:r w:rsidR="000F1525" w:rsidRPr="00F754EF">
        <w:rPr>
          <w:rFonts w:ascii="Aptos Display" w:hAnsi="Aptos Display"/>
        </w:rPr>
        <w:t xml:space="preserve"> (Sección 4: Hallazgos) y constituyen la base probatoria para las conclusiones sobre la eficacia de la Oficina de País.</w:t>
      </w:r>
      <w:bookmarkStart w:id="28" w:name="_Toc227279870"/>
    </w:p>
    <w:p w14:paraId="7FAC5197" w14:textId="70F6936D" w:rsidR="000F457D" w:rsidRPr="00F754EF" w:rsidRDefault="00167F67" w:rsidP="005831BD">
      <w:pPr>
        <w:pStyle w:val="Caption"/>
        <w:spacing w:after="120"/>
      </w:pPr>
      <w:r w:rsidRPr="00F754EF">
        <w:t xml:space="preserve">Tabla </w:t>
      </w:r>
      <w:r w:rsidRPr="00F754EF">
        <w:fldChar w:fldCharType="begin"/>
      </w:r>
      <w:r w:rsidRPr="00F754EF">
        <w:instrText xml:space="preserve"> SEQ Table \* ARABIC </w:instrText>
      </w:r>
      <w:r w:rsidRPr="00F754EF">
        <w:fldChar w:fldCharType="separate"/>
      </w:r>
      <w:r w:rsidR="004C6C83">
        <w:rPr>
          <w:noProof/>
        </w:rPr>
        <w:t>4</w:t>
      </w:r>
      <w:r w:rsidRPr="00F754EF">
        <w:fldChar w:fldCharType="end"/>
      </w:r>
      <w:r w:rsidR="000F457D" w:rsidRPr="00F754EF">
        <w:t xml:space="preserve"> Análisis de Contribución</w:t>
      </w:r>
      <w:bookmarkEnd w:id="28"/>
      <w:r w:rsidR="000F457D" w:rsidRPr="00F754EF">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3392"/>
        <w:gridCol w:w="3261"/>
        <w:gridCol w:w="3407"/>
      </w:tblGrid>
      <w:tr w:rsidR="006C7C95" w:rsidRPr="00F754EF" w14:paraId="3CA127F0" w14:textId="77777777" w:rsidTr="006C7C95">
        <w:trPr>
          <w:trHeight w:val="62"/>
        </w:trPr>
        <w:tc>
          <w:tcPr>
            <w:tcW w:w="10060" w:type="dxa"/>
            <w:gridSpan w:val="3"/>
            <w:tcBorders>
              <w:top w:val="nil"/>
              <w:left w:val="single" w:sz="8" w:space="0" w:color="8EAADB"/>
              <w:bottom w:val="single" w:sz="8" w:space="0" w:color="8EAADB"/>
              <w:right w:val="single" w:sz="8" w:space="0" w:color="8EAADB"/>
            </w:tcBorders>
            <w:shd w:val="clear" w:color="auto" w:fill="4472C4"/>
            <w:vAlign w:val="center"/>
          </w:tcPr>
          <w:p w14:paraId="0DEF9E86" w14:textId="16FC5407" w:rsidR="006C7C95" w:rsidRPr="00F754EF" w:rsidRDefault="006C7C95" w:rsidP="005831BD">
            <w:pPr>
              <w:pStyle w:val="BodyText"/>
              <w:spacing w:line="240" w:lineRule="auto"/>
              <w:rPr>
                <w:rFonts w:ascii="Aptos Display" w:hAnsi="Aptos Display"/>
                <w:sz w:val="20"/>
                <w:szCs w:val="20"/>
              </w:rPr>
            </w:pPr>
            <w:r w:rsidRPr="00F754EF">
              <w:rPr>
                <w:rFonts w:ascii="Aptos Display" w:hAnsi="Aptos Display"/>
                <w:b w:val="0"/>
                <w:bCs w:val="0"/>
                <w:color w:val="FFFFFF"/>
                <w:sz w:val="20"/>
                <w:szCs w:val="20"/>
              </w:rPr>
              <w:t>Resultado objetivo de la Nota Estratégica</w:t>
            </w:r>
          </w:p>
        </w:tc>
      </w:tr>
      <w:tr w:rsidR="006C7C95" w:rsidRPr="00F754EF" w14:paraId="1CD04CB2" w14:textId="77777777">
        <w:trPr>
          <w:trHeight w:val="62"/>
        </w:trPr>
        <w:tc>
          <w:tcPr>
            <w:tcW w:w="10060" w:type="dxa"/>
            <w:gridSpan w:val="3"/>
            <w:tcBorders>
              <w:top w:val="nil"/>
              <w:left w:val="single" w:sz="8" w:space="0" w:color="8EAADB"/>
              <w:bottom w:val="single" w:sz="8" w:space="0" w:color="8EAADB"/>
              <w:right w:val="single" w:sz="8" w:space="0" w:color="8EAADB"/>
            </w:tcBorders>
            <w:vAlign w:val="center"/>
          </w:tcPr>
          <w:p w14:paraId="6941CFDD" w14:textId="2BB7198D" w:rsidR="006C7C95" w:rsidRPr="00F754EF" w:rsidRDefault="006C7C95" w:rsidP="005831BD">
            <w:pPr>
              <w:pStyle w:val="BodyText"/>
              <w:spacing w:line="240" w:lineRule="auto"/>
              <w:rPr>
                <w:rFonts w:ascii="Aptos Display" w:hAnsi="Aptos Display"/>
                <w:color w:val="FFFFFF"/>
                <w:sz w:val="20"/>
                <w:szCs w:val="20"/>
              </w:rPr>
            </w:pPr>
            <w:r w:rsidRPr="00F754EF">
              <w:rPr>
                <w:rFonts w:ascii="Aptos Display" w:hAnsi="Aptos Display"/>
                <w:sz w:val="20"/>
                <w:szCs w:val="20"/>
              </w:rPr>
              <w:t>Evidencia de logro:</w:t>
            </w:r>
            <w:r w:rsidRPr="00F754EF">
              <w:t xml:space="preserve"> </w:t>
            </w:r>
            <w:r w:rsidRPr="00F754EF">
              <w:rPr>
                <w:rFonts w:ascii="Aptos Display" w:hAnsi="Aptos Display"/>
                <w:b w:val="0"/>
                <w:bCs w:val="0"/>
                <w:sz w:val="20"/>
                <w:szCs w:val="20"/>
              </w:rPr>
              <w:t>La solidez y credibilidad de la evidencia de que el resultado o cambio previsto ocurrió</w:t>
            </w:r>
            <w:r w:rsidRPr="00F754EF">
              <w:rPr>
                <w:rFonts w:ascii="Aptos Display" w:hAnsi="Aptos Display"/>
                <w:sz w:val="20"/>
                <w:szCs w:val="20"/>
              </w:rPr>
              <w:t>.</w:t>
            </w:r>
          </w:p>
        </w:tc>
      </w:tr>
      <w:tr w:rsidR="006C7C95" w:rsidRPr="00F754EF" w14:paraId="6492CC61" w14:textId="77777777">
        <w:trPr>
          <w:trHeight w:val="62"/>
        </w:trPr>
        <w:tc>
          <w:tcPr>
            <w:tcW w:w="10060" w:type="dxa"/>
            <w:gridSpan w:val="3"/>
            <w:tcBorders>
              <w:top w:val="nil"/>
              <w:left w:val="single" w:sz="8" w:space="0" w:color="8EAADB"/>
              <w:bottom w:val="single" w:sz="8" w:space="0" w:color="8EAADB"/>
              <w:right w:val="single" w:sz="8" w:space="0" w:color="8EAADB"/>
            </w:tcBorders>
            <w:vAlign w:val="center"/>
          </w:tcPr>
          <w:p w14:paraId="54E15BFD" w14:textId="3C08DD33" w:rsidR="006C7C95" w:rsidRPr="00F754EF" w:rsidRDefault="006C7C95" w:rsidP="005831BD">
            <w:pPr>
              <w:pStyle w:val="BodyText"/>
              <w:spacing w:line="240" w:lineRule="auto"/>
              <w:rPr>
                <w:rFonts w:ascii="Aptos Display" w:hAnsi="Aptos Display"/>
                <w:color w:val="FFFFFF"/>
                <w:sz w:val="20"/>
                <w:szCs w:val="20"/>
              </w:rPr>
            </w:pPr>
            <w:r w:rsidRPr="00F754EF">
              <w:rPr>
                <w:rFonts w:ascii="Aptos Display" w:hAnsi="Aptos Display"/>
                <w:sz w:val="20"/>
                <w:szCs w:val="20"/>
              </w:rPr>
              <w:t>Logro – fuerza de la evidencia</w:t>
            </w:r>
          </w:p>
        </w:tc>
      </w:tr>
      <w:tr w:rsidR="000F457D" w:rsidRPr="00F754EF" w14:paraId="5A3202BC" w14:textId="77777777" w:rsidTr="003B60EB">
        <w:trPr>
          <w:trHeight w:val="62"/>
        </w:trPr>
        <w:tc>
          <w:tcPr>
            <w:tcW w:w="3392" w:type="dxa"/>
            <w:tcBorders>
              <w:top w:val="nil"/>
              <w:left w:val="single" w:sz="8" w:space="0" w:color="8EAADB"/>
              <w:bottom w:val="single" w:sz="8" w:space="0" w:color="8EAADB"/>
              <w:right w:val="nil"/>
            </w:tcBorders>
            <w:shd w:val="clear" w:color="auto" w:fill="70AD47"/>
            <w:vAlign w:val="center"/>
            <w:hideMark/>
          </w:tcPr>
          <w:p w14:paraId="0F314CB8" w14:textId="77777777" w:rsidR="000F457D" w:rsidRPr="00F754EF" w:rsidRDefault="000F457D" w:rsidP="005831BD">
            <w:pPr>
              <w:pStyle w:val="BodyText"/>
              <w:spacing w:line="240" w:lineRule="auto"/>
            </w:pPr>
            <w:r w:rsidRPr="00F754EF">
              <w:rPr>
                <w:rFonts w:ascii="Aptos Display" w:hAnsi="Aptos Display"/>
                <w:sz w:val="20"/>
                <w:szCs w:val="20"/>
              </w:rPr>
              <w:lastRenderedPageBreak/>
              <w:t>Fuerte</w:t>
            </w:r>
            <w:r w:rsidRPr="00F754EF">
              <w:t xml:space="preserve"> </w:t>
            </w:r>
          </w:p>
          <w:p w14:paraId="7158EAB5" w14:textId="77777777" w:rsidR="000F457D" w:rsidRPr="00F754EF" w:rsidRDefault="000F457D" w:rsidP="005831BD">
            <w:pPr>
              <w:pStyle w:val="BodyText"/>
              <w:spacing w:line="240" w:lineRule="auto"/>
            </w:pPr>
            <w:r w:rsidRPr="00F754EF">
              <w:rPr>
                <w:rFonts w:ascii="Aptos Display" w:hAnsi="Aptos Display"/>
                <w:b w:val="0"/>
                <w:bCs w:val="0"/>
                <w:sz w:val="20"/>
                <w:szCs w:val="20"/>
              </w:rPr>
              <w:t>Corroborada por múltiples fuentes y diferentes tipos de partes interesadas, con ejemplos detallados</w:t>
            </w:r>
            <w:r w:rsidRPr="00F754EF">
              <w:t xml:space="preserve"> </w:t>
            </w:r>
          </w:p>
        </w:tc>
        <w:tc>
          <w:tcPr>
            <w:tcW w:w="3261" w:type="dxa"/>
            <w:tcBorders>
              <w:top w:val="nil"/>
              <w:left w:val="nil"/>
              <w:bottom w:val="single" w:sz="8" w:space="0" w:color="8EAADB"/>
              <w:right w:val="nil"/>
            </w:tcBorders>
            <w:shd w:val="clear" w:color="auto" w:fill="FBE4D5"/>
            <w:vAlign w:val="center"/>
            <w:hideMark/>
          </w:tcPr>
          <w:p w14:paraId="7B3126F9" w14:textId="77777777" w:rsidR="000F457D" w:rsidRPr="00F754EF" w:rsidRDefault="000F457D" w:rsidP="005831BD">
            <w:pPr>
              <w:pStyle w:val="BodyText"/>
              <w:spacing w:line="240" w:lineRule="auto"/>
            </w:pPr>
            <w:r w:rsidRPr="00F754EF">
              <w:rPr>
                <w:rFonts w:ascii="Aptos Display" w:hAnsi="Aptos Display"/>
                <w:sz w:val="20"/>
                <w:szCs w:val="20"/>
              </w:rPr>
              <w:t>Moderada</w:t>
            </w:r>
            <w:r w:rsidRPr="00F754EF">
              <w:t xml:space="preserve"> </w:t>
            </w:r>
          </w:p>
          <w:p w14:paraId="27B11D2A" w14:textId="77777777" w:rsidR="000F457D" w:rsidRPr="00F754EF" w:rsidRDefault="000F457D" w:rsidP="005831BD">
            <w:pPr>
              <w:pStyle w:val="BodyText"/>
              <w:spacing w:line="240" w:lineRule="auto"/>
            </w:pPr>
            <w:r w:rsidRPr="00F754EF">
              <w:rPr>
                <w:rFonts w:ascii="Aptos Display" w:hAnsi="Aptos Display"/>
                <w:b w:val="0"/>
                <w:bCs w:val="0"/>
                <w:sz w:val="20"/>
                <w:szCs w:val="20"/>
              </w:rPr>
              <w:t>Corroborada por más de una fuente, pero ejemplos limitados y/o solo ejemplos generales</w:t>
            </w:r>
            <w:r w:rsidRPr="00F754EF">
              <w:t xml:space="preserve"> </w:t>
            </w:r>
          </w:p>
        </w:tc>
        <w:tc>
          <w:tcPr>
            <w:tcW w:w="3407" w:type="dxa"/>
            <w:tcBorders>
              <w:top w:val="nil"/>
              <w:left w:val="nil"/>
              <w:bottom w:val="single" w:sz="8" w:space="0" w:color="8EAADB"/>
              <w:right w:val="single" w:sz="8" w:space="0" w:color="8EAADB"/>
            </w:tcBorders>
            <w:shd w:val="clear" w:color="auto" w:fill="C0103E"/>
            <w:vAlign w:val="center"/>
            <w:hideMark/>
          </w:tcPr>
          <w:p w14:paraId="50B88DBA" w14:textId="641D5CED" w:rsidR="000F457D" w:rsidRPr="00F754EF" w:rsidRDefault="00F564BB" w:rsidP="005831BD">
            <w:pPr>
              <w:pStyle w:val="BodyText"/>
              <w:spacing w:line="240" w:lineRule="auto"/>
            </w:pPr>
            <w:r w:rsidRPr="00F754EF">
              <w:rPr>
                <w:rFonts w:ascii="Aptos Display" w:hAnsi="Aptos Display"/>
                <w:color w:val="FFFFFF"/>
                <w:sz w:val="20"/>
                <w:szCs w:val="20"/>
              </w:rPr>
              <w:t>Baja</w:t>
            </w:r>
            <w:r w:rsidR="000F457D" w:rsidRPr="00F754EF">
              <w:t xml:space="preserve"> </w:t>
            </w:r>
          </w:p>
          <w:p w14:paraId="5321FE9F" w14:textId="77777777" w:rsidR="000F457D" w:rsidRPr="00F754EF" w:rsidRDefault="000F457D" w:rsidP="005831BD">
            <w:pPr>
              <w:pStyle w:val="BodyText"/>
              <w:spacing w:line="240" w:lineRule="auto"/>
            </w:pPr>
            <w:r w:rsidRPr="00F754EF">
              <w:rPr>
                <w:rFonts w:ascii="Aptos Display" w:hAnsi="Aptos Display"/>
                <w:b w:val="0"/>
                <w:bCs w:val="0"/>
                <w:color w:val="FFFFFF"/>
                <w:sz w:val="20"/>
                <w:szCs w:val="20"/>
              </w:rPr>
              <w:t>Solo citada por una fuente, o por un tipo de parte interesada. No se proporcionan ejemplos específicos</w:t>
            </w:r>
            <w:r w:rsidRPr="00F754EF">
              <w:t xml:space="preserve"> </w:t>
            </w:r>
          </w:p>
        </w:tc>
      </w:tr>
      <w:tr w:rsidR="0016311C" w:rsidRPr="00F754EF" w14:paraId="524933CE" w14:textId="77777777">
        <w:trPr>
          <w:trHeight w:val="62"/>
        </w:trPr>
        <w:tc>
          <w:tcPr>
            <w:tcW w:w="10060" w:type="dxa"/>
            <w:gridSpan w:val="3"/>
            <w:tcBorders>
              <w:top w:val="nil"/>
              <w:left w:val="single" w:sz="8" w:space="0" w:color="8EAADB"/>
              <w:bottom w:val="single" w:sz="8" w:space="0" w:color="8EAADB"/>
              <w:right w:val="single" w:sz="8" w:space="0" w:color="8EAADB"/>
            </w:tcBorders>
            <w:vAlign w:val="center"/>
          </w:tcPr>
          <w:p w14:paraId="31097138" w14:textId="3F5AA28D" w:rsidR="0016311C" w:rsidRPr="00F754EF" w:rsidRDefault="0016311C" w:rsidP="005831BD">
            <w:pPr>
              <w:pStyle w:val="BodyText"/>
              <w:spacing w:line="240" w:lineRule="auto"/>
              <w:rPr>
                <w:rFonts w:ascii="Aptos Display" w:hAnsi="Aptos Display"/>
                <w:color w:val="FFFFFF"/>
                <w:sz w:val="20"/>
                <w:szCs w:val="20"/>
              </w:rPr>
            </w:pPr>
            <w:r w:rsidRPr="00F754EF">
              <w:rPr>
                <w:rFonts w:ascii="Aptos Display" w:hAnsi="Aptos Display"/>
                <w:sz w:val="20"/>
                <w:szCs w:val="20"/>
              </w:rPr>
              <w:t>Evidencia de contribución de ONU Mujeres:</w:t>
            </w:r>
            <w:r w:rsidRPr="00F754EF">
              <w:t xml:space="preserve"> </w:t>
            </w:r>
            <w:r w:rsidRPr="00F754EF">
              <w:rPr>
                <w:rFonts w:ascii="Aptos Display" w:hAnsi="Aptos Display"/>
                <w:b w:val="0"/>
                <w:bCs w:val="0"/>
                <w:sz w:val="20"/>
                <w:szCs w:val="20"/>
              </w:rPr>
              <w:t>La solidez y credibilidad de la evidencia que vincula las actividades específicas de ONU Mujeres con los cambios observados.</w:t>
            </w:r>
          </w:p>
        </w:tc>
      </w:tr>
      <w:tr w:rsidR="0016311C" w:rsidRPr="00F754EF" w14:paraId="2B8C8BBA" w14:textId="77777777">
        <w:trPr>
          <w:trHeight w:val="62"/>
        </w:trPr>
        <w:tc>
          <w:tcPr>
            <w:tcW w:w="10060" w:type="dxa"/>
            <w:gridSpan w:val="3"/>
            <w:tcBorders>
              <w:top w:val="nil"/>
              <w:left w:val="single" w:sz="8" w:space="0" w:color="8EAADB"/>
              <w:bottom w:val="single" w:sz="8" w:space="0" w:color="8EAADB"/>
              <w:right w:val="single" w:sz="8" w:space="0" w:color="8EAADB"/>
            </w:tcBorders>
            <w:vAlign w:val="center"/>
          </w:tcPr>
          <w:p w14:paraId="05085409" w14:textId="08858377" w:rsidR="0016311C" w:rsidRPr="00F754EF" w:rsidRDefault="0016311C" w:rsidP="005831BD">
            <w:pPr>
              <w:pStyle w:val="BodyText"/>
              <w:spacing w:line="240" w:lineRule="auto"/>
              <w:rPr>
                <w:rFonts w:ascii="Aptos Display" w:hAnsi="Aptos Display"/>
                <w:sz w:val="20"/>
                <w:szCs w:val="20"/>
              </w:rPr>
            </w:pPr>
            <w:r w:rsidRPr="00F754EF">
              <w:rPr>
                <w:rFonts w:ascii="Aptos Display" w:hAnsi="Aptos Display"/>
                <w:sz w:val="20"/>
                <w:szCs w:val="20"/>
              </w:rPr>
              <w:t>Contribución de ONU Mujeres – fuerza de la evidencia</w:t>
            </w:r>
          </w:p>
        </w:tc>
      </w:tr>
      <w:tr w:rsidR="000F457D" w:rsidRPr="00F754EF" w14:paraId="65F982F1" w14:textId="77777777" w:rsidTr="003B60EB">
        <w:trPr>
          <w:trHeight w:val="61"/>
        </w:trPr>
        <w:tc>
          <w:tcPr>
            <w:tcW w:w="3392" w:type="dxa"/>
            <w:tcBorders>
              <w:top w:val="nil"/>
              <w:left w:val="single" w:sz="8" w:space="0" w:color="8EAADB"/>
              <w:bottom w:val="single" w:sz="8" w:space="0" w:color="8EAADB"/>
              <w:right w:val="nil"/>
            </w:tcBorders>
            <w:vAlign w:val="center"/>
            <w:hideMark/>
          </w:tcPr>
          <w:p w14:paraId="21B8CEA6" w14:textId="77777777" w:rsidR="000F457D" w:rsidRPr="00F754EF" w:rsidRDefault="000F457D" w:rsidP="005831BD">
            <w:pPr>
              <w:pStyle w:val="BodyText"/>
              <w:shd w:val="clear" w:color="auto" w:fill="70AD47"/>
              <w:spacing w:line="240" w:lineRule="auto"/>
            </w:pPr>
            <w:r w:rsidRPr="00F754EF">
              <w:rPr>
                <w:rFonts w:ascii="Aptos Display" w:hAnsi="Aptos Display"/>
                <w:sz w:val="20"/>
                <w:szCs w:val="20"/>
              </w:rPr>
              <w:t>Fuerte</w:t>
            </w:r>
            <w:r w:rsidRPr="00F754EF">
              <w:t xml:space="preserve"> </w:t>
            </w:r>
          </w:p>
          <w:p w14:paraId="49DC7206" w14:textId="77777777" w:rsidR="000F457D" w:rsidRPr="00F754EF" w:rsidRDefault="000F457D" w:rsidP="005831BD">
            <w:pPr>
              <w:pStyle w:val="BodyText"/>
              <w:shd w:val="clear" w:color="auto" w:fill="70AD47"/>
              <w:spacing w:line="240" w:lineRule="auto"/>
            </w:pPr>
            <w:r w:rsidRPr="00F754EF">
              <w:rPr>
                <w:rFonts w:ascii="Aptos Display" w:hAnsi="Aptos Display"/>
                <w:b w:val="0"/>
                <w:bCs w:val="0"/>
                <w:sz w:val="20"/>
                <w:szCs w:val="20"/>
              </w:rPr>
              <w:t xml:space="preserve">Cambio atribuido explícitamente a una actividad específica de ONU Mujeres, explicación detallada de </w:t>
            </w:r>
            <w:r w:rsidRPr="00F754EF">
              <w:rPr>
                <w:rFonts w:ascii="Aptos Display" w:hAnsi="Aptos Display"/>
                <w:b w:val="0"/>
                <w:bCs w:val="0"/>
                <w:i/>
                <w:iCs/>
                <w:sz w:val="20"/>
                <w:szCs w:val="20"/>
              </w:rPr>
              <w:t>cómo</w:t>
            </w:r>
            <w:r w:rsidRPr="00F754EF">
              <w:rPr>
                <w:rFonts w:ascii="Aptos Display" w:hAnsi="Aptos Display"/>
                <w:b w:val="0"/>
                <w:bCs w:val="0"/>
                <w:sz w:val="20"/>
                <w:szCs w:val="20"/>
              </w:rPr>
              <w:t xml:space="preserve"> contribuyó </w:t>
            </w:r>
          </w:p>
        </w:tc>
        <w:tc>
          <w:tcPr>
            <w:tcW w:w="3261" w:type="dxa"/>
            <w:tcBorders>
              <w:top w:val="nil"/>
              <w:left w:val="nil"/>
              <w:bottom w:val="single" w:sz="8" w:space="0" w:color="8EAADB"/>
              <w:right w:val="nil"/>
            </w:tcBorders>
            <w:shd w:val="clear" w:color="auto" w:fill="FBE4D5"/>
            <w:vAlign w:val="center"/>
            <w:hideMark/>
          </w:tcPr>
          <w:p w14:paraId="290F211B" w14:textId="77777777" w:rsidR="000F457D" w:rsidRPr="00F754EF" w:rsidRDefault="000F457D" w:rsidP="005831BD">
            <w:pPr>
              <w:pStyle w:val="BodyText"/>
              <w:spacing w:line="240" w:lineRule="auto"/>
            </w:pPr>
            <w:r w:rsidRPr="00F754EF">
              <w:rPr>
                <w:rFonts w:ascii="Aptos Display" w:hAnsi="Aptos Display"/>
                <w:sz w:val="20"/>
                <w:szCs w:val="20"/>
              </w:rPr>
              <w:t>Moderada</w:t>
            </w:r>
            <w:r w:rsidRPr="00F754EF">
              <w:t xml:space="preserve"> </w:t>
            </w:r>
          </w:p>
          <w:p w14:paraId="4475C2E1" w14:textId="77777777" w:rsidR="000F457D" w:rsidRPr="00F754EF" w:rsidRDefault="000F457D" w:rsidP="005831BD">
            <w:pPr>
              <w:pStyle w:val="BodyText"/>
              <w:spacing w:line="240" w:lineRule="auto"/>
            </w:pPr>
            <w:r w:rsidRPr="00F754EF">
              <w:rPr>
                <w:rFonts w:ascii="Aptos Display" w:hAnsi="Aptos Display"/>
                <w:b w:val="0"/>
                <w:bCs w:val="0"/>
                <w:sz w:val="20"/>
                <w:szCs w:val="20"/>
              </w:rPr>
              <w:t>Vínculo general y no específico entre el resultado y actividades concretas de ONU Mujeres</w:t>
            </w:r>
            <w:r w:rsidRPr="00F754EF">
              <w:t xml:space="preserve"> </w:t>
            </w:r>
          </w:p>
        </w:tc>
        <w:tc>
          <w:tcPr>
            <w:tcW w:w="3407" w:type="dxa"/>
            <w:tcBorders>
              <w:top w:val="nil"/>
              <w:left w:val="nil"/>
              <w:bottom w:val="single" w:sz="8" w:space="0" w:color="8EAADB"/>
              <w:right w:val="single" w:sz="8" w:space="0" w:color="8EAADB"/>
            </w:tcBorders>
            <w:shd w:val="clear" w:color="auto" w:fill="C0103E"/>
            <w:vAlign w:val="center"/>
            <w:hideMark/>
          </w:tcPr>
          <w:p w14:paraId="74C202CF" w14:textId="17B4ABE8" w:rsidR="000F457D" w:rsidRPr="00F754EF" w:rsidRDefault="00F564BB" w:rsidP="005831BD">
            <w:pPr>
              <w:pStyle w:val="BodyText"/>
              <w:spacing w:line="240" w:lineRule="auto"/>
            </w:pPr>
            <w:r w:rsidRPr="00F754EF">
              <w:rPr>
                <w:rFonts w:ascii="Aptos Display" w:hAnsi="Aptos Display"/>
                <w:color w:val="FFFFFF"/>
                <w:sz w:val="20"/>
                <w:szCs w:val="20"/>
              </w:rPr>
              <w:t>Baja</w:t>
            </w:r>
            <w:r w:rsidR="000F457D" w:rsidRPr="00F754EF">
              <w:t xml:space="preserve"> </w:t>
            </w:r>
          </w:p>
          <w:p w14:paraId="51F2AD91" w14:textId="77777777" w:rsidR="000F457D" w:rsidRPr="00F754EF" w:rsidRDefault="000F457D" w:rsidP="005831BD">
            <w:pPr>
              <w:pStyle w:val="BodyText"/>
              <w:spacing w:line="240" w:lineRule="auto"/>
            </w:pPr>
            <w:r w:rsidRPr="00F754EF">
              <w:rPr>
                <w:rFonts w:ascii="Aptos Display" w:hAnsi="Aptos Display"/>
                <w:b w:val="0"/>
                <w:bCs w:val="0"/>
                <w:color w:val="FFFFFF"/>
                <w:sz w:val="20"/>
                <w:szCs w:val="20"/>
              </w:rPr>
              <w:t>Vínculo entre el resultado y la actividad de ONU Mujeres poco claro, explicación limitada de cómo la actividad apoyó el cambio</w:t>
            </w:r>
            <w:r w:rsidRPr="00F754EF">
              <w:t xml:space="preserve"> </w:t>
            </w:r>
          </w:p>
        </w:tc>
      </w:tr>
      <w:tr w:rsidR="0016311C" w:rsidRPr="00F754EF" w14:paraId="0EC1501E" w14:textId="77777777">
        <w:trPr>
          <w:trHeight w:val="61"/>
        </w:trPr>
        <w:tc>
          <w:tcPr>
            <w:tcW w:w="10060" w:type="dxa"/>
            <w:gridSpan w:val="3"/>
            <w:tcBorders>
              <w:top w:val="nil"/>
              <w:left w:val="single" w:sz="8" w:space="0" w:color="8EAADB"/>
              <w:bottom w:val="single" w:sz="8" w:space="0" w:color="8EAADB"/>
              <w:right w:val="single" w:sz="8" w:space="0" w:color="8EAADB"/>
            </w:tcBorders>
            <w:vAlign w:val="center"/>
          </w:tcPr>
          <w:p w14:paraId="14BC16BF" w14:textId="12CAC3B0" w:rsidR="0016311C" w:rsidRPr="00F754EF" w:rsidRDefault="0016311C" w:rsidP="005831BD">
            <w:pPr>
              <w:pStyle w:val="BodyText"/>
              <w:spacing w:line="240" w:lineRule="auto"/>
              <w:rPr>
                <w:rFonts w:ascii="Aptos Display" w:hAnsi="Aptos Display"/>
                <w:color w:val="FFFFFF"/>
                <w:sz w:val="20"/>
                <w:szCs w:val="20"/>
              </w:rPr>
            </w:pPr>
            <w:r w:rsidRPr="00F754EF">
              <w:rPr>
                <w:rFonts w:ascii="Aptos Display" w:hAnsi="Aptos Display"/>
                <w:sz w:val="20"/>
                <w:szCs w:val="20"/>
              </w:rPr>
              <w:t>Contribución de otros factores</w:t>
            </w:r>
            <w:r w:rsidRPr="00F754EF">
              <w:t xml:space="preserve"> </w:t>
            </w:r>
            <w:r w:rsidRPr="00F754EF">
              <w:rPr>
                <w:rFonts w:ascii="Aptos Display" w:hAnsi="Aptos Display"/>
                <w:b w:val="0"/>
                <w:bCs w:val="0"/>
                <w:sz w:val="20"/>
                <w:szCs w:val="20"/>
              </w:rPr>
              <w:t>(el rol de actores externos, condiciones contextuales y tendencias preexistentes para producir resultados observados),</w:t>
            </w:r>
            <w:r w:rsidRPr="00F754EF">
              <w:t xml:space="preserve"> </w:t>
            </w:r>
            <w:r w:rsidRPr="00F754EF">
              <w:rPr>
                <w:rFonts w:ascii="Aptos Display" w:hAnsi="Aptos Display"/>
                <w:sz w:val="20"/>
                <w:szCs w:val="20"/>
              </w:rPr>
              <w:t>prueba de los supuestos de la teoría de cambio</w:t>
            </w:r>
            <w:r w:rsidRPr="00F754EF">
              <w:t xml:space="preserve"> </w:t>
            </w:r>
            <w:r w:rsidRPr="00F754EF">
              <w:rPr>
                <w:rFonts w:ascii="Aptos Display" w:hAnsi="Aptos Display"/>
                <w:b w:val="0"/>
                <w:bCs w:val="0"/>
                <w:sz w:val="20"/>
                <w:szCs w:val="20"/>
              </w:rPr>
              <w:t>(si los mecanismos causales y las condiciones contextuales asumidas se cumplieron en la práctica).</w:t>
            </w:r>
          </w:p>
        </w:tc>
      </w:tr>
    </w:tbl>
    <w:p w14:paraId="71B5153D" w14:textId="31A0411B" w:rsidR="000F457D" w:rsidRPr="00F754EF" w:rsidRDefault="000F457D" w:rsidP="005831BD">
      <w:pPr>
        <w:pStyle w:val="Heading2"/>
        <w:rPr>
          <w:rFonts w:eastAsia="Times New Roman"/>
          <w:lang w:val="es-ES"/>
        </w:rPr>
      </w:pPr>
      <w:bookmarkStart w:id="29" w:name="_Toc233830041"/>
      <w:r w:rsidRPr="00F754EF">
        <w:rPr>
          <w:rStyle w:val="normaltextrun"/>
          <w:rFonts w:eastAsia="Times New Roman"/>
          <w:lang w:val="es-ES"/>
        </w:rPr>
        <w:t xml:space="preserve">3.2 </w:t>
      </w:r>
      <w:r w:rsidR="00CA0053">
        <w:rPr>
          <w:rStyle w:val="normaltextrun"/>
          <w:rFonts w:eastAsia="Times New Roman"/>
          <w:lang w:val="es-ES"/>
        </w:rPr>
        <w:t>Recolección de datos</w:t>
      </w:r>
      <w:r w:rsidRPr="00F754EF">
        <w:rPr>
          <w:rStyle w:val="normaltextrun"/>
          <w:rFonts w:eastAsia="Times New Roman"/>
          <w:lang w:val="es-ES"/>
        </w:rPr>
        <w:t xml:space="preserve"> </w:t>
      </w:r>
      <w:bookmarkEnd w:id="29"/>
    </w:p>
    <w:p w14:paraId="19E9C305" w14:textId="77777777" w:rsidR="00A92E82" w:rsidRPr="00F754EF" w:rsidRDefault="00A92E82" w:rsidP="005831BD">
      <w:pPr>
        <w:spacing w:line="240" w:lineRule="auto"/>
        <w:rPr>
          <w:rFonts w:ascii="Aptos Display" w:hAnsi="Aptos Display"/>
          <w:b/>
          <w:bCs/>
          <w:color w:val="4472C4"/>
        </w:rPr>
        <w:sectPr w:rsidR="00A92E82" w:rsidRPr="00F754EF" w:rsidSect="00371CB2">
          <w:type w:val="continuous"/>
          <w:pgSz w:w="12240" w:h="15840"/>
          <w:pgMar w:top="1440" w:right="1080" w:bottom="1440" w:left="1080" w:header="720" w:footer="252" w:gutter="0"/>
          <w:cols w:space="720"/>
          <w:docGrid w:linePitch="360"/>
        </w:sectPr>
      </w:pPr>
    </w:p>
    <w:p w14:paraId="4AFCBE9E" w14:textId="6BEE6F2A" w:rsidR="000F457D" w:rsidRPr="00F754EF" w:rsidRDefault="00CA0053" w:rsidP="005831BD">
      <w:pPr>
        <w:spacing w:line="240" w:lineRule="auto"/>
      </w:pPr>
      <w:r>
        <w:rPr>
          <w:rFonts w:ascii="Aptos Display" w:hAnsi="Aptos Display"/>
          <w:b/>
          <w:bCs/>
          <w:color w:val="4472C4"/>
        </w:rPr>
        <w:t>La recolección</w:t>
      </w:r>
      <w:r w:rsidRPr="00F754EF">
        <w:rPr>
          <w:rFonts w:ascii="Aptos Display" w:hAnsi="Aptos Display"/>
          <w:b/>
          <w:bCs/>
          <w:color w:val="4472C4"/>
        </w:rPr>
        <w:t xml:space="preserve"> </w:t>
      </w:r>
      <w:r w:rsidR="000F457D" w:rsidRPr="00F754EF">
        <w:rPr>
          <w:rFonts w:ascii="Aptos Display" w:hAnsi="Aptos Display"/>
          <w:b/>
          <w:bCs/>
          <w:color w:val="4472C4"/>
        </w:rPr>
        <w:t>de datos primaria</w:t>
      </w:r>
      <w:r w:rsidR="000F457D" w:rsidRPr="00F754EF">
        <w:rPr>
          <w:b/>
          <w:bCs/>
        </w:rPr>
        <w:t xml:space="preserve"> </w:t>
      </w:r>
      <w:r w:rsidR="000F457D" w:rsidRPr="00F754EF">
        <w:rPr>
          <w:rFonts w:ascii="Aptos Display" w:hAnsi="Aptos Display"/>
        </w:rPr>
        <w:t>se realizó principalmente mediante métodos virtuales por motivos de tiempo y recursos.</w:t>
      </w:r>
    </w:p>
    <w:p w14:paraId="5D299E2B" w14:textId="5A2BDE4B" w:rsidR="000F457D" w:rsidRPr="00F754EF" w:rsidRDefault="000F457D" w:rsidP="005831BD">
      <w:pPr>
        <w:spacing w:line="240" w:lineRule="auto"/>
      </w:pPr>
      <w:r w:rsidRPr="00F754EF">
        <w:rPr>
          <w:rFonts w:ascii="Aptos Display" w:hAnsi="Aptos Display"/>
        </w:rPr>
        <w:t>La evaluación realizó entrevistas semiestructuradas con 42 informantes clave de cinco grupos: personal de ONU Mujeres Ecuador (11); contrapartes gubernamentales nacionales y subnacionales (11); socios de agencias del sistema de la ONU (7); organizaciones de la sociedad civil, incluidas socias implementadoras y miembros del grupo de referencia (9); beneficiarias (1); y donantes y representantes de desarrollo internacional (3). De los 4</w:t>
      </w:r>
      <w:r w:rsidR="0092689E" w:rsidRPr="00F754EF">
        <w:rPr>
          <w:rFonts w:ascii="Aptos Display" w:hAnsi="Aptos Display"/>
        </w:rPr>
        <w:t>2</w:t>
      </w:r>
      <w:r w:rsidRPr="00F754EF">
        <w:rPr>
          <w:rFonts w:ascii="Aptos Display" w:hAnsi="Aptos Display"/>
        </w:rPr>
        <w:t xml:space="preserve"> informantes, 3</w:t>
      </w:r>
      <w:r w:rsidR="00CC46C4" w:rsidRPr="00F754EF">
        <w:rPr>
          <w:rFonts w:ascii="Aptos Display" w:hAnsi="Aptos Display"/>
        </w:rPr>
        <w:t>8</w:t>
      </w:r>
      <w:r w:rsidRPr="00F754EF">
        <w:rPr>
          <w:rFonts w:ascii="Aptos Display" w:hAnsi="Aptos Display"/>
        </w:rPr>
        <w:t xml:space="preserve"> eran mujeres y 4 hombres. La lista anonimizada de entrevistados se incluye en el Anexo 3. Los protocolos de entrevista están en el Anexo 8.</w:t>
      </w:r>
    </w:p>
    <w:p w14:paraId="78453F07" w14:textId="3A0B229F" w:rsidR="000F457D" w:rsidRPr="00F754EF" w:rsidRDefault="00A92E82" w:rsidP="00FE4976">
      <w:pPr>
        <w:autoSpaceDE/>
        <w:spacing w:line="240" w:lineRule="auto"/>
      </w:pPr>
      <w:r w:rsidRPr="00F754EF">
        <w:rPr>
          <w:rFonts w:ascii="Aptos Display" w:hAnsi="Aptos Display"/>
        </w:rPr>
        <w:t>P</w:t>
      </w:r>
      <w:r w:rsidR="000F457D" w:rsidRPr="00F754EF">
        <w:rPr>
          <w:rFonts w:ascii="Aptos Display" w:hAnsi="Aptos Display"/>
        </w:rPr>
        <w:t>ara seleccionar estos informantes clave se utilizó una estrategia de muestreo intencional para garantizar:</w:t>
      </w:r>
      <w:r w:rsidR="005012C9" w:rsidRPr="00F754EF">
        <w:t xml:space="preserve"> </w:t>
      </w:r>
      <w:r w:rsidR="000F457D" w:rsidRPr="00F754EF">
        <w:rPr>
          <w:rFonts w:ascii="Aptos Display" w:hAnsi="Aptos Display"/>
        </w:rPr>
        <w:t xml:space="preserve">Representación en </w:t>
      </w:r>
      <w:r w:rsidR="000F457D" w:rsidRPr="00F754EF">
        <w:rPr>
          <w:rFonts w:ascii="Aptos Display" w:hAnsi="Aptos Display"/>
          <w:b/>
          <w:bCs/>
        </w:rPr>
        <w:t>entrevistas con informantes clave</w:t>
      </w:r>
      <w:r w:rsidR="000F457D" w:rsidRPr="00F754EF">
        <w:rPr>
          <w:rFonts w:ascii="Aptos Display" w:hAnsi="Aptos Display"/>
        </w:rPr>
        <w:t xml:space="preserve"> de diferentes provincias (Cuenca, Quito, Guayaquil e Imbabura). Mezcla de partes interesadas involucradas durante todo el periodo de la Nota Estratégica (2023–2026) y en fases previas.</w:t>
      </w:r>
      <w:r w:rsidR="000F457D" w:rsidRPr="00F754EF">
        <w:rPr>
          <w:b/>
          <w:bCs/>
        </w:rPr>
        <w:t xml:space="preserve"> </w:t>
      </w:r>
      <w:r w:rsidR="000F457D" w:rsidRPr="00F754EF">
        <w:rPr>
          <w:rFonts w:ascii="Aptos Display" w:hAnsi="Aptos Display"/>
        </w:rPr>
        <w:t xml:space="preserve">Inclusión de partes interesadas que pudieran aportar visiones tanto de apoyo como críticas sobre el trabajo </w:t>
      </w:r>
      <w:r w:rsidR="000F457D" w:rsidRPr="00F754EF">
        <w:rPr>
          <w:rFonts w:ascii="Aptos Display" w:hAnsi="Aptos Display"/>
        </w:rPr>
        <w:t>de ONU Mujeres.</w:t>
      </w:r>
      <w:r w:rsidR="00FE4976" w:rsidRPr="00F754EF">
        <w:rPr>
          <w:rFonts w:ascii="Aptos Display" w:hAnsi="Aptos Display"/>
        </w:rPr>
        <w:t xml:space="preserve"> </w:t>
      </w:r>
      <w:r w:rsidR="000F457D" w:rsidRPr="00F754EF">
        <w:rPr>
          <w:rFonts w:ascii="Aptos Display" w:hAnsi="Aptos Display"/>
        </w:rPr>
        <w:t>Un miembro del equipo de evaluación realizó una visita de observación de dos días a Quito en marzo de 2026 para observar actividades de la Oficina de País de Ecuador con Organizaciones de la Sociedad Civil, otras agencias de la ONU y socios del sector privado. El resumen de esta visita está incluido como Anexo 10.</w:t>
      </w:r>
    </w:p>
    <w:p w14:paraId="138FEE1A" w14:textId="352B8D9A" w:rsidR="000F457D" w:rsidRPr="00F754EF" w:rsidRDefault="00CA0053" w:rsidP="005831BD">
      <w:pPr>
        <w:spacing w:line="240" w:lineRule="auto"/>
      </w:pPr>
      <w:r>
        <w:rPr>
          <w:rFonts w:ascii="Aptos Display" w:hAnsi="Aptos Display"/>
          <w:b/>
          <w:bCs/>
          <w:color w:val="4472C4"/>
        </w:rPr>
        <w:t>Recolección</w:t>
      </w:r>
      <w:r w:rsidRPr="00F754EF">
        <w:rPr>
          <w:rFonts w:ascii="Aptos Display" w:hAnsi="Aptos Display"/>
          <w:b/>
          <w:bCs/>
          <w:color w:val="4472C4"/>
        </w:rPr>
        <w:t xml:space="preserve"> </w:t>
      </w:r>
      <w:r w:rsidR="000F457D" w:rsidRPr="00F754EF">
        <w:rPr>
          <w:rFonts w:ascii="Aptos Display" w:hAnsi="Aptos Display"/>
          <w:b/>
          <w:bCs/>
          <w:color w:val="4472C4"/>
        </w:rPr>
        <w:t>de datos secundaria</w:t>
      </w:r>
      <w:r w:rsidR="000F457D" w:rsidRPr="00F754EF">
        <w:rPr>
          <w:b/>
          <w:bCs/>
        </w:rPr>
        <w:t xml:space="preserve"> </w:t>
      </w:r>
      <w:r w:rsidR="000F457D" w:rsidRPr="00F754EF">
        <w:rPr>
          <w:rFonts w:ascii="Aptos Display" w:hAnsi="Aptos Display"/>
          <w:color w:val="4472C4"/>
        </w:rPr>
        <w:t xml:space="preserve"> </w:t>
      </w:r>
    </w:p>
    <w:p w14:paraId="13AE06FB" w14:textId="33DE001D" w:rsidR="000F457D" w:rsidRPr="00F754EF" w:rsidRDefault="000F457D" w:rsidP="005831BD">
      <w:pPr>
        <w:spacing w:line="240" w:lineRule="auto"/>
      </w:pPr>
      <w:r w:rsidRPr="00F754EF">
        <w:rPr>
          <w:rFonts w:ascii="Aptos Display" w:hAnsi="Aptos Display"/>
        </w:rPr>
        <w:t>Se realizó una revisión exhaustiva de la documentación de la Nota Estratégica, planes de trabajo anuales e informes narrativos, documentos de programa, informes de donantes, evaluaciones previas y marcos UNSDCF. También se examinó la evaluación en curso del UNSDCF donde había hallazgos disponibles dentro del periodo de evaluación. La lista completa de documentos revisados está en el Anexo 2.</w:t>
      </w:r>
    </w:p>
    <w:p w14:paraId="0A00F3E1" w14:textId="77777777" w:rsidR="00A92E82" w:rsidRPr="00F754EF" w:rsidRDefault="000F457D" w:rsidP="00FE4976">
      <w:pPr>
        <w:spacing w:line="240" w:lineRule="auto"/>
        <w:rPr>
          <w:rFonts w:ascii="Aptos Display" w:hAnsi="Aptos Display"/>
        </w:rPr>
      </w:pPr>
      <w:r w:rsidRPr="00F754EF">
        <w:rPr>
          <w:rFonts w:ascii="Aptos Display" w:hAnsi="Aptos Display"/>
        </w:rPr>
        <w:t>Se analizaron las asignaciones presupuestarias y las tendencias de gasto por resultados, productos y categorías de coste para 2023-2025, utilizando datos financieros RMS y registros institucionales (sistema Quantum de ONU Mujeres).</w:t>
      </w:r>
    </w:p>
    <w:p w14:paraId="37EB5515" w14:textId="47EF81E5" w:rsidR="00FE4976" w:rsidRPr="00F754EF" w:rsidRDefault="00FE4976" w:rsidP="00FE4976">
      <w:pPr>
        <w:spacing w:line="240" w:lineRule="auto"/>
        <w:rPr>
          <w:rStyle w:val="normaltextrun"/>
        </w:rPr>
        <w:sectPr w:rsidR="00FE4976" w:rsidRPr="00F754EF" w:rsidSect="00A92E82">
          <w:type w:val="continuous"/>
          <w:pgSz w:w="12240" w:h="15840"/>
          <w:pgMar w:top="1440" w:right="1080" w:bottom="1440" w:left="1080" w:header="720" w:footer="252" w:gutter="0"/>
          <w:cols w:num="2" w:space="720"/>
          <w:docGrid w:linePitch="360"/>
        </w:sectPr>
      </w:pPr>
    </w:p>
    <w:p w14:paraId="3F980898" w14:textId="77777777" w:rsidR="008A39A2" w:rsidRPr="00F754EF" w:rsidRDefault="008A39A2" w:rsidP="008A39A2">
      <w:pPr>
        <w:rPr>
          <w:rStyle w:val="normaltextrun"/>
          <w:rFonts w:eastAsia="Times New Roman"/>
        </w:rPr>
      </w:pPr>
    </w:p>
    <w:p w14:paraId="5F6EA7C2" w14:textId="443BA790" w:rsidR="000F457D" w:rsidRPr="00F754EF" w:rsidRDefault="000F457D" w:rsidP="005831BD">
      <w:pPr>
        <w:pStyle w:val="Heading2"/>
        <w:rPr>
          <w:rFonts w:eastAsia="Times New Roman"/>
          <w:lang w:val="es-ES"/>
        </w:rPr>
      </w:pPr>
      <w:bookmarkStart w:id="30" w:name="_Toc233830042"/>
      <w:r w:rsidRPr="00F754EF">
        <w:rPr>
          <w:rStyle w:val="normaltextrun"/>
          <w:rFonts w:eastAsia="Times New Roman"/>
          <w:lang w:val="es-ES"/>
        </w:rPr>
        <w:t>3.3 Análisis de datos</w:t>
      </w:r>
      <w:bookmarkEnd w:id="30"/>
      <w:r w:rsidRPr="00F754EF">
        <w:rPr>
          <w:rStyle w:val="normaltextrun"/>
          <w:rFonts w:eastAsia="Times New Roman"/>
          <w:lang w:val="es-ES"/>
        </w:rPr>
        <w:t xml:space="preserve"> </w:t>
      </w:r>
    </w:p>
    <w:p w14:paraId="0F970955" w14:textId="77777777" w:rsidR="00B55080" w:rsidRPr="00F754EF" w:rsidRDefault="00B55080" w:rsidP="005831BD">
      <w:pPr>
        <w:spacing w:line="240" w:lineRule="auto"/>
        <w:rPr>
          <w:rFonts w:ascii="Aptos Display" w:hAnsi="Aptos Display"/>
          <w:b/>
          <w:bCs/>
          <w:i/>
          <w:iCs/>
          <w:color w:val="1F4E79"/>
        </w:rPr>
        <w:sectPr w:rsidR="00B55080" w:rsidRPr="00F754EF" w:rsidSect="00371CB2">
          <w:type w:val="continuous"/>
          <w:pgSz w:w="12240" w:h="15840"/>
          <w:pgMar w:top="1440" w:right="1080" w:bottom="1440" w:left="1080" w:header="720" w:footer="252" w:gutter="0"/>
          <w:cols w:space="720"/>
          <w:docGrid w:linePitch="360"/>
        </w:sectPr>
      </w:pPr>
    </w:p>
    <w:p w14:paraId="6E564441" w14:textId="08D77CF1" w:rsidR="000F457D" w:rsidRPr="00F754EF" w:rsidRDefault="000F457D" w:rsidP="005831BD">
      <w:pPr>
        <w:spacing w:line="240" w:lineRule="auto"/>
      </w:pPr>
      <w:r w:rsidRPr="00F754EF">
        <w:rPr>
          <w:rFonts w:ascii="Aptos Display" w:hAnsi="Aptos Display"/>
        </w:rPr>
        <w:lastRenderedPageBreak/>
        <w:t xml:space="preserve">La evaluación empleó un proceso sistemático de análisis cualitativo utilizando el </w:t>
      </w:r>
      <w:r w:rsidRPr="00F754EF">
        <w:rPr>
          <w:rFonts w:ascii="Aptos Display" w:hAnsi="Aptos Display"/>
          <w:b/>
          <w:bCs/>
        </w:rPr>
        <w:t xml:space="preserve">software </w:t>
      </w:r>
      <w:proofErr w:type="spellStart"/>
      <w:r w:rsidRPr="00F754EF">
        <w:rPr>
          <w:rFonts w:ascii="Aptos Display" w:hAnsi="Aptos Display"/>
          <w:b/>
          <w:bCs/>
        </w:rPr>
        <w:t>Atlas.ti</w:t>
      </w:r>
      <w:proofErr w:type="spellEnd"/>
      <w:r w:rsidRPr="00F754EF">
        <w:rPr>
          <w:rFonts w:ascii="Aptos Display" w:hAnsi="Aptos Display"/>
        </w:rPr>
        <w:t xml:space="preserve"> para sintetizar diversas líneas de evidencia en hallazgos. Las transcripciones de entrevistas y extractos de documentos fueron </w:t>
      </w:r>
      <w:r w:rsidR="00FE4A26" w:rsidRPr="00F754EF">
        <w:rPr>
          <w:rFonts w:ascii="Aptos Display" w:hAnsi="Aptos Display"/>
        </w:rPr>
        <w:t>codificadas</w:t>
      </w:r>
      <w:r w:rsidRPr="00F754EF">
        <w:rPr>
          <w:rFonts w:ascii="Aptos Display" w:hAnsi="Aptos Display"/>
        </w:rPr>
        <w:t xml:space="preserve"> usando enfoques tanto </w:t>
      </w:r>
      <w:r w:rsidRPr="00F754EF">
        <w:rPr>
          <w:rFonts w:ascii="Aptos Display" w:hAnsi="Aptos Display"/>
          <w:b/>
          <w:bCs/>
        </w:rPr>
        <w:t>deductivos</w:t>
      </w:r>
      <w:r w:rsidRPr="00F754EF">
        <w:rPr>
          <w:rFonts w:ascii="Aptos Display" w:hAnsi="Aptos Display"/>
        </w:rPr>
        <w:t xml:space="preserve"> como </w:t>
      </w:r>
      <w:r w:rsidR="00ED6499" w:rsidRPr="00F754EF">
        <w:rPr>
          <w:rFonts w:ascii="Aptos Display" w:hAnsi="Aptos Display"/>
          <w:b/>
          <w:bCs/>
        </w:rPr>
        <w:t>inductivos</w:t>
      </w:r>
      <w:r w:rsidR="00ED6499" w:rsidRPr="00F754EF">
        <w:rPr>
          <w:rFonts w:ascii="Aptos Display" w:hAnsi="Aptos Display"/>
        </w:rPr>
        <w:t>.</w:t>
      </w:r>
      <w:r w:rsidRPr="00F754EF">
        <w:rPr>
          <w:rFonts w:ascii="Aptos Display" w:hAnsi="Aptos Display"/>
        </w:rPr>
        <w:t xml:space="preserve"> Los códigos deductivos se derivaron de las preguntas de evaluación, criterios OCDE-CAD y elementos de la teoría de cambio, mientras que los códigos inductivos capturaron temas emergentes identificados durante la lectura iterativa de los datos. </w:t>
      </w:r>
    </w:p>
    <w:p w14:paraId="7E856167" w14:textId="77777777" w:rsidR="000F457D" w:rsidRPr="00F754EF" w:rsidRDefault="000F457D" w:rsidP="005831BD">
      <w:pPr>
        <w:spacing w:line="240" w:lineRule="auto"/>
      </w:pPr>
      <w:r w:rsidRPr="00F754EF">
        <w:rPr>
          <w:rFonts w:ascii="Aptos Display" w:hAnsi="Aptos Display"/>
        </w:rPr>
        <w:t xml:space="preserve">Los datos codificados se organizaron temáticamente y se analizaron bajo una </w:t>
      </w:r>
      <w:r w:rsidRPr="00F754EF">
        <w:rPr>
          <w:rFonts w:ascii="Aptos Display" w:hAnsi="Aptos Display"/>
          <w:b/>
          <w:bCs/>
        </w:rPr>
        <w:t>perspectiva de género e interseccionalidad</w:t>
      </w:r>
      <w:r w:rsidRPr="00F754EF">
        <w:rPr>
          <w:rFonts w:ascii="Aptos Display" w:hAnsi="Aptos Display"/>
        </w:rPr>
        <w:t xml:space="preserve"> para examinar cómo varían los </w:t>
      </w:r>
      <w:r w:rsidRPr="00F754EF">
        <w:rPr>
          <w:rFonts w:ascii="Aptos Display" w:hAnsi="Aptos Display"/>
        </w:rPr>
        <w:t xml:space="preserve">resultados. Para cada resultado de la Nota Estratégica, la evidencia se evaluó sistemáticamente utilizando el Marco de Análisis de Contribución presentado en la Tabla 3, calificando tanto la solidez de la evidencia de logro como la de la contribución de ONU Mujeres. </w:t>
      </w:r>
    </w:p>
    <w:p w14:paraId="7F5AE32E" w14:textId="180E5670" w:rsidR="000F457D" w:rsidRPr="00F754EF" w:rsidRDefault="000F457D" w:rsidP="003C024B">
      <w:pPr>
        <w:spacing w:line="240" w:lineRule="auto"/>
        <w:rPr>
          <w:rFonts w:eastAsia="Times New Roman"/>
        </w:rPr>
      </w:pPr>
      <w:r w:rsidRPr="00F754EF">
        <w:rPr>
          <w:rFonts w:ascii="Aptos Display" w:hAnsi="Aptos Display"/>
        </w:rPr>
        <w:t xml:space="preserve">Más allá de la recogida de datos diversos, la evaluación </w:t>
      </w:r>
      <w:r w:rsidRPr="00F754EF">
        <w:rPr>
          <w:rFonts w:ascii="Aptos Display" w:hAnsi="Aptos Display"/>
          <w:b/>
          <w:bCs/>
        </w:rPr>
        <w:t xml:space="preserve">operacionalizó la triangulación como una estrategia analítica </w:t>
      </w:r>
      <w:r w:rsidR="00B22849" w:rsidRPr="00F754EF">
        <w:rPr>
          <w:rFonts w:ascii="Aptos Display" w:hAnsi="Aptos Display"/>
          <w:b/>
          <w:bCs/>
        </w:rPr>
        <w:t>deliberada</w:t>
      </w:r>
      <w:r w:rsidR="00B22849" w:rsidRPr="00F754EF">
        <w:rPr>
          <w:rFonts w:ascii="Aptos Display" w:hAnsi="Aptos Display"/>
        </w:rPr>
        <w:t>.</w:t>
      </w:r>
      <w:r w:rsidRPr="00F754EF">
        <w:rPr>
          <w:rFonts w:ascii="Aptos Display" w:hAnsi="Aptos Display"/>
        </w:rPr>
        <w:t xml:space="preserve"> </w:t>
      </w:r>
    </w:p>
    <w:p w14:paraId="5CCA6B32" w14:textId="77777777" w:rsidR="000F457D" w:rsidRPr="00F754EF" w:rsidRDefault="000F457D" w:rsidP="005831BD">
      <w:pPr>
        <w:spacing w:line="240" w:lineRule="auto"/>
      </w:pPr>
      <w:r w:rsidRPr="00F754EF">
        <w:rPr>
          <w:rFonts w:ascii="Aptos Display" w:hAnsi="Aptos Display"/>
        </w:rPr>
        <w:t>Las discrepancias se exploraron como posibles fuentes de información sobre dinámicas de poder, asimetrías de información o variaciones contextuales, en vez de ser simplemente reconciliadas.</w:t>
      </w:r>
    </w:p>
    <w:p w14:paraId="304DC17F" w14:textId="77777777" w:rsidR="00B55080" w:rsidRPr="00F754EF" w:rsidRDefault="00B55080" w:rsidP="005831BD">
      <w:pPr>
        <w:pStyle w:val="Heading2"/>
        <w:rPr>
          <w:rStyle w:val="normaltextrun"/>
          <w:rFonts w:eastAsia="Times New Roman"/>
          <w:lang w:val="es-ES"/>
        </w:rPr>
        <w:sectPr w:rsidR="00B55080" w:rsidRPr="00F754EF" w:rsidSect="00B55080">
          <w:type w:val="continuous"/>
          <w:pgSz w:w="12240" w:h="15840"/>
          <w:pgMar w:top="1440" w:right="1080" w:bottom="1440" w:left="1080" w:header="720" w:footer="252" w:gutter="0"/>
          <w:cols w:num="2" w:space="720"/>
          <w:docGrid w:linePitch="360"/>
        </w:sectPr>
      </w:pPr>
    </w:p>
    <w:p w14:paraId="5C7F575F" w14:textId="77777777" w:rsidR="000F457D" w:rsidRPr="00F754EF" w:rsidRDefault="000F457D" w:rsidP="005831BD">
      <w:pPr>
        <w:pStyle w:val="Heading2"/>
        <w:rPr>
          <w:rFonts w:eastAsia="Times New Roman"/>
          <w:lang w:val="es-ES"/>
        </w:rPr>
      </w:pPr>
      <w:bookmarkStart w:id="31" w:name="_Toc233830043"/>
      <w:r w:rsidRPr="00F754EF">
        <w:rPr>
          <w:rStyle w:val="normaltextrun"/>
          <w:rFonts w:eastAsia="Times New Roman"/>
          <w:lang w:val="es-ES"/>
        </w:rPr>
        <w:t>3.4 Ética</w:t>
      </w:r>
      <w:bookmarkEnd w:id="31"/>
      <w:r w:rsidRPr="00F754EF">
        <w:rPr>
          <w:rStyle w:val="normaltextrun"/>
          <w:rFonts w:eastAsia="Times New Roman"/>
          <w:lang w:val="es-ES"/>
        </w:rPr>
        <w:t xml:space="preserve"> </w:t>
      </w:r>
    </w:p>
    <w:p w14:paraId="5E1AFFC4" w14:textId="77777777" w:rsidR="00C04615" w:rsidRPr="00F754EF" w:rsidRDefault="00C04615" w:rsidP="005831BD">
      <w:pPr>
        <w:spacing w:line="240" w:lineRule="auto"/>
        <w:rPr>
          <w:rFonts w:ascii="Aptos Display" w:hAnsi="Aptos Display"/>
        </w:rPr>
        <w:sectPr w:rsidR="00C04615" w:rsidRPr="00F754EF" w:rsidSect="00371CB2">
          <w:type w:val="continuous"/>
          <w:pgSz w:w="12240" w:h="15840"/>
          <w:pgMar w:top="1440" w:right="1080" w:bottom="1440" w:left="1080" w:header="720" w:footer="252" w:gutter="0"/>
          <w:cols w:space="720"/>
          <w:docGrid w:linePitch="360"/>
        </w:sectPr>
      </w:pPr>
    </w:p>
    <w:p w14:paraId="1C47BB2B" w14:textId="40C7E5C9" w:rsidR="000F457D" w:rsidRPr="00F754EF" w:rsidRDefault="000F457D" w:rsidP="005831BD">
      <w:pPr>
        <w:spacing w:line="240" w:lineRule="auto"/>
      </w:pPr>
      <w:r w:rsidRPr="00F754EF">
        <w:rPr>
          <w:rFonts w:ascii="Aptos Display" w:hAnsi="Aptos Display"/>
        </w:rPr>
        <w:t xml:space="preserve">La evaluación se llevó a cabo en plena alineación con las Normas y Estándares de UNEG (2016) </w:t>
      </w:r>
      <w:r w:rsidRPr="00F754EF">
        <w:rPr>
          <w:rStyle w:val="FootnoteReference"/>
          <w:rFonts w:ascii="Aptos Display" w:hAnsi="Aptos Display"/>
        </w:rPr>
        <w:t>[</w:t>
      </w:r>
      <w:r w:rsidR="00AF12B5" w:rsidRPr="00F754EF">
        <w:rPr>
          <w:rStyle w:val="FootnoteReference"/>
          <w:rFonts w:ascii="Aptos Display" w:hAnsi="Aptos Display"/>
        </w:rPr>
        <w:footnoteReference w:id="27"/>
      </w:r>
      <w:r w:rsidRPr="00F754EF">
        <w:rPr>
          <w:rStyle w:val="FootnoteReference"/>
          <w:rFonts w:ascii="Aptos Display" w:hAnsi="Aptos Display"/>
        </w:rPr>
        <w:t xml:space="preserve">] </w:t>
      </w:r>
      <w:r w:rsidRPr="00F754EF">
        <w:rPr>
          <w:rFonts w:ascii="Aptos Display" w:hAnsi="Aptos Display"/>
        </w:rPr>
        <w:t xml:space="preserve">, las Directrices Éticas de UNEG (2020) </w:t>
      </w:r>
      <w:r w:rsidRPr="00F754EF">
        <w:rPr>
          <w:rStyle w:val="FootnoteReference"/>
          <w:rFonts w:ascii="Aptos Display" w:hAnsi="Aptos Display"/>
        </w:rPr>
        <w:t>[</w:t>
      </w:r>
      <w:r w:rsidR="00AB3FDE" w:rsidRPr="00F754EF">
        <w:rPr>
          <w:rStyle w:val="FootnoteReference"/>
          <w:rFonts w:ascii="Aptos Display" w:hAnsi="Aptos Display"/>
        </w:rPr>
        <w:footnoteReference w:id="28"/>
      </w:r>
      <w:r w:rsidRPr="00F754EF">
        <w:rPr>
          <w:rStyle w:val="FootnoteReference"/>
          <w:rFonts w:ascii="Aptos Display" w:hAnsi="Aptos Display"/>
        </w:rPr>
        <w:t xml:space="preserve">] </w:t>
      </w:r>
      <w:r w:rsidRPr="00F754EF">
        <w:rPr>
          <w:rFonts w:ascii="Aptos Display" w:hAnsi="Aptos Display"/>
        </w:rPr>
        <w:t xml:space="preserve">, y la Política y Manual de Evaluación de ONU Mujeres </w:t>
      </w:r>
      <w:r w:rsidRPr="00F754EF">
        <w:rPr>
          <w:rStyle w:val="FootnoteReference"/>
          <w:rFonts w:ascii="Aptos Display" w:hAnsi="Aptos Display"/>
        </w:rPr>
        <w:t>[</w:t>
      </w:r>
      <w:r w:rsidR="000935C8" w:rsidRPr="00F754EF">
        <w:rPr>
          <w:rStyle w:val="FootnoteReference"/>
          <w:rFonts w:ascii="Aptos Display" w:hAnsi="Aptos Display"/>
        </w:rPr>
        <w:footnoteReference w:id="29"/>
      </w:r>
      <w:r w:rsidRPr="00F754EF">
        <w:rPr>
          <w:rStyle w:val="FootnoteReference"/>
          <w:rFonts w:ascii="Aptos Display" w:hAnsi="Aptos Display"/>
        </w:rPr>
        <w:t xml:space="preserve">] </w:t>
      </w:r>
      <w:r w:rsidRPr="00F754EF">
        <w:rPr>
          <w:rFonts w:ascii="Aptos Display" w:hAnsi="Aptos Display"/>
        </w:rPr>
        <w:t xml:space="preserve">, guiándose por principios de integridad, inclusión, transparencia y respeto a los derechos humanos. </w:t>
      </w:r>
    </w:p>
    <w:p w14:paraId="3BC58497" w14:textId="77777777" w:rsidR="000F457D" w:rsidRPr="00F754EF" w:rsidRDefault="000F457D" w:rsidP="005831BD">
      <w:pPr>
        <w:spacing w:line="240" w:lineRule="auto"/>
      </w:pPr>
      <w:r w:rsidRPr="00F754EF">
        <w:rPr>
          <w:rFonts w:ascii="Aptos Display" w:hAnsi="Aptos Display"/>
        </w:rPr>
        <w:t>Se obtuvo el consentimiento informado de todos los participantes antes de su intervención en las entrevistas con informantes clave. Al inicio de cada sesión, se informó a los participantes sobre el propósito de la evaluación, el carácter voluntario de su participación, su derecho a retirarse en cualquier momento y las medidas de confidencialidad aplicadas. No se grabaron sesiones sin acuerdo explícito.</w:t>
      </w:r>
    </w:p>
    <w:p w14:paraId="237C5A04" w14:textId="3C462128" w:rsidR="000F457D" w:rsidRPr="00F754EF" w:rsidRDefault="000F457D" w:rsidP="005831BD">
      <w:pPr>
        <w:spacing w:line="240" w:lineRule="auto"/>
      </w:pPr>
      <w:r w:rsidRPr="00F754EF">
        <w:rPr>
          <w:rFonts w:ascii="Aptos Display" w:hAnsi="Aptos Display"/>
        </w:rPr>
        <w:t xml:space="preserve">La confidencialidad se mantuvo estrictamente en todo momento. No se registraron ni reportaron identificadores personales, y todos los datos se anonimizaron durante la transcripción y el análisis. Los datos se almacenaron de forma segura conforme a la Política de Seguridad de la Información de ONU </w:t>
      </w:r>
      <w:r w:rsidRPr="00F754EF">
        <w:rPr>
          <w:rFonts w:ascii="Aptos Display" w:hAnsi="Aptos Display"/>
        </w:rPr>
        <w:t xml:space="preserve">Mujeres, con acceso restringido a miembros autorizados del equipo de evaluación. </w:t>
      </w:r>
      <w:r w:rsidRPr="00F754EF">
        <w:rPr>
          <w:rStyle w:val="normaltextrun"/>
          <w:rFonts w:ascii="Aptos Display" w:hAnsi="Aptos Display"/>
        </w:rPr>
        <w:t>Un Plan de Gestión de Datos (véase Anexo 7) detalló los protocolos para la protección, almacenamiento y eliminación de datos.</w:t>
      </w:r>
      <w:r w:rsidRPr="00F754EF">
        <w:rPr>
          <w:rFonts w:ascii="Aptos Display" w:hAnsi="Aptos Display"/>
        </w:rPr>
        <w:t xml:space="preserve"> </w:t>
      </w:r>
    </w:p>
    <w:p w14:paraId="74961807" w14:textId="0F179B3B" w:rsidR="000F457D" w:rsidRPr="00F754EF" w:rsidRDefault="000F457D" w:rsidP="005831BD">
      <w:pPr>
        <w:spacing w:line="240" w:lineRule="auto"/>
      </w:pPr>
      <w:r w:rsidRPr="00F754EF">
        <w:rPr>
          <w:rFonts w:ascii="Aptos Display" w:hAnsi="Aptos Display"/>
          <w:b/>
          <w:bCs/>
          <w:i/>
          <w:iCs/>
          <w:color w:val="1F4E79"/>
        </w:rPr>
        <w:t>Uso de Inteligencia Artificial (IA)</w:t>
      </w:r>
      <w:r w:rsidRPr="00F754EF">
        <w:rPr>
          <w:b/>
          <w:bCs/>
          <w:i/>
          <w:iCs/>
        </w:rPr>
        <w:t xml:space="preserve"> </w:t>
      </w:r>
    </w:p>
    <w:p w14:paraId="3D24B6CF" w14:textId="78B368C2" w:rsidR="000F457D" w:rsidRPr="00F754EF" w:rsidRDefault="000F457D" w:rsidP="005831BD">
      <w:pPr>
        <w:spacing w:line="240" w:lineRule="auto"/>
      </w:pPr>
      <w:r w:rsidRPr="00F754EF">
        <w:rPr>
          <w:rFonts w:ascii="Aptos Display" w:hAnsi="Aptos Display"/>
        </w:rPr>
        <w:t xml:space="preserve">El equipo de evaluación utilizó herramientas de IA para apoyar la gestión y síntesis de grandes volúmenes de datos cualitativos, específicamente para resumir documentos de programa, identificar patrones temáticos en transcripciones de entrevistas para validación por codificadores humanos y organizar evidencia entre fuentes. Todos los resultados de IA fueron revisados </w:t>
      </w:r>
      <w:r w:rsidR="009464FB" w:rsidRPr="00F754EF">
        <w:rPr>
          <w:rFonts w:ascii="Aptos Display" w:hAnsi="Aptos Display"/>
        </w:rPr>
        <w:t>crítica y sustancialmente</w:t>
      </w:r>
      <w:r w:rsidRPr="00F754EF">
        <w:rPr>
          <w:rFonts w:ascii="Aptos Display" w:hAnsi="Aptos Display"/>
        </w:rPr>
        <w:t xml:space="preserve"> por el equipo de evaluación. Ninguna herramienta de IA tuvo acceso a datos confidenciales de partes interesadas ni a información personal identificable. Toda interpretación, análisis y decisiones fueron realizadas exclusivamente por evaluadores humanos. La IA fue un apoyo, no un sustituto de la experiencia del evaluador.</w:t>
      </w:r>
    </w:p>
    <w:p w14:paraId="4CD2EE2D" w14:textId="77777777" w:rsidR="00C04615" w:rsidRPr="00F754EF" w:rsidRDefault="00C04615" w:rsidP="005831BD">
      <w:pPr>
        <w:pStyle w:val="Heading2"/>
        <w:rPr>
          <w:rStyle w:val="normaltextrun"/>
          <w:rFonts w:eastAsia="Times New Roman"/>
          <w:lang w:val="es-ES"/>
        </w:rPr>
        <w:sectPr w:rsidR="00C04615" w:rsidRPr="00F754EF" w:rsidSect="00C04615">
          <w:type w:val="continuous"/>
          <w:pgSz w:w="12240" w:h="15840"/>
          <w:pgMar w:top="1440" w:right="1080" w:bottom="1440" w:left="1080" w:header="720" w:footer="252" w:gutter="0"/>
          <w:cols w:num="2" w:space="720"/>
          <w:docGrid w:linePitch="360"/>
        </w:sectPr>
      </w:pPr>
    </w:p>
    <w:p w14:paraId="4485FD30" w14:textId="5EEC65A5" w:rsidR="000F457D" w:rsidRPr="00F754EF" w:rsidRDefault="000F457D" w:rsidP="005831BD">
      <w:pPr>
        <w:pStyle w:val="Heading2"/>
        <w:rPr>
          <w:rFonts w:eastAsia="Times New Roman"/>
          <w:lang w:val="es-ES"/>
        </w:rPr>
      </w:pPr>
      <w:bookmarkStart w:id="32" w:name="_Toc233830044"/>
      <w:r w:rsidRPr="00F754EF">
        <w:rPr>
          <w:rStyle w:val="normaltextrun"/>
          <w:rFonts w:eastAsia="Times New Roman"/>
          <w:lang w:val="es-ES"/>
        </w:rPr>
        <w:t xml:space="preserve">3.5 </w:t>
      </w:r>
      <w:r w:rsidR="006E62EE" w:rsidRPr="00F754EF">
        <w:rPr>
          <w:rStyle w:val="normaltextrun"/>
          <w:rFonts w:eastAsia="Times New Roman"/>
          <w:lang w:val="es-ES"/>
        </w:rPr>
        <w:t>Aseguramiento de c</w:t>
      </w:r>
      <w:r w:rsidRPr="00F754EF">
        <w:rPr>
          <w:rStyle w:val="normaltextrun"/>
          <w:rFonts w:eastAsia="Times New Roman"/>
          <w:lang w:val="es-ES"/>
        </w:rPr>
        <w:t>alidad de la evaluación</w:t>
      </w:r>
      <w:bookmarkEnd w:id="32"/>
      <w:r w:rsidRPr="00F754EF">
        <w:rPr>
          <w:rStyle w:val="normaltextrun"/>
          <w:rFonts w:eastAsia="Times New Roman"/>
          <w:lang w:val="es-ES"/>
        </w:rPr>
        <w:t xml:space="preserve"> </w:t>
      </w:r>
    </w:p>
    <w:p w14:paraId="116AE654" w14:textId="77777777" w:rsidR="00650E09" w:rsidRPr="00F754EF" w:rsidRDefault="00650E09" w:rsidP="005831BD">
      <w:pPr>
        <w:spacing w:line="240" w:lineRule="auto"/>
        <w:rPr>
          <w:rFonts w:ascii="Aptos Display" w:hAnsi="Aptos Display"/>
        </w:rPr>
        <w:sectPr w:rsidR="00650E09" w:rsidRPr="00F754EF" w:rsidSect="00371CB2">
          <w:type w:val="continuous"/>
          <w:pgSz w:w="12240" w:h="15840"/>
          <w:pgMar w:top="1440" w:right="1080" w:bottom="1440" w:left="1080" w:header="720" w:footer="252" w:gutter="0"/>
          <w:cols w:space="720"/>
          <w:docGrid w:linePitch="360"/>
        </w:sectPr>
      </w:pPr>
    </w:p>
    <w:p w14:paraId="67DB6F81" w14:textId="77777777" w:rsidR="000F457D" w:rsidRPr="00F754EF" w:rsidRDefault="000F457D" w:rsidP="005831BD">
      <w:pPr>
        <w:spacing w:line="240" w:lineRule="auto"/>
      </w:pPr>
      <w:r w:rsidRPr="00F754EF">
        <w:rPr>
          <w:rFonts w:ascii="Aptos Display" w:hAnsi="Aptos Display"/>
        </w:rPr>
        <w:lastRenderedPageBreak/>
        <w:t>Un Grupo de Referencia de Evaluación (ERG) compuesto por socios gubernamentales nacionales, representantes de la sociedad civil, socios del sistema de la ONU y donantes fue consultado en dos momentos clave: durante la fase de inicio para validar el alcance y la metodología de la evaluación y tras la presentación de hallazgos para aportar comentarios sustantivos sobre las conclusiones analíticas. Las aportaciones del ERG fueron documentadas y atendidas en sucesivos borradores.</w:t>
      </w:r>
    </w:p>
    <w:p w14:paraId="68519D33" w14:textId="77777777" w:rsidR="000F457D" w:rsidRPr="00F754EF" w:rsidRDefault="000F457D" w:rsidP="005831BD">
      <w:pPr>
        <w:spacing w:line="240" w:lineRule="auto"/>
      </w:pPr>
      <w:r w:rsidRPr="00F754EF">
        <w:rPr>
          <w:rFonts w:ascii="Aptos Display" w:hAnsi="Aptos Display"/>
        </w:rPr>
        <w:t xml:space="preserve">Los hallazgos preliminares también se discutieron con el equipo de la Oficina de País de Ecuador, y se </w:t>
      </w:r>
      <w:r w:rsidRPr="00F754EF">
        <w:rPr>
          <w:rFonts w:ascii="Aptos Display" w:hAnsi="Aptos Display"/>
        </w:rPr>
        <w:t>compartió un borrador inicial del informe con la Oficina de País para revisión factual antes de la finalización. La Especialista Regional de Evaluación para América Latina y el Caribe revisó el proceso de evaluación y el borrador del informe para garantizar rigor metodológico, y la Oficina Regional de Evaluación realizó una revisión interna por pares.</w:t>
      </w:r>
    </w:p>
    <w:p w14:paraId="1E08989A" w14:textId="77777777" w:rsidR="000F457D" w:rsidRPr="00F754EF" w:rsidRDefault="000F457D" w:rsidP="005831BD">
      <w:pPr>
        <w:spacing w:line="240" w:lineRule="auto"/>
      </w:pPr>
      <w:r w:rsidRPr="00F754EF">
        <w:rPr>
          <w:rFonts w:ascii="Aptos Display" w:hAnsi="Aptos Display"/>
        </w:rPr>
        <w:t>Una vez finalizado, el informe se presentará al sistema GERAAS de ONU Mujeres para calificación independiente de calidad.</w:t>
      </w:r>
    </w:p>
    <w:p w14:paraId="4D12D285" w14:textId="77777777" w:rsidR="00650E09" w:rsidRPr="00F754EF" w:rsidRDefault="00650E09" w:rsidP="005831BD">
      <w:pPr>
        <w:pStyle w:val="Heading2"/>
        <w:rPr>
          <w:rStyle w:val="normaltextrun"/>
          <w:rFonts w:eastAsia="Times New Roman"/>
          <w:lang w:val="es-ES"/>
        </w:rPr>
        <w:sectPr w:rsidR="00650E09" w:rsidRPr="00F754EF" w:rsidSect="00650E09">
          <w:type w:val="continuous"/>
          <w:pgSz w:w="12240" w:h="15840"/>
          <w:pgMar w:top="1440" w:right="1080" w:bottom="1440" w:left="1080" w:header="720" w:footer="252" w:gutter="0"/>
          <w:cols w:num="2" w:space="720"/>
          <w:docGrid w:linePitch="360"/>
        </w:sectPr>
      </w:pPr>
    </w:p>
    <w:p w14:paraId="4AD31513" w14:textId="02A2091C" w:rsidR="000F457D" w:rsidRPr="00F754EF" w:rsidRDefault="000F457D" w:rsidP="005831BD">
      <w:pPr>
        <w:pStyle w:val="Heading2"/>
        <w:rPr>
          <w:rFonts w:eastAsia="Times New Roman"/>
          <w:lang w:val="es-ES"/>
        </w:rPr>
      </w:pPr>
      <w:bookmarkStart w:id="33" w:name="_Toc233830045"/>
      <w:r w:rsidRPr="00F754EF">
        <w:rPr>
          <w:rStyle w:val="normaltextrun"/>
          <w:rFonts w:eastAsia="Times New Roman"/>
          <w:lang w:val="es-ES"/>
        </w:rPr>
        <w:t xml:space="preserve">3.6 </w:t>
      </w:r>
      <w:r w:rsidR="00604424" w:rsidRPr="00F754EF">
        <w:rPr>
          <w:rStyle w:val="normaltextrun"/>
          <w:rFonts w:eastAsia="Times New Roman"/>
          <w:lang w:val="es-ES"/>
        </w:rPr>
        <w:t>L</w:t>
      </w:r>
      <w:r w:rsidRPr="00F754EF">
        <w:rPr>
          <w:rStyle w:val="normaltextrun"/>
          <w:rFonts w:eastAsia="Times New Roman"/>
          <w:lang w:val="es-ES"/>
        </w:rPr>
        <w:t>imitaciones de la evaluación</w:t>
      </w:r>
      <w:bookmarkEnd w:id="33"/>
      <w:r w:rsidRPr="00F754EF">
        <w:rPr>
          <w:rStyle w:val="normaltextrun"/>
          <w:rFonts w:eastAsia="Times New Roman"/>
          <w:lang w:val="es-ES"/>
        </w:rPr>
        <w:t xml:space="preserve"> </w:t>
      </w:r>
    </w:p>
    <w:p w14:paraId="1EDC5E89" w14:textId="50785415" w:rsidR="000F457D" w:rsidRPr="00F754EF" w:rsidRDefault="000F457D" w:rsidP="005831BD">
      <w:pPr>
        <w:spacing w:line="240" w:lineRule="auto"/>
      </w:pPr>
      <w:r w:rsidRPr="00F754EF">
        <w:rPr>
          <w:rFonts w:ascii="Aptos Display" w:hAnsi="Aptos Display"/>
        </w:rPr>
        <w:t>El equipo de evaluación identificó varias limitaciones detalladas en la Tabla 5.</w:t>
      </w:r>
    </w:p>
    <w:p w14:paraId="07235F13" w14:textId="712EE6D2" w:rsidR="000F457D" w:rsidRPr="00F754EF" w:rsidRDefault="00167F67" w:rsidP="005831BD">
      <w:pPr>
        <w:pStyle w:val="Caption"/>
        <w:spacing w:after="120"/>
      </w:pPr>
      <w:bookmarkStart w:id="34" w:name="_Toc227279871"/>
      <w:r w:rsidRPr="00F754EF">
        <w:t xml:space="preserve">Tabla </w:t>
      </w:r>
      <w:r w:rsidRPr="00F754EF">
        <w:fldChar w:fldCharType="begin"/>
      </w:r>
      <w:r w:rsidRPr="00F754EF">
        <w:instrText xml:space="preserve"> SEQ Table \* ARABIC </w:instrText>
      </w:r>
      <w:r w:rsidRPr="00F754EF">
        <w:fldChar w:fldCharType="separate"/>
      </w:r>
      <w:r w:rsidR="004C6C83">
        <w:rPr>
          <w:noProof/>
        </w:rPr>
        <w:t>5</w:t>
      </w:r>
      <w:r w:rsidRPr="00F754EF">
        <w:fldChar w:fldCharType="end"/>
      </w:r>
      <w:r w:rsidR="000F457D" w:rsidRPr="00F754EF">
        <w:t xml:space="preserve"> Limitaciones y mitigaciones de la evaluación</w:t>
      </w:r>
      <w:bookmarkEnd w:id="34"/>
      <w:r w:rsidR="000F457D" w:rsidRPr="00F754EF">
        <w:t xml:space="preserve"> </w:t>
      </w:r>
    </w:p>
    <w:tbl>
      <w:tblPr>
        <w:tblW w:w="9899" w:type="dxa"/>
        <w:tblCellMar>
          <w:top w:w="15" w:type="dxa"/>
          <w:left w:w="15" w:type="dxa"/>
          <w:bottom w:w="15" w:type="dxa"/>
          <w:right w:w="15" w:type="dxa"/>
        </w:tblCellMar>
        <w:tblLook w:val="04A0" w:firstRow="1" w:lastRow="0" w:firstColumn="1" w:lastColumn="0" w:noHBand="0" w:noVBand="1"/>
      </w:tblPr>
      <w:tblGrid>
        <w:gridCol w:w="2684"/>
        <w:gridCol w:w="3543"/>
        <w:gridCol w:w="3672"/>
      </w:tblGrid>
      <w:tr w:rsidR="000F457D" w:rsidRPr="00F754EF" w14:paraId="1F7EA66F" w14:textId="77777777" w:rsidTr="00180400">
        <w:tc>
          <w:tcPr>
            <w:tcW w:w="2684" w:type="dxa"/>
            <w:tcBorders>
              <w:top w:val="single" w:sz="8" w:space="0" w:color="CCCCCC"/>
              <w:left w:val="single" w:sz="8" w:space="0" w:color="CCCCCC"/>
              <w:bottom w:val="single" w:sz="8" w:space="0" w:color="CCCCCC"/>
              <w:right w:val="single" w:sz="8" w:space="0" w:color="CCCCCC"/>
            </w:tcBorders>
            <w:shd w:val="clear" w:color="auto" w:fill="1F4E79"/>
            <w:vAlign w:val="center"/>
            <w:hideMark/>
          </w:tcPr>
          <w:p w14:paraId="7303234E" w14:textId="77777777" w:rsidR="000F457D" w:rsidRPr="00F754EF" w:rsidRDefault="000F457D" w:rsidP="00604424">
            <w:pPr>
              <w:spacing w:after="0" w:line="240" w:lineRule="auto"/>
              <w:rPr>
                <w:sz w:val="18"/>
                <w:szCs w:val="18"/>
              </w:rPr>
            </w:pPr>
            <w:r w:rsidRPr="00F754EF">
              <w:rPr>
                <w:rFonts w:ascii="Aptos Display" w:hAnsi="Aptos Display"/>
                <w:b/>
                <w:bCs/>
                <w:color w:val="FFFFFF"/>
                <w:sz w:val="18"/>
                <w:szCs w:val="18"/>
              </w:rPr>
              <w:t>Limitación</w:t>
            </w:r>
            <w:r w:rsidRPr="00F754EF">
              <w:rPr>
                <w:b/>
                <w:bCs/>
                <w:sz w:val="18"/>
                <w:szCs w:val="18"/>
              </w:rPr>
              <w:t xml:space="preserve"> </w:t>
            </w:r>
          </w:p>
        </w:tc>
        <w:tc>
          <w:tcPr>
            <w:tcW w:w="3543" w:type="dxa"/>
            <w:tcBorders>
              <w:top w:val="single" w:sz="8" w:space="0" w:color="CCCCCC"/>
              <w:left w:val="nil"/>
              <w:bottom w:val="single" w:sz="8" w:space="0" w:color="CCCCCC"/>
              <w:right w:val="single" w:sz="8" w:space="0" w:color="CCCCCC"/>
            </w:tcBorders>
            <w:shd w:val="clear" w:color="auto" w:fill="1F4E79"/>
            <w:vAlign w:val="center"/>
            <w:hideMark/>
          </w:tcPr>
          <w:p w14:paraId="5A6E6B82" w14:textId="77777777" w:rsidR="000F457D" w:rsidRPr="00F754EF" w:rsidRDefault="000F457D" w:rsidP="00604424">
            <w:pPr>
              <w:spacing w:after="0" w:line="240" w:lineRule="auto"/>
              <w:rPr>
                <w:sz w:val="18"/>
                <w:szCs w:val="18"/>
              </w:rPr>
            </w:pPr>
            <w:r w:rsidRPr="00F754EF">
              <w:rPr>
                <w:rFonts w:ascii="Aptos Display" w:hAnsi="Aptos Display"/>
                <w:b/>
                <w:bCs/>
                <w:color w:val="FFFFFF"/>
                <w:sz w:val="18"/>
                <w:szCs w:val="18"/>
              </w:rPr>
              <w:t>Descripción</w:t>
            </w:r>
            <w:r w:rsidRPr="00F754EF">
              <w:rPr>
                <w:b/>
                <w:bCs/>
                <w:sz w:val="18"/>
                <w:szCs w:val="18"/>
              </w:rPr>
              <w:t xml:space="preserve"> </w:t>
            </w:r>
          </w:p>
        </w:tc>
        <w:tc>
          <w:tcPr>
            <w:tcW w:w="3672" w:type="dxa"/>
            <w:tcBorders>
              <w:top w:val="single" w:sz="8" w:space="0" w:color="CCCCCC"/>
              <w:left w:val="nil"/>
              <w:bottom w:val="single" w:sz="8" w:space="0" w:color="CCCCCC"/>
              <w:right w:val="single" w:sz="8" w:space="0" w:color="CCCCCC"/>
            </w:tcBorders>
            <w:shd w:val="clear" w:color="auto" w:fill="1F4E79"/>
            <w:vAlign w:val="center"/>
            <w:hideMark/>
          </w:tcPr>
          <w:p w14:paraId="591F43F3" w14:textId="77777777" w:rsidR="000F457D" w:rsidRPr="00F754EF" w:rsidRDefault="000F457D" w:rsidP="00604424">
            <w:pPr>
              <w:spacing w:after="0" w:line="240" w:lineRule="auto"/>
              <w:rPr>
                <w:sz w:val="18"/>
                <w:szCs w:val="18"/>
              </w:rPr>
            </w:pPr>
            <w:r w:rsidRPr="00F754EF">
              <w:rPr>
                <w:rFonts w:ascii="Aptos Display" w:hAnsi="Aptos Display"/>
                <w:b/>
                <w:bCs/>
                <w:color w:val="FFFFFF"/>
                <w:sz w:val="18"/>
                <w:szCs w:val="18"/>
              </w:rPr>
              <w:t>Mitigación</w:t>
            </w:r>
            <w:r w:rsidRPr="00F754EF">
              <w:rPr>
                <w:b/>
                <w:bCs/>
                <w:sz w:val="18"/>
                <w:szCs w:val="18"/>
              </w:rPr>
              <w:t xml:space="preserve"> </w:t>
            </w:r>
          </w:p>
        </w:tc>
      </w:tr>
      <w:tr w:rsidR="003437E6" w:rsidRPr="00F754EF" w14:paraId="386672DC" w14:textId="77777777" w:rsidTr="00CE79A3">
        <w:tc>
          <w:tcPr>
            <w:tcW w:w="9899" w:type="dxa"/>
            <w:gridSpan w:val="3"/>
            <w:tcBorders>
              <w:top w:val="single" w:sz="8" w:space="0" w:color="CCCCCC"/>
              <w:left w:val="single" w:sz="8" w:space="0" w:color="CCCCCC"/>
              <w:bottom w:val="single" w:sz="8" w:space="0" w:color="CCCCCC"/>
              <w:right w:val="single" w:sz="8" w:space="0" w:color="CCCCCC"/>
            </w:tcBorders>
            <w:vAlign w:val="center"/>
          </w:tcPr>
          <w:p w14:paraId="174475C3" w14:textId="0127E3D3" w:rsidR="003437E6" w:rsidRPr="00F754EF" w:rsidRDefault="003437E6" w:rsidP="00604424">
            <w:pPr>
              <w:spacing w:after="0" w:line="240" w:lineRule="auto"/>
              <w:rPr>
                <w:rFonts w:ascii="Aptos Display" w:hAnsi="Aptos Display"/>
                <w:b/>
                <w:bCs/>
                <w:color w:val="FFFFFF"/>
                <w:sz w:val="18"/>
                <w:szCs w:val="18"/>
              </w:rPr>
            </w:pPr>
            <w:r w:rsidRPr="00F754EF">
              <w:rPr>
                <w:rFonts w:ascii="Aptos Display" w:eastAsia="Arial" w:hAnsi="Aptos Display" w:cs="Arial"/>
                <w:b/>
                <w:bCs/>
                <w:color w:val="1F4E79"/>
                <w:sz w:val="18"/>
                <w:szCs w:val="18"/>
              </w:rPr>
              <w:t>Limitaciones estructurales y contextuales</w:t>
            </w:r>
          </w:p>
        </w:tc>
      </w:tr>
      <w:tr w:rsidR="000F457D" w:rsidRPr="00F754EF" w14:paraId="6C0B97A7" w14:textId="77777777" w:rsidTr="00180400">
        <w:tc>
          <w:tcPr>
            <w:tcW w:w="2684" w:type="dxa"/>
            <w:tcBorders>
              <w:top w:val="nil"/>
              <w:left w:val="single" w:sz="8" w:space="0" w:color="CCCCCC"/>
              <w:bottom w:val="single" w:sz="8" w:space="0" w:color="CCCCCC"/>
              <w:right w:val="single" w:sz="8" w:space="0" w:color="CCCCCC"/>
            </w:tcBorders>
            <w:shd w:val="clear" w:color="auto" w:fill="FFFFFF"/>
            <w:vAlign w:val="center"/>
            <w:hideMark/>
          </w:tcPr>
          <w:p w14:paraId="40310EA7" w14:textId="77777777" w:rsidR="000F457D" w:rsidRPr="00F754EF" w:rsidRDefault="000F457D" w:rsidP="00604424">
            <w:pPr>
              <w:spacing w:after="0" w:line="240" w:lineRule="auto"/>
              <w:rPr>
                <w:sz w:val="18"/>
                <w:szCs w:val="18"/>
              </w:rPr>
            </w:pPr>
            <w:r w:rsidRPr="00F754EF">
              <w:rPr>
                <w:rFonts w:ascii="Aptos Display" w:hAnsi="Aptos Display"/>
                <w:b/>
                <w:bCs/>
                <w:sz w:val="18"/>
                <w:szCs w:val="18"/>
              </w:rPr>
              <w:t>Acceso a partes interesadas políticas</w:t>
            </w:r>
            <w:r w:rsidRPr="00F754EF">
              <w:rPr>
                <w:b/>
                <w:bCs/>
                <w:sz w:val="18"/>
                <w:szCs w:val="18"/>
              </w:rPr>
              <w:t xml:space="preserve"> </w:t>
            </w:r>
          </w:p>
        </w:tc>
        <w:tc>
          <w:tcPr>
            <w:tcW w:w="3543" w:type="dxa"/>
            <w:tcBorders>
              <w:top w:val="nil"/>
              <w:left w:val="nil"/>
              <w:bottom w:val="single" w:sz="8" w:space="0" w:color="CCCCCC"/>
              <w:right w:val="single" w:sz="8" w:space="0" w:color="CCCCCC"/>
            </w:tcBorders>
            <w:shd w:val="clear" w:color="auto" w:fill="FFFFFF"/>
            <w:vAlign w:val="center"/>
            <w:hideMark/>
          </w:tcPr>
          <w:p w14:paraId="350BE593" w14:textId="77777777" w:rsidR="000F457D" w:rsidRPr="00F754EF" w:rsidRDefault="000F457D" w:rsidP="00604424">
            <w:pPr>
              <w:spacing w:after="0" w:line="240" w:lineRule="auto"/>
              <w:rPr>
                <w:sz w:val="18"/>
                <w:szCs w:val="18"/>
              </w:rPr>
            </w:pPr>
            <w:r w:rsidRPr="00F754EF">
              <w:rPr>
                <w:rFonts w:ascii="Aptos Display" w:hAnsi="Aptos Display"/>
                <w:sz w:val="18"/>
                <w:szCs w:val="18"/>
              </w:rPr>
              <w:t>La alta rotación de contrapartes en instituciones nacionales del gobierno actual limitó el acceso a algunas partes interesadas y pudo afectar la disposición a hablar abiertamente sobre temas sensibles.</w:t>
            </w:r>
            <w:r w:rsidRPr="00F754EF">
              <w:rPr>
                <w:sz w:val="18"/>
                <w:szCs w:val="18"/>
              </w:rPr>
              <w:t xml:space="preserve"> </w:t>
            </w:r>
          </w:p>
        </w:tc>
        <w:tc>
          <w:tcPr>
            <w:tcW w:w="3672" w:type="dxa"/>
            <w:tcBorders>
              <w:top w:val="nil"/>
              <w:left w:val="nil"/>
              <w:bottom w:val="single" w:sz="8" w:space="0" w:color="CCCCCC"/>
              <w:right w:val="single" w:sz="8" w:space="0" w:color="CCCCCC"/>
            </w:tcBorders>
            <w:shd w:val="clear" w:color="auto" w:fill="FFFFFF"/>
            <w:vAlign w:val="center"/>
            <w:hideMark/>
          </w:tcPr>
          <w:p w14:paraId="24730821" w14:textId="77777777" w:rsidR="000F457D" w:rsidRPr="00F754EF" w:rsidRDefault="000F457D" w:rsidP="00604424">
            <w:pPr>
              <w:spacing w:after="0" w:line="240" w:lineRule="auto"/>
              <w:rPr>
                <w:sz w:val="18"/>
                <w:szCs w:val="18"/>
              </w:rPr>
            </w:pPr>
            <w:r w:rsidRPr="00F754EF">
              <w:rPr>
                <w:rFonts w:ascii="Aptos Display" w:hAnsi="Aptos Display"/>
                <w:sz w:val="18"/>
                <w:szCs w:val="18"/>
              </w:rPr>
              <w:t>El equipo de evaluación aplicó muestreo intencional para maximizar la cobertura entre grupos de partes interesadas y trianguló todos los hallazgos entre múltiples fuentes.</w:t>
            </w:r>
            <w:r w:rsidRPr="00F754EF">
              <w:rPr>
                <w:sz w:val="18"/>
                <w:szCs w:val="18"/>
              </w:rPr>
              <w:t xml:space="preserve"> </w:t>
            </w:r>
          </w:p>
        </w:tc>
      </w:tr>
      <w:tr w:rsidR="000F457D" w:rsidRPr="00F754EF" w14:paraId="700CEBD0" w14:textId="77777777" w:rsidTr="00180400">
        <w:tc>
          <w:tcPr>
            <w:tcW w:w="2684" w:type="dxa"/>
            <w:tcBorders>
              <w:top w:val="nil"/>
              <w:left w:val="single" w:sz="8" w:space="0" w:color="CCCCCC"/>
              <w:bottom w:val="single" w:sz="8" w:space="0" w:color="CCCCCC"/>
              <w:right w:val="single" w:sz="8" w:space="0" w:color="CCCCCC"/>
            </w:tcBorders>
            <w:shd w:val="clear" w:color="auto" w:fill="F5F9FD"/>
            <w:vAlign w:val="center"/>
            <w:hideMark/>
          </w:tcPr>
          <w:p w14:paraId="13C5CE51" w14:textId="77777777" w:rsidR="000F457D" w:rsidRPr="00F754EF" w:rsidRDefault="000F457D" w:rsidP="00604424">
            <w:pPr>
              <w:spacing w:after="0" w:line="240" w:lineRule="auto"/>
              <w:rPr>
                <w:sz w:val="18"/>
                <w:szCs w:val="18"/>
              </w:rPr>
            </w:pPr>
            <w:r w:rsidRPr="00F754EF">
              <w:rPr>
                <w:rFonts w:ascii="Aptos Display" w:hAnsi="Aptos Display"/>
                <w:b/>
                <w:bCs/>
                <w:sz w:val="18"/>
                <w:szCs w:val="18"/>
              </w:rPr>
              <w:t>Documentación de programa incompleta</w:t>
            </w:r>
            <w:r w:rsidRPr="00F754EF">
              <w:rPr>
                <w:b/>
                <w:bCs/>
                <w:sz w:val="18"/>
                <w:szCs w:val="18"/>
              </w:rPr>
              <w:t xml:space="preserve"> </w:t>
            </w:r>
          </w:p>
        </w:tc>
        <w:tc>
          <w:tcPr>
            <w:tcW w:w="3543" w:type="dxa"/>
            <w:tcBorders>
              <w:top w:val="nil"/>
              <w:left w:val="nil"/>
              <w:bottom w:val="single" w:sz="8" w:space="0" w:color="CCCCCC"/>
              <w:right w:val="single" w:sz="8" w:space="0" w:color="CCCCCC"/>
            </w:tcBorders>
            <w:shd w:val="clear" w:color="auto" w:fill="F5F9FD"/>
            <w:vAlign w:val="center"/>
            <w:hideMark/>
          </w:tcPr>
          <w:p w14:paraId="2688BB97" w14:textId="77777777" w:rsidR="000F457D" w:rsidRPr="00F754EF" w:rsidRDefault="000F457D" w:rsidP="00604424">
            <w:pPr>
              <w:spacing w:after="0" w:line="240" w:lineRule="auto"/>
              <w:rPr>
                <w:sz w:val="18"/>
                <w:szCs w:val="18"/>
              </w:rPr>
            </w:pPr>
            <w:r w:rsidRPr="00F754EF">
              <w:rPr>
                <w:rFonts w:ascii="Aptos Display" w:hAnsi="Aptos Display"/>
                <w:sz w:val="18"/>
                <w:szCs w:val="18"/>
              </w:rPr>
              <w:t>La documentación de algunas iniciativas del portafolio era incompleta o no estaba disponible durante la recogida de datos.</w:t>
            </w:r>
            <w:r w:rsidRPr="00F754EF">
              <w:rPr>
                <w:sz w:val="18"/>
                <w:szCs w:val="18"/>
              </w:rPr>
              <w:t xml:space="preserve"> </w:t>
            </w:r>
          </w:p>
        </w:tc>
        <w:tc>
          <w:tcPr>
            <w:tcW w:w="3672" w:type="dxa"/>
            <w:tcBorders>
              <w:top w:val="nil"/>
              <w:left w:val="nil"/>
              <w:bottom w:val="single" w:sz="8" w:space="0" w:color="CCCCCC"/>
              <w:right w:val="single" w:sz="8" w:space="0" w:color="CCCCCC"/>
            </w:tcBorders>
            <w:shd w:val="clear" w:color="auto" w:fill="F5F9FD"/>
            <w:vAlign w:val="center"/>
            <w:hideMark/>
          </w:tcPr>
          <w:p w14:paraId="6691523D" w14:textId="77777777" w:rsidR="000F457D" w:rsidRPr="00F754EF" w:rsidRDefault="000F457D" w:rsidP="00604424">
            <w:pPr>
              <w:spacing w:after="0" w:line="240" w:lineRule="auto"/>
              <w:rPr>
                <w:sz w:val="18"/>
                <w:szCs w:val="18"/>
              </w:rPr>
            </w:pPr>
            <w:r w:rsidRPr="00F754EF">
              <w:rPr>
                <w:rFonts w:ascii="Aptos Display" w:hAnsi="Aptos Display"/>
                <w:sz w:val="18"/>
                <w:szCs w:val="18"/>
              </w:rPr>
              <w:t>El equipo realizó entrevistas adicionales con personal de programa para reconstruir procesos de implementación y utilizó informes de donantes y documentación de socios cuando estaba disponible.</w:t>
            </w:r>
            <w:r w:rsidRPr="00F754EF">
              <w:rPr>
                <w:sz w:val="18"/>
                <w:szCs w:val="18"/>
              </w:rPr>
              <w:t xml:space="preserve"> </w:t>
            </w:r>
          </w:p>
        </w:tc>
      </w:tr>
      <w:tr w:rsidR="00CE79A3" w:rsidRPr="00F754EF" w14:paraId="6A8B19D0" w14:textId="77777777">
        <w:tc>
          <w:tcPr>
            <w:tcW w:w="9899" w:type="dxa"/>
            <w:gridSpan w:val="3"/>
            <w:tcBorders>
              <w:top w:val="nil"/>
              <w:left w:val="single" w:sz="8" w:space="0" w:color="CCCCCC"/>
              <w:bottom w:val="single" w:sz="8" w:space="0" w:color="CCCCCC"/>
              <w:right w:val="single" w:sz="8" w:space="0" w:color="CCCCCC"/>
            </w:tcBorders>
            <w:shd w:val="clear" w:color="auto" w:fill="F5F9FD"/>
            <w:vAlign w:val="center"/>
          </w:tcPr>
          <w:p w14:paraId="7E35A1BF" w14:textId="226EB792" w:rsidR="00CE79A3" w:rsidRPr="00F754EF" w:rsidRDefault="00CE79A3" w:rsidP="00604424">
            <w:pPr>
              <w:spacing w:after="0" w:line="240" w:lineRule="auto"/>
              <w:rPr>
                <w:rFonts w:ascii="Aptos Display" w:hAnsi="Aptos Display"/>
                <w:sz w:val="18"/>
                <w:szCs w:val="18"/>
              </w:rPr>
            </w:pPr>
            <w:r w:rsidRPr="00F754EF">
              <w:rPr>
                <w:rFonts w:ascii="Aptos Display" w:hAnsi="Aptos Display"/>
                <w:b/>
                <w:bCs/>
                <w:color w:val="1F4E79"/>
                <w:sz w:val="18"/>
                <w:szCs w:val="18"/>
              </w:rPr>
              <w:t>Limitaciones metodológicas</w:t>
            </w:r>
          </w:p>
        </w:tc>
      </w:tr>
      <w:tr w:rsidR="000F457D" w:rsidRPr="00F754EF" w14:paraId="72BA9C38" w14:textId="77777777" w:rsidTr="00180400">
        <w:tc>
          <w:tcPr>
            <w:tcW w:w="2684" w:type="dxa"/>
            <w:tcBorders>
              <w:top w:val="nil"/>
              <w:left w:val="single" w:sz="8" w:space="0" w:color="CCCCCC"/>
              <w:bottom w:val="single" w:sz="8" w:space="0" w:color="CCCCCC"/>
              <w:right w:val="single" w:sz="8" w:space="0" w:color="CCCCCC"/>
            </w:tcBorders>
            <w:shd w:val="clear" w:color="auto" w:fill="FFFFFF"/>
            <w:vAlign w:val="center"/>
            <w:hideMark/>
          </w:tcPr>
          <w:p w14:paraId="1B020A4A" w14:textId="77777777" w:rsidR="000F457D" w:rsidRPr="00F754EF" w:rsidRDefault="000F457D" w:rsidP="00604424">
            <w:pPr>
              <w:spacing w:after="0" w:line="240" w:lineRule="auto"/>
              <w:rPr>
                <w:sz w:val="18"/>
                <w:szCs w:val="18"/>
              </w:rPr>
            </w:pPr>
            <w:r w:rsidRPr="00F754EF">
              <w:rPr>
                <w:rFonts w:ascii="Aptos Display" w:hAnsi="Aptos Display"/>
                <w:b/>
                <w:bCs/>
                <w:sz w:val="18"/>
                <w:szCs w:val="18"/>
              </w:rPr>
              <w:t>Atribución en programación conjunta</w:t>
            </w:r>
            <w:r w:rsidRPr="00F754EF">
              <w:rPr>
                <w:b/>
                <w:bCs/>
                <w:sz w:val="18"/>
                <w:szCs w:val="18"/>
              </w:rPr>
              <w:t xml:space="preserve"> </w:t>
            </w:r>
          </w:p>
        </w:tc>
        <w:tc>
          <w:tcPr>
            <w:tcW w:w="3543" w:type="dxa"/>
            <w:tcBorders>
              <w:top w:val="nil"/>
              <w:left w:val="nil"/>
              <w:bottom w:val="single" w:sz="8" w:space="0" w:color="CCCCCC"/>
              <w:right w:val="single" w:sz="8" w:space="0" w:color="CCCCCC"/>
            </w:tcBorders>
            <w:shd w:val="clear" w:color="auto" w:fill="FFFFFF"/>
            <w:vAlign w:val="center"/>
            <w:hideMark/>
          </w:tcPr>
          <w:p w14:paraId="38517114" w14:textId="77777777" w:rsidR="000F457D" w:rsidRPr="00F754EF" w:rsidRDefault="000F457D" w:rsidP="00604424">
            <w:pPr>
              <w:spacing w:after="0" w:line="240" w:lineRule="auto"/>
              <w:rPr>
                <w:sz w:val="18"/>
                <w:szCs w:val="18"/>
              </w:rPr>
            </w:pPr>
            <w:r w:rsidRPr="00F754EF">
              <w:rPr>
                <w:rFonts w:ascii="Aptos Display" w:hAnsi="Aptos Display"/>
                <w:sz w:val="18"/>
                <w:szCs w:val="18"/>
              </w:rPr>
              <w:t>La prevalencia de programas conjuntos e intervenciones con múltiples actores dificulta aislar la contribución específica de ONU Mujeres a los resultados observados.</w:t>
            </w:r>
            <w:r w:rsidRPr="00F754EF">
              <w:rPr>
                <w:sz w:val="18"/>
                <w:szCs w:val="18"/>
              </w:rPr>
              <w:t xml:space="preserve"> </w:t>
            </w:r>
          </w:p>
        </w:tc>
        <w:tc>
          <w:tcPr>
            <w:tcW w:w="3672" w:type="dxa"/>
            <w:tcBorders>
              <w:top w:val="nil"/>
              <w:left w:val="nil"/>
              <w:bottom w:val="single" w:sz="8" w:space="0" w:color="CCCCCC"/>
              <w:right w:val="single" w:sz="8" w:space="0" w:color="CCCCCC"/>
            </w:tcBorders>
            <w:shd w:val="clear" w:color="auto" w:fill="FFFFFF"/>
            <w:vAlign w:val="center"/>
            <w:hideMark/>
          </w:tcPr>
          <w:p w14:paraId="276BEEF3" w14:textId="39757FCB" w:rsidR="000F457D" w:rsidRPr="00F754EF" w:rsidRDefault="000F457D" w:rsidP="00604424">
            <w:pPr>
              <w:spacing w:after="0" w:line="240" w:lineRule="auto"/>
              <w:rPr>
                <w:sz w:val="18"/>
                <w:szCs w:val="18"/>
              </w:rPr>
            </w:pPr>
            <w:r w:rsidRPr="00F754EF">
              <w:rPr>
                <w:rFonts w:ascii="Aptos Display" w:hAnsi="Aptos Display"/>
                <w:sz w:val="18"/>
                <w:szCs w:val="18"/>
              </w:rPr>
              <w:t xml:space="preserve">La evaluación aborda esto mediante análisis de contribución, enfocándose en los roles, el valor añadido y las vías de influencia de ONU Mujeres, en vez de reclamar causalidad. Cuando las contribuciones son </w:t>
            </w:r>
            <w:r w:rsidR="003F5CDA" w:rsidRPr="00F754EF">
              <w:rPr>
                <w:rFonts w:ascii="Aptos Display" w:hAnsi="Aptos Display"/>
                <w:sz w:val="18"/>
                <w:szCs w:val="18"/>
              </w:rPr>
              <w:t>plausibles,</w:t>
            </w:r>
            <w:r w:rsidRPr="00F754EF">
              <w:rPr>
                <w:rFonts w:ascii="Aptos Display" w:hAnsi="Aptos Display"/>
                <w:sz w:val="18"/>
                <w:szCs w:val="18"/>
              </w:rPr>
              <w:t xml:space="preserve"> pero no definitivas, los hallazgos se presentan con la debida calificación.</w:t>
            </w:r>
            <w:r w:rsidRPr="00F754EF">
              <w:rPr>
                <w:sz w:val="18"/>
                <w:szCs w:val="18"/>
              </w:rPr>
              <w:t xml:space="preserve"> </w:t>
            </w:r>
          </w:p>
        </w:tc>
      </w:tr>
      <w:tr w:rsidR="000F457D" w:rsidRPr="00F754EF" w14:paraId="2801F0B9" w14:textId="77777777" w:rsidTr="00180400">
        <w:tc>
          <w:tcPr>
            <w:tcW w:w="2684" w:type="dxa"/>
            <w:tcBorders>
              <w:top w:val="nil"/>
              <w:left w:val="single" w:sz="8" w:space="0" w:color="CCCCCC"/>
              <w:bottom w:val="single" w:sz="8" w:space="0" w:color="CCCCCC"/>
              <w:right w:val="single" w:sz="8" w:space="0" w:color="CCCCCC"/>
            </w:tcBorders>
            <w:shd w:val="clear" w:color="auto" w:fill="F5F9FD"/>
            <w:vAlign w:val="center"/>
            <w:hideMark/>
          </w:tcPr>
          <w:p w14:paraId="7C07F62B" w14:textId="77777777" w:rsidR="000F457D" w:rsidRPr="00F754EF" w:rsidRDefault="000F457D" w:rsidP="00604424">
            <w:pPr>
              <w:spacing w:after="0" w:line="240" w:lineRule="auto"/>
              <w:rPr>
                <w:sz w:val="18"/>
                <w:szCs w:val="18"/>
              </w:rPr>
            </w:pPr>
            <w:r w:rsidRPr="00F754EF">
              <w:rPr>
                <w:rFonts w:ascii="Aptos Display" w:hAnsi="Aptos Display"/>
                <w:b/>
                <w:bCs/>
                <w:sz w:val="18"/>
                <w:szCs w:val="18"/>
              </w:rPr>
              <w:t>Cobertura parcial de datos para 2026</w:t>
            </w:r>
            <w:r w:rsidRPr="00F754EF">
              <w:rPr>
                <w:b/>
                <w:bCs/>
                <w:sz w:val="18"/>
                <w:szCs w:val="18"/>
              </w:rPr>
              <w:t xml:space="preserve"> </w:t>
            </w:r>
          </w:p>
        </w:tc>
        <w:tc>
          <w:tcPr>
            <w:tcW w:w="3543" w:type="dxa"/>
            <w:tcBorders>
              <w:top w:val="nil"/>
              <w:left w:val="nil"/>
              <w:bottom w:val="single" w:sz="8" w:space="0" w:color="CCCCCC"/>
              <w:right w:val="single" w:sz="8" w:space="0" w:color="CCCCCC"/>
            </w:tcBorders>
            <w:shd w:val="clear" w:color="auto" w:fill="F5F9FD"/>
            <w:vAlign w:val="center"/>
            <w:hideMark/>
          </w:tcPr>
          <w:p w14:paraId="587BCA21" w14:textId="77777777" w:rsidR="000F457D" w:rsidRPr="00F754EF" w:rsidRDefault="000F457D" w:rsidP="00604424">
            <w:pPr>
              <w:spacing w:after="0" w:line="240" w:lineRule="auto"/>
              <w:rPr>
                <w:sz w:val="18"/>
                <w:szCs w:val="18"/>
              </w:rPr>
            </w:pPr>
            <w:r w:rsidRPr="00F754EF">
              <w:rPr>
                <w:rFonts w:ascii="Aptos Display" w:hAnsi="Aptos Display"/>
                <w:sz w:val="18"/>
                <w:szCs w:val="18"/>
              </w:rPr>
              <w:t>La evaluación se realizó antes de concluir el ciclo de la Nota Estratégica. Los datos financieros y de resultados para 2026 solo estaban parcialmente disponibles, limitando la valoración del desempeño final del ciclo.</w:t>
            </w:r>
            <w:r w:rsidRPr="00F754EF">
              <w:rPr>
                <w:sz w:val="18"/>
                <w:szCs w:val="18"/>
              </w:rPr>
              <w:t xml:space="preserve"> </w:t>
            </w:r>
          </w:p>
        </w:tc>
        <w:tc>
          <w:tcPr>
            <w:tcW w:w="3672" w:type="dxa"/>
            <w:tcBorders>
              <w:top w:val="nil"/>
              <w:left w:val="nil"/>
              <w:bottom w:val="single" w:sz="8" w:space="0" w:color="CCCCCC"/>
              <w:right w:val="single" w:sz="8" w:space="0" w:color="CCCCCC"/>
            </w:tcBorders>
            <w:shd w:val="clear" w:color="auto" w:fill="F5F9FD"/>
            <w:vAlign w:val="center"/>
            <w:hideMark/>
          </w:tcPr>
          <w:p w14:paraId="20062D3B" w14:textId="77777777" w:rsidR="000F457D" w:rsidRPr="00F754EF" w:rsidRDefault="000F457D" w:rsidP="00604424">
            <w:pPr>
              <w:spacing w:after="0" w:line="240" w:lineRule="auto"/>
              <w:rPr>
                <w:sz w:val="18"/>
                <w:szCs w:val="18"/>
              </w:rPr>
            </w:pPr>
            <w:r w:rsidRPr="00F754EF">
              <w:rPr>
                <w:rFonts w:ascii="Aptos Display" w:hAnsi="Aptos Display"/>
                <w:sz w:val="18"/>
                <w:szCs w:val="18"/>
              </w:rPr>
              <w:t>El equipo incorporó todos los datos disponibles de 2026 y señala claramente dónde los hallazgos se basan solo en datos de 2023-2025. Una misión de observación en marzo de 2026 aportó evidencia primaria adicional para compensar parcialmente esta brecha.</w:t>
            </w:r>
            <w:r w:rsidRPr="00F754EF">
              <w:rPr>
                <w:sz w:val="18"/>
                <w:szCs w:val="18"/>
              </w:rPr>
              <w:t xml:space="preserve"> </w:t>
            </w:r>
          </w:p>
        </w:tc>
      </w:tr>
    </w:tbl>
    <w:p w14:paraId="65733F1E" w14:textId="77777777" w:rsidR="000F457D" w:rsidRPr="00F754EF" w:rsidRDefault="000F457D" w:rsidP="005831BD">
      <w:pPr>
        <w:pStyle w:val="Heading1"/>
        <w:spacing w:after="120"/>
        <w:rPr>
          <w:rStyle w:val="normaltextrun"/>
          <w:rFonts w:eastAsia="Times New Roman"/>
          <w:caps w:val="0"/>
          <w:lang w:val="es-ES"/>
        </w:rPr>
      </w:pPr>
      <w:bookmarkStart w:id="35" w:name="_Toc233830046"/>
      <w:r w:rsidRPr="00F754EF">
        <w:rPr>
          <w:rStyle w:val="normaltextrun"/>
          <w:rFonts w:eastAsia="Times New Roman"/>
          <w:caps w:val="0"/>
          <w:lang w:val="es-ES"/>
        </w:rPr>
        <w:t>SECCIÓN 4. HALLAZGOS</w:t>
      </w:r>
      <w:bookmarkEnd w:id="35"/>
      <w:r w:rsidRPr="00F754EF">
        <w:rPr>
          <w:rStyle w:val="normaltextrun"/>
          <w:rFonts w:eastAsia="Times New Roman"/>
          <w:caps w:val="0"/>
          <w:lang w:val="es-ES"/>
        </w:rPr>
        <w:t xml:space="preserve"> </w:t>
      </w:r>
    </w:p>
    <w:p w14:paraId="114949D4" w14:textId="77777777" w:rsidR="000F457D" w:rsidRPr="00F754EF" w:rsidRDefault="000F457D" w:rsidP="005831BD">
      <w:pPr>
        <w:pStyle w:val="Heading2"/>
        <w:rPr>
          <w:rFonts w:eastAsia="Times New Roman"/>
          <w:lang w:val="es-ES"/>
        </w:rPr>
      </w:pPr>
      <w:bookmarkStart w:id="36" w:name="_Toc233830047"/>
      <w:r w:rsidRPr="00F754EF">
        <w:rPr>
          <w:rFonts w:eastAsia="Times New Roman"/>
          <w:lang w:val="es-ES"/>
        </w:rPr>
        <w:t>4.1 Relevancia</w:t>
      </w:r>
      <w:bookmarkEnd w:id="36"/>
      <w:r w:rsidRPr="00F754EF">
        <w:rPr>
          <w:rFonts w:eastAsia="Times New Roman"/>
          <w:lang w:val="es-ES"/>
        </w:rPr>
        <w:t xml:space="preserve"> </w:t>
      </w:r>
    </w:p>
    <w:p w14:paraId="3827C0B7" w14:textId="77777777" w:rsidR="000F457D" w:rsidRPr="00F754EF" w:rsidRDefault="000F457D" w:rsidP="005831BD">
      <w:pPr>
        <w:spacing w:line="240" w:lineRule="auto"/>
      </w:pPr>
      <w:r w:rsidRPr="00F754EF">
        <w:rPr>
          <w:rFonts w:ascii="Aptos Display" w:hAnsi="Aptos Display"/>
          <w:b/>
          <w:bCs/>
          <w:color w:val="FF0000"/>
          <w:sz w:val="24"/>
          <w:szCs w:val="24"/>
        </w:rPr>
        <w:t xml:space="preserve">Hallazgo 1: La Nota Estratégica estuvo fuertemente alineada con las necesidades de igualdad de género en Ecuador, los marcos legales nacionales, el UNSDCF y los ODS. ONU Mujeres es </w:t>
      </w:r>
      <w:r w:rsidRPr="00F754EF">
        <w:rPr>
          <w:rFonts w:ascii="Aptos Display" w:hAnsi="Aptos Display"/>
          <w:b/>
          <w:bCs/>
          <w:color w:val="FF0000"/>
          <w:sz w:val="24"/>
          <w:szCs w:val="24"/>
        </w:rPr>
        <w:lastRenderedPageBreak/>
        <w:t>reconocida de forma constante por todos los grupos de partes interesadas como el referente técnico líder en igualdad de género en el país.</w:t>
      </w:r>
      <w:r w:rsidRPr="00F754EF">
        <w:rPr>
          <w:b/>
          <w:bCs/>
        </w:rPr>
        <w:t xml:space="preserve"> </w:t>
      </w:r>
    </w:p>
    <w:p w14:paraId="23B2725C" w14:textId="77777777" w:rsidR="00604424" w:rsidRPr="00F754EF" w:rsidRDefault="00604424" w:rsidP="005831BD">
      <w:pPr>
        <w:spacing w:line="240" w:lineRule="auto"/>
        <w:rPr>
          <w:rFonts w:ascii="Aptos Display" w:hAnsi="Aptos Display"/>
        </w:rPr>
        <w:sectPr w:rsidR="00604424" w:rsidRPr="00F754EF" w:rsidSect="00371CB2">
          <w:type w:val="continuous"/>
          <w:pgSz w:w="12240" w:h="15840"/>
          <w:pgMar w:top="1440" w:right="1080" w:bottom="1440" w:left="1080" w:header="720" w:footer="252" w:gutter="0"/>
          <w:cols w:space="720"/>
          <w:docGrid w:linePitch="360"/>
        </w:sectPr>
      </w:pPr>
    </w:p>
    <w:p w14:paraId="6818F469" w14:textId="231102F9" w:rsidR="000F457D" w:rsidRPr="00F754EF" w:rsidRDefault="000F457D" w:rsidP="005831BD">
      <w:pPr>
        <w:spacing w:line="240" w:lineRule="auto"/>
      </w:pPr>
      <w:r w:rsidRPr="00F754EF">
        <w:rPr>
          <w:rFonts w:ascii="Aptos Display" w:hAnsi="Aptos Display"/>
        </w:rPr>
        <w:t xml:space="preserve">La Nota Estratégica (NE) se elaboró mediante un proceso participativo que recurrió a tres insumos principales: un análisis de género del país, el plan estratégico global de ONU Mujeres y el UNSDCF. </w:t>
      </w:r>
      <w:r w:rsidRPr="00F754EF">
        <w:rPr>
          <w:rStyle w:val="FootnoteReference"/>
          <w:rFonts w:ascii="Aptos Display" w:hAnsi="Aptos Display"/>
        </w:rPr>
        <w:t>[</w:t>
      </w:r>
      <w:r w:rsidR="0096615D" w:rsidRPr="00F754EF">
        <w:rPr>
          <w:rStyle w:val="FootnoteReference"/>
          <w:rFonts w:ascii="Aptos Display" w:hAnsi="Aptos Display"/>
        </w:rPr>
        <w:footnoteReference w:id="30"/>
      </w:r>
      <w:r w:rsidRPr="00F754EF">
        <w:rPr>
          <w:rStyle w:val="FootnoteReference"/>
          <w:rFonts w:ascii="Aptos Display" w:hAnsi="Aptos Display"/>
        </w:rPr>
        <w:t xml:space="preserve">] </w:t>
      </w:r>
      <w:r w:rsidRPr="00F754EF">
        <w:rPr>
          <w:rFonts w:ascii="Aptos Display" w:hAnsi="Aptos Display"/>
        </w:rPr>
        <w:t xml:space="preserve">La estructura de dos resultados reflejaba directamente las prioridades de igualdad de género más urgentes y legalmente exigidas en Ecuador. El Resultado 2 (EVAWG) responde a la Ley de Prevención y Erradicación de la Violencia contra las Mujeres de 2018 </w:t>
      </w:r>
      <w:r w:rsidRPr="00F754EF">
        <w:rPr>
          <w:rStyle w:val="FootnoteReference"/>
          <w:rFonts w:ascii="Aptos Display" w:hAnsi="Aptos Display"/>
        </w:rPr>
        <w:t>[</w:t>
      </w:r>
      <w:r w:rsidR="001F0B28" w:rsidRPr="00F754EF">
        <w:rPr>
          <w:rStyle w:val="FootnoteReference"/>
          <w:rFonts w:ascii="Aptos Display" w:hAnsi="Aptos Display"/>
        </w:rPr>
        <w:footnoteReference w:id="31"/>
      </w:r>
      <w:r w:rsidRPr="00F754EF">
        <w:rPr>
          <w:rStyle w:val="FootnoteReference"/>
          <w:rFonts w:ascii="Aptos Display" w:hAnsi="Aptos Display"/>
        </w:rPr>
        <w:t xml:space="preserve">] </w:t>
      </w:r>
      <w:r w:rsidRPr="00F754EF">
        <w:rPr>
          <w:rFonts w:ascii="Aptos Display" w:hAnsi="Aptos Display"/>
        </w:rPr>
        <w:t xml:space="preserve">, que creó un marco nacional que requiere operativización institucional. El Resultado 1 (WEE) responde a la exclusión estructural del mercado laboral y a la Ley de Cuidado Humano de 2023 </w:t>
      </w:r>
      <w:r w:rsidRPr="00F754EF">
        <w:rPr>
          <w:rStyle w:val="FootnoteReference"/>
          <w:rFonts w:ascii="Aptos Display" w:hAnsi="Aptos Display"/>
        </w:rPr>
        <w:t>[</w:t>
      </w:r>
      <w:r w:rsidR="00352543" w:rsidRPr="00F754EF">
        <w:rPr>
          <w:rStyle w:val="FootnoteReference"/>
          <w:rFonts w:ascii="Aptos Display" w:hAnsi="Aptos Display"/>
        </w:rPr>
        <w:footnoteReference w:id="32"/>
      </w:r>
      <w:r w:rsidRPr="00F754EF">
        <w:rPr>
          <w:rStyle w:val="FootnoteReference"/>
          <w:rFonts w:ascii="Aptos Display" w:hAnsi="Aptos Display"/>
        </w:rPr>
        <w:t xml:space="preserve">] </w:t>
      </w:r>
      <w:r w:rsidRPr="00F754EF">
        <w:rPr>
          <w:rFonts w:ascii="Aptos Display" w:hAnsi="Aptos Display"/>
        </w:rPr>
        <w:t xml:space="preserve">, que estableció la base para un sistema nacional de cuidados. </w:t>
      </w:r>
    </w:p>
    <w:p w14:paraId="21646475" w14:textId="09130458" w:rsidR="000F457D" w:rsidRPr="00F754EF" w:rsidRDefault="000F457D" w:rsidP="005831BD">
      <w:pPr>
        <w:spacing w:line="240" w:lineRule="auto"/>
      </w:pPr>
      <w:r w:rsidRPr="00F754EF">
        <w:rPr>
          <w:rFonts w:ascii="Aptos Display" w:hAnsi="Aptos Display"/>
        </w:rPr>
        <w:t xml:space="preserve">La división de recursos 61/39 entre EVAWG y WEE reflejó la disponibilidad de financiación, especialmente el peso de lograr movilizar recursos de nuevos donantes para una segunda fase de la Iniciativa </w:t>
      </w:r>
      <w:proofErr w:type="spellStart"/>
      <w:r w:rsidRPr="00F754EF">
        <w:rPr>
          <w:rFonts w:ascii="Aptos Display" w:hAnsi="Aptos Display"/>
        </w:rPr>
        <w:t>Spotlight</w:t>
      </w:r>
      <w:proofErr w:type="spellEnd"/>
      <w:r w:rsidRPr="00F754EF">
        <w:rPr>
          <w:rFonts w:ascii="Aptos Display" w:hAnsi="Aptos Display"/>
        </w:rPr>
        <w:t xml:space="preserve">, más que el diseño estratégico. Varios actores cuestionaron si los programas de empoderamiento económico y economía del cuidado recibieron suficiente inversión </w:t>
      </w:r>
      <w:proofErr w:type="gramStart"/>
      <w:r w:rsidRPr="00F754EF">
        <w:rPr>
          <w:rFonts w:ascii="Aptos Display" w:hAnsi="Aptos Display"/>
        </w:rPr>
        <w:t>en relación al</w:t>
      </w:r>
      <w:proofErr w:type="gramEnd"/>
      <w:r w:rsidRPr="00F754EF">
        <w:rPr>
          <w:rFonts w:ascii="Aptos Display" w:hAnsi="Aptos Display"/>
        </w:rPr>
        <w:t xml:space="preserve"> peso estructural de esas brechas en Ecuador. Donantes señalaron que la programación de cooperación internacional se concentraba de forma notable en violencia, mientras que el empoderamiento económico y la participación política estaban comparativamente </w:t>
      </w:r>
      <w:proofErr w:type="spellStart"/>
      <w:r w:rsidRPr="00F754EF">
        <w:rPr>
          <w:rFonts w:ascii="Aptos Display" w:hAnsi="Aptos Display"/>
        </w:rPr>
        <w:t>subfinanciados</w:t>
      </w:r>
      <w:proofErr w:type="spellEnd"/>
      <w:r w:rsidRPr="00F754EF">
        <w:rPr>
          <w:rFonts w:ascii="Aptos Display" w:hAnsi="Aptos Display"/>
        </w:rPr>
        <w:t>.</w:t>
      </w:r>
    </w:p>
    <w:p w14:paraId="236E9048" w14:textId="747FE165" w:rsidR="000F457D" w:rsidRPr="00F754EF" w:rsidRDefault="000F457D" w:rsidP="005831BD">
      <w:pPr>
        <w:spacing w:line="240" w:lineRule="auto"/>
      </w:pPr>
      <w:r w:rsidRPr="00F754EF">
        <w:rPr>
          <w:rFonts w:ascii="Aptos Display" w:hAnsi="Aptos Display"/>
        </w:rPr>
        <w:t xml:space="preserve">La alineación con el UNSDCF fue formal y sustantiva. Los resultados de la NE se corresponden directamente con los Resultados 3 y 4 del UNSDCF. </w:t>
      </w:r>
      <w:r w:rsidRPr="00F754EF">
        <w:rPr>
          <w:rStyle w:val="FootnoteReference"/>
          <w:rFonts w:ascii="Aptos Display" w:hAnsi="Aptos Display"/>
        </w:rPr>
        <w:t>[</w:t>
      </w:r>
      <w:r w:rsidR="00B70F62" w:rsidRPr="00F754EF">
        <w:rPr>
          <w:rStyle w:val="FootnoteReference"/>
          <w:rFonts w:ascii="Aptos Display" w:hAnsi="Aptos Display"/>
        </w:rPr>
        <w:footnoteReference w:id="33"/>
      </w:r>
      <w:r w:rsidRPr="00F754EF">
        <w:rPr>
          <w:rStyle w:val="FootnoteReference"/>
          <w:rFonts w:ascii="Aptos Display" w:hAnsi="Aptos Display"/>
        </w:rPr>
        <w:t xml:space="preserve">] </w:t>
      </w:r>
      <w:r w:rsidRPr="00F754EF">
        <w:rPr>
          <w:rFonts w:ascii="Aptos Display" w:hAnsi="Aptos Display"/>
        </w:rPr>
        <w:t xml:space="preserve">La oficina lideró el desarrollo del perfil nacional de género, que la Oficina del Coordinador Residente confirma como insumo principal para el análisis país del UNSDCF. </w:t>
      </w:r>
      <w:r w:rsidRPr="00F754EF">
        <w:rPr>
          <w:rStyle w:val="FootnoteReference"/>
          <w:rFonts w:ascii="Aptos Display" w:hAnsi="Aptos Display"/>
        </w:rPr>
        <w:t>[</w:t>
      </w:r>
      <w:r w:rsidR="00E163A4" w:rsidRPr="00F754EF">
        <w:rPr>
          <w:rStyle w:val="FootnoteReference"/>
          <w:rFonts w:ascii="Aptos Display" w:hAnsi="Aptos Display"/>
        </w:rPr>
        <w:footnoteReference w:id="34"/>
      </w:r>
      <w:r w:rsidRPr="00F754EF">
        <w:rPr>
          <w:rStyle w:val="FootnoteReference"/>
          <w:rFonts w:ascii="Aptos Display" w:hAnsi="Aptos Display"/>
        </w:rPr>
        <w:t xml:space="preserve">] </w:t>
      </w:r>
      <w:r w:rsidRPr="00F754EF">
        <w:rPr>
          <w:rFonts w:ascii="Aptos Display" w:hAnsi="Aptos Display"/>
        </w:rPr>
        <w:t xml:space="preserve">Una revisión de la Oficina del Coordinador Residente halló que las contribuciones de ONU Mujeres eran visibles y bien alineadas en todo el marco de cooperación, especialmente en empoderamiento económico, sistemas de cuidado, prevención de violencia y liderazgo de mujeres. </w:t>
      </w:r>
    </w:p>
    <w:p w14:paraId="64E46450" w14:textId="77777777" w:rsidR="000F457D" w:rsidRPr="00F754EF" w:rsidRDefault="000F457D" w:rsidP="005831BD">
      <w:pPr>
        <w:spacing w:line="240" w:lineRule="auto"/>
      </w:pPr>
      <w:r w:rsidRPr="00F754EF">
        <w:rPr>
          <w:rFonts w:ascii="Aptos Display" w:hAnsi="Aptos Display"/>
        </w:rPr>
        <w:t>El posicionamiento de la oficina como referente técnico en igualdad de género es consistente entre todos los grupos de partes interesadas. Las contrapartes gubernamentales la describieron como el único socio que traduce los marcos de género y derechos humanos en herramientas operativas concretas para instituciones como la policía, y como un aliado estratégico capaz de conectar procesos institucionales nacionales con marcos normativos internacionales. Las socias de la sociedad civil describieron su aporte como técnicamente sustentado y cualitativamente distinto de otros actores de cooperación. Donantes la confirmaron como el actor más conocedor en igualdad de género dentro del sistema ONU.</w:t>
      </w:r>
    </w:p>
    <w:p w14:paraId="0FD9F6C9" w14:textId="77777777" w:rsidR="00604424" w:rsidRPr="00F754EF" w:rsidRDefault="00604424" w:rsidP="005831BD">
      <w:pPr>
        <w:spacing w:line="240" w:lineRule="auto"/>
        <w:rPr>
          <w:rFonts w:ascii="Aptos Display" w:hAnsi="Aptos Display"/>
          <w:b/>
          <w:bCs/>
          <w:i/>
          <w:iCs/>
          <w:color w:val="009CDB"/>
          <w:sz w:val="24"/>
          <w:szCs w:val="24"/>
        </w:rPr>
        <w:sectPr w:rsidR="00604424" w:rsidRPr="00F754EF" w:rsidSect="00604424">
          <w:type w:val="continuous"/>
          <w:pgSz w:w="12240" w:h="15840"/>
          <w:pgMar w:top="1440" w:right="1080" w:bottom="1440" w:left="1080" w:header="720" w:footer="252" w:gutter="0"/>
          <w:cols w:num="2" w:space="720"/>
          <w:docGrid w:linePitch="360"/>
        </w:sectPr>
      </w:pPr>
    </w:p>
    <w:p w14:paraId="15A6A001" w14:textId="77777777" w:rsidR="000F457D" w:rsidRPr="00F754EF" w:rsidRDefault="000F457D" w:rsidP="005831BD">
      <w:pPr>
        <w:spacing w:line="240" w:lineRule="auto"/>
      </w:pPr>
      <w:r w:rsidRPr="00F754EF">
        <w:rPr>
          <w:rFonts w:ascii="Aptos Display" w:hAnsi="Aptos Display"/>
          <w:b/>
          <w:bCs/>
          <w:color w:val="FF0000"/>
          <w:sz w:val="24"/>
          <w:szCs w:val="24"/>
        </w:rPr>
        <w:t>Hallazgo 2: La oficina demostró una capacidad adaptativa significativa durante un periodo de implementación inestable, ajustando de forma consistente modalidades de ejecución, alianzas y alcance programático para mantener la continuidad. Sin embargo, la adaptación fue principalmente reactiva, y dos retos emergentes —la crisis de seguridad y la violencia digital— superaron la respuesta programática de la oficina.</w:t>
      </w:r>
      <w:r w:rsidRPr="00F754EF">
        <w:rPr>
          <w:b/>
          <w:bCs/>
        </w:rPr>
        <w:t xml:space="preserve"> </w:t>
      </w:r>
    </w:p>
    <w:p w14:paraId="3496D914" w14:textId="77777777" w:rsidR="00604424" w:rsidRPr="00F754EF" w:rsidRDefault="00604424" w:rsidP="005831BD">
      <w:pPr>
        <w:spacing w:line="240" w:lineRule="auto"/>
        <w:rPr>
          <w:rFonts w:ascii="Aptos Display" w:hAnsi="Aptos Display"/>
        </w:rPr>
        <w:sectPr w:rsidR="00604424" w:rsidRPr="00F754EF" w:rsidSect="00371CB2">
          <w:type w:val="continuous"/>
          <w:pgSz w:w="12240" w:h="15840"/>
          <w:pgMar w:top="1440" w:right="1080" w:bottom="1440" w:left="1080" w:header="720" w:footer="252" w:gutter="0"/>
          <w:cols w:space="720"/>
          <w:docGrid w:linePitch="360"/>
        </w:sectPr>
      </w:pPr>
    </w:p>
    <w:p w14:paraId="34550860" w14:textId="77777777" w:rsidR="000F457D" w:rsidRPr="00F754EF" w:rsidRDefault="000F457D" w:rsidP="005831BD">
      <w:pPr>
        <w:spacing w:line="240" w:lineRule="auto"/>
      </w:pPr>
      <w:r w:rsidRPr="00F754EF">
        <w:rPr>
          <w:rFonts w:ascii="Aptos Display" w:hAnsi="Aptos Display"/>
        </w:rPr>
        <w:t xml:space="preserve">El periodo de evaluación enfrentó a la oficina con una secuencia de shocks acumulativos: dos elecciones presidenciales, la reestructuración de su principal contraparte gubernamental, una grave crisis </w:t>
      </w:r>
      <w:r w:rsidRPr="00F754EF">
        <w:rPr>
          <w:rFonts w:ascii="Aptos Display" w:hAnsi="Aptos Display"/>
        </w:rPr>
        <w:t xml:space="preserve">energética, el cierre de USAID y un panorama de seguridad en rápida evolución. La evidencia muestra </w:t>
      </w:r>
      <w:r w:rsidRPr="00F754EF">
        <w:rPr>
          <w:rFonts w:ascii="Aptos Display" w:hAnsi="Aptos Display"/>
        </w:rPr>
        <w:lastRenderedPageBreak/>
        <w:t>que la oficina se adaptó, aunque no de manera uniforme frente a todos los desafíos.</w:t>
      </w:r>
    </w:p>
    <w:p w14:paraId="3D2F25B0" w14:textId="6A3A34C1" w:rsidR="000F457D" w:rsidRPr="00F754EF" w:rsidRDefault="000F457D" w:rsidP="005831BD">
      <w:pPr>
        <w:spacing w:line="240" w:lineRule="auto"/>
      </w:pPr>
      <w:r w:rsidRPr="00F754EF">
        <w:rPr>
          <w:rFonts w:ascii="Aptos Display" w:hAnsi="Aptos Display"/>
        </w:rPr>
        <w:t xml:space="preserve">Tras </w:t>
      </w:r>
      <w:r w:rsidR="00E66B78" w:rsidRPr="00F754EF">
        <w:rPr>
          <w:rFonts w:ascii="Aptos Display" w:hAnsi="Aptos Display"/>
        </w:rPr>
        <w:t>la fusión del Ministerio de la Mujer y Derechos Humanos en el Ministerio de Gobierno</w:t>
      </w:r>
      <w:r w:rsidRPr="00F754EF">
        <w:rPr>
          <w:rFonts w:ascii="Aptos Display" w:hAnsi="Aptos Display"/>
        </w:rPr>
        <w:t>, la oficina redirigió la asistencia técnica al nuevo Viceministerio, apoyándole en cumplir sus obligaciones legales bajo la ley de violencia de género de 2018, a pesar de la severa reducción de capacidad. Simultáneamente, mantuvo su fuerte vinculación con gobiernos subnacionales, trabajando con Quito, Cuenca y Guayaquil en instrumentos de política local mientras la capacidad institucional nacional se deterioraba. Entrevistados de gobiernos subnacionales señalaron explícitamente que, al debilitarse la arquitectura de género estatal, ONU Mujeres asumió un rol de articulación que antes pertenecía al gobierno central.</w:t>
      </w:r>
    </w:p>
    <w:p w14:paraId="54C5B078" w14:textId="77777777" w:rsidR="000F457D" w:rsidRPr="00F754EF" w:rsidRDefault="000F457D" w:rsidP="005831BD">
      <w:pPr>
        <w:spacing w:line="240" w:lineRule="auto"/>
      </w:pPr>
      <w:r w:rsidRPr="00F754EF">
        <w:rPr>
          <w:rFonts w:ascii="Aptos Display" w:hAnsi="Aptos Display"/>
        </w:rPr>
        <w:t xml:space="preserve">Cuando USAID cerró y retiró la cofinanciación de </w:t>
      </w:r>
      <w:proofErr w:type="spellStart"/>
      <w:r w:rsidRPr="00F754EF">
        <w:rPr>
          <w:rFonts w:ascii="Aptos Display" w:hAnsi="Aptos Display"/>
        </w:rPr>
        <w:t>Spotlight</w:t>
      </w:r>
      <w:proofErr w:type="spellEnd"/>
      <w:r w:rsidRPr="00F754EF">
        <w:rPr>
          <w:rFonts w:ascii="Aptos Display" w:hAnsi="Aptos Display"/>
        </w:rPr>
        <w:t xml:space="preserve"> 2.0 en abril de 2024, la oficina diseñó un plan de aceleración de emergencia, concentrando los recursos restantes de la UE y FIEDS en dos territorios prioritarios en vez de cuatro y cumpliendo con los objetivos de cada donante, protegiendo la continuidad del programa. Posteriormente, la oficina logró la liberación de fondos comprometidos por USAID, que financiaron intervenciones de </w:t>
      </w:r>
      <w:proofErr w:type="spellStart"/>
      <w:r w:rsidRPr="00F754EF">
        <w:rPr>
          <w:rFonts w:ascii="Aptos Display" w:hAnsi="Aptos Display"/>
        </w:rPr>
        <w:t>Spotlight</w:t>
      </w:r>
      <w:proofErr w:type="spellEnd"/>
      <w:r w:rsidRPr="00F754EF">
        <w:rPr>
          <w:rFonts w:ascii="Aptos Display" w:hAnsi="Aptos Display"/>
        </w:rPr>
        <w:t xml:space="preserve"> 2.0 en 2026. La transición de </w:t>
      </w:r>
      <w:proofErr w:type="spellStart"/>
      <w:r w:rsidRPr="00F754EF">
        <w:rPr>
          <w:rFonts w:ascii="Aptos Display" w:hAnsi="Aptos Display"/>
        </w:rPr>
        <w:t>Spotlight</w:t>
      </w:r>
      <w:proofErr w:type="spellEnd"/>
      <w:r w:rsidRPr="00F754EF">
        <w:rPr>
          <w:rFonts w:ascii="Aptos Display" w:hAnsi="Aptos Display"/>
        </w:rPr>
        <w:t xml:space="preserve"> Fase 1 a </w:t>
      </w:r>
      <w:proofErr w:type="spellStart"/>
      <w:r w:rsidRPr="00F754EF">
        <w:rPr>
          <w:rFonts w:ascii="Aptos Display" w:hAnsi="Aptos Display"/>
        </w:rPr>
        <w:t>Spotlight</w:t>
      </w:r>
      <w:proofErr w:type="spellEnd"/>
      <w:r w:rsidRPr="00F754EF">
        <w:rPr>
          <w:rFonts w:ascii="Aptos Display" w:hAnsi="Aptos Display"/>
        </w:rPr>
        <w:t xml:space="preserve"> 2.0 también implicó una reestructuración deliberada del marco lógico, reduciendo de seis a cuatro pilares e incorporando la experiencia de Ecuador al modelo global revisado, reflejando la capacidad de la oficina para influir en el diseño de la iniciativa a nivel secretariado.</w:t>
      </w:r>
    </w:p>
    <w:p w14:paraId="3F0FDC23" w14:textId="77777777" w:rsidR="000F457D" w:rsidRPr="00F754EF" w:rsidRDefault="000F457D" w:rsidP="005831BD">
      <w:pPr>
        <w:spacing w:line="240" w:lineRule="auto"/>
      </w:pPr>
      <w:r w:rsidRPr="00F754EF">
        <w:rPr>
          <w:rFonts w:ascii="Aptos Display" w:hAnsi="Aptos Display"/>
        </w:rPr>
        <w:t>En el portafolio de movilidad humana, al pasar los flujos de mujeres venezolanas a colombianas huyendo de conflicto armado, la oficina y sus socios implementadores ajustaron los enfoques de protección para abordar complejidades legales y necesidades vinculadas al conflicto, incluyendo el desarrollo de una estrategia binacional de fortalecimiento de refugios junto a ONU Mujeres Colombia. En áreas fronterizas, la oficina lanzó un modelo comunitario de cuidados en respuesta directa a demandas de familias móviles que los servicios existentes no cubrían.</w:t>
      </w:r>
    </w:p>
    <w:p w14:paraId="5E7CFDCF" w14:textId="77777777" w:rsidR="000F457D" w:rsidRPr="00F754EF" w:rsidRDefault="000F457D" w:rsidP="005831BD">
      <w:pPr>
        <w:spacing w:line="240" w:lineRule="auto"/>
      </w:pPr>
      <w:r w:rsidRPr="00F754EF">
        <w:rPr>
          <w:rFonts w:ascii="Aptos Display" w:hAnsi="Aptos Display"/>
        </w:rPr>
        <w:t>La oficina también mantuvo un Grupo Asesor de la Sociedad Civil que se reunió dos veces al año y funcionó como mecanismo de alerta temprana. Cuando el gobierno propuso eliminar el Ministerio de la Mujer y Derechos Humanos, el grupo se reunió y emitió una declaración formal, permitiendo la incidencia antes de que la decisión se concretara.</w:t>
      </w:r>
    </w:p>
    <w:p w14:paraId="7C21D8E5" w14:textId="23F3E942" w:rsidR="000F457D" w:rsidRPr="00F754EF" w:rsidRDefault="000F457D" w:rsidP="005831BD">
      <w:pPr>
        <w:spacing w:line="240" w:lineRule="auto"/>
      </w:pPr>
      <w:r w:rsidRPr="00F754EF">
        <w:rPr>
          <w:rFonts w:ascii="Aptos Display" w:hAnsi="Aptos Display"/>
        </w:rPr>
        <w:t xml:space="preserve">Donde la adaptación fue más </w:t>
      </w:r>
      <w:r w:rsidR="00F564BB" w:rsidRPr="00F754EF">
        <w:rPr>
          <w:rFonts w:ascii="Aptos Display" w:hAnsi="Aptos Display"/>
        </w:rPr>
        <w:t>baja</w:t>
      </w:r>
      <w:r w:rsidRPr="00F754EF">
        <w:rPr>
          <w:rFonts w:ascii="Aptos Display" w:hAnsi="Aptos Display"/>
        </w:rPr>
        <w:t xml:space="preserve">, destacan dos áreas. La crisis de seguridad generó amenazas a beneficiarias y socias que los diseños programáticos existentes no habían anticipado. Algunos socios se retiraron de territorios por completo. La oficina era consciente de estas </w:t>
      </w:r>
      <w:r w:rsidR="00AF4CC8" w:rsidRPr="00F754EF">
        <w:rPr>
          <w:rFonts w:ascii="Aptos Display" w:hAnsi="Aptos Display"/>
        </w:rPr>
        <w:t>dinámicas,</w:t>
      </w:r>
      <w:r w:rsidRPr="00F754EF">
        <w:rPr>
          <w:rFonts w:ascii="Aptos Display" w:hAnsi="Aptos Display"/>
        </w:rPr>
        <w:t xml:space="preserve"> pero aún no había desarrollado protocolos sistemáticos para operar en entornos urbanos afectados por conflicto ni para proteger a defensoras. Segundo, la violencia digital creció rápidamente como forma de violencia de género y herramienta de reclutamiento criminal, pero la respuesta programática de la oficina permaneció centrada en </w:t>
      </w:r>
      <w:r w:rsidR="0034135C">
        <w:rPr>
          <w:rFonts w:ascii="Aptos Display" w:hAnsi="Aptos Display"/>
        </w:rPr>
        <w:t>canales tradicionales</w:t>
      </w:r>
      <w:r w:rsidRPr="00F754EF">
        <w:rPr>
          <w:rFonts w:ascii="Aptos Display" w:hAnsi="Aptos Display"/>
        </w:rPr>
        <w:t>.</w:t>
      </w:r>
    </w:p>
    <w:p w14:paraId="1A12B4B3" w14:textId="77777777" w:rsidR="00604424" w:rsidRPr="00F754EF" w:rsidRDefault="00604424" w:rsidP="005831BD">
      <w:pPr>
        <w:spacing w:line="240" w:lineRule="auto"/>
        <w:rPr>
          <w:rFonts w:ascii="Aptos Display" w:hAnsi="Aptos Display"/>
        </w:rPr>
        <w:sectPr w:rsidR="00604424" w:rsidRPr="00F754EF" w:rsidSect="00604424">
          <w:type w:val="continuous"/>
          <w:pgSz w:w="12240" w:h="15840"/>
          <w:pgMar w:top="1440" w:right="1080" w:bottom="1440" w:left="1080" w:header="720" w:footer="252" w:gutter="0"/>
          <w:cols w:num="2" w:space="720"/>
          <w:docGrid w:linePitch="360"/>
        </w:sectPr>
      </w:pPr>
    </w:p>
    <w:p w14:paraId="1A631034" w14:textId="62DF939E" w:rsidR="000F457D" w:rsidRPr="00F754EF" w:rsidRDefault="00167F67" w:rsidP="005831BD">
      <w:pPr>
        <w:pStyle w:val="Caption"/>
        <w:spacing w:after="120"/>
      </w:pPr>
      <w:bookmarkStart w:id="37" w:name="_Toc227279872"/>
      <w:r w:rsidRPr="00F754EF">
        <w:t xml:space="preserve">Tabla </w:t>
      </w:r>
      <w:r w:rsidRPr="00F754EF">
        <w:fldChar w:fldCharType="begin"/>
      </w:r>
      <w:r w:rsidRPr="00F754EF">
        <w:instrText xml:space="preserve"> SEQ Table \* ARABIC </w:instrText>
      </w:r>
      <w:r w:rsidRPr="00F754EF">
        <w:fldChar w:fldCharType="separate"/>
      </w:r>
      <w:r w:rsidR="004C6C83">
        <w:rPr>
          <w:noProof/>
        </w:rPr>
        <w:t>6</w:t>
      </w:r>
      <w:r w:rsidRPr="00F754EF">
        <w:fldChar w:fldCharType="end"/>
      </w:r>
      <w:r w:rsidR="000F457D" w:rsidRPr="00F754EF">
        <w:t xml:space="preserve"> Retos emergentes y adaptaciones de la oficina durante la Nota Estratégica 2023-2026</w:t>
      </w:r>
      <w:bookmarkEnd w:id="37"/>
      <w:r w:rsidR="000F457D" w:rsidRPr="00F754EF">
        <w:rPr>
          <w:b/>
          <w:bCs/>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3027"/>
        <w:gridCol w:w="4898"/>
        <w:gridCol w:w="2135"/>
      </w:tblGrid>
      <w:tr w:rsidR="000F457D" w:rsidRPr="00F754EF" w14:paraId="56B76B58" w14:textId="77777777" w:rsidTr="00AD525F">
        <w:tc>
          <w:tcPr>
            <w:tcW w:w="0" w:type="auto"/>
            <w:tcBorders>
              <w:top w:val="single" w:sz="8" w:space="0" w:color="CCCCCC"/>
              <w:left w:val="single" w:sz="8" w:space="0" w:color="CCCCCC"/>
              <w:bottom w:val="single" w:sz="8" w:space="0" w:color="CCCCCC"/>
              <w:right w:val="single" w:sz="8" w:space="0" w:color="CCCCCC"/>
            </w:tcBorders>
            <w:shd w:val="clear" w:color="auto" w:fill="2E6DA4"/>
            <w:vAlign w:val="center"/>
            <w:hideMark/>
          </w:tcPr>
          <w:p w14:paraId="65715149" w14:textId="77777777" w:rsidR="000F457D" w:rsidRPr="00F754EF" w:rsidRDefault="000F457D" w:rsidP="00AD525F">
            <w:pPr>
              <w:spacing w:after="0" w:line="240" w:lineRule="auto"/>
            </w:pPr>
            <w:r w:rsidRPr="00F754EF">
              <w:rPr>
                <w:rFonts w:ascii="Aptos Display" w:hAnsi="Aptos Display"/>
                <w:b/>
                <w:bCs/>
                <w:color w:val="FFFFFF"/>
                <w:sz w:val="19"/>
                <w:szCs w:val="19"/>
              </w:rPr>
              <w:t>Reto emergente</w:t>
            </w:r>
            <w:r w:rsidRPr="00F754EF">
              <w:rPr>
                <w:b/>
                <w:bCs/>
              </w:rPr>
              <w:t xml:space="preserve"> </w:t>
            </w:r>
          </w:p>
        </w:tc>
        <w:tc>
          <w:tcPr>
            <w:tcW w:w="0" w:type="auto"/>
            <w:tcBorders>
              <w:top w:val="single" w:sz="8" w:space="0" w:color="CCCCCC"/>
              <w:left w:val="nil"/>
              <w:bottom w:val="single" w:sz="8" w:space="0" w:color="CCCCCC"/>
              <w:right w:val="single" w:sz="8" w:space="0" w:color="CCCCCC"/>
            </w:tcBorders>
            <w:shd w:val="clear" w:color="auto" w:fill="2E6DA4"/>
            <w:vAlign w:val="center"/>
            <w:hideMark/>
          </w:tcPr>
          <w:p w14:paraId="474858C7" w14:textId="77777777" w:rsidR="000F457D" w:rsidRPr="00F754EF" w:rsidRDefault="000F457D" w:rsidP="00AD525F">
            <w:pPr>
              <w:spacing w:after="0" w:line="240" w:lineRule="auto"/>
            </w:pPr>
            <w:r w:rsidRPr="00F754EF">
              <w:rPr>
                <w:rFonts w:ascii="Aptos Display" w:hAnsi="Aptos Display"/>
                <w:b/>
                <w:bCs/>
                <w:color w:val="FFFFFF"/>
                <w:sz w:val="19"/>
                <w:szCs w:val="19"/>
              </w:rPr>
              <w:t>Adaptación de la oficina</w:t>
            </w:r>
            <w:r w:rsidRPr="00F754EF">
              <w:rPr>
                <w:b/>
                <w:bCs/>
              </w:rPr>
              <w:t xml:space="preserve"> </w:t>
            </w:r>
          </w:p>
        </w:tc>
        <w:tc>
          <w:tcPr>
            <w:tcW w:w="0" w:type="auto"/>
            <w:tcBorders>
              <w:top w:val="single" w:sz="8" w:space="0" w:color="CCCCCC"/>
              <w:left w:val="nil"/>
              <w:bottom w:val="single" w:sz="8" w:space="0" w:color="CCCCCC"/>
              <w:right w:val="single" w:sz="8" w:space="0" w:color="CCCCCC"/>
            </w:tcBorders>
            <w:shd w:val="clear" w:color="auto" w:fill="2E6DA4"/>
            <w:vAlign w:val="center"/>
            <w:hideMark/>
          </w:tcPr>
          <w:p w14:paraId="3D829C6A" w14:textId="77777777" w:rsidR="000F457D" w:rsidRPr="00F754EF" w:rsidRDefault="000F457D" w:rsidP="00AD525F">
            <w:pPr>
              <w:spacing w:after="0" w:line="240" w:lineRule="auto"/>
            </w:pPr>
            <w:r w:rsidRPr="00F754EF">
              <w:rPr>
                <w:rFonts w:ascii="Aptos Display" w:hAnsi="Aptos Display"/>
                <w:b/>
                <w:bCs/>
                <w:color w:val="FFFFFF"/>
                <w:sz w:val="19"/>
                <w:szCs w:val="19"/>
              </w:rPr>
              <w:t>Ejemplo programático</w:t>
            </w:r>
            <w:r w:rsidRPr="00F754EF">
              <w:rPr>
                <w:b/>
                <w:bCs/>
              </w:rPr>
              <w:t xml:space="preserve"> </w:t>
            </w:r>
          </w:p>
        </w:tc>
      </w:tr>
      <w:tr w:rsidR="000F457D" w:rsidRPr="00F754EF" w14:paraId="4FCDF51E" w14:textId="77777777" w:rsidTr="00AD525F">
        <w:tc>
          <w:tcPr>
            <w:tcW w:w="0" w:type="auto"/>
            <w:tcBorders>
              <w:top w:val="nil"/>
              <w:left w:val="single" w:sz="8" w:space="0" w:color="CCCCCC"/>
              <w:bottom w:val="single" w:sz="8" w:space="0" w:color="CCCCCC"/>
              <w:right w:val="single" w:sz="8" w:space="0" w:color="CCCCCC"/>
            </w:tcBorders>
            <w:shd w:val="clear" w:color="auto" w:fill="FFFFFF"/>
            <w:vAlign w:val="center"/>
            <w:hideMark/>
          </w:tcPr>
          <w:p w14:paraId="559DEAD4" w14:textId="77777777" w:rsidR="000F457D" w:rsidRPr="00F754EF" w:rsidRDefault="000F457D" w:rsidP="00AD525F">
            <w:pPr>
              <w:spacing w:after="0" w:line="240" w:lineRule="auto"/>
            </w:pPr>
            <w:r w:rsidRPr="00F754EF">
              <w:rPr>
                <w:rFonts w:ascii="Aptos Display" w:hAnsi="Aptos Display"/>
                <w:b/>
                <w:bCs/>
                <w:color w:val="1A2744"/>
                <w:sz w:val="18"/>
                <w:szCs w:val="18"/>
              </w:rPr>
              <w:t>Fusión del Ministerio de la Mujer con el Ministerio de Gobierno (finalizada en 2025)</w:t>
            </w:r>
            <w:r w:rsidRPr="00F754EF">
              <w:rPr>
                <w:b/>
                <w:bCs/>
              </w:rPr>
              <w:t xml:space="preserve"> </w:t>
            </w:r>
          </w:p>
        </w:tc>
        <w:tc>
          <w:tcPr>
            <w:tcW w:w="0" w:type="auto"/>
            <w:tcBorders>
              <w:top w:val="nil"/>
              <w:left w:val="nil"/>
              <w:bottom w:val="single" w:sz="8" w:space="0" w:color="CCCCCC"/>
              <w:right w:val="single" w:sz="8" w:space="0" w:color="CCCCCC"/>
            </w:tcBorders>
            <w:shd w:val="clear" w:color="auto" w:fill="FFFFFF"/>
            <w:vAlign w:val="center"/>
            <w:hideMark/>
          </w:tcPr>
          <w:p w14:paraId="2646BB62" w14:textId="77777777" w:rsidR="000F457D" w:rsidRPr="00F754EF" w:rsidRDefault="000F457D" w:rsidP="00AD525F">
            <w:pPr>
              <w:spacing w:after="0" w:line="240" w:lineRule="auto"/>
            </w:pPr>
            <w:r w:rsidRPr="00F754EF">
              <w:rPr>
                <w:rFonts w:ascii="Aptos Display" w:hAnsi="Aptos Display"/>
                <w:sz w:val="18"/>
                <w:szCs w:val="18"/>
              </w:rPr>
              <w:t>Asistencia técnica redirigida al Viceministerio</w:t>
            </w:r>
            <w:r w:rsidRPr="00F754EF">
              <w:t xml:space="preserve"> </w:t>
            </w:r>
          </w:p>
        </w:tc>
        <w:tc>
          <w:tcPr>
            <w:tcW w:w="0" w:type="auto"/>
            <w:tcBorders>
              <w:top w:val="nil"/>
              <w:left w:val="nil"/>
              <w:bottom w:val="single" w:sz="8" w:space="0" w:color="CCCCCC"/>
              <w:right w:val="single" w:sz="8" w:space="0" w:color="CCCCCC"/>
            </w:tcBorders>
            <w:shd w:val="clear" w:color="auto" w:fill="FFFFFF"/>
            <w:vAlign w:val="center"/>
            <w:hideMark/>
          </w:tcPr>
          <w:p w14:paraId="028F5574" w14:textId="77777777" w:rsidR="000F457D" w:rsidRPr="00F754EF" w:rsidRDefault="000F457D" w:rsidP="00AD525F">
            <w:pPr>
              <w:spacing w:after="0" w:line="240" w:lineRule="auto"/>
            </w:pPr>
            <w:r w:rsidRPr="00F754EF">
              <w:rPr>
                <w:rFonts w:ascii="Aptos Display" w:hAnsi="Aptos Display"/>
                <w:i/>
                <w:iCs/>
                <w:color w:val="5A6678"/>
                <w:sz w:val="18"/>
                <w:szCs w:val="18"/>
              </w:rPr>
              <w:t>Programa de Gobernanza Pública; Ciudades Seguras</w:t>
            </w:r>
            <w:r w:rsidRPr="00F754EF">
              <w:rPr>
                <w:i/>
                <w:iCs/>
              </w:rPr>
              <w:t xml:space="preserve"> </w:t>
            </w:r>
          </w:p>
        </w:tc>
      </w:tr>
      <w:tr w:rsidR="000F457D" w:rsidRPr="00F754EF" w14:paraId="525460BE" w14:textId="77777777" w:rsidTr="00AD525F">
        <w:tc>
          <w:tcPr>
            <w:tcW w:w="0" w:type="auto"/>
            <w:tcBorders>
              <w:top w:val="nil"/>
              <w:left w:val="single" w:sz="8" w:space="0" w:color="CCCCCC"/>
              <w:bottom w:val="single" w:sz="8" w:space="0" w:color="CCCCCC"/>
              <w:right w:val="single" w:sz="8" w:space="0" w:color="CCCCCC"/>
            </w:tcBorders>
            <w:shd w:val="clear" w:color="auto" w:fill="EEF3F8"/>
            <w:vAlign w:val="center"/>
            <w:hideMark/>
          </w:tcPr>
          <w:p w14:paraId="2B415FA9" w14:textId="77777777" w:rsidR="000F457D" w:rsidRPr="00F754EF" w:rsidRDefault="000F457D" w:rsidP="00AD525F">
            <w:pPr>
              <w:spacing w:after="0" w:line="240" w:lineRule="auto"/>
            </w:pPr>
            <w:r w:rsidRPr="00F754EF">
              <w:rPr>
                <w:rFonts w:ascii="Aptos Display" w:hAnsi="Aptos Display"/>
                <w:b/>
                <w:bCs/>
                <w:color w:val="1A2744"/>
                <w:sz w:val="18"/>
                <w:szCs w:val="18"/>
              </w:rPr>
              <w:t>Cierre de USAID (2025)</w:t>
            </w:r>
            <w:r w:rsidRPr="00F754EF">
              <w:rPr>
                <w:b/>
                <w:bCs/>
              </w:rPr>
              <w:t xml:space="preserve"> </w:t>
            </w:r>
          </w:p>
        </w:tc>
        <w:tc>
          <w:tcPr>
            <w:tcW w:w="0" w:type="auto"/>
            <w:tcBorders>
              <w:top w:val="nil"/>
              <w:left w:val="nil"/>
              <w:bottom w:val="single" w:sz="8" w:space="0" w:color="CCCCCC"/>
              <w:right w:val="single" w:sz="8" w:space="0" w:color="CCCCCC"/>
            </w:tcBorders>
            <w:shd w:val="clear" w:color="auto" w:fill="EEF3F8"/>
            <w:vAlign w:val="center"/>
            <w:hideMark/>
          </w:tcPr>
          <w:p w14:paraId="05FFA61F" w14:textId="77777777" w:rsidR="000F457D" w:rsidRPr="00F754EF" w:rsidRDefault="000F457D" w:rsidP="00AD525F">
            <w:pPr>
              <w:spacing w:after="0" w:line="240" w:lineRule="auto"/>
            </w:pPr>
            <w:r w:rsidRPr="00F754EF">
              <w:rPr>
                <w:rFonts w:ascii="Aptos Display" w:hAnsi="Aptos Display"/>
                <w:sz w:val="18"/>
                <w:szCs w:val="18"/>
              </w:rPr>
              <w:t>Plan de aceleración de emergencia; concentración de recursos en dos territorios prioritarios</w:t>
            </w:r>
            <w:r w:rsidRPr="00F754EF">
              <w:t xml:space="preserve"> </w:t>
            </w:r>
          </w:p>
        </w:tc>
        <w:tc>
          <w:tcPr>
            <w:tcW w:w="0" w:type="auto"/>
            <w:tcBorders>
              <w:top w:val="nil"/>
              <w:left w:val="nil"/>
              <w:bottom w:val="single" w:sz="8" w:space="0" w:color="CCCCCC"/>
              <w:right w:val="single" w:sz="8" w:space="0" w:color="CCCCCC"/>
            </w:tcBorders>
            <w:shd w:val="clear" w:color="auto" w:fill="EEF3F8"/>
            <w:vAlign w:val="center"/>
            <w:hideMark/>
          </w:tcPr>
          <w:p w14:paraId="3B94B0EE" w14:textId="77777777" w:rsidR="000F457D" w:rsidRPr="00F754EF" w:rsidRDefault="000F457D" w:rsidP="00AD525F">
            <w:pPr>
              <w:spacing w:after="0" w:line="240" w:lineRule="auto"/>
            </w:pPr>
            <w:proofErr w:type="spellStart"/>
            <w:r w:rsidRPr="00F754EF">
              <w:rPr>
                <w:rFonts w:ascii="Aptos Display" w:hAnsi="Aptos Display"/>
                <w:i/>
                <w:iCs/>
                <w:color w:val="5A6678"/>
                <w:sz w:val="18"/>
                <w:szCs w:val="18"/>
              </w:rPr>
              <w:t>Spotlight</w:t>
            </w:r>
            <w:proofErr w:type="spellEnd"/>
            <w:r w:rsidRPr="00F754EF">
              <w:rPr>
                <w:rFonts w:ascii="Aptos Display" w:hAnsi="Aptos Display"/>
                <w:i/>
                <w:iCs/>
                <w:color w:val="5A6678"/>
                <w:sz w:val="18"/>
                <w:szCs w:val="18"/>
              </w:rPr>
              <w:t xml:space="preserve"> 2.0</w:t>
            </w:r>
            <w:r w:rsidRPr="00F754EF">
              <w:rPr>
                <w:i/>
                <w:iCs/>
              </w:rPr>
              <w:t xml:space="preserve"> </w:t>
            </w:r>
          </w:p>
        </w:tc>
      </w:tr>
      <w:tr w:rsidR="000F457D" w:rsidRPr="00F754EF" w14:paraId="7836A940" w14:textId="77777777" w:rsidTr="00AD525F">
        <w:tc>
          <w:tcPr>
            <w:tcW w:w="0" w:type="auto"/>
            <w:tcBorders>
              <w:top w:val="nil"/>
              <w:left w:val="single" w:sz="8" w:space="0" w:color="CCCCCC"/>
              <w:bottom w:val="single" w:sz="8" w:space="0" w:color="CCCCCC"/>
              <w:right w:val="single" w:sz="8" w:space="0" w:color="CCCCCC"/>
            </w:tcBorders>
            <w:shd w:val="clear" w:color="auto" w:fill="FFFFFF"/>
            <w:vAlign w:val="center"/>
            <w:hideMark/>
          </w:tcPr>
          <w:p w14:paraId="0A104167" w14:textId="77777777" w:rsidR="000F457D" w:rsidRPr="00F754EF" w:rsidRDefault="000F457D" w:rsidP="00AD525F">
            <w:pPr>
              <w:spacing w:after="0" w:line="240" w:lineRule="auto"/>
            </w:pPr>
            <w:r w:rsidRPr="00F754EF">
              <w:rPr>
                <w:rFonts w:ascii="Aptos Display" w:hAnsi="Aptos Display"/>
                <w:b/>
                <w:bCs/>
                <w:color w:val="1A2744"/>
                <w:sz w:val="18"/>
                <w:szCs w:val="18"/>
              </w:rPr>
              <w:t>Inestabilidad electoral y muerte cruzada (2023)</w:t>
            </w:r>
            <w:r w:rsidRPr="00F754EF">
              <w:rPr>
                <w:b/>
                <w:bCs/>
              </w:rPr>
              <w:t xml:space="preserve"> </w:t>
            </w:r>
          </w:p>
        </w:tc>
        <w:tc>
          <w:tcPr>
            <w:tcW w:w="0" w:type="auto"/>
            <w:tcBorders>
              <w:top w:val="nil"/>
              <w:left w:val="nil"/>
              <w:bottom w:val="single" w:sz="8" w:space="0" w:color="CCCCCC"/>
              <w:right w:val="single" w:sz="8" w:space="0" w:color="CCCCCC"/>
            </w:tcBorders>
            <w:shd w:val="clear" w:color="auto" w:fill="FFFFFF"/>
            <w:vAlign w:val="center"/>
            <w:hideMark/>
          </w:tcPr>
          <w:p w14:paraId="2CA9C0DF" w14:textId="77777777" w:rsidR="000F457D" w:rsidRPr="00F754EF" w:rsidRDefault="000F457D" w:rsidP="00AD525F">
            <w:pPr>
              <w:spacing w:after="0" w:line="240" w:lineRule="auto"/>
            </w:pPr>
            <w:r w:rsidRPr="00F754EF">
              <w:rPr>
                <w:rFonts w:ascii="Aptos Display" w:hAnsi="Aptos Display"/>
                <w:sz w:val="18"/>
                <w:szCs w:val="18"/>
              </w:rPr>
              <w:t>Retraso en contratación hasta confirmar nuevo gobierno; continuidad técnica mantenida durante la transición</w:t>
            </w:r>
            <w:r w:rsidRPr="00F754EF">
              <w:t xml:space="preserve"> </w:t>
            </w:r>
          </w:p>
        </w:tc>
        <w:tc>
          <w:tcPr>
            <w:tcW w:w="0" w:type="auto"/>
            <w:tcBorders>
              <w:top w:val="nil"/>
              <w:left w:val="nil"/>
              <w:bottom w:val="single" w:sz="8" w:space="0" w:color="CCCCCC"/>
              <w:right w:val="single" w:sz="8" w:space="0" w:color="CCCCCC"/>
            </w:tcBorders>
            <w:shd w:val="clear" w:color="auto" w:fill="FFFFFF"/>
            <w:vAlign w:val="center"/>
            <w:hideMark/>
          </w:tcPr>
          <w:p w14:paraId="0758E430" w14:textId="77777777" w:rsidR="000F457D" w:rsidRPr="00F754EF" w:rsidRDefault="000F457D" w:rsidP="00AD525F">
            <w:pPr>
              <w:spacing w:after="0" w:line="240" w:lineRule="auto"/>
            </w:pPr>
            <w:r w:rsidRPr="00F754EF">
              <w:rPr>
                <w:rFonts w:ascii="Aptos Display" w:hAnsi="Aptos Display"/>
                <w:i/>
                <w:iCs/>
                <w:color w:val="5A6678"/>
                <w:sz w:val="18"/>
                <w:szCs w:val="18"/>
              </w:rPr>
              <w:t>Gobernanza Pública para Derechos Económicos</w:t>
            </w:r>
            <w:r w:rsidRPr="00F754EF">
              <w:rPr>
                <w:i/>
                <w:iCs/>
              </w:rPr>
              <w:t xml:space="preserve"> </w:t>
            </w:r>
          </w:p>
        </w:tc>
      </w:tr>
      <w:tr w:rsidR="000F457D" w:rsidRPr="00F754EF" w14:paraId="509E0182" w14:textId="77777777" w:rsidTr="00AD525F">
        <w:tc>
          <w:tcPr>
            <w:tcW w:w="0" w:type="auto"/>
            <w:tcBorders>
              <w:top w:val="nil"/>
              <w:left w:val="single" w:sz="8" w:space="0" w:color="CCCCCC"/>
              <w:bottom w:val="single" w:sz="8" w:space="0" w:color="CCCCCC"/>
              <w:right w:val="single" w:sz="8" w:space="0" w:color="CCCCCC"/>
            </w:tcBorders>
            <w:shd w:val="clear" w:color="auto" w:fill="EEF3F8"/>
            <w:vAlign w:val="center"/>
            <w:hideMark/>
          </w:tcPr>
          <w:p w14:paraId="6407F5B5" w14:textId="77777777" w:rsidR="000F457D" w:rsidRPr="00F754EF" w:rsidRDefault="000F457D" w:rsidP="00AD525F">
            <w:pPr>
              <w:spacing w:after="0" w:line="240" w:lineRule="auto"/>
            </w:pPr>
            <w:r w:rsidRPr="00F754EF">
              <w:rPr>
                <w:rFonts w:ascii="Aptos Display" w:hAnsi="Aptos Display"/>
                <w:b/>
                <w:bCs/>
                <w:color w:val="1A2744"/>
                <w:sz w:val="18"/>
                <w:szCs w:val="18"/>
              </w:rPr>
              <w:t>Crisis energética (2024)</w:t>
            </w:r>
            <w:r w:rsidRPr="00F754EF">
              <w:rPr>
                <w:b/>
                <w:bCs/>
              </w:rPr>
              <w:t xml:space="preserve"> </w:t>
            </w:r>
          </w:p>
        </w:tc>
        <w:tc>
          <w:tcPr>
            <w:tcW w:w="0" w:type="auto"/>
            <w:tcBorders>
              <w:top w:val="nil"/>
              <w:left w:val="nil"/>
              <w:bottom w:val="single" w:sz="8" w:space="0" w:color="CCCCCC"/>
              <w:right w:val="single" w:sz="8" w:space="0" w:color="CCCCCC"/>
            </w:tcBorders>
            <w:shd w:val="clear" w:color="auto" w:fill="EEF3F8"/>
            <w:vAlign w:val="center"/>
            <w:hideMark/>
          </w:tcPr>
          <w:p w14:paraId="206A0B87" w14:textId="77777777" w:rsidR="000F457D" w:rsidRPr="00F754EF" w:rsidRDefault="000F457D" w:rsidP="00AD525F">
            <w:pPr>
              <w:spacing w:after="0" w:line="240" w:lineRule="auto"/>
            </w:pPr>
            <w:r w:rsidRPr="00F754EF">
              <w:rPr>
                <w:rFonts w:ascii="Aptos Display" w:hAnsi="Aptos Display"/>
                <w:sz w:val="18"/>
                <w:szCs w:val="18"/>
              </w:rPr>
              <w:t>Se retomaron procesos en papel; se solicitaron extensiones sin coste en programas afectados</w:t>
            </w:r>
            <w:r w:rsidRPr="00F754EF">
              <w:t xml:space="preserve"> </w:t>
            </w:r>
          </w:p>
        </w:tc>
        <w:tc>
          <w:tcPr>
            <w:tcW w:w="0" w:type="auto"/>
            <w:tcBorders>
              <w:top w:val="nil"/>
              <w:left w:val="nil"/>
              <w:bottom w:val="single" w:sz="8" w:space="0" w:color="CCCCCC"/>
              <w:right w:val="single" w:sz="8" w:space="0" w:color="CCCCCC"/>
            </w:tcBorders>
            <w:shd w:val="clear" w:color="auto" w:fill="EEF3F8"/>
            <w:vAlign w:val="center"/>
            <w:hideMark/>
          </w:tcPr>
          <w:p w14:paraId="1F490DAA" w14:textId="77777777" w:rsidR="000F457D" w:rsidRPr="00F754EF" w:rsidRDefault="000F457D" w:rsidP="00AD525F">
            <w:pPr>
              <w:spacing w:after="0" w:line="240" w:lineRule="auto"/>
            </w:pPr>
            <w:proofErr w:type="spellStart"/>
            <w:r w:rsidRPr="00F754EF">
              <w:rPr>
                <w:rFonts w:ascii="Aptos Display" w:hAnsi="Aptos Display"/>
                <w:i/>
                <w:iCs/>
                <w:color w:val="5A6678"/>
                <w:sz w:val="18"/>
                <w:szCs w:val="18"/>
              </w:rPr>
              <w:t>Spotlight</w:t>
            </w:r>
            <w:proofErr w:type="spellEnd"/>
            <w:r w:rsidRPr="00F754EF">
              <w:rPr>
                <w:rFonts w:ascii="Aptos Display" w:hAnsi="Aptos Display"/>
                <w:i/>
                <w:iCs/>
                <w:color w:val="5A6678"/>
                <w:sz w:val="18"/>
                <w:szCs w:val="18"/>
              </w:rPr>
              <w:t xml:space="preserve"> 2.0 (territorios amazónicos)</w:t>
            </w:r>
            <w:r w:rsidRPr="00F754EF">
              <w:rPr>
                <w:i/>
                <w:iCs/>
              </w:rPr>
              <w:t xml:space="preserve"> </w:t>
            </w:r>
          </w:p>
        </w:tc>
      </w:tr>
      <w:tr w:rsidR="000F457D" w:rsidRPr="00F754EF" w14:paraId="6B11A3FF" w14:textId="77777777" w:rsidTr="00AD525F">
        <w:tc>
          <w:tcPr>
            <w:tcW w:w="0" w:type="auto"/>
            <w:tcBorders>
              <w:top w:val="nil"/>
              <w:left w:val="single" w:sz="8" w:space="0" w:color="CCCCCC"/>
              <w:bottom w:val="single" w:sz="8" w:space="0" w:color="CCCCCC"/>
              <w:right w:val="single" w:sz="8" w:space="0" w:color="CCCCCC"/>
            </w:tcBorders>
            <w:shd w:val="clear" w:color="auto" w:fill="FFFFFF"/>
            <w:vAlign w:val="center"/>
            <w:hideMark/>
          </w:tcPr>
          <w:p w14:paraId="58ACAE65" w14:textId="77777777" w:rsidR="000F457D" w:rsidRPr="00F754EF" w:rsidRDefault="000F457D" w:rsidP="00AD525F">
            <w:pPr>
              <w:spacing w:after="0" w:line="240" w:lineRule="auto"/>
            </w:pPr>
            <w:r w:rsidRPr="00F754EF">
              <w:rPr>
                <w:rFonts w:ascii="Aptos Display" w:hAnsi="Aptos Display"/>
                <w:b/>
                <w:bCs/>
                <w:color w:val="1A2744"/>
                <w:sz w:val="18"/>
                <w:szCs w:val="18"/>
              </w:rPr>
              <w:t>Cambio en perfil de movilidad humana (de mujeres venezolanas a colombianas)</w:t>
            </w:r>
            <w:r w:rsidRPr="00F754EF">
              <w:rPr>
                <w:b/>
                <w:bCs/>
              </w:rPr>
              <w:t xml:space="preserve"> </w:t>
            </w:r>
          </w:p>
        </w:tc>
        <w:tc>
          <w:tcPr>
            <w:tcW w:w="0" w:type="auto"/>
            <w:tcBorders>
              <w:top w:val="nil"/>
              <w:left w:val="nil"/>
              <w:bottom w:val="single" w:sz="8" w:space="0" w:color="CCCCCC"/>
              <w:right w:val="single" w:sz="8" w:space="0" w:color="CCCCCC"/>
            </w:tcBorders>
            <w:shd w:val="clear" w:color="auto" w:fill="FFFFFF"/>
            <w:vAlign w:val="center"/>
            <w:hideMark/>
          </w:tcPr>
          <w:p w14:paraId="73AB2E2F" w14:textId="77777777" w:rsidR="000F457D" w:rsidRPr="00F754EF" w:rsidRDefault="000F457D" w:rsidP="00AD525F">
            <w:pPr>
              <w:spacing w:after="0" w:line="240" w:lineRule="auto"/>
            </w:pPr>
            <w:r w:rsidRPr="00F754EF">
              <w:rPr>
                <w:rFonts w:ascii="Aptos Display" w:hAnsi="Aptos Display"/>
                <w:sz w:val="18"/>
                <w:szCs w:val="18"/>
              </w:rPr>
              <w:t>Ajuste de enfoques de protección; desarrollo de estrategia binacional de fortalecimiento de refugios con ONU Mujeres Colombia</w:t>
            </w:r>
            <w:r w:rsidRPr="00F754EF">
              <w:t xml:space="preserve"> </w:t>
            </w:r>
          </w:p>
        </w:tc>
        <w:tc>
          <w:tcPr>
            <w:tcW w:w="0" w:type="auto"/>
            <w:tcBorders>
              <w:top w:val="nil"/>
              <w:left w:val="nil"/>
              <w:bottom w:val="single" w:sz="8" w:space="0" w:color="CCCCCC"/>
              <w:right w:val="single" w:sz="8" w:space="0" w:color="CCCCCC"/>
            </w:tcBorders>
            <w:shd w:val="clear" w:color="auto" w:fill="FFFFFF"/>
            <w:vAlign w:val="center"/>
            <w:hideMark/>
          </w:tcPr>
          <w:p w14:paraId="0917A495" w14:textId="77777777" w:rsidR="000F457D" w:rsidRPr="00F754EF" w:rsidRDefault="000F457D" w:rsidP="00AD525F">
            <w:pPr>
              <w:spacing w:after="0" w:line="240" w:lineRule="auto"/>
            </w:pPr>
            <w:r w:rsidRPr="00F754EF">
              <w:rPr>
                <w:rFonts w:ascii="Aptos Display" w:hAnsi="Aptos Display"/>
                <w:i/>
                <w:iCs/>
                <w:color w:val="5A6678"/>
                <w:sz w:val="18"/>
                <w:szCs w:val="18"/>
              </w:rPr>
              <w:t>Protegiendo a las Caminantes</w:t>
            </w:r>
            <w:r w:rsidRPr="00F754EF">
              <w:rPr>
                <w:i/>
                <w:iCs/>
              </w:rPr>
              <w:t xml:space="preserve"> </w:t>
            </w:r>
          </w:p>
        </w:tc>
      </w:tr>
      <w:tr w:rsidR="000F457D" w:rsidRPr="00F754EF" w14:paraId="2B1AC25A" w14:textId="77777777" w:rsidTr="00AD525F">
        <w:tc>
          <w:tcPr>
            <w:tcW w:w="0" w:type="auto"/>
            <w:tcBorders>
              <w:top w:val="nil"/>
              <w:left w:val="single" w:sz="8" w:space="0" w:color="CCCCCC"/>
              <w:bottom w:val="single" w:sz="8" w:space="0" w:color="CCCCCC"/>
              <w:right w:val="single" w:sz="8" w:space="0" w:color="CCCCCC"/>
            </w:tcBorders>
            <w:shd w:val="clear" w:color="auto" w:fill="EEF3F8"/>
            <w:vAlign w:val="center"/>
            <w:hideMark/>
          </w:tcPr>
          <w:p w14:paraId="1ECD4C80" w14:textId="77777777" w:rsidR="000F457D" w:rsidRPr="00F754EF" w:rsidRDefault="000F457D" w:rsidP="00AD525F">
            <w:pPr>
              <w:spacing w:after="0" w:line="240" w:lineRule="auto"/>
            </w:pPr>
            <w:r w:rsidRPr="00F754EF">
              <w:rPr>
                <w:rFonts w:ascii="Aptos Display" w:hAnsi="Aptos Display"/>
                <w:b/>
                <w:bCs/>
                <w:color w:val="1A2744"/>
                <w:sz w:val="18"/>
                <w:szCs w:val="18"/>
              </w:rPr>
              <w:lastRenderedPageBreak/>
              <w:t>Crisis de seguridad y crimen organizado</w:t>
            </w:r>
            <w:r w:rsidRPr="00F754EF">
              <w:rPr>
                <w:b/>
                <w:bCs/>
              </w:rPr>
              <w:t xml:space="preserve"> </w:t>
            </w:r>
          </w:p>
        </w:tc>
        <w:tc>
          <w:tcPr>
            <w:tcW w:w="0" w:type="auto"/>
            <w:tcBorders>
              <w:top w:val="nil"/>
              <w:left w:val="nil"/>
              <w:bottom w:val="single" w:sz="8" w:space="0" w:color="CCCCCC"/>
              <w:right w:val="single" w:sz="8" w:space="0" w:color="CCCCCC"/>
            </w:tcBorders>
            <w:shd w:val="clear" w:color="auto" w:fill="EEF3F8"/>
            <w:vAlign w:val="center"/>
            <w:hideMark/>
          </w:tcPr>
          <w:p w14:paraId="44FC7C7A" w14:textId="77777777" w:rsidR="000F457D" w:rsidRPr="00F754EF" w:rsidRDefault="000F457D" w:rsidP="00AD525F">
            <w:pPr>
              <w:spacing w:after="0" w:line="240" w:lineRule="auto"/>
            </w:pPr>
            <w:r w:rsidRPr="00F754EF">
              <w:rPr>
                <w:rFonts w:ascii="Aptos Display" w:hAnsi="Aptos Display"/>
                <w:sz w:val="18"/>
                <w:szCs w:val="18"/>
              </w:rPr>
              <w:t>Profundización de la vinculación con cuerpos de seguridad; desarrollo de herramientas de alerta temprana; apoyo a redes de mujeres constructoras de paz</w:t>
            </w:r>
            <w:r w:rsidRPr="00F754EF">
              <w:t xml:space="preserve"> </w:t>
            </w:r>
          </w:p>
        </w:tc>
        <w:tc>
          <w:tcPr>
            <w:tcW w:w="0" w:type="auto"/>
            <w:tcBorders>
              <w:top w:val="nil"/>
              <w:left w:val="nil"/>
              <w:bottom w:val="single" w:sz="8" w:space="0" w:color="CCCCCC"/>
              <w:right w:val="single" w:sz="8" w:space="0" w:color="CCCCCC"/>
            </w:tcBorders>
            <w:shd w:val="clear" w:color="auto" w:fill="EEF3F8"/>
            <w:vAlign w:val="center"/>
            <w:hideMark/>
          </w:tcPr>
          <w:p w14:paraId="25403415" w14:textId="77777777" w:rsidR="000F457D" w:rsidRPr="00F754EF" w:rsidRDefault="000F457D" w:rsidP="00AD525F">
            <w:pPr>
              <w:spacing w:after="0" w:line="240" w:lineRule="auto"/>
            </w:pPr>
            <w:r w:rsidRPr="00F754EF">
              <w:rPr>
                <w:rFonts w:ascii="Aptos Display" w:hAnsi="Aptos Display"/>
                <w:i/>
                <w:iCs/>
                <w:color w:val="5A6678"/>
                <w:sz w:val="18"/>
                <w:szCs w:val="18"/>
              </w:rPr>
              <w:t>PBF Construyendo Paz; Ciudades Seguras Guayaquil</w:t>
            </w:r>
            <w:r w:rsidRPr="00F754EF">
              <w:rPr>
                <w:i/>
                <w:iCs/>
              </w:rPr>
              <w:t xml:space="preserve"> </w:t>
            </w:r>
          </w:p>
        </w:tc>
      </w:tr>
      <w:tr w:rsidR="000F457D" w:rsidRPr="00F754EF" w14:paraId="1C197293" w14:textId="77777777" w:rsidTr="00AD525F">
        <w:tc>
          <w:tcPr>
            <w:tcW w:w="0" w:type="auto"/>
            <w:tcBorders>
              <w:top w:val="nil"/>
              <w:left w:val="single" w:sz="8" w:space="0" w:color="CCCCCC"/>
              <w:bottom w:val="single" w:sz="8" w:space="0" w:color="CCCCCC"/>
              <w:right w:val="single" w:sz="8" w:space="0" w:color="CCCCCC"/>
            </w:tcBorders>
            <w:shd w:val="clear" w:color="auto" w:fill="FFFFFF"/>
            <w:vAlign w:val="center"/>
            <w:hideMark/>
          </w:tcPr>
          <w:p w14:paraId="3C9EBD6E" w14:textId="77777777" w:rsidR="000F457D" w:rsidRPr="00F754EF" w:rsidRDefault="000F457D" w:rsidP="00AD525F">
            <w:pPr>
              <w:spacing w:after="0" w:line="240" w:lineRule="auto"/>
            </w:pPr>
            <w:r w:rsidRPr="00F754EF">
              <w:rPr>
                <w:rFonts w:ascii="Aptos Display" w:hAnsi="Aptos Display"/>
                <w:b/>
                <w:bCs/>
                <w:color w:val="1A2744"/>
                <w:sz w:val="18"/>
                <w:szCs w:val="18"/>
              </w:rPr>
              <w:t>Reducción del espacio cívico y presión sobre ONG</w:t>
            </w:r>
            <w:r w:rsidRPr="00F754EF">
              <w:rPr>
                <w:b/>
                <w:bCs/>
              </w:rPr>
              <w:t xml:space="preserve"> </w:t>
            </w:r>
          </w:p>
        </w:tc>
        <w:tc>
          <w:tcPr>
            <w:tcW w:w="0" w:type="auto"/>
            <w:tcBorders>
              <w:top w:val="nil"/>
              <w:left w:val="nil"/>
              <w:bottom w:val="single" w:sz="8" w:space="0" w:color="CCCCCC"/>
              <w:right w:val="single" w:sz="8" w:space="0" w:color="CCCCCC"/>
            </w:tcBorders>
            <w:shd w:val="clear" w:color="auto" w:fill="FFFFFF"/>
            <w:vAlign w:val="center"/>
            <w:hideMark/>
          </w:tcPr>
          <w:p w14:paraId="30D5EA6C" w14:textId="77777777" w:rsidR="000F457D" w:rsidRPr="00F754EF" w:rsidRDefault="000F457D" w:rsidP="00AD525F">
            <w:pPr>
              <w:spacing w:after="0" w:line="240" w:lineRule="auto"/>
            </w:pPr>
            <w:r w:rsidRPr="00F754EF">
              <w:rPr>
                <w:rFonts w:ascii="Aptos Display" w:hAnsi="Aptos Display"/>
                <w:sz w:val="18"/>
                <w:szCs w:val="18"/>
              </w:rPr>
              <w:t>Mantenimiento del Grupo Asesor de la Sociedad Civil; ajuste de estrategias de visibilidad de socios en zonas de alto riesgo</w:t>
            </w:r>
            <w:r w:rsidRPr="00F754EF">
              <w:t xml:space="preserve"> </w:t>
            </w:r>
          </w:p>
        </w:tc>
        <w:tc>
          <w:tcPr>
            <w:tcW w:w="0" w:type="auto"/>
            <w:tcBorders>
              <w:top w:val="nil"/>
              <w:left w:val="nil"/>
              <w:bottom w:val="single" w:sz="8" w:space="0" w:color="CCCCCC"/>
              <w:right w:val="single" w:sz="8" w:space="0" w:color="CCCCCC"/>
            </w:tcBorders>
            <w:shd w:val="clear" w:color="auto" w:fill="FFFFFF"/>
            <w:vAlign w:val="center"/>
            <w:hideMark/>
          </w:tcPr>
          <w:p w14:paraId="198EF353" w14:textId="77777777" w:rsidR="000F457D" w:rsidRPr="00F754EF" w:rsidRDefault="000F457D" w:rsidP="00AD525F">
            <w:pPr>
              <w:spacing w:after="0" w:line="240" w:lineRule="auto"/>
            </w:pPr>
            <w:proofErr w:type="spellStart"/>
            <w:r w:rsidRPr="00F754EF">
              <w:rPr>
                <w:rFonts w:ascii="Aptos Display" w:hAnsi="Aptos Display"/>
                <w:i/>
                <w:iCs/>
                <w:color w:val="5A6678"/>
                <w:sz w:val="18"/>
                <w:szCs w:val="18"/>
              </w:rPr>
              <w:t>Spotlight</w:t>
            </w:r>
            <w:proofErr w:type="spellEnd"/>
            <w:r w:rsidRPr="00F754EF">
              <w:rPr>
                <w:rFonts w:ascii="Aptos Display" w:hAnsi="Aptos Display"/>
                <w:i/>
                <w:iCs/>
                <w:color w:val="5A6678"/>
                <w:sz w:val="18"/>
                <w:szCs w:val="18"/>
              </w:rPr>
              <w:t xml:space="preserve"> 2.0; portafolio EVAW</w:t>
            </w:r>
            <w:r w:rsidRPr="00F754EF">
              <w:rPr>
                <w:i/>
                <w:iCs/>
              </w:rPr>
              <w:t xml:space="preserve"> </w:t>
            </w:r>
          </w:p>
        </w:tc>
      </w:tr>
    </w:tbl>
    <w:p w14:paraId="05C8FAB3" w14:textId="77777777" w:rsidR="000F457D" w:rsidRPr="00F754EF" w:rsidRDefault="000F457D" w:rsidP="005831BD">
      <w:pPr>
        <w:spacing w:line="240" w:lineRule="auto"/>
        <w:rPr>
          <w:rFonts w:ascii="Calibri Light" w:hAnsi="Calibri Light" w:cs="Calibri Light"/>
        </w:rPr>
      </w:pPr>
      <w:r w:rsidRPr="00F754EF">
        <w:rPr>
          <w:rFonts w:ascii="Aptos Display" w:hAnsi="Aptos Display"/>
          <w:i/>
          <w:iCs/>
          <w:color w:val="auto"/>
          <w:sz w:val="18"/>
          <w:szCs w:val="18"/>
        </w:rPr>
        <w:t>Fuente: Análisis del equipo de evaluación basado en entrevistas con informantes clave y documentación de programas, 2026.</w:t>
      </w:r>
      <w:r w:rsidRPr="00F754EF">
        <w:rPr>
          <w:i/>
          <w:iCs/>
        </w:rPr>
        <w:t xml:space="preserve"> </w:t>
      </w:r>
    </w:p>
    <w:p w14:paraId="0A464E3E" w14:textId="77777777" w:rsidR="000F457D" w:rsidRPr="00F754EF" w:rsidRDefault="000F457D" w:rsidP="005831BD">
      <w:pPr>
        <w:pStyle w:val="Heading2"/>
        <w:rPr>
          <w:rFonts w:eastAsia="Times New Roman"/>
          <w:lang w:val="es-ES"/>
        </w:rPr>
      </w:pPr>
      <w:bookmarkStart w:id="38" w:name="_Toc233830048"/>
      <w:r w:rsidRPr="00F754EF">
        <w:rPr>
          <w:rFonts w:eastAsia="Times New Roman"/>
          <w:lang w:val="es-ES"/>
        </w:rPr>
        <w:t>4.2 Coherencia</w:t>
      </w:r>
      <w:bookmarkEnd w:id="38"/>
      <w:r w:rsidRPr="00F754EF">
        <w:rPr>
          <w:rFonts w:eastAsia="Times New Roman"/>
          <w:lang w:val="es-ES"/>
        </w:rPr>
        <w:t xml:space="preserve"> </w:t>
      </w:r>
    </w:p>
    <w:p w14:paraId="5FF79C23" w14:textId="7AEB4173" w:rsidR="000F457D" w:rsidRPr="00F754EF" w:rsidRDefault="000F457D" w:rsidP="005831BD">
      <w:pPr>
        <w:spacing w:line="240" w:lineRule="auto"/>
      </w:pPr>
      <w:r w:rsidRPr="00F754EF">
        <w:rPr>
          <w:rFonts w:ascii="Aptos Display" w:hAnsi="Aptos Display"/>
          <w:b/>
          <w:bCs/>
          <w:color w:val="FF0000"/>
          <w:sz w:val="24"/>
          <w:szCs w:val="24"/>
        </w:rPr>
        <w:t xml:space="preserve">Hallazgo 3: La oficina mantuvo un liderazgo de coordinación consistente y fue de las más activas en programas conjuntos con otras agencias ONU. La coherencia </w:t>
      </w:r>
      <w:proofErr w:type="spellStart"/>
      <w:r w:rsidRPr="00F754EF">
        <w:rPr>
          <w:rFonts w:ascii="Aptos Display" w:hAnsi="Aptos Display"/>
          <w:b/>
          <w:bCs/>
          <w:color w:val="FF0000"/>
          <w:sz w:val="24"/>
          <w:szCs w:val="24"/>
        </w:rPr>
        <w:t>interagencial</w:t>
      </w:r>
      <w:proofErr w:type="spellEnd"/>
      <w:r w:rsidRPr="00F754EF">
        <w:rPr>
          <w:rFonts w:ascii="Aptos Display" w:hAnsi="Aptos Display"/>
          <w:b/>
          <w:bCs/>
          <w:color w:val="FF0000"/>
          <w:sz w:val="24"/>
          <w:szCs w:val="24"/>
        </w:rPr>
        <w:t xml:space="preserve"> fue más fuerte en la programación </w:t>
      </w:r>
      <w:r w:rsidR="00114704" w:rsidRPr="00F754EF">
        <w:rPr>
          <w:rFonts w:ascii="Aptos Display" w:hAnsi="Aptos Display"/>
          <w:b/>
          <w:bCs/>
          <w:color w:val="FF0000"/>
          <w:sz w:val="24"/>
          <w:szCs w:val="24"/>
        </w:rPr>
        <w:t>conjunta,</w:t>
      </w:r>
      <w:r w:rsidRPr="00F754EF">
        <w:rPr>
          <w:rFonts w:ascii="Aptos Display" w:hAnsi="Aptos Display"/>
          <w:b/>
          <w:bCs/>
          <w:color w:val="FF0000"/>
          <w:sz w:val="24"/>
          <w:szCs w:val="24"/>
        </w:rPr>
        <w:t xml:space="preserve"> pero se debilitó por solapamientos de mandatos, limitaciones de personal y una integración de género desigual en el sistema ONU.</w:t>
      </w:r>
      <w:r w:rsidRPr="00F754EF">
        <w:rPr>
          <w:b/>
          <w:bCs/>
        </w:rPr>
        <w:t xml:space="preserve"> </w:t>
      </w:r>
    </w:p>
    <w:p w14:paraId="4D03F7C4" w14:textId="77777777" w:rsidR="00604424" w:rsidRPr="00F754EF" w:rsidRDefault="00604424" w:rsidP="005831BD">
      <w:pPr>
        <w:spacing w:line="240" w:lineRule="auto"/>
        <w:rPr>
          <w:rFonts w:ascii="Aptos Display" w:hAnsi="Aptos Display"/>
        </w:rPr>
        <w:sectPr w:rsidR="00604424" w:rsidRPr="00F754EF" w:rsidSect="00371CB2">
          <w:type w:val="continuous"/>
          <w:pgSz w:w="12240" w:h="15840"/>
          <w:pgMar w:top="1440" w:right="1080" w:bottom="1440" w:left="1080" w:header="720" w:footer="252" w:gutter="0"/>
          <w:cols w:space="720"/>
          <w:docGrid w:linePitch="360"/>
        </w:sectPr>
      </w:pPr>
    </w:p>
    <w:p w14:paraId="392DD257" w14:textId="4A9F53BA" w:rsidR="000F457D" w:rsidRPr="00F754EF" w:rsidRDefault="000F457D" w:rsidP="005831BD">
      <w:pPr>
        <w:spacing w:line="240" w:lineRule="auto"/>
        <w:rPr>
          <w:highlight w:val="yellow"/>
        </w:rPr>
      </w:pPr>
      <w:r w:rsidRPr="00F754EF">
        <w:rPr>
          <w:rFonts w:ascii="Aptos Display" w:hAnsi="Aptos Display"/>
        </w:rPr>
        <w:t xml:space="preserve">Ecuador fue documentado como la oficina ONU Mujeres con mayor número de programas conjuntos a nivel mundial durante el ciclo anterior </w:t>
      </w:r>
      <w:r w:rsidRPr="00F754EF">
        <w:rPr>
          <w:rStyle w:val="FootnoteReference"/>
          <w:rFonts w:ascii="Aptos Display" w:hAnsi="Aptos Display"/>
        </w:rPr>
        <w:t>[</w:t>
      </w:r>
      <w:r w:rsidR="004C1B5A" w:rsidRPr="00F754EF">
        <w:rPr>
          <w:rStyle w:val="FootnoteReference"/>
          <w:rFonts w:ascii="Aptos Display" w:hAnsi="Aptos Display"/>
        </w:rPr>
        <w:footnoteReference w:id="35"/>
      </w:r>
      <w:r w:rsidRPr="00F754EF">
        <w:rPr>
          <w:rStyle w:val="FootnoteReference"/>
          <w:rFonts w:ascii="Aptos Display" w:hAnsi="Aptos Display"/>
        </w:rPr>
        <w:t xml:space="preserve">] </w:t>
      </w:r>
      <w:r w:rsidRPr="00F754EF">
        <w:rPr>
          <w:rFonts w:ascii="Aptos Display" w:hAnsi="Aptos Display"/>
        </w:rPr>
        <w:t xml:space="preserve">, y este posicionamiento continuó en el periodo 2023-2026. La programación conjunta no fue solo una modalidad de financiación: fue el principal vehículo de la oficina para ejercer su mandato de coordinación, reuniendo a PNUD, UNFPA, UNODC, OIM y UNDPPA en la Iniciativa </w:t>
      </w:r>
      <w:proofErr w:type="spellStart"/>
      <w:r w:rsidRPr="00F754EF">
        <w:rPr>
          <w:rFonts w:ascii="Aptos Display" w:hAnsi="Aptos Display"/>
        </w:rPr>
        <w:t>Spotlight</w:t>
      </w:r>
      <w:proofErr w:type="spellEnd"/>
      <w:r w:rsidRPr="00F754EF">
        <w:rPr>
          <w:rFonts w:ascii="Aptos Display" w:hAnsi="Aptos Display"/>
        </w:rPr>
        <w:t xml:space="preserve">, el programa Fondo para la Consolidación de la Paz, el Programa de Integración de Género en Procesos Electorales y la iniciativa Protegiendo a las Caminantes. </w:t>
      </w:r>
    </w:p>
    <w:p w14:paraId="336ED240" w14:textId="77777777" w:rsidR="000F457D" w:rsidRPr="00F754EF" w:rsidRDefault="000F457D" w:rsidP="005831BD">
      <w:pPr>
        <w:spacing w:line="240" w:lineRule="auto"/>
      </w:pPr>
      <w:r w:rsidRPr="00F754EF">
        <w:rPr>
          <w:rFonts w:ascii="Aptos Display" w:hAnsi="Aptos Display"/>
        </w:rPr>
        <w:t xml:space="preserve">La Iniciativa </w:t>
      </w:r>
      <w:proofErr w:type="spellStart"/>
      <w:r w:rsidRPr="00F754EF">
        <w:rPr>
          <w:rFonts w:ascii="Aptos Display" w:hAnsi="Aptos Display"/>
        </w:rPr>
        <w:t>Spotlight</w:t>
      </w:r>
      <w:proofErr w:type="spellEnd"/>
      <w:r w:rsidRPr="00F754EF">
        <w:rPr>
          <w:rFonts w:ascii="Aptos Display" w:hAnsi="Aptos Display"/>
        </w:rPr>
        <w:t xml:space="preserve"> fue el principal ejemplo de coherencia </w:t>
      </w:r>
      <w:proofErr w:type="spellStart"/>
      <w:r w:rsidRPr="00F754EF">
        <w:rPr>
          <w:rFonts w:ascii="Aptos Display" w:hAnsi="Aptos Display"/>
        </w:rPr>
        <w:t>interagencial</w:t>
      </w:r>
      <w:proofErr w:type="spellEnd"/>
      <w:r w:rsidRPr="00F754EF">
        <w:rPr>
          <w:rFonts w:ascii="Aptos Display" w:hAnsi="Aptos Display"/>
        </w:rPr>
        <w:t xml:space="preserve"> eficaz. Las responsabilidades se distribuyeron según la ventaja comparativa: PNUD y ONU Mujeres lideraron en datos y marcos legales; UNFPA en prevención; ONU Mujeres y PNUD en respuesta; y ONU Mujeres en vinculación con sociedad civil. Un coordinador de programa dedicado se incorporó a la iniciativa para gestionar la coordinación </w:t>
      </w:r>
      <w:proofErr w:type="spellStart"/>
      <w:r w:rsidRPr="00F754EF">
        <w:rPr>
          <w:rFonts w:ascii="Aptos Display" w:hAnsi="Aptos Display"/>
        </w:rPr>
        <w:t>interagencial</w:t>
      </w:r>
      <w:proofErr w:type="spellEnd"/>
      <w:r w:rsidRPr="00F754EF">
        <w:rPr>
          <w:rFonts w:ascii="Aptos Display" w:hAnsi="Aptos Display"/>
        </w:rPr>
        <w:t>, práctica destacada por la Oficina del Coordinador Residente como buena práctica. UNFPA describió la colaboración entre las tres agencias como un modelo de distribución de mandatos sin duplicidad, presentando una sola voz ante las contrapartes gubernamentales.</w:t>
      </w:r>
    </w:p>
    <w:p w14:paraId="3D84A7AF" w14:textId="62E423C9" w:rsidR="000F457D" w:rsidRPr="00F754EF" w:rsidRDefault="000F457D" w:rsidP="005831BD">
      <w:pPr>
        <w:spacing w:line="240" w:lineRule="auto"/>
      </w:pPr>
      <w:r w:rsidRPr="00F754EF">
        <w:rPr>
          <w:rFonts w:ascii="Aptos Display" w:hAnsi="Aptos Display"/>
        </w:rPr>
        <w:t xml:space="preserve">Más allá de la programación conjunta, la oficina lideró dos mecanismos clave de coordinación: el Grupo </w:t>
      </w:r>
      <w:r w:rsidRPr="00F754EF">
        <w:rPr>
          <w:rFonts w:ascii="Aptos Display" w:hAnsi="Aptos Display"/>
        </w:rPr>
        <w:t xml:space="preserve">Temático </w:t>
      </w:r>
      <w:proofErr w:type="spellStart"/>
      <w:r w:rsidRPr="00F754EF">
        <w:rPr>
          <w:rFonts w:ascii="Aptos Display" w:hAnsi="Aptos Display"/>
        </w:rPr>
        <w:t>Interagencial</w:t>
      </w:r>
      <w:proofErr w:type="spellEnd"/>
      <w:r w:rsidRPr="00F754EF">
        <w:rPr>
          <w:rFonts w:ascii="Aptos Display" w:hAnsi="Aptos Display"/>
        </w:rPr>
        <w:t xml:space="preserve"> de Género </w:t>
      </w:r>
      <w:r w:rsidR="00CA7482" w:rsidRPr="00F754EF">
        <w:rPr>
          <w:rFonts w:ascii="Aptos Display" w:hAnsi="Aptos Display"/>
        </w:rPr>
        <w:t>(GTI</w:t>
      </w:r>
      <w:r w:rsidRPr="00F754EF">
        <w:rPr>
          <w:rFonts w:ascii="Aptos Display" w:hAnsi="Aptos Display"/>
          <w:i/>
          <w:iCs/>
        </w:rPr>
        <w:t xml:space="preserve"> de </w:t>
      </w:r>
      <w:r w:rsidR="00CA7482" w:rsidRPr="00F754EF">
        <w:rPr>
          <w:rFonts w:ascii="Aptos Display" w:hAnsi="Aptos Display"/>
          <w:i/>
          <w:iCs/>
        </w:rPr>
        <w:t>Género</w:t>
      </w:r>
      <w:r w:rsidR="00CA7482" w:rsidRPr="00F754EF">
        <w:rPr>
          <w:rFonts w:ascii="Aptos Display" w:hAnsi="Aptos Display"/>
        </w:rPr>
        <w:t>)</w:t>
      </w:r>
      <w:r w:rsidRPr="00F754EF">
        <w:rPr>
          <w:rFonts w:ascii="Aptos Display" w:hAnsi="Aptos Display"/>
        </w:rPr>
        <w:t xml:space="preserve">, que reúne a 12 agencias y se reúne mensualmente, y la Mesa de Cooperación de Género (MEGECI), que convoca a agencias ONU, embajadas y organizaciones internacionales en torno a prioridades de género. La oficina también lideró el proceso UN-SWAP (Plan de Acción del Sistema ONU para la Igualdad de Género), encargando evaluaciones anuales y presentando resultados al UNCT cada marzo. La Oficina del Coordinador Residente confirmó que ONU Mujeres contribuyó activamente a la construcción del UNSDCF, el análisis país y el Plan Nacional de Desarrollo 2025-2029, donde lideró el proceso de integración de género. </w:t>
      </w:r>
    </w:p>
    <w:p w14:paraId="2521B486" w14:textId="3869874B" w:rsidR="000F457D" w:rsidRPr="00F754EF" w:rsidRDefault="000F457D" w:rsidP="005831BD">
      <w:pPr>
        <w:spacing w:line="240" w:lineRule="auto"/>
      </w:pPr>
      <w:r w:rsidRPr="00F754EF">
        <w:rPr>
          <w:rFonts w:ascii="Aptos Display" w:hAnsi="Aptos Display"/>
        </w:rPr>
        <w:t xml:space="preserve">Sin embargo, se destacan tres brechas de coherencia. Primero, los solapamientos de mandato con otras agencias generaron fricciones, especialmente en el trabajo electoral de género, donde las agencias competían por espacio institucional, y en el Sello de Igualdad de Género </w:t>
      </w:r>
      <w:r w:rsidRPr="00F754EF">
        <w:rPr>
          <w:rStyle w:val="FootnoteReference"/>
          <w:rFonts w:ascii="Aptos Display" w:hAnsi="Aptos Display"/>
        </w:rPr>
        <w:t>[</w:t>
      </w:r>
      <w:r w:rsidR="00155D86" w:rsidRPr="00F754EF">
        <w:rPr>
          <w:rStyle w:val="FootnoteReference"/>
          <w:rFonts w:ascii="Aptos Display" w:hAnsi="Aptos Display"/>
        </w:rPr>
        <w:footnoteReference w:id="36"/>
      </w:r>
      <w:r w:rsidRPr="00F754EF">
        <w:rPr>
          <w:rStyle w:val="FootnoteReference"/>
          <w:rFonts w:ascii="Aptos Display" w:hAnsi="Aptos Display"/>
        </w:rPr>
        <w:t xml:space="preserve">] </w:t>
      </w:r>
      <w:r w:rsidRPr="00F754EF">
        <w:rPr>
          <w:rFonts w:ascii="Aptos Display" w:hAnsi="Aptos Display"/>
        </w:rPr>
        <w:t xml:space="preserve">, que el PNUD administra pese a que corresponde al mandato normativo de ONU Mujeres. Segundo, </w:t>
      </w:r>
      <w:r w:rsidR="00F871C8" w:rsidRPr="00F871C8">
        <w:rPr>
          <w:rFonts w:ascii="Aptos Display" w:hAnsi="Aptos Display"/>
        </w:rPr>
        <w:t xml:space="preserve">el periodo de </w:t>
      </w:r>
      <w:proofErr w:type="spellStart"/>
      <w:r w:rsidR="00F871C8" w:rsidRPr="00F871C8">
        <w:rPr>
          <w:rFonts w:ascii="Aptos Display" w:hAnsi="Aptos Display"/>
        </w:rPr>
        <w:t>transicion</w:t>
      </w:r>
      <w:proofErr w:type="spellEnd"/>
      <w:r w:rsidR="00F871C8" w:rsidRPr="00F871C8">
        <w:rPr>
          <w:rFonts w:ascii="Aptos Display" w:hAnsi="Aptos Display"/>
        </w:rPr>
        <w:t xml:space="preserve"> en el liderazgo de la oficina afecto la continuidad de la </w:t>
      </w:r>
      <w:proofErr w:type="spellStart"/>
      <w:r w:rsidR="00F871C8" w:rsidRPr="00F871C8">
        <w:rPr>
          <w:rFonts w:ascii="Aptos Display" w:hAnsi="Aptos Display"/>
        </w:rPr>
        <w:t>representacion</w:t>
      </w:r>
      <w:proofErr w:type="spellEnd"/>
      <w:r w:rsidR="00F871C8" w:rsidRPr="00F871C8">
        <w:rPr>
          <w:rFonts w:ascii="Aptos Display" w:hAnsi="Aptos Display"/>
        </w:rPr>
        <w:t xml:space="preserve"> institucional en algunos espacios de </w:t>
      </w:r>
      <w:proofErr w:type="spellStart"/>
      <w:r w:rsidR="00F871C8" w:rsidRPr="00F871C8">
        <w:rPr>
          <w:rFonts w:ascii="Aptos Display" w:hAnsi="Aptos Display"/>
        </w:rPr>
        <w:t>coordinacion</w:t>
      </w:r>
      <w:proofErr w:type="spellEnd"/>
      <w:r w:rsidR="00F871C8" w:rsidRPr="00F871C8">
        <w:rPr>
          <w:rFonts w:ascii="Aptos Display" w:hAnsi="Aptos Display"/>
        </w:rPr>
        <w:t xml:space="preserve"> de alto nivel, lo que se </w:t>
      </w:r>
      <w:proofErr w:type="spellStart"/>
      <w:r w:rsidR="00F871C8" w:rsidRPr="00F871C8">
        <w:rPr>
          <w:rFonts w:ascii="Aptos Display" w:hAnsi="Aptos Display"/>
        </w:rPr>
        <w:t>reflejo</w:t>
      </w:r>
      <w:proofErr w:type="spellEnd"/>
      <w:r w:rsidR="00F871C8" w:rsidRPr="00F871C8">
        <w:rPr>
          <w:rFonts w:ascii="Aptos Display" w:hAnsi="Aptos Display"/>
        </w:rPr>
        <w:t xml:space="preserve"> en el ritmo de ciertas actividades de relacionamiento </w:t>
      </w:r>
      <w:proofErr w:type="spellStart"/>
      <w:r w:rsidR="00F871C8" w:rsidRPr="00F871C8">
        <w:rPr>
          <w:rFonts w:ascii="Aptos Display" w:hAnsi="Aptos Display"/>
        </w:rPr>
        <w:t>politico</w:t>
      </w:r>
      <w:proofErr w:type="spellEnd"/>
      <w:r w:rsidR="00F871C8" w:rsidRPr="00F871C8">
        <w:rPr>
          <w:rFonts w:ascii="Aptos Display" w:hAnsi="Aptos Display"/>
        </w:rPr>
        <w:t xml:space="preserve"> durante ese periodo.</w:t>
      </w:r>
      <w:r w:rsidRPr="00F754EF">
        <w:rPr>
          <w:rFonts w:ascii="Aptos Display" w:hAnsi="Aptos Display"/>
        </w:rPr>
        <w:t xml:space="preserve"> </w:t>
      </w:r>
      <w:r w:rsidR="00C01E6F">
        <w:rPr>
          <w:rFonts w:ascii="Aptos Display" w:hAnsi="Aptos Display"/>
        </w:rPr>
        <w:t>V</w:t>
      </w:r>
      <w:r w:rsidRPr="00F754EF">
        <w:rPr>
          <w:rFonts w:ascii="Aptos Display" w:hAnsi="Aptos Display"/>
        </w:rPr>
        <w:t xml:space="preserve">arios entrevistados señalaron que el liderazgo interino, aunque técnicamente capaz, no tenía el mismo peso en foros de alto nivel ni ante </w:t>
      </w:r>
      <w:r w:rsidRPr="00F754EF">
        <w:rPr>
          <w:rFonts w:ascii="Aptos Display" w:hAnsi="Aptos Display"/>
        </w:rPr>
        <w:lastRenderedPageBreak/>
        <w:t xml:space="preserve">contrapartes gubernamentales. Tercero, la </w:t>
      </w:r>
      <w:r w:rsidR="00905609" w:rsidRPr="00905609">
        <w:rPr>
          <w:rFonts w:ascii="Aptos Display" w:hAnsi="Aptos Display"/>
        </w:rPr>
        <w:t xml:space="preserve">a </w:t>
      </w:r>
      <w:proofErr w:type="spellStart"/>
      <w:r w:rsidR="00905609" w:rsidRPr="00905609">
        <w:rPr>
          <w:rFonts w:ascii="Aptos Display" w:hAnsi="Aptos Display"/>
        </w:rPr>
        <w:t>integracion</w:t>
      </w:r>
      <w:proofErr w:type="spellEnd"/>
      <w:r w:rsidR="00905609" w:rsidRPr="00905609">
        <w:rPr>
          <w:rFonts w:ascii="Aptos Display" w:hAnsi="Aptos Display"/>
        </w:rPr>
        <w:t xml:space="preserve"> de la perspectiva de </w:t>
      </w:r>
      <w:proofErr w:type="spellStart"/>
      <w:r w:rsidR="00905609" w:rsidRPr="00905609">
        <w:rPr>
          <w:rFonts w:ascii="Aptos Display" w:hAnsi="Aptos Display"/>
        </w:rPr>
        <w:t>genero</w:t>
      </w:r>
      <w:proofErr w:type="spellEnd"/>
      <w:r w:rsidR="00905609" w:rsidRPr="00905609">
        <w:rPr>
          <w:rFonts w:ascii="Aptos Display" w:hAnsi="Aptos Display"/>
        </w:rPr>
        <w:t xml:space="preserve"> en el conjunto del sistema ONU mostro avances desiguales entre agencias</w:t>
      </w:r>
      <w:r w:rsidR="00905609">
        <w:rPr>
          <w:rFonts w:ascii="Aptos Display" w:hAnsi="Aptos Display"/>
        </w:rPr>
        <w:t>.</w:t>
      </w:r>
      <w:r w:rsidRPr="00F754EF">
        <w:rPr>
          <w:rFonts w:ascii="Aptos Display" w:hAnsi="Aptos Display"/>
        </w:rPr>
        <w:t xml:space="preserve"> El </w:t>
      </w:r>
      <w:r w:rsidRPr="00F754EF">
        <w:rPr>
          <w:rFonts w:ascii="Aptos Display" w:hAnsi="Aptos Display"/>
          <w:i/>
          <w:iCs/>
        </w:rPr>
        <w:t>GTI de Género</w:t>
      </w:r>
      <w:r w:rsidRPr="00F754EF">
        <w:rPr>
          <w:rFonts w:ascii="Aptos Display" w:hAnsi="Aptos Display"/>
        </w:rPr>
        <w:t xml:space="preserve"> atraía solo a la mitad de </w:t>
      </w:r>
      <w:r w:rsidRPr="00F754EF">
        <w:rPr>
          <w:rFonts w:ascii="Aptos Display" w:hAnsi="Aptos Display"/>
        </w:rPr>
        <w:t xml:space="preserve">sus miembros a las reuniones regulares y el UNCT no había fijado un objetivo financiero para inversiones en igualdad de género pese al reporte anual SWAP. </w:t>
      </w:r>
    </w:p>
    <w:bookmarkEnd w:id="25"/>
    <w:p w14:paraId="2C45067A" w14:textId="77777777" w:rsidR="00604424" w:rsidRPr="00F754EF" w:rsidRDefault="00604424" w:rsidP="005831BD">
      <w:pPr>
        <w:spacing w:line="240" w:lineRule="auto"/>
        <w:rPr>
          <w:rFonts w:ascii="Aptos Display" w:hAnsi="Aptos Display"/>
          <w:b/>
          <w:bCs/>
          <w:i/>
          <w:iCs/>
          <w:color w:val="009CDB"/>
          <w:sz w:val="24"/>
          <w:szCs w:val="24"/>
        </w:rPr>
        <w:sectPr w:rsidR="00604424" w:rsidRPr="00F754EF" w:rsidSect="00604424">
          <w:type w:val="continuous"/>
          <w:pgSz w:w="12240" w:h="15840"/>
          <w:pgMar w:top="1440" w:right="1080" w:bottom="1440" w:left="1080" w:header="720" w:footer="252" w:gutter="0"/>
          <w:cols w:num="2" w:space="720"/>
          <w:docGrid w:linePitch="360"/>
        </w:sectPr>
      </w:pPr>
    </w:p>
    <w:p w14:paraId="5EF2B4CA" w14:textId="77777777" w:rsidR="00920F0E" w:rsidRPr="00F754EF" w:rsidRDefault="00920F0E" w:rsidP="005831BD">
      <w:pPr>
        <w:spacing w:line="240" w:lineRule="auto"/>
      </w:pPr>
      <w:r w:rsidRPr="00F754EF">
        <w:rPr>
          <w:rFonts w:ascii="Aptos Display" w:hAnsi="Aptos Display"/>
          <w:b/>
          <w:bCs/>
          <w:color w:val="FF0000"/>
          <w:sz w:val="24"/>
          <w:szCs w:val="24"/>
        </w:rPr>
        <w:t>Hallazgo 4: La oficina aprovechó eficazmente las tres dimensiones de su mandato durante todo el periodo. Su autoridad normativa y liderazgo en coordinación fueron citados de forma constante como su principal ventaja comparativa dentro del sistema ONU y entre los socios nacionales.</w:t>
      </w:r>
      <w:r w:rsidRPr="00F754EF">
        <w:rPr>
          <w:b/>
          <w:bCs/>
        </w:rPr>
        <w:t xml:space="preserve"> </w:t>
      </w:r>
    </w:p>
    <w:p w14:paraId="67FBEF36" w14:textId="77777777" w:rsidR="00FE4554" w:rsidRPr="00F754EF" w:rsidRDefault="00FE4554" w:rsidP="005831BD">
      <w:pPr>
        <w:spacing w:line="240" w:lineRule="auto"/>
        <w:rPr>
          <w:rFonts w:ascii="Aptos Display" w:hAnsi="Aptos Display"/>
        </w:rPr>
        <w:sectPr w:rsidR="00FE4554" w:rsidRPr="00F754EF" w:rsidSect="00371CB2">
          <w:type w:val="continuous"/>
          <w:pgSz w:w="12240" w:h="15840"/>
          <w:pgMar w:top="1440" w:right="1080" w:bottom="1440" w:left="1080" w:header="720" w:footer="252" w:gutter="0"/>
          <w:cols w:space="720"/>
          <w:docGrid w:linePitch="360"/>
        </w:sectPr>
      </w:pPr>
    </w:p>
    <w:p w14:paraId="200E8C37" w14:textId="77777777" w:rsidR="00920F0E" w:rsidRPr="00F754EF" w:rsidRDefault="00920F0E" w:rsidP="005831BD">
      <w:pPr>
        <w:spacing w:line="240" w:lineRule="auto"/>
      </w:pPr>
      <w:r w:rsidRPr="00F754EF">
        <w:rPr>
          <w:rFonts w:ascii="Aptos Display" w:hAnsi="Aptos Display"/>
        </w:rPr>
        <w:t xml:space="preserve">La oficina operacionalizó las tres dimensiones de su mandato a lo largo del periodo, combinando el apoyo normativo a marcos de políticas, el liderazgo de coordinación dentro del sistema ONU y la </w:t>
      </w:r>
      <w:r w:rsidRPr="00F754EF">
        <w:rPr>
          <w:rFonts w:ascii="Aptos Display" w:hAnsi="Aptos Display"/>
        </w:rPr>
        <w:t>programación operativa directa con socios. El Cuadro 1 a continuación resume las acciones clave bajo cada dimensión antes de que la evidencia se discuta por tipo de socio.</w:t>
      </w:r>
    </w:p>
    <w:p w14:paraId="4714EABF" w14:textId="77777777" w:rsidR="00FE4554" w:rsidRPr="00F754EF" w:rsidRDefault="00FE4554" w:rsidP="005831BD">
      <w:pPr>
        <w:spacing w:line="240" w:lineRule="auto"/>
        <w:rPr>
          <w:rFonts w:ascii="Aptos Display" w:hAnsi="Aptos Display"/>
          <w:b/>
          <w:bCs/>
          <w:color w:val="1A2744"/>
        </w:rPr>
        <w:sectPr w:rsidR="00FE4554" w:rsidRPr="00F754EF" w:rsidSect="00FE4554">
          <w:type w:val="continuous"/>
          <w:pgSz w:w="12240" w:h="15840"/>
          <w:pgMar w:top="1440" w:right="1080" w:bottom="1440" w:left="1080" w:header="720" w:footer="252" w:gutter="0"/>
          <w:cols w:num="2" w:space="720"/>
          <w:docGrid w:linePitch="360"/>
        </w:sectPr>
      </w:pPr>
    </w:p>
    <w:p w14:paraId="6925E3DC" w14:textId="77777777" w:rsidR="00920F0E" w:rsidRPr="00F754EF" w:rsidRDefault="00920F0E" w:rsidP="005831BD">
      <w:pPr>
        <w:spacing w:line="240" w:lineRule="auto"/>
      </w:pPr>
      <w:r w:rsidRPr="00F754EF">
        <w:rPr>
          <w:rFonts w:ascii="Aptos Display" w:hAnsi="Aptos Display"/>
          <w:b/>
          <w:bCs/>
          <w:color w:val="1A2744"/>
        </w:rPr>
        <w:t>Cuadro 1: El triple mandato de ONU Mujeres Ecuador en la práctica (2023-2026)</w:t>
      </w:r>
      <w:r w:rsidRPr="00F754EF">
        <w:rPr>
          <w:b/>
          <w:bCs/>
        </w:rPr>
        <w:t xml:space="preserve"> </w:t>
      </w:r>
    </w:p>
    <w:tbl>
      <w:tblPr>
        <w:tblW w:w="9923" w:type="dxa"/>
        <w:tblCellMar>
          <w:top w:w="15" w:type="dxa"/>
          <w:left w:w="15" w:type="dxa"/>
          <w:bottom w:w="15" w:type="dxa"/>
          <w:right w:w="15" w:type="dxa"/>
        </w:tblCellMar>
        <w:tblLook w:val="04A0" w:firstRow="1" w:lastRow="0" w:firstColumn="1" w:lastColumn="0" w:noHBand="0" w:noVBand="1"/>
      </w:tblPr>
      <w:tblGrid>
        <w:gridCol w:w="3175"/>
        <w:gridCol w:w="3269"/>
        <w:gridCol w:w="3479"/>
      </w:tblGrid>
      <w:tr w:rsidR="00920F0E" w:rsidRPr="00F754EF" w14:paraId="47401B03" w14:textId="77777777">
        <w:trPr>
          <w:trHeight w:val="49"/>
        </w:trPr>
        <w:tc>
          <w:tcPr>
            <w:tcW w:w="3060" w:type="dxa"/>
            <w:tcBorders>
              <w:top w:val="nil"/>
              <w:left w:val="nil"/>
              <w:bottom w:val="nil"/>
              <w:right w:val="nil"/>
            </w:tcBorders>
            <w:shd w:val="clear" w:color="auto" w:fill="2E6DA4"/>
            <w:vAlign w:val="center"/>
            <w:hideMark/>
          </w:tcPr>
          <w:p w14:paraId="6DA34C81" w14:textId="77777777" w:rsidR="00920F0E" w:rsidRPr="00F754EF" w:rsidRDefault="00920F0E" w:rsidP="00FE4554">
            <w:pPr>
              <w:spacing w:after="0" w:line="240" w:lineRule="auto"/>
            </w:pPr>
            <w:r w:rsidRPr="00F754EF">
              <w:rPr>
                <w:rFonts w:ascii="Aptos Display" w:hAnsi="Aptos Display"/>
                <w:b/>
                <w:bCs/>
                <w:color w:val="FFFFFF"/>
              </w:rPr>
              <w:t>Mandato normativo</w:t>
            </w:r>
            <w:r w:rsidRPr="00F754EF">
              <w:rPr>
                <w:b/>
                <w:bCs/>
              </w:rPr>
              <w:t xml:space="preserve"> </w:t>
            </w:r>
          </w:p>
          <w:p w14:paraId="2CBAEC0C" w14:textId="77777777" w:rsidR="00920F0E" w:rsidRPr="00F754EF" w:rsidRDefault="00920F0E" w:rsidP="00FE4554">
            <w:pPr>
              <w:spacing w:after="0" w:line="240" w:lineRule="auto"/>
            </w:pPr>
            <w:r w:rsidRPr="00F754EF">
              <w:rPr>
                <w:rFonts w:ascii="Aptos Display" w:hAnsi="Aptos Display"/>
                <w:i/>
                <w:iCs/>
                <w:color w:val="FFFFFF"/>
                <w:sz w:val="17"/>
                <w:szCs w:val="17"/>
              </w:rPr>
              <w:t>Avanzando en leyes, políticas y estándares</w:t>
            </w:r>
            <w:r w:rsidRPr="00F754EF">
              <w:rPr>
                <w:i/>
                <w:iCs/>
              </w:rPr>
              <w:t xml:space="preserve"> </w:t>
            </w:r>
          </w:p>
        </w:tc>
        <w:tc>
          <w:tcPr>
            <w:tcW w:w="3150" w:type="dxa"/>
            <w:tcBorders>
              <w:top w:val="nil"/>
              <w:left w:val="nil"/>
              <w:bottom w:val="nil"/>
              <w:right w:val="nil"/>
            </w:tcBorders>
            <w:shd w:val="clear" w:color="auto" w:fill="1A7A58"/>
            <w:vAlign w:val="center"/>
            <w:hideMark/>
          </w:tcPr>
          <w:p w14:paraId="19FE5384" w14:textId="77777777" w:rsidR="00920F0E" w:rsidRPr="00F754EF" w:rsidRDefault="00920F0E" w:rsidP="00FE4554">
            <w:pPr>
              <w:spacing w:after="0" w:line="240" w:lineRule="auto"/>
            </w:pPr>
            <w:r w:rsidRPr="00F754EF">
              <w:rPr>
                <w:rFonts w:ascii="Aptos Display" w:hAnsi="Aptos Display"/>
                <w:b/>
                <w:bCs/>
                <w:color w:val="FFFFFF"/>
              </w:rPr>
              <w:t>Mandato de coordinación</w:t>
            </w:r>
            <w:r w:rsidRPr="00F754EF">
              <w:rPr>
                <w:b/>
                <w:bCs/>
              </w:rPr>
              <w:t xml:space="preserve"> </w:t>
            </w:r>
          </w:p>
          <w:p w14:paraId="4CD6A98C" w14:textId="77777777" w:rsidR="00920F0E" w:rsidRPr="00F754EF" w:rsidRDefault="00920F0E" w:rsidP="00FE4554">
            <w:pPr>
              <w:spacing w:after="0" w:line="240" w:lineRule="auto"/>
            </w:pPr>
            <w:r w:rsidRPr="00F754EF">
              <w:rPr>
                <w:rFonts w:ascii="Aptos Display" w:hAnsi="Aptos Display"/>
                <w:i/>
                <w:iCs/>
                <w:color w:val="FFFFFF"/>
                <w:sz w:val="17"/>
                <w:szCs w:val="17"/>
              </w:rPr>
              <w:t>Liderando la transversalización de género en el sistema ONU</w:t>
            </w:r>
            <w:r w:rsidRPr="00F754EF">
              <w:rPr>
                <w:i/>
                <w:iCs/>
              </w:rPr>
              <w:t xml:space="preserve"> </w:t>
            </w:r>
          </w:p>
        </w:tc>
        <w:tc>
          <w:tcPr>
            <w:tcW w:w="3353" w:type="dxa"/>
            <w:tcBorders>
              <w:top w:val="nil"/>
              <w:left w:val="nil"/>
              <w:bottom w:val="nil"/>
              <w:right w:val="nil"/>
            </w:tcBorders>
            <w:shd w:val="clear" w:color="auto" w:fill="5B21B6"/>
            <w:vAlign w:val="center"/>
            <w:hideMark/>
          </w:tcPr>
          <w:p w14:paraId="62333B58" w14:textId="77777777" w:rsidR="00920F0E" w:rsidRPr="00F754EF" w:rsidRDefault="00920F0E" w:rsidP="00FE4554">
            <w:pPr>
              <w:spacing w:after="0" w:line="240" w:lineRule="auto"/>
            </w:pPr>
            <w:r w:rsidRPr="00F754EF">
              <w:rPr>
                <w:rFonts w:ascii="Aptos Display" w:hAnsi="Aptos Display"/>
                <w:b/>
                <w:bCs/>
                <w:color w:val="FFFFFF"/>
              </w:rPr>
              <w:t>Mandato operativo</w:t>
            </w:r>
            <w:r w:rsidRPr="00F754EF">
              <w:rPr>
                <w:b/>
                <w:bCs/>
              </w:rPr>
              <w:t xml:space="preserve"> </w:t>
            </w:r>
          </w:p>
          <w:p w14:paraId="627896DA" w14:textId="77777777" w:rsidR="00920F0E" w:rsidRPr="00F754EF" w:rsidRDefault="00920F0E" w:rsidP="00FE4554">
            <w:pPr>
              <w:spacing w:after="0" w:line="240" w:lineRule="auto"/>
            </w:pPr>
            <w:r w:rsidRPr="00F754EF">
              <w:rPr>
                <w:rFonts w:ascii="Aptos Display" w:hAnsi="Aptos Display"/>
                <w:i/>
                <w:iCs/>
                <w:color w:val="FFFFFF"/>
                <w:sz w:val="17"/>
                <w:szCs w:val="17"/>
              </w:rPr>
              <w:t>Programación directa con socios</w:t>
            </w:r>
            <w:r w:rsidRPr="00F754EF">
              <w:rPr>
                <w:i/>
                <w:iCs/>
              </w:rPr>
              <w:t xml:space="preserve"> </w:t>
            </w:r>
          </w:p>
        </w:tc>
      </w:tr>
      <w:tr w:rsidR="00920F0E" w:rsidRPr="00F754EF" w14:paraId="5C3F578D" w14:textId="77777777">
        <w:trPr>
          <w:trHeight w:val="26"/>
        </w:trPr>
        <w:tc>
          <w:tcPr>
            <w:tcW w:w="3060" w:type="dxa"/>
            <w:tcBorders>
              <w:top w:val="nil"/>
              <w:left w:val="nil"/>
              <w:bottom w:val="nil"/>
              <w:right w:val="nil"/>
            </w:tcBorders>
            <w:shd w:val="clear" w:color="auto" w:fill="EEF3F8"/>
            <w:vAlign w:val="center"/>
            <w:hideMark/>
          </w:tcPr>
          <w:p w14:paraId="01591890" w14:textId="4FBE5973" w:rsidR="00920F0E" w:rsidRPr="00F754EF" w:rsidRDefault="00920F0E" w:rsidP="00FE4554">
            <w:pPr>
              <w:spacing w:after="0" w:line="240" w:lineRule="auto"/>
            </w:pPr>
            <w:r w:rsidRPr="00F754EF">
              <w:rPr>
                <w:rFonts w:ascii="Aptos Display" w:hAnsi="Aptos Display"/>
                <w:b/>
                <w:bCs/>
                <w:color w:val="2E6DA4"/>
                <w:sz w:val="18"/>
                <w:szCs w:val="18"/>
              </w:rPr>
              <w:t>•</w:t>
            </w:r>
            <w:r w:rsidRPr="00F754EF">
              <w:rPr>
                <w:b/>
                <w:bCs/>
              </w:rPr>
              <w:t xml:space="preserve"> </w:t>
            </w:r>
            <w:r w:rsidRPr="00F754EF">
              <w:rPr>
                <w:rFonts w:ascii="Aptos Display" w:hAnsi="Aptos Display"/>
                <w:color w:val="1A1A1A"/>
                <w:sz w:val="18"/>
                <w:szCs w:val="18"/>
              </w:rPr>
              <w:t xml:space="preserve">Lideró la incidencia para preservar el Ministerio de la Mujer cuando </w:t>
            </w:r>
            <w:r w:rsidR="008F54D9" w:rsidRPr="00F754EF">
              <w:rPr>
                <w:rFonts w:ascii="Aptos Display" w:hAnsi="Aptos Display"/>
                <w:color w:val="1A1A1A"/>
                <w:sz w:val="18"/>
                <w:szCs w:val="18"/>
              </w:rPr>
              <w:t>se</w:t>
            </w:r>
            <w:r w:rsidRPr="00F754EF">
              <w:rPr>
                <w:rFonts w:ascii="Aptos Display" w:hAnsi="Aptos Display"/>
                <w:color w:val="1A1A1A"/>
                <w:sz w:val="18"/>
                <w:szCs w:val="18"/>
              </w:rPr>
              <w:t xml:space="preserve"> intentó </w:t>
            </w:r>
            <w:r w:rsidR="008F54D9" w:rsidRPr="00F754EF">
              <w:rPr>
                <w:rFonts w:ascii="Aptos Display" w:hAnsi="Aptos Display"/>
                <w:color w:val="1A1A1A"/>
                <w:sz w:val="18"/>
                <w:szCs w:val="18"/>
              </w:rPr>
              <w:t>reestructurarlo</w:t>
            </w:r>
            <w:r w:rsidRPr="00F754EF">
              <w:rPr>
                <w:rFonts w:ascii="Aptos Display" w:hAnsi="Aptos Display"/>
                <w:color w:val="1A1A1A"/>
                <w:sz w:val="18"/>
                <w:szCs w:val="18"/>
              </w:rPr>
              <w:t>, movilizando al UNCT, la UE y la sociedad civil.</w:t>
            </w:r>
            <w:r w:rsidRPr="00F754EF">
              <w:t xml:space="preserve"> </w:t>
            </w:r>
          </w:p>
          <w:p w14:paraId="520FF0F4" w14:textId="77777777" w:rsidR="00920F0E" w:rsidRPr="00F754EF" w:rsidRDefault="00920F0E" w:rsidP="00FE4554">
            <w:pPr>
              <w:spacing w:after="0" w:line="240" w:lineRule="auto"/>
            </w:pPr>
            <w:r w:rsidRPr="00F754EF">
              <w:rPr>
                <w:rFonts w:ascii="Aptos Display" w:hAnsi="Aptos Display"/>
                <w:b/>
                <w:bCs/>
                <w:color w:val="2E6DA4"/>
                <w:sz w:val="18"/>
                <w:szCs w:val="18"/>
              </w:rPr>
              <w:t>•</w:t>
            </w:r>
            <w:r w:rsidRPr="00F754EF">
              <w:rPr>
                <w:b/>
                <w:bCs/>
              </w:rPr>
              <w:t xml:space="preserve"> </w:t>
            </w:r>
            <w:r w:rsidRPr="00F754EF">
              <w:rPr>
                <w:rFonts w:ascii="Aptos Display" w:hAnsi="Aptos Display"/>
                <w:color w:val="1A1A1A"/>
                <w:sz w:val="18"/>
                <w:szCs w:val="18"/>
              </w:rPr>
              <w:t>Brindó asistencia técnica al Viceministerio para operacionalizar la Ley de VAWG de 2018 y desarrollar la política de prevención de VAWG.</w:t>
            </w:r>
            <w:r w:rsidRPr="00F754EF">
              <w:t xml:space="preserve"> </w:t>
            </w:r>
          </w:p>
          <w:p w14:paraId="489B93AA" w14:textId="77777777" w:rsidR="00920F0E" w:rsidRPr="00F754EF" w:rsidRDefault="00920F0E" w:rsidP="00FE4554">
            <w:pPr>
              <w:spacing w:after="0" w:line="240" w:lineRule="auto"/>
            </w:pPr>
            <w:r w:rsidRPr="00F754EF">
              <w:rPr>
                <w:rFonts w:ascii="Aptos Display" w:hAnsi="Aptos Display"/>
                <w:b/>
                <w:bCs/>
                <w:color w:val="2E6DA4"/>
                <w:sz w:val="18"/>
                <w:szCs w:val="18"/>
              </w:rPr>
              <w:t>•</w:t>
            </w:r>
            <w:r w:rsidRPr="00F754EF">
              <w:rPr>
                <w:b/>
                <w:bCs/>
              </w:rPr>
              <w:t xml:space="preserve"> </w:t>
            </w:r>
            <w:r w:rsidRPr="00F754EF">
              <w:rPr>
                <w:rFonts w:ascii="Aptos Display" w:hAnsi="Aptos Display"/>
                <w:color w:val="1A1A1A"/>
                <w:sz w:val="18"/>
                <w:szCs w:val="18"/>
              </w:rPr>
              <w:t>Apoyó al Consejo Nacional Electoral y al Tribunal de Disputas Electorales en el desarrollo de marcos de violencia política y de género.</w:t>
            </w:r>
            <w:r w:rsidRPr="00F754EF">
              <w:t xml:space="preserve"> </w:t>
            </w:r>
          </w:p>
          <w:p w14:paraId="137CA997" w14:textId="77777777" w:rsidR="00920F0E" w:rsidRPr="00F754EF" w:rsidRDefault="00920F0E" w:rsidP="00FE4554">
            <w:pPr>
              <w:spacing w:after="0" w:line="240" w:lineRule="auto"/>
            </w:pPr>
            <w:r w:rsidRPr="00F754EF">
              <w:rPr>
                <w:rFonts w:ascii="Aptos Display" w:hAnsi="Aptos Display"/>
                <w:b/>
                <w:bCs/>
                <w:color w:val="2E6DA4"/>
                <w:sz w:val="18"/>
                <w:szCs w:val="18"/>
              </w:rPr>
              <w:t>•</w:t>
            </w:r>
            <w:r w:rsidRPr="00F754EF">
              <w:rPr>
                <w:b/>
                <w:bCs/>
              </w:rPr>
              <w:t xml:space="preserve"> </w:t>
            </w:r>
            <w:r w:rsidRPr="00F754EF">
              <w:rPr>
                <w:rFonts w:ascii="Aptos Display" w:hAnsi="Aptos Display"/>
                <w:color w:val="1A1A1A"/>
                <w:sz w:val="18"/>
                <w:szCs w:val="18"/>
              </w:rPr>
              <w:t>Lideró la transversalización de género en el Plan Nacional de Desarrollo 2025-2029 y contribuyó al análisis país del UNSDCF.</w:t>
            </w:r>
            <w:r w:rsidRPr="00F754EF">
              <w:t xml:space="preserve"> </w:t>
            </w:r>
          </w:p>
          <w:p w14:paraId="3082CE9D" w14:textId="77777777" w:rsidR="00920F0E" w:rsidRPr="00F754EF" w:rsidRDefault="00920F0E" w:rsidP="00FE4554">
            <w:pPr>
              <w:spacing w:after="0" w:line="240" w:lineRule="auto"/>
            </w:pPr>
            <w:r w:rsidRPr="00F754EF">
              <w:rPr>
                <w:rFonts w:ascii="Aptos Display" w:hAnsi="Aptos Display"/>
                <w:b/>
                <w:bCs/>
                <w:color w:val="2E6DA4"/>
                <w:sz w:val="18"/>
                <w:szCs w:val="18"/>
              </w:rPr>
              <w:t>•</w:t>
            </w:r>
            <w:r w:rsidRPr="00F754EF">
              <w:rPr>
                <w:b/>
                <w:bCs/>
              </w:rPr>
              <w:t xml:space="preserve"> </w:t>
            </w:r>
            <w:r w:rsidRPr="00F754EF">
              <w:rPr>
                <w:rFonts w:ascii="Aptos Display" w:hAnsi="Aptos Display"/>
                <w:color w:val="1A1A1A"/>
                <w:sz w:val="18"/>
                <w:szCs w:val="18"/>
              </w:rPr>
              <w:t>Apoyó la Ley de Cuidado Humano de 2023 y su reglamento, y desarrolló instrumentos de política de cuidados a nivel nacional y local.</w:t>
            </w:r>
            <w:r w:rsidRPr="00F754EF">
              <w:t xml:space="preserve"> </w:t>
            </w:r>
          </w:p>
        </w:tc>
        <w:tc>
          <w:tcPr>
            <w:tcW w:w="3150" w:type="dxa"/>
            <w:tcBorders>
              <w:top w:val="nil"/>
              <w:left w:val="nil"/>
              <w:bottom w:val="nil"/>
              <w:right w:val="nil"/>
            </w:tcBorders>
            <w:shd w:val="clear" w:color="auto" w:fill="E8F5F0"/>
            <w:vAlign w:val="center"/>
            <w:hideMark/>
          </w:tcPr>
          <w:p w14:paraId="253D1ED3" w14:textId="77777777" w:rsidR="00920F0E" w:rsidRPr="00F754EF" w:rsidRDefault="00920F0E" w:rsidP="00FE4554">
            <w:pPr>
              <w:spacing w:after="0" w:line="240" w:lineRule="auto"/>
            </w:pPr>
            <w:r w:rsidRPr="00F754EF">
              <w:rPr>
                <w:rFonts w:ascii="Aptos Display" w:hAnsi="Aptos Display"/>
                <w:b/>
                <w:bCs/>
                <w:color w:val="1A7A58"/>
                <w:sz w:val="18"/>
                <w:szCs w:val="18"/>
              </w:rPr>
              <w:t>•</w:t>
            </w:r>
            <w:r w:rsidRPr="00F754EF">
              <w:rPr>
                <w:b/>
                <w:bCs/>
              </w:rPr>
              <w:t xml:space="preserve"> </w:t>
            </w:r>
            <w:r w:rsidRPr="00F754EF">
              <w:rPr>
                <w:rFonts w:ascii="Aptos Display" w:hAnsi="Aptos Display"/>
                <w:color w:val="1A1A1A"/>
                <w:sz w:val="18"/>
                <w:szCs w:val="18"/>
              </w:rPr>
              <w:t xml:space="preserve">Lideró el Grupo Temático </w:t>
            </w:r>
            <w:proofErr w:type="spellStart"/>
            <w:r w:rsidRPr="00F754EF">
              <w:rPr>
                <w:rFonts w:ascii="Aptos Display" w:hAnsi="Aptos Display"/>
                <w:color w:val="1A1A1A"/>
                <w:sz w:val="18"/>
                <w:szCs w:val="18"/>
              </w:rPr>
              <w:t>Interagencial</w:t>
            </w:r>
            <w:proofErr w:type="spellEnd"/>
            <w:r w:rsidRPr="00F754EF">
              <w:rPr>
                <w:rFonts w:ascii="Aptos Display" w:hAnsi="Aptos Display"/>
                <w:color w:val="1A1A1A"/>
                <w:sz w:val="18"/>
                <w:szCs w:val="18"/>
              </w:rPr>
              <w:t xml:space="preserve"> de Género (GTI de Género), convocando a 12 agencias mensualmente e integrando prioridades de género en el Equipo País de Naciones Unidas.</w:t>
            </w:r>
            <w:r w:rsidRPr="00F754EF">
              <w:t xml:space="preserve"> </w:t>
            </w:r>
          </w:p>
          <w:p w14:paraId="34D44A90" w14:textId="77777777" w:rsidR="00920F0E" w:rsidRPr="00F754EF" w:rsidRDefault="00920F0E" w:rsidP="00FE4554">
            <w:pPr>
              <w:spacing w:after="0" w:line="240" w:lineRule="auto"/>
            </w:pPr>
            <w:r w:rsidRPr="00F754EF">
              <w:rPr>
                <w:rFonts w:ascii="Aptos Display" w:hAnsi="Aptos Display"/>
                <w:color w:val="1A1A1A"/>
                <w:sz w:val="18"/>
                <w:szCs w:val="18"/>
              </w:rPr>
              <w:t xml:space="preserve">• </w:t>
            </w:r>
            <w:proofErr w:type="spellStart"/>
            <w:proofErr w:type="gramStart"/>
            <w:r w:rsidRPr="00F754EF">
              <w:rPr>
                <w:rFonts w:ascii="Aptos Display" w:hAnsi="Aptos Display"/>
                <w:color w:val="1A1A1A"/>
                <w:sz w:val="18"/>
                <w:szCs w:val="18"/>
              </w:rPr>
              <w:t>Co-lideró</w:t>
            </w:r>
            <w:proofErr w:type="spellEnd"/>
            <w:proofErr w:type="gramEnd"/>
            <w:r w:rsidRPr="00F754EF">
              <w:rPr>
                <w:rFonts w:ascii="Aptos Display" w:hAnsi="Aptos Display"/>
                <w:color w:val="1A1A1A"/>
                <w:sz w:val="18"/>
                <w:szCs w:val="18"/>
              </w:rPr>
              <w:t xml:space="preserve"> la Mesa de Cooperación de Género (MEGECI), coordinando agencias ONU, embajadas y organizaciones internacionales en torno a prioridades de género.</w:t>
            </w:r>
            <w:r w:rsidRPr="00F754EF">
              <w:t xml:space="preserve"> </w:t>
            </w:r>
          </w:p>
          <w:p w14:paraId="4F3D3BD8" w14:textId="77777777" w:rsidR="00920F0E" w:rsidRPr="00F754EF" w:rsidRDefault="00920F0E" w:rsidP="00FE4554">
            <w:pPr>
              <w:spacing w:after="0" w:line="240" w:lineRule="auto"/>
            </w:pPr>
            <w:r w:rsidRPr="00F754EF">
              <w:rPr>
                <w:rFonts w:ascii="Aptos Display" w:hAnsi="Aptos Display"/>
                <w:color w:val="1A1A1A"/>
                <w:sz w:val="18"/>
                <w:szCs w:val="18"/>
              </w:rPr>
              <w:t>• Lideró el proceso UN-SWAP, encargando evaluaciones anuales de desempeño de género del UNCT y presentando resultados cada marzo.</w:t>
            </w:r>
            <w:r w:rsidRPr="00F754EF">
              <w:t xml:space="preserve"> </w:t>
            </w:r>
          </w:p>
          <w:p w14:paraId="7B2DBCE2" w14:textId="77777777" w:rsidR="00920F0E" w:rsidRPr="00F754EF" w:rsidRDefault="00920F0E" w:rsidP="00FE4554">
            <w:pPr>
              <w:spacing w:after="0" w:line="240" w:lineRule="auto"/>
            </w:pPr>
            <w:r w:rsidRPr="00F754EF">
              <w:rPr>
                <w:rFonts w:ascii="Aptos Display" w:hAnsi="Aptos Display"/>
                <w:color w:val="1A1A1A"/>
                <w:sz w:val="18"/>
                <w:szCs w:val="18"/>
              </w:rPr>
              <w:t xml:space="preserve">•  Participa en 12 grupos </w:t>
            </w:r>
            <w:proofErr w:type="spellStart"/>
            <w:r w:rsidRPr="00F754EF">
              <w:rPr>
                <w:rFonts w:ascii="Aptos Display" w:hAnsi="Aptos Display"/>
                <w:color w:val="1A1A1A"/>
                <w:sz w:val="18"/>
                <w:szCs w:val="18"/>
              </w:rPr>
              <w:t>interagenciales</w:t>
            </w:r>
            <w:proofErr w:type="spellEnd"/>
            <w:r w:rsidRPr="00F754EF">
              <w:rPr>
                <w:rFonts w:ascii="Aptos Display" w:hAnsi="Aptos Display"/>
                <w:color w:val="1A1A1A"/>
                <w:sz w:val="18"/>
                <w:szCs w:val="18"/>
              </w:rPr>
              <w:t xml:space="preserve">. </w:t>
            </w:r>
            <w:proofErr w:type="spellStart"/>
            <w:proofErr w:type="gramStart"/>
            <w:r w:rsidRPr="00F754EF">
              <w:rPr>
                <w:rFonts w:ascii="Aptos Display" w:hAnsi="Aptos Display"/>
                <w:color w:val="1A1A1A"/>
                <w:sz w:val="18"/>
                <w:szCs w:val="18"/>
              </w:rPr>
              <w:t>Co-lideró</w:t>
            </w:r>
            <w:proofErr w:type="spellEnd"/>
            <w:proofErr w:type="gramEnd"/>
            <w:r w:rsidRPr="00F754EF">
              <w:rPr>
                <w:rFonts w:ascii="Aptos Display" w:hAnsi="Aptos Display"/>
                <w:color w:val="1A1A1A"/>
                <w:sz w:val="18"/>
                <w:szCs w:val="18"/>
              </w:rPr>
              <w:t xml:space="preserve"> el subgrupo de GBV del Grupo de Trabajo de Migrantes y Refugiados, proporcionando experiencia de género a la respuesta humanitaria </w:t>
            </w:r>
            <w:proofErr w:type="spellStart"/>
            <w:r w:rsidRPr="00F754EF">
              <w:rPr>
                <w:rFonts w:ascii="Aptos Display" w:hAnsi="Aptos Display"/>
                <w:color w:val="1A1A1A"/>
                <w:sz w:val="18"/>
                <w:szCs w:val="18"/>
              </w:rPr>
              <w:t>interagencial</w:t>
            </w:r>
            <w:proofErr w:type="spellEnd"/>
            <w:r w:rsidRPr="00F754EF">
              <w:rPr>
                <w:rFonts w:ascii="Aptos Display" w:hAnsi="Aptos Display"/>
                <w:color w:val="1A1A1A"/>
                <w:sz w:val="18"/>
                <w:szCs w:val="18"/>
              </w:rPr>
              <w:t>.</w:t>
            </w:r>
            <w:r w:rsidRPr="00F754EF">
              <w:t xml:space="preserve"> </w:t>
            </w:r>
          </w:p>
          <w:p w14:paraId="24B42E21" w14:textId="77777777" w:rsidR="00920F0E" w:rsidRPr="00F754EF" w:rsidRDefault="00920F0E" w:rsidP="00FE4554">
            <w:pPr>
              <w:spacing w:after="0" w:line="240" w:lineRule="auto"/>
            </w:pPr>
            <w:r w:rsidRPr="00F754EF">
              <w:rPr>
                <w:rFonts w:ascii="Aptos Display" w:hAnsi="Aptos Display"/>
                <w:color w:val="1A1A1A"/>
                <w:sz w:val="18"/>
                <w:szCs w:val="18"/>
              </w:rPr>
              <w:t>• Contribuyó a la construcción del UNSDCF y lideró el perfil nacional de género de Ecuador, el cual alimentó directamente el análisis país del marco de cooperación</w:t>
            </w:r>
            <w:proofErr w:type="gramStart"/>
            <w:r w:rsidRPr="00F754EF">
              <w:rPr>
                <w:rFonts w:ascii="Aptos Display" w:hAnsi="Aptos Display"/>
                <w:color w:val="1A1A1A"/>
                <w:sz w:val="18"/>
                <w:szCs w:val="18"/>
              </w:rPr>
              <w:t>.</w:t>
            </w:r>
            <w:r w:rsidRPr="00F754EF">
              <w:t xml:space="preserve"> </w:t>
            </w:r>
            <w:r w:rsidRPr="00F754EF">
              <w:rPr>
                <w:rFonts w:ascii="Aptos Display" w:hAnsi="Aptos Display"/>
              </w:rPr>
              <w:t>.</w:t>
            </w:r>
            <w:proofErr w:type="gramEnd"/>
            <w:r w:rsidRPr="00F754EF">
              <w:t xml:space="preserve"> </w:t>
            </w:r>
          </w:p>
        </w:tc>
        <w:tc>
          <w:tcPr>
            <w:tcW w:w="3353" w:type="dxa"/>
            <w:tcBorders>
              <w:top w:val="nil"/>
              <w:left w:val="nil"/>
              <w:bottom w:val="nil"/>
              <w:right w:val="nil"/>
            </w:tcBorders>
            <w:shd w:val="clear" w:color="auto" w:fill="F3EFFC"/>
            <w:vAlign w:val="center"/>
            <w:hideMark/>
          </w:tcPr>
          <w:p w14:paraId="2F5A5D90" w14:textId="77777777" w:rsidR="00920F0E" w:rsidRPr="00F754EF" w:rsidRDefault="00920F0E" w:rsidP="00FE4554">
            <w:pPr>
              <w:spacing w:after="0" w:line="240" w:lineRule="auto"/>
            </w:pPr>
            <w:r w:rsidRPr="00F754EF">
              <w:rPr>
                <w:rFonts w:ascii="Aptos Display" w:hAnsi="Aptos Display"/>
                <w:b/>
                <w:bCs/>
                <w:color w:val="5B21B6"/>
                <w:sz w:val="18"/>
                <w:szCs w:val="18"/>
              </w:rPr>
              <w:t>•</w:t>
            </w:r>
            <w:r w:rsidRPr="00F754EF">
              <w:rPr>
                <w:b/>
                <w:bCs/>
              </w:rPr>
              <w:t xml:space="preserve"> </w:t>
            </w:r>
            <w:r w:rsidRPr="00F754EF">
              <w:rPr>
                <w:rFonts w:ascii="Aptos Display" w:hAnsi="Aptos Display"/>
                <w:color w:val="1A1A1A"/>
                <w:sz w:val="18"/>
                <w:szCs w:val="18"/>
              </w:rPr>
              <w:t xml:space="preserve">Gestionó la Iniciativa </w:t>
            </w:r>
            <w:proofErr w:type="spellStart"/>
            <w:r w:rsidRPr="00F754EF">
              <w:rPr>
                <w:rFonts w:ascii="Aptos Display" w:hAnsi="Aptos Display"/>
                <w:color w:val="1A1A1A"/>
                <w:sz w:val="18"/>
                <w:szCs w:val="18"/>
              </w:rPr>
              <w:t>Spotlight</w:t>
            </w:r>
            <w:proofErr w:type="spellEnd"/>
            <w:r w:rsidRPr="00F754EF">
              <w:rPr>
                <w:rFonts w:ascii="Aptos Display" w:hAnsi="Aptos Display"/>
                <w:color w:val="1A1A1A"/>
                <w:sz w:val="18"/>
                <w:szCs w:val="18"/>
              </w:rPr>
              <w:t xml:space="preserve"> y </w:t>
            </w:r>
            <w:proofErr w:type="spellStart"/>
            <w:r w:rsidRPr="00F754EF">
              <w:rPr>
                <w:rFonts w:ascii="Aptos Display" w:hAnsi="Aptos Display"/>
                <w:color w:val="1A1A1A"/>
                <w:sz w:val="18"/>
                <w:szCs w:val="18"/>
              </w:rPr>
              <w:t>Spotlight</w:t>
            </w:r>
            <w:proofErr w:type="spellEnd"/>
            <w:r w:rsidRPr="00F754EF">
              <w:rPr>
                <w:rFonts w:ascii="Aptos Display" w:hAnsi="Aptos Display"/>
                <w:color w:val="1A1A1A"/>
                <w:sz w:val="18"/>
                <w:szCs w:val="18"/>
              </w:rPr>
              <w:t xml:space="preserve"> 2.0 como agencia líder, coordinando PNUD y UNFPA en dos ciclos de programas.</w:t>
            </w:r>
            <w:r w:rsidRPr="00F754EF">
              <w:t xml:space="preserve"> </w:t>
            </w:r>
          </w:p>
          <w:p w14:paraId="38C43248" w14:textId="77777777" w:rsidR="00920F0E" w:rsidRPr="00F754EF" w:rsidRDefault="00920F0E" w:rsidP="00FE4554">
            <w:pPr>
              <w:spacing w:after="0" w:line="240" w:lineRule="auto"/>
            </w:pPr>
            <w:r w:rsidRPr="00F754EF">
              <w:rPr>
                <w:rFonts w:ascii="Aptos Display" w:hAnsi="Aptos Display"/>
                <w:b/>
                <w:bCs/>
                <w:color w:val="5B21B6"/>
                <w:sz w:val="18"/>
                <w:szCs w:val="18"/>
              </w:rPr>
              <w:t>•</w:t>
            </w:r>
            <w:r w:rsidRPr="00F754EF">
              <w:rPr>
                <w:b/>
                <w:bCs/>
              </w:rPr>
              <w:t xml:space="preserve"> </w:t>
            </w:r>
            <w:r w:rsidRPr="00F754EF">
              <w:rPr>
                <w:rFonts w:ascii="Aptos Display" w:hAnsi="Aptos Display"/>
                <w:color w:val="1A1A1A"/>
                <w:sz w:val="18"/>
                <w:szCs w:val="18"/>
              </w:rPr>
              <w:t>Implementó el programa Ciudades Seguras en Quito, Guayaquil, Cuenca e Ibarra, apoyando políticas locales de prevención de violencia y protocolos de seguridad en el transporte.</w:t>
            </w:r>
            <w:r w:rsidRPr="00F754EF">
              <w:t xml:space="preserve"> </w:t>
            </w:r>
          </w:p>
          <w:p w14:paraId="59C9CD3F" w14:textId="77777777" w:rsidR="00920F0E" w:rsidRPr="00F754EF" w:rsidRDefault="00920F0E" w:rsidP="00FE4554">
            <w:pPr>
              <w:spacing w:after="0" w:line="240" w:lineRule="auto"/>
            </w:pPr>
            <w:r w:rsidRPr="00F754EF">
              <w:rPr>
                <w:rFonts w:ascii="Aptos Display" w:hAnsi="Aptos Display"/>
                <w:b/>
                <w:bCs/>
                <w:color w:val="5B21B6"/>
                <w:sz w:val="18"/>
                <w:szCs w:val="18"/>
              </w:rPr>
              <w:t>•</w:t>
            </w:r>
            <w:r w:rsidRPr="00F754EF">
              <w:rPr>
                <w:b/>
                <w:bCs/>
              </w:rPr>
              <w:t xml:space="preserve"> </w:t>
            </w:r>
            <w:r w:rsidRPr="00F754EF">
              <w:rPr>
                <w:rFonts w:ascii="Aptos Display" w:hAnsi="Aptos Display"/>
                <w:color w:val="1A1A1A"/>
                <w:sz w:val="18"/>
                <w:szCs w:val="18"/>
              </w:rPr>
              <w:t>Lideró el programa Protegiendo a las Caminantes con un enfoque binacional que abarca la frontera norte de Ecuador y Colombia.</w:t>
            </w:r>
            <w:r w:rsidRPr="00F754EF">
              <w:t xml:space="preserve"> </w:t>
            </w:r>
          </w:p>
          <w:p w14:paraId="2DD3C29A" w14:textId="77777777" w:rsidR="00920F0E" w:rsidRPr="00F754EF" w:rsidRDefault="00920F0E" w:rsidP="00FE4554">
            <w:pPr>
              <w:spacing w:after="0" w:line="240" w:lineRule="auto"/>
            </w:pPr>
            <w:r w:rsidRPr="00F754EF">
              <w:rPr>
                <w:rFonts w:ascii="Aptos Display" w:hAnsi="Aptos Display"/>
                <w:b/>
                <w:bCs/>
                <w:color w:val="5B21B6"/>
                <w:sz w:val="18"/>
                <w:szCs w:val="18"/>
              </w:rPr>
              <w:t>•</w:t>
            </w:r>
            <w:r w:rsidRPr="00F754EF">
              <w:rPr>
                <w:b/>
                <w:bCs/>
              </w:rPr>
              <w:t xml:space="preserve"> </w:t>
            </w:r>
            <w:r w:rsidRPr="00F754EF">
              <w:rPr>
                <w:rFonts w:ascii="Aptos Display" w:hAnsi="Aptos Display"/>
                <w:color w:val="1A1A1A"/>
                <w:sz w:val="18"/>
                <w:szCs w:val="18"/>
              </w:rPr>
              <w:t>Ejecutó el programa Fondo para la Consolidación de la Paz en Guayaquil, apoyando a mujeres constructoras de paz y mecanismos interinstitucionales de prevención de conflictos.</w:t>
            </w:r>
            <w:r w:rsidRPr="00F754EF">
              <w:t xml:space="preserve"> </w:t>
            </w:r>
          </w:p>
          <w:p w14:paraId="2FDD6A2F" w14:textId="77777777" w:rsidR="00920F0E" w:rsidRPr="00F754EF" w:rsidRDefault="00920F0E" w:rsidP="00FE4554">
            <w:pPr>
              <w:spacing w:after="0" w:line="240" w:lineRule="auto"/>
            </w:pPr>
            <w:r w:rsidRPr="00F754EF">
              <w:rPr>
                <w:rFonts w:ascii="Aptos Display" w:hAnsi="Aptos Display"/>
                <w:b/>
                <w:bCs/>
                <w:color w:val="5B21B6"/>
                <w:sz w:val="18"/>
                <w:szCs w:val="18"/>
              </w:rPr>
              <w:t>•</w:t>
            </w:r>
            <w:r w:rsidRPr="00F754EF">
              <w:rPr>
                <w:b/>
                <w:bCs/>
              </w:rPr>
              <w:t xml:space="preserve"> </w:t>
            </w:r>
            <w:r w:rsidRPr="00F754EF">
              <w:rPr>
                <w:rFonts w:ascii="Aptos Display" w:hAnsi="Aptos Display"/>
                <w:color w:val="1A1A1A"/>
                <w:sz w:val="18"/>
                <w:szCs w:val="18"/>
              </w:rPr>
              <w:t>Apoyó programas de empoderamiento económico para mujeres rurales, migrantes y actores de la economía de los cuidados en varios municipios.</w:t>
            </w:r>
            <w:r w:rsidRPr="00F754EF">
              <w:t xml:space="preserve"> </w:t>
            </w:r>
          </w:p>
        </w:tc>
      </w:tr>
    </w:tbl>
    <w:p w14:paraId="1ECA5104" w14:textId="77777777" w:rsidR="00920F0E" w:rsidRPr="00F754EF" w:rsidRDefault="00920F0E" w:rsidP="005831BD">
      <w:pPr>
        <w:spacing w:line="240" w:lineRule="auto"/>
        <w:rPr>
          <w:rFonts w:ascii="Calibri Light" w:hAnsi="Calibri Light" w:cs="Calibri Light"/>
        </w:rPr>
      </w:pPr>
      <w:r w:rsidRPr="00F754EF">
        <w:rPr>
          <w:rFonts w:ascii="Arial" w:hAnsi="Arial" w:cs="Arial"/>
          <w:i/>
          <w:iCs/>
          <w:color w:val="5A6678"/>
          <w:sz w:val="16"/>
          <w:szCs w:val="16"/>
        </w:rPr>
        <w:t>Fuente: Análisis del equipo de evaluación basado en entrevistas con informantes clave y documentación de programas, 2026.</w:t>
      </w:r>
      <w:r w:rsidRPr="00F754EF">
        <w:rPr>
          <w:i/>
          <w:iCs/>
        </w:rPr>
        <w:t xml:space="preserve"> </w:t>
      </w:r>
    </w:p>
    <w:p w14:paraId="5292D49A" w14:textId="77777777" w:rsidR="00920F0E" w:rsidRPr="00F754EF" w:rsidRDefault="00920F0E" w:rsidP="005831BD">
      <w:pPr>
        <w:spacing w:line="240" w:lineRule="auto"/>
      </w:pPr>
      <w:r w:rsidRPr="00F754EF">
        <w:rPr>
          <w:rFonts w:ascii="Aptos Display" w:hAnsi="Aptos Display"/>
          <w:b/>
          <w:bCs/>
          <w:color w:val="FF0000"/>
          <w:sz w:val="24"/>
          <w:szCs w:val="24"/>
        </w:rPr>
        <w:t>Hallazgo 5: La oficina construyó alianzas coherentes y valoradas con el gobierno, la sociedad civil y el sistema ONU. Las alianzas fueron más profundas a nivel de gobiernos subnacionales a medida que la capacidad institucional nacional disminuía. La participación de la sociedad civil fue estructurada y significativa, aunque algunas organizaciones percibieron una creciente distancia. Las alianzas con el sector privado siguieron siendo la dimensión menos desarrollada del portafolio.</w:t>
      </w:r>
      <w:r w:rsidRPr="00F754EF">
        <w:rPr>
          <w:b/>
          <w:bCs/>
        </w:rPr>
        <w:t xml:space="preserve"> </w:t>
      </w:r>
    </w:p>
    <w:p w14:paraId="628471BD" w14:textId="77777777" w:rsidR="00FE4554" w:rsidRPr="00F754EF" w:rsidRDefault="00FE4554" w:rsidP="005831BD">
      <w:pPr>
        <w:spacing w:line="240" w:lineRule="auto"/>
        <w:rPr>
          <w:rFonts w:ascii="Aptos Display" w:hAnsi="Aptos Display"/>
        </w:rPr>
        <w:sectPr w:rsidR="00FE4554" w:rsidRPr="00F754EF" w:rsidSect="00371CB2">
          <w:type w:val="continuous"/>
          <w:pgSz w:w="12240" w:h="15840"/>
          <w:pgMar w:top="1440" w:right="1080" w:bottom="1440" w:left="1080" w:header="720" w:footer="252" w:gutter="0"/>
          <w:cols w:space="720"/>
          <w:docGrid w:linePitch="360"/>
        </w:sectPr>
      </w:pPr>
    </w:p>
    <w:p w14:paraId="65F30317" w14:textId="0CB8F862" w:rsidR="00920F0E" w:rsidRPr="00F754EF" w:rsidRDefault="00920F0E" w:rsidP="005831BD">
      <w:pPr>
        <w:spacing w:line="240" w:lineRule="auto"/>
      </w:pPr>
      <w:r w:rsidRPr="00F754EF">
        <w:rPr>
          <w:rFonts w:ascii="Aptos Display" w:hAnsi="Aptos Display"/>
        </w:rPr>
        <w:t xml:space="preserve">Las alianzas con el gobierno nacional se mantuvieron durante todo el periodo a pesar del deterioro institucional descrito en la Sección 1.2. La oficina había logrado previamente movilizar 1 millón de dólares en recursos del gobierno nacional mediante </w:t>
      </w:r>
      <w:r w:rsidRPr="00F754EF">
        <w:rPr>
          <w:rFonts w:ascii="Aptos Display" w:hAnsi="Aptos Display"/>
        </w:rPr>
        <w:t xml:space="preserve">un acuerdo de asistencia técnica con el Ministerio de la Mujer y Derechos Humanos, y mantuvo un punto focal dedicado para la Asamblea Nacional y los grupos parlamentarios de mujeres. Cuando </w:t>
      </w:r>
      <w:r w:rsidR="008F54D9" w:rsidRPr="00F754EF">
        <w:rPr>
          <w:rFonts w:ascii="Aptos Display" w:hAnsi="Aptos Display"/>
        </w:rPr>
        <w:t xml:space="preserve">se </w:t>
      </w:r>
      <w:r w:rsidRPr="00F754EF">
        <w:rPr>
          <w:rFonts w:ascii="Aptos Display" w:hAnsi="Aptos Display"/>
        </w:rPr>
        <w:t xml:space="preserve">intentó reestructurar el Ministerio de la Mujer, la </w:t>
      </w:r>
      <w:r w:rsidRPr="00F754EF">
        <w:rPr>
          <w:rFonts w:ascii="Aptos Display" w:hAnsi="Aptos Display"/>
        </w:rPr>
        <w:lastRenderedPageBreak/>
        <w:t>oficina movilizó a la sociedad civil, el UNCT, la UE y el Coordinador Residente en un esfuerzo coordinado de incidencia que logró preservar la estructura ministerial. Tras la disolución del Ministerio de la Mujer y Derechos Humanos, la oficina mantuvo la relación de trabajo con el Viceministerio, apoyándolo en el cumplimiento de sus obligaciones legales bajo la Ley de VAWG de 2018. Las instituciones electorales describieron a ONU Mujeres como un aliado estratégico más que como un proveedor de servicios, destacando que su apoyo técnico conectaba procesos nacionales con marcos normativos internacionales de una manera que ningún otro socio podía ofrecer.</w:t>
      </w:r>
    </w:p>
    <w:p w14:paraId="36CA7FD1" w14:textId="77777777" w:rsidR="00920F0E" w:rsidRPr="00F754EF" w:rsidRDefault="00920F0E" w:rsidP="005831BD">
      <w:pPr>
        <w:spacing w:line="240" w:lineRule="auto"/>
      </w:pPr>
      <w:r w:rsidRPr="00F754EF">
        <w:rPr>
          <w:rFonts w:ascii="Aptos Display" w:hAnsi="Aptos Display"/>
        </w:rPr>
        <w:t xml:space="preserve">Las alianzas con gobiernos subnacionales fueron la dimensión más productiva y constante del portafolio. En Cuenca, la oficina apoyó la tercera versión del plan municipal de igualdad, integrándolo por primera vez con el plan de desarrollo territorial. En Guayaquil, coordinó varios departamentos municipales aislados en un solo proceso de trabajo, logrando el primer plan cantonal de prevención de violencia de la ciudad. Ambas acciones se realizaron en el marco del programa Ciudades Seguras de ONU Mujeres, una iniciativa global cuya labor fundacional en Ecuador posteriormente sirvió de base para los pilares de la Iniciativa </w:t>
      </w:r>
      <w:proofErr w:type="spellStart"/>
      <w:r w:rsidRPr="00F754EF">
        <w:rPr>
          <w:rFonts w:ascii="Aptos Display" w:hAnsi="Aptos Display"/>
        </w:rPr>
        <w:t>Spotlight</w:t>
      </w:r>
      <w:proofErr w:type="spellEnd"/>
      <w:r w:rsidRPr="00F754EF">
        <w:rPr>
          <w:rFonts w:ascii="Aptos Display" w:hAnsi="Aptos Display"/>
        </w:rPr>
        <w:t xml:space="preserve">. En Quito, apoyó la creación de la primera dirección municipal dedicada al cuidado en Ecuador, creó un Observatorio Social que monitorea 71 indicadores de género y </w:t>
      </w:r>
      <w:proofErr w:type="spellStart"/>
      <w:r w:rsidRPr="00F754EF">
        <w:rPr>
          <w:rFonts w:ascii="Aptos Display" w:hAnsi="Aptos Display"/>
        </w:rPr>
        <w:t>co-diseñó</w:t>
      </w:r>
      <w:proofErr w:type="spellEnd"/>
      <w:r w:rsidRPr="00F754EF">
        <w:rPr>
          <w:rFonts w:ascii="Aptos Display" w:hAnsi="Aptos Display"/>
        </w:rPr>
        <w:t xml:space="preserve"> e implementó dos programas para fortalecer la identidad de las mujeres rurales en el Quito Metropolitano. Estas alianzas no dependieron de la voluntad política nacional y resultaron más resilientes ante la turbulencia institucional del periodo.</w:t>
      </w:r>
    </w:p>
    <w:p w14:paraId="11965570" w14:textId="77777777" w:rsidR="00920F0E" w:rsidRPr="00F754EF" w:rsidRDefault="00920F0E" w:rsidP="005831BD">
      <w:pPr>
        <w:spacing w:line="240" w:lineRule="auto"/>
      </w:pPr>
      <w:r w:rsidRPr="00F754EF">
        <w:rPr>
          <w:rFonts w:ascii="Aptos Display" w:hAnsi="Aptos Display"/>
        </w:rPr>
        <w:t xml:space="preserve">Las alianzas con la sociedad civil se estructuraron en torno a tres mecanismos principales: el Grupo Asesor de Sociedad Civil (reuniones semestrales), el Grupo de Referencia de Sociedad Civil del </w:t>
      </w:r>
      <w:proofErr w:type="spellStart"/>
      <w:r w:rsidRPr="00F754EF">
        <w:rPr>
          <w:rFonts w:ascii="Aptos Display" w:hAnsi="Aptos Display"/>
        </w:rPr>
        <w:t>Spotlight</w:t>
      </w:r>
      <w:proofErr w:type="spellEnd"/>
      <w:r w:rsidRPr="00F754EF">
        <w:rPr>
          <w:rFonts w:ascii="Aptos Display" w:hAnsi="Aptos Display"/>
        </w:rPr>
        <w:t xml:space="preserve"> (reuniones durante la implementación del programa) y alianzas de implementación con organizaciones de mujeres en áreas temáticas. El grupo asesor cumplió funciones consultivas y de protección, movilizando </w:t>
      </w:r>
      <w:r w:rsidRPr="00F754EF">
        <w:rPr>
          <w:rFonts w:ascii="Aptos Display" w:hAnsi="Aptos Display"/>
        </w:rPr>
        <w:t xml:space="preserve">organizaciones para la incidencia en momentos críticos. El Grupo de Referencia </w:t>
      </w:r>
      <w:proofErr w:type="spellStart"/>
      <w:r w:rsidRPr="00F754EF">
        <w:rPr>
          <w:rFonts w:ascii="Aptos Display" w:hAnsi="Aptos Display"/>
        </w:rPr>
        <w:t>Spotlight</w:t>
      </w:r>
      <w:proofErr w:type="spellEnd"/>
      <w:r w:rsidRPr="00F754EF">
        <w:rPr>
          <w:rFonts w:ascii="Aptos Display" w:hAnsi="Aptos Display"/>
        </w:rPr>
        <w:t xml:space="preserve"> evolucionó significativamente entre fases: en la Fase 1 se tuvo dificultad para definir un rol significativo de la sociedad civil más allá de la representación simbólica, mientras que en la Fase 2 las organizaciones tuvieron funciones claras, acceso a todos los materiales del programa y asientos en el comité directivo. Socios de larga data describieron el aporte de ONU Mujeres como técnicamente sostenido y cualitativamente distintivo, destacando 25 años de alineación política y técnica constante </w:t>
      </w:r>
      <w:r w:rsidRPr="00F754EF">
        <w:rPr>
          <w:rStyle w:val="FootnoteReference"/>
          <w:rFonts w:ascii="Aptos Display" w:hAnsi="Aptos Display"/>
        </w:rPr>
        <w:t xml:space="preserve">[1] </w:t>
      </w:r>
      <w:r w:rsidRPr="00F754EF">
        <w:rPr>
          <w:rFonts w:ascii="Aptos Display" w:hAnsi="Aptos Display"/>
        </w:rPr>
        <w:t xml:space="preserve">. </w:t>
      </w:r>
    </w:p>
    <w:p w14:paraId="0BB5E909" w14:textId="5165476F" w:rsidR="00920F0E" w:rsidRPr="00F754EF" w:rsidRDefault="00920F0E" w:rsidP="005831BD">
      <w:pPr>
        <w:spacing w:line="240" w:lineRule="auto"/>
      </w:pPr>
      <w:r w:rsidRPr="00F754EF">
        <w:rPr>
          <w:rFonts w:ascii="Aptos Display" w:hAnsi="Aptos Display"/>
        </w:rPr>
        <w:t xml:space="preserve">Dos tensiones en las alianzas con la sociedad civil merecen atención. Algunas organizaciones percibieron una mayor distancia con ONU Mujeres a medida que la oficina orientaba más su trabajo hacia contrapartes gubernamentales, interpretando esto como una respuesta a </w:t>
      </w:r>
      <w:r w:rsidR="00E34601" w:rsidRPr="00F754EF">
        <w:rPr>
          <w:rFonts w:ascii="Aptos Display" w:hAnsi="Aptos Display"/>
        </w:rPr>
        <w:t>un entorno político en el que los marcos de igualdad de género fueron sometidos a creciente cuestionamiento público y tensiones institucionales</w:t>
      </w:r>
      <w:r w:rsidRPr="00F754EF">
        <w:rPr>
          <w:rFonts w:ascii="Aptos Display" w:hAnsi="Aptos Display"/>
        </w:rPr>
        <w:t>. Se identificó además una brecha en materia de inclusión LGBTIQ+: algunos socios OSC consideraron que el enfoque del portafolio en mujeres no abarcaba adecuadamente a mujeres trans ni a mujeres lesbianas y bisexuales, lo que representa una brecha de interseccionalidad en un portafolio centrado en género.</w:t>
      </w:r>
    </w:p>
    <w:p w14:paraId="5CB9C779" w14:textId="3C39CEE4" w:rsidR="00920F0E" w:rsidRPr="00F754EF" w:rsidRDefault="00920F0E" w:rsidP="005831BD">
      <w:pPr>
        <w:spacing w:line="240" w:lineRule="auto"/>
      </w:pPr>
      <w:r w:rsidRPr="00F754EF">
        <w:rPr>
          <w:rFonts w:ascii="Aptos Display" w:hAnsi="Aptos Display"/>
        </w:rPr>
        <w:t>Las alianzas con el sector privado fueron las menos desarrolladas. La red de Principios de Empoderamiento de la Mujer (</w:t>
      </w:r>
      <w:proofErr w:type="spellStart"/>
      <w:r w:rsidRPr="00F754EF">
        <w:rPr>
          <w:rFonts w:ascii="Aptos Display" w:hAnsi="Aptos Display"/>
        </w:rPr>
        <w:t>WEPs</w:t>
      </w:r>
      <w:proofErr w:type="spellEnd"/>
      <w:r w:rsidRPr="00F754EF">
        <w:rPr>
          <w:rFonts w:ascii="Aptos Display" w:hAnsi="Aptos Display"/>
        </w:rPr>
        <w:t xml:space="preserve">) alcanzó a 167 empresas en el periodo, con 13 propuestas presentadas a empresas y fundaciones filantrópicas </w:t>
      </w:r>
      <w:r w:rsidRPr="00F754EF">
        <w:rPr>
          <w:rStyle w:val="FootnoteReference"/>
          <w:rFonts w:ascii="Aptos Display" w:hAnsi="Aptos Display"/>
        </w:rPr>
        <w:t>[</w:t>
      </w:r>
      <w:r w:rsidR="00437711" w:rsidRPr="00F754EF">
        <w:rPr>
          <w:rStyle w:val="FootnoteReference"/>
          <w:rFonts w:ascii="Aptos Display" w:hAnsi="Aptos Display"/>
        </w:rPr>
        <w:footnoteReference w:id="37"/>
      </w:r>
      <w:r w:rsidRPr="00F754EF">
        <w:rPr>
          <w:rStyle w:val="FootnoteReference"/>
          <w:rFonts w:ascii="Aptos Display" w:hAnsi="Aptos Display"/>
        </w:rPr>
        <w:t xml:space="preserve">] </w:t>
      </w:r>
      <w:r w:rsidRPr="00F754EF">
        <w:rPr>
          <w:rFonts w:ascii="Aptos Display" w:hAnsi="Aptos Display"/>
        </w:rPr>
        <w:t xml:space="preserve">. Sin embargo, la participación del sector privado se mantuvo en el nivel de sensibilización y adhesión a </w:t>
      </w:r>
      <w:proofErr w:type="spellStart"/>
      <w:r w:rsidRPr="00F754EF">
        <w:rPr>
          <w:rFonts w:ascii="Aptos Display" w:hAnsi="Aptos Display"/>
        </w:rPr>
        <w:t>WEPs</w:t>
      </w:r>
      <w:proofErr w:type="spellEnd"/>
      <w:r w:rsidRPr="00F754EF">
        <w:rPr>
          <w:rFonts w:ascii="Aptos Display" w:hAnsi="Aptos Display"/>
        </w:rPr>
        <w:t xml:space="preserve"> más que en la cofinanciación o la alianza programática. Varios socios subnacionales identificaron al sector privado como un recurso sin aprovechar, señalando que los marcos de responsabilidad social corporativa en Ecuador aún no han pasado de un enfoque caritativo a uno orientado al desarrollo. Las alianzas con la academia fueron más sólidas, especialmente con la Pontificia Universidad Católica del Ecuador en el programa de </w:t>
      </w:r>
      <w:r w:rsidRPr="00F754EF">
        <w:rPr>
          <w:rFonts w:ascii="Aptos Display" w:hAnsi="Aptos Display"/>
        </w:rPr>
        <w:lastRenderedPageBreak/>
        <w:t>empoderamiento económico, y la Universidad Casa Grande en el trabajo de construcción de paz en Guayaquil.</w:t>
      </w:r>
    </w:p>
    <w:p w14:paraId="00201323" w14:textId="77777777" w:rsidR="00920F0E" w:rsidRPr="00F754EF" w:rsidRDefault="00920F0E" w:rsidP="005831BD">
      <w:pPr>
        <w:spacing w:line="240" w:lineRule="auto"/>
      </w:pPr>
      <w:r w:rsidRPr="00F754EF">
        <w:rPr>
          <w:rFonts w:ascii="Aptos Display" w:hAnsi="Aptos Display"/>
        </w:rPr>
        <w:t>Las siguientes observaciones descritas en el Cuadro 2, realizadas durante la fase final de recolección de datos, aportan evidencia cualitativa directa del rol de convocatoria de ONU Mujeres en dos de estas dimensiones de alianzas en la práctica.</w:t>
      </w:r>
    </w:p>
    <w:p w14:paraId="0E0C4112" w14:textId="77777777" w:rsidR="00FE4554" w:rsidRPr="00F754EF" w:rsidRDefault="00FE4554" w:rsidP="005831BD">
      <w:pPr>
        <w:spacing w:line="240" w:lineRule="auto"/>
        <w:rPr>
          <w:rFonts w:ascii="Arial" w:hAnsi="Arial" w:cs="Arial"/>
          <w:b/>
          <w:bCs/>
          <w:color w:val="FFFFFF"/>
          <w:sz w:val="20"/>
          <w:szCs w:val="20"/>
        </w:rPr>
        <w:sectPr w:rsidR="00FE4554" w:rsidRPr="00F754EF" w:rsidSect="00FE4554">
          <w:type w:val="continuous"/>
          <w:pgSz w:w="12240" w:h="15840"/>
          <w:pgMar w:top="1440" w:right="1080" w:bottom="1440" w:left="1080" w:header="720" w:footer="252" w:gutter="0"/>
          <w:cols w:num="2" w:space="720"/>
          <w:docGrid w:linePitch="360"/>
        </w:sectPr>
      </w:pPr>
    </w:p>
    <w:tbl>
      <w:tblPr>
        <w:tblW w:w="10191" w:type="dxa"/>
        <w:tblCellMar>
          <w:top w:w="15" w:type="dxa"/>
          <w:left w:w="15" w:type="dxa"/>
          <w:bottom w:w="15" w:type="dxa"/>
          <w:right w:w="15" w:type="dxa"/>
        </w:tblCellMar>
        <w:tblLook w:val="04A0" w:firstRow="1" w:lastRow="0" w:firstColumn="1" w:lastColumn="0" w:noHBand="0" w:noVBand="1"/>
      </w:tblPr>
      <w:tblGrid>
        <w:gridCol w:w="10191"/>
      </w:tblGrid>
      <w:tr w:rsidR="00920F0E" w:rsidRPr="00F754EF" w14:paraId="0C063DA5" w14:textId="77777777">
        <w:tc>
          <w:tcPr>
            <w:tcW w:w="10191" w:type="dxa"/>
            <w:tcBorders>
              <w:top w:val="single" w:sz="12" w:space="0" w:color="B5001E"/>
              <w:left w:val="single" w:sz="12" w:space="0" w:color="B5001E"/>
              <w:bottom w:val="nil"/>
              <w:right w:val="nil"/>
            </w:tcBorders>
            <w:shd w:val="clear" w:color="auto" w:fill="B5001E"/>
            <w:vAlign w:val="center"/>
            <w:hideMark/>
          </w:tcPr>
          <w:p w14:paraId="698AC721" w14:textId="6E5A7DDA" w:rsidR="00920F0E" w:rsidRPr="00F754EF" w:rsidRDefault="00920F0E" w:rsidP="00FE4554">
            <w:pPr>
              <w:spacing w:after="0" w:line="240" w:lineRule="auto"/>
            </w:pPr>
            <w:r w:rsidRPr="00F754EF">
              <w:rPr>
                <w:rFonts w:ascii="Arial" w:hAnsi="Arial" w:cs="Arial"/>
                <w:b/>
                <w:bCs/>
                <w:color w:val="FFFFFF"/>
                <w:sz w:val="20"/>
                <w:szCs w:val="20"/>
              </w:rPr>
              <w:t xml:space="preserve">Cuadro 2. Evidencia intersectorial sobre relevancia, eficacia y alianzas de ONU </w:t>
            </w:r>
            <w:r w:rsidR="007C1A90" w:rsidRPr="00F754EF">
              <w:rPr>
                <w:rFonts w:ascii="Arial" w:hAnsi="Arial" w:cs="Arial"/>
                <w:b/>
                <w:bCs/>
                <w:color w:val="FFFFFF" w:themeColor="background1"/>
                <w:sz w:val="20"/>
                <w:szCs w:val="20"/>
              </w:rPr>
              <w:t>Mujeres</w:t>
            </w:r>
            <w:r w:rsidR="007C1A90" w:rsidRPr="00F754EF">
              <w:rPr>
                <w:b/>
                <w:bCs/>
                <w:color w:val="FFFFFF" w:themeColor="background1"/>
              </w:rPr>
              <w:t>:</w:t>
            </w:r>
            <w:r w:rsidRPr="00F754EF">
              <w:rPr>
                <w:b/>
                <w:bCs/>
                <w:color w:val="FFFFFF" w:themeColor="background1"/>
                <w:sz w:val="20"/>
                <w:szCs w:val="20"/>
              </w:rPr>
              <w:t xml:space="preserve"> Observaciones </w:t>
            </w:r>
            <w:r w:rsidRPr="00F754EF">
              <w:rPr>
                <w:b/>
                <w:bCs/>
                <w:color w:val="FFFFFF"/>
                <w:sz w:val="20"/>
                <w:szCs w:val="20"/>
              </w:rPr>
              <w:t>de campo en Quito</w:t>
            </w:r>
            <w:r w:rsidRPr="00F754EF">
              <w:rPr>
                <w:b/>
                <w:bCs/>
              </w:rPr>
              <w:t xml:space="preserve"> </w:t>
            </w:r>
          </w:p>
        </w:tc>
      </w:tr>
      <w:tr w:rsidR="00920F0E" w:rsidRPr="00F754EF" w14:paraId="350CC662" w14:textId="77777777">
        <w:tc>
          <w:tcPr>
            <w:tcW w:w="10191" w:type="dxa"/>
            <w:tcBorders>
              <w:top w:val="nil"/>
              <w:left w:val="single" w:sz="12" w:space="0" w:color="B5001E"/>
              <w:bottom w:val="single" w:sz="12" w:space="0" w:color="B5001E"/>
              <w:right w:val="nil"/>
            </w:tcBorders>
            <w:shd w:val="clear" w:color="auto" w:fill="FEF6F7"/>
            <w:vAlign w:val="center"/>
            <w:hideMark/>
          </w:tcPr>
          <w:p w14:paraId="6677A015" w14:textId="77777777" w:rsidR="00920F0E" w:rsidRPr="00F754EF" w:rsidRDefault="00920F0E" w:rsidP="00FE4554">
            <w:pPr>
              <w:spacing w:after="0" w:line="240" w:lineRule="auto"/>
            </w:pPr>
            <w:r w:rsidRPr="00F754EF">
              <w:rPr>
                <w:rFonts w:ascii="Aptos Display" w:hAnsi="Aptos Display"/>
                <w:sz w:val="20"/>
                <w:szCs w:val="20"/>
              </w:rPr>
              <w:t xml:space="preserve">Como parte de la fase de recolección de datos, un miembro del equipo realizó visitas de observación a dos eventos organizados o </w:t>
            </w:r>
            <w:proofErr w:type="spellStart"/>
            <w:r w:rsidRPr="00F754EF">
              <w:rPr>
                <w:rFonts w:ascii="Aptos Display" w:hAnsi="Aptos Display"/>
                <w:sz w:val="20"/>
                <w:szCs w:val="20"/>
              </w:rPr>
              <w:t>co-organizados</w:t>
            </w:r>
            <w:proofErr w:type="spellEnd"/>
            <w:r w:rsidRPr="00F754EF">
              <w:rPr>
                <w:rFonts w:ascii="Aptos Display" w:hAnsi="Aptos Display"/>
                <w:sz w:val="20"/>
                <w:szCs w:val="20"/>
              </w:rPr>
              <w:t xml:space="preserve"> por ONU Mujeres Ecuador en Quito los días 24 y 25 de marzo de 2026. Los eventos involucraron a sociedad civil, academia y sector privado, proporcionando evidencia cualitativa de triangulación en áreas temáticas clave.</w:t>
            </w:r>
            <w:r w:rsidRPr="00F754EF">
              <w:t xml:space="preserve"> </w:t>
            </w:r>
          </w:p>
          <w:p w14:paraId="164527DD" w14:textId="77777777" w:rsidR="00920F0E" w:rsidRPr="00F754EF" w:rsidRDefault="00920F0E" w:rsidP="00FE4554">
            <w:pPr>
              <w:spacing w:after="0" w:line="240" w:lineRule="auto"/>
            </w:pPr>
            <w:r w:rsidRPr="00F754EF">
              <w:rPr>
                <w:rFonts w:ascii="Aptos Display" w:hAnsi="Aptos Display"/>
                <w:b/>
                <w:bCs/>
                <w:color w:val="B5001E"/>
                <w:sz w:val="20"/>
                <w:szCs w:val="20"/>
              </w:rPr>
              <w:t xml:space="preserve">Evento 1 — "8 de </w:t>
            </w:r>
            <w:proofErr w:type="gramStart"/>
            <w:r w:rsidRPr="00F754EF">
              <w:rPr>
                <w:rFonts w:ascii="Aptos Display" w:hAnsi="Aptos Display"/>
                <w:b/>
                <w:bCs/>
                <w:color w:val="B5001E"/>
                <w:sz w:val="20"/>
                <w:szCs w:val="20"/>
              </w:rPr>
              <w:t>Marzo</w:t>
            </w:r>
            <w:proofErr w:type="gramEnd"/>
            <w:r w:rsidRPr="00F754EF">
              <w:rPr>
                <w:rFonts w:ascii="Aptos Display" w:hAnsi="Aptos Display"/>
                <w:b/>
                <w:bCs/>
                <w:color w:val="B5001E"/>
                <w:sz w:val="20"/>
                <w:szCs w:val="20"/>
              </w:rPr>
              <w:t>, Derechos, Justicia y Acciones" (24 de marzo, FLACSO):</w:t>
            </w:r>
            <w:r w:rsidRPr="00F754EF">
              <w:rPr>
                <w:b/>
                <w:bCs/>
              </w:rPr>
              <w:t xml:space="preserve"> </w:t>
            </w:r>
          </w:p>
          <w:p w14:paraId="761701C7" w14:textId="77777777" w:rsidR="00920F0E" w:rsidRPr="00F754EF" w:rsidRDefault="00920F0E" w:rsidP="00FE4554">
            <w:pPr>
              <w:spacing w:after="0" w:line="240" w:lineRule="auto"/>
            </w:pPr>
            <w:r w:rsidRPr="00F754EF">
              <w:rPr>
                <w:rFonts w:ascii="Aptos Display" w:hAnsi="Aptos Display"/>
                <w:sz w:val="20"/>
                <w:szCs w:val="20"/>
              </w:rPr>
              <w:t xml:space="preserve">Una reunión </w:t>
            </w:r>
            <w:proofErr w:type="spellStart"/>
            <w:r w:rsidRPr="00F754EF">
              <w:rPr>
                <w:rFonts w:ascii="Aptos Display" w:hAnsi="Aptos Display"/>
                <w:sz w:val="20"/>
                <w:szCs w:val="20"/>
              </w:rPr>
              <w:t>interagencial</w:t>
            </w:r>
            <w:proofErr w:type="spellEnd"/>
            <w:r w:rsidRPr="00F754EF">
              <w:rPr>
                <w:rFonts w:ascii="Aptos Display" w:hAnsi="Aptos Display"/>
                <w:sz w:val="20"/>
                <w:szCs w:val="20"/>
              </w:rPr>
              <w:t xml:space="preserve"> que convocó a aproximadamente 30-35 participantes de academia, organizaciones de la sociedad civil y agencias de la ONU, incluyendo UNESCO, FAO, UNODC y OSC como </w:t>
            </w:r>
            <w:proofErr w:type="spellStart"/>
            <w:r w:rsidRPr="00F754EF">
              <w:rPr>
                <w:rFonts w:ascii="Aptos Display" w:hAnsi="Aptos Display"/>
                <w:sz w:val="20"/>
                <w:szCs w:val="20"/>
              </w:rPr>
              <w:t>Surkuna</w:t>
            </w:r>
            <w:proofErr w:type="spellEnd"/>
            <w:r w:rsidRPr="00F754EF">
              <w:rPr>
                <w:rFonts w:ascii="Aptos Display" w:hAnsi="Aptos Display"/>
                <w:sz w:val="20"/>
                <w:szCs w:val="20"/>
              </w:rPr>
              <w:t xml:space="preserve"> y la Coalición de Mujeres. Las observaciones destacaron una fuerte alineación con prioridades de EVAWG y Beijing+30, una inclusión significativa de mujeres afroecuatorianas, indígenas y con discapacidad, y una apropiación activa de la sociedad civil mediante la participación y la incidencia colectiva.</w:t>
            </w:r>
            <w:r w:rsidRPr="00F754EF">
              <w:t xml:space="preserve"> </w:t>
            </w:r>
          </w:p>
          <w:p w14:paraId="6BAC2DD8" w14:textId="77777777" w:rsidR="00920F0E" w:rsidRPr="00F754EF" w:rsidRDefault="00920F0E" w:rsidP="00FE4554">
            <w:pPr>
              <w:spacing w:after="0" w:line="240" w:lineRule="auto"/>
            </w:pPr>
            <w:r w:rsidRPr="00F754EF">
              <w:rPr>
                <w:rFonts w:ascii="Aptos Display" w:hAnsi="Aptos Display"/>
                <w:b/>
                <w:bCs/>
                <w:color w:val="B5001E"/>
                <w:sz w:val="20"/>
                <w:szCs w:val="20"/>
              </w:rPr>
              <w:t xml:space="preserve">Evento 2 — Ring </w:t>
            </w:r>
            <w:proofErr w:type="spellStart"/>
            <w:r w:rsidRPr="00F754EF">
              <w:rPr>
                <w:rFonts w:ascii="Aptos Display" w:hAnsi="Aptos Display"/>
                <w:b/>
                <w:bCs/>
                <w:color w:val="B5001E"/>
                <w:sz w:val="20"/>
                <w:szCs w:val="20"/>
              </w:rPr>
              <w:t>the</w:t>
            </w:r>
            <w:proofErr w:type="spellEnd"/>
            <w:r w:rsidRPr="00F754EF">
              <w:rPr>
                <w:rFonts w:ascii="Aptos Display" w:hAnsi="Aptos Display"/>
                <w:b/>
                <w:bCs/>
                <w:color w:val="B5001E"/>
                <w:sz w:val="20"/>
                <w:szCs w:val="20"/>
              </w:rPr>
              <w:t xml:space="preserve"> Bell </w:t>
            </w:r>
            <w:proofErr w:type="spellStart"/>
            <w:r w:rsidRPr="00F754EF">
              <w:rPr>
                <w:rFonts w:ascii="Aptos Display" w:hAnsi="Aptos Display"/>
                <w:b/>
                <w:bCs/>
                <w:color w:val="B5001E"/>
                <w:sz w:val="20"/>
                <w:szCs w:val="20"/>
              </w:rPr>
              <w:t>for</w:t>
            </w:r>
            <w:proofErr w:type="spellEnd"/>
            <w:r w:rsidRPr="00F754EF">
              <w:rPr>
                <w:rFonts w:ascii="Aptos Display" w:hAnsi="Aptos Display"/>
                <w:b/>
                <w:bCs/>
                <w:color w:val="B5001E"/>
                <w:sz w:val="20"/>
                <w:szCs w:val="20"/>
              </w:rPr>
              <w:t xml:space="preserve"> </w:t>
            </w:r>
            <w:proofErr w:type="spellStart"/>
            <w:r w:rsidRPr="00F754EF">
              <w:rPr>
                <w:rFonts w:ascii="Aptos Display" w:hAnsi="Aptos Display"/>
                <w:b/>
                <w:bCs/>
                <w:color w:val="B5001E"/>
                <w:sz w:val="20"/>
                <w:szCs w:val="20"/>
              </w:rPr>
              <w:t>Gender</w:t>
            </w:r>
            <w:proofErr w:type="spellEnd"/>
            <w:r w:rsidRPr="00F754EF">
              <w:rPr>
                <w:rFonts w:ascii="Aptos Display" w:hAnsi="Aptos Display"/>
                <w:b/>
                <w:bCs/>
                <w:color w:val="B5001E"/>
                <w:sz w:val="20"/>
                <w:szCs w:val="20"/>
              </w:rPr>
              <w:t xml:space="preserve"> </w:t>
            </w:r>
            <w:proofErr w:type="spellStart"/>
            <w:r w:rsidRPr="00F754EF">
              <w:rPr>
                <w:rFonts w:ascii="Aptos Display" w:hAnsi="Aptos Display"/>
                <w:b/>
                <w:bCs/>
                <w:color w:val="B5001E"/>
                <w:sz w:val="20"/>
                <w:szCs w:val="20"/>
              </w:rPr>
              <w:t>Equality</w:t>
            </w:r>
            <w:proofErr w:type="spellEnd"/>
            <w:r w:rsidRPr="00F754EF">
              <w:rPr>
                <w:rFonts w:ascii="Aptos Display" w:hAnsi="Aptos Display"/>
                <w:b/>
                <w:bCs/>
                <w:color w:val="B5001E"/>
                <w:sz w:val="20"/>
                <w:szCs w:val="20"/>
              </w:rPr>
              <w:t xml:space="preserve"> (25 de marzo, Bolsa de Valores de Quito):</w:t>
            </w:r>
            <w:r w:rsidRPr="00F754EF">
              <w:rPr>
                <w:b/>
                <w:bCs/>
              </w:rPr>
              <w:t xml:space="preserve"> </w:t>
            </w:r>
          </w:p>
          <w:p w14:paraId="4767AFBB" w14:textId="00ECACB1" w:rsidR="00920F0E" w:rsidRPr="00F754EF" w:rsidRDefault="00920F0E" w:rsidP="00FE4554">
            <w:pPr>
              <w:spacing w:after="0" w:line="240" w:lineRule="auto"/>
            </w:pPr>
            <w:r w:rsidRPr="00F754EF">
              <w:rPr>
                <w:rFonts w:ascii="Aptos Display" w:hAnsi="Aptos Display"/>
                <w:sz w:val="20"/>
                <w:szCs w:val="20"/>
              </w:rPr>
              <w:t xml:space="preserve">Un evento que reunió a aproximadamente 30 participantes de instituciones financieras y empresas, con la </w:t>
            </w:r>
            <w:r w:rsidR="007C1A90" w:rsidRPr="00F754EF">
              <w:rPr>
                <w:rFonts w:ascii="Aptos Display" w:hAnsi="Aptos Display"/>
                <w:sz w:val="20"/>
                <w:szCs w:val="20"/>
              </w:rPr>
              <w:t>participación</w:t>
            </w:r>
            <w:r w:rsidRPr="00F754EF">
              <w:rPr>
                <w:rFonts w:ascii="Aptos Display" w:hAnsi="Aptos Display"/>
                <w:sz w:val="20"/>
                <w:szCs w:val="20"/>
              </w:rPr>
              <w:t xml:space="preserve"> de la Bolsa de Valores de Quito, la Cámara Británica de Ecuador, Holcim y </w:t>
            </w:r>
            <w:proofErr w:type="spellStart"/>
            <w:r w:rsidRPr="00F754EF">
              <w:rPr>
                <w:rFonts w:ascii="Aptos Display" w:hAnsi="Aptos Display"/>
                <w:sz w:val="20"/>
                <w:szCs w:val="20"/>
              </w:rPr>
              <w:t>Quifatex</w:t>
            </w:r>
            <w:proofErr w:type="spellEnd"/>
            <w:r w:rsidRPr="00F754EF">
              <w:rPr>
                <w:rFonts w:ascii="Aptos Display" w:hAnsi="Aptos Display"/>
                <w:sz w:val="20"/>
                <w:szCs w:val="20"/>
              </w:rPr>
              <w:t xml:space="preserve">. El evento demostró el creciente rol de ONU Mujeres como agente de convocatoria estratégica en el ámbito corporativo, reforzado por el compromiso público de la Bolsa de Valores de Quito de albergar futuras ediciones y la </w:t>
            </w:r>
            <w:proofErr w:type="gramStart"/>
            <w:r w:rsidRPr="00F754EF">
              <w:rPr>
                <w:rFonts w:ascii="Aptos Display" w:hAnsi="Aptos Display"/>
                <w:sz w:val="20"/>
                <w:szCs w:val="20"/>
              </w:rPr>
              <w:t>participación activa</w:t>
            </w:r>
            <w:proofErr w:type="gramEnd"/>
            <w:r w:rsidRPr="00F754EF">
              <w:rPr>
                <w:rFonts w:ascii="Aptos Display" w:hAnsi="Aptos Display"/>
                <w:sz w:val="20"/>
                <w:szCs w:val="20"/>
              </w:rPr>
              <w:t xml:space="preserve"> del Coordinador Residente de la ONU.</w:t>
            </w:r>
            <w:r w:rsidRPr="00F754EF">
              <w:t xml:space="preserve"> </w:t>
            </w:r>
          </w:p>
          <w:p w14:paraId="6FCD60F0" w14:textId="1BC59AEA" w:rsidR="00920F0E" w:rsidRPr="00F754EF" w:rsidRDefault="00920F0E" w:rsidP="00FE4554">
            <w:pPr>
              <w:spacing w:after="0" w:line="240" w:lineRule="auto"/>
            </w:pPr>
            <w:r w:rsidRPr="00F754EF">
              <w:rPr>
                <w:rFonts w:ascii="Aptos Display" w:hAnsi="Aptos Display"/>
                <w:sz w:val="20"/>
                <w:szCs w:val="20"/>
              </w:rPr>
              <w:t xml:space="preserve">En conjunto, las dos visitas ilustran la capacidad de ONU Mujeres Ecuador para convocar a actores diversos en torno a la igualdad de género en espacios institucionales complementarios, desde la sociedad civil hasta los mercados financieros, y refuerzan los hallazgos sobre relevancia, coherencia de alianzas y sostenibilidad del rol de convocatoria de la oficina. Una descripción más detallada de la visita observacional está incluida en </w:t>
            </w:r>
            <w:r w:rsidRPr="00F754EF">
              <w:rPr>
                <w:rFonts w:ascii="Aptos Display" w:hAnsi="Aptos Display"/>
                <w:b/>
                <w:bCs/>
                <w:sz w:val="20"/>
                <w:szCs w:val="20"/>
              </w:rPr>
              <w:t xml:space="preserve">Anexo </w:t>
            </w:r>
            <w:r w:rsidR="007C1A90" w:rsidRPr="00F754EF">
              <w:rPr>
                <w:rFonts w:ascii="Aptos Display" w:hAnsi="Aptos Display"/>
                <w:b/>
                <w:bCs/>
                <w:sz w:val="20"/>
                <w:szCs w:val="20"/>
              </w:rPr>
              <w:t>10</w:t>
            </w:r>
            <w:r w:rsidR="007C1A90" w:rsidRPr="00F754EF">
              <w:rPr>
                <w:rFonts w:ascii="Aptos Display" w:hAnsi="Aptos Display"/>
                <w:sz w:val="20"/>
                <w:szCs w:val="20"/>
              </w:rPr>
              <w:t>.</w:t>
            </w:r>
            <w:r w:rsidRPr="00F754EF">
              <w:rPr>
                <w:rFonts w:ascii="Aptos Display" w:hAnsi="Aptos Display"/>
                <w:sz w:val="20"/>
                <w:szCs w:val="20"/>
              </w:rPr>
              <w:t xml:space="preserve"> Se reconocen y abordan las limitaciones de la evidencia observacional mediante la triangulación con entrevistas y revisión documental. </w:t>
            </w:r>
          </w:p>
        </w:tc>
      </w:tr>
    </w:tbl>
    <w:p w14:paraId="741251FA" w14:textId="77777777" w:rsidR="006116DD" w:rsidRDefault="006116DD" w:rsidP="005831BD">
      <w:pPr>
        <w:spacing w:line="240" w:lineRule="auto"/>
        <w:rPr>
          <w:rFonts w:ascii="Aptos Display" w:hAnsi="Aptos Display"/>
          <w:b/>
          <w:bCs/>
          <w:color w:val="FF0000"/>
          <w:sz w:val="24"/>
          <w:szCs w:val="24"/>
        </w:rPr>
      </w:pPr>
    </w:p>
    <w:p w14:paraId="1314AF0D" w14:textId="5C51F84C" w:rsidR="006116DD" w:rsidRPr="003A3913" w:rsidRDefault="006116DD" w:rsidP="003A3913">
      <w:pPr>
        <w:pStyle w:val="Heading2"/>
        <w:rPr>
          <w:rFonts w:eastAsia="Times New Roman"/>
          <w:b w:val="0"/>
          <w:bCs w:val="0"/>
          <w:lang w:val="es-MX"/>
        </w:rPr>
      </w:pPr>
      <w:bookmarkStart w:id="39" w:name="_Toc233830049"/>
      <w:r w:rsidRPr="00F754EF">
        <w:rPr>
          <w:rFonts w:eastAsia="Times New Roman"/>
          <w:lang w:val="es-ES"/>
        </w:rPr>
        <w:t>4.</w:t>
      </w:r>
      <w:r>
        <w:rPr>
          <w:rFonts w:eastAsia="Times New Roman"/>
          <w:lang w:val="es-ES"/>
        </w:rPr>
        <w:t>3</w:t>
      </w:r>
      <w:r w:rsidRPr="00F754EF">
        <w:rPr>
          <w:rFonts w:eastAsia="Times New Roman"/>
          <w:lang w:val="es-ES"/>
        </w:rPr>
        <w:t xml:space="preserve"> </w:t>
      </w:r>
      <w:r>
        <w:rPr>
          <w:rFonts w:eastAsia="Times New Roman"/>
          <w:lang w:val="es-ES"/>
        </w:rPr>
        <w:t>Efectividad</w:t>
      </w:r>
      <w:bookmarkEnd w:id="39"/>
      <w:r w:rsidRPr="00F754EF">
        <w:rPr>
          <w:rFonts w:eastAsia="Times New Roman"/>
          <w:lang w:val="es-ES"/>
        </w:rPr>
        <w:t xml:space="preserve"> </w:t>
      </w:r>
    </w:p>
    <w:p w14:paraId="18E6A07A" w14:textId="37F026FE" w:rsidR="007F62C8" w:rsidRPr="00F754EF" w:rsidRDefault="007F62C8" w:rsidP="005831BD">
      <w:pPr>
        <w:spacing w:line="240" w:lineRule="auto"/>
      </w:pPr>
      <w:r w:rsidRPr="00F754EF">
        <w:rPr>
          <w:rFonts w:ascii="Aptos Display" w:hAnsi="Aptos Display"/>
          <w:b/>
          <w:bCs/>
          <w:color w:val="FF0000"/>
          <w:sz w:val="24"/>
          <w:szCs w:val="24"/>
        </w:rPr>
        <w:t>Hallazgo 10: La programación de empoderamiento económico alcanzó a un número significativo de mujeres y produjo resultados jurídicos y políticos relevantes, incluidos la Ley de Igualdad Salarial y la Ley de Economía Violeta. El alcance fue más amplio que profundo, y la brecha salarial de género mejoró del 19% al 15,4%, aunque la contribución de ONU Mujeres a esa mejora resulta plausible pero moderada, dado los múltiples factores en juego.</w:t>
      </w:r>
      <w:r w:rsidRPr="00F754EF">
        <w:rPr>
          <w:b/>
          <w:bCs/>
        </w:rPr>
        <w:t xml:space="preserve"> </w:t>
      </w:r>
    </w:p>
    <w:p w14:paraId="25C72B36" w14:textId="77777777" w:rsidR="004F5261" w:rsidRPr="00F754EF" w:rsidRDefault="004F5261" w:rsidP="005831BD">
      <w:pPr>
        <w:spacing w:line="240" w:lineRule="auto"/>
        <w:rPr>
          <w:rFonts w:ascii="Aptos Display" w:hAnsi="Aptos Display"/>
        </w:rPr>
        <w:sectPr w:rsidR="004F5261" w:rsidRPr="00F754EF" w:rsidSect="00371CB2">
          <w:type w:val="continuous"/>
          <w:pgSz w:w="12240" w:h="15840"/>
          <w:pgMar w:top="1440" w:right="1080" w:bottom="1440" w:left="1080" w:header="720" w:footer="252" w:gutter="0"/>
          <w:cols w:space="720"/>
          <w:docGrid w:linePitch="360"/>
        </w:sectPr>
      </w:pPr>
    </w:p>
    <w:p w14:paraId="4152223A" w14:textId="049F5E26" w:rsidR="007F62C8" w:rsidRPr="00F754EF" w:rsidRDefault="007F62C8" w:rsidP="005831BD">
      <w:pPr>
        <w:spacing w:line="240" w:lineRule="auto"/>
      </w:pPr>
      <w:r w:rsidRPr="00F754EF">
        <w:rPr>
          <w:rFonts w:ascii="Aptos Display" w:hAnsi="Aptos Display"/>
        </w:rPr>
        <w:t>La Ley de Igualdad Salarial y la Ley de Economía Violeta, ambas aprobadas en 2023, recibieron apoyo técnico directo de ONU Mujeres, incluyendo insumos metodológicos, análisis legislativo y respaldo al proceso en la Asamblea Nacional. Posteriormente, la brecha salarial de género mejoró desde una línea base del 19% al 15,4% en 2024. Esta mejora está documentada y la temporalidad es consistente con los cambios legales, aunque el grado en que el apoyo técnico de ONU Mujeres a la ley impulsó este cambio, en contraste con la dinámica más amplia del mercado laboral, constituye una afirmación de contribución moderada más que fuerte.</w:t>
      </w:r>
      <w:r w:rsidR="00043EC1">
        <w:rPr>
          <w:rFonts w:ascii="Aptos Display" w:hAnsi="Aptos Display"/>
        </w:rPr>
        <w:t xml:space="preserve"> </w:t>
      </w:r>
      <w:r w:rsidR="00043EC1" w:rsidRPr="00043EC1">
        <w:rPr>
          <w:rFonts w:ascii="Aptos Display" w:hAnsi="Aptos Display"/>
        </w:rPr>
        <w:t xml:space="preserve">Sin embargo, es importante reconocer que la reducción de la </w:t>
      </w:r>
      <w:r w:rsidR="00043EC1" w:rsidRPr="00043EC1">
        <w:rPr>
          <w:rFonts w:ascii="Aptos Display" w:hAnsi="Aptos Display"/>
        </w:rPr>
        <w:t xml:space="preserve">brecha salarial responde también a factores externos al marco normativo, incluyendo cambios en la composición sectorial del empleo femenino, una mayor participación de mujeres en niveles de mayor </w:t>
      </w:r>
      <w:proofErr w:type="spellStart"/>
      <w:r w:rsidR="00043EC1" w:rsidRPr="00043EC1">
        <w:rPr>
          <w:rFonts w:ascii="Aptos Display" w:hAnsi="Aptos Display"/>
        </w:rPr>
        <w:t>seniority</w:t>
      </w:r>
      <w:proofErr w:type="spellEnd"/>
      <w:r w:rsidR="00043EC1" w:rsidRPr="00043EC1">
        <w:rPr>
          <w:rFonts w:ascii="Aptos Display" w:hAnsi="Aptos Display"/>
        </w:rPr>
        <w:t xml:space="preserve"> en algunos sectores, y tendencias regionales de convergencia salarial documentadas </w:t>
      </w:r>
      <w:r w:rsidR="00043EC1" w:rsidRPr="00043EC1">
        <w:rPr>
          <w:rFonts w:ascii="Aptos Display" w:hAnsi="Aptos Display"/>
        </w:rPr>
        <w:lastRenderedPageBreak/>
        <w:t>por la OIT en su Panorama Laboral 2024 para América Latina y el Caribe.</w:t>
      </w:r>
      <w:r w:rsidR="00043EC1">
        <w:rPr>
          <w:rStyle w:val="FootnoteReference"/>
          <w:rFonts w:ascii="Aptos Display" w:hAnsi="Aptos Display"/>
        </w:rPr>
        <w:footnoteReference w:id="38"/>
      </w:r>
    </w:p>
    <w:p w14:paraId="06F7EE0E" w14:textId="56F3FBD2" w:rsidR="007F62C8" w:rsidRPr="00F754EF" w:rsidRDefault="007F62C8" w:rsidP="005831BD">
      <w:pPr>
        <w:spacing w:line="240" w:lineRule="auto"/>
      </w:pPr>
      <w:r w:rsidRPr="00F754EF">
        <w:rPr>
          <w:rFonts w:ascii="Aptos Display" w:hAnsi="Aptos Display"/>
        </w:rPr>
        <w:t>El programa de capacitación en empoderamiento económico con el Ministerio de la Mujer y Derechos Humanos alcanzó a 15</w:t>
      </w:r>
      <w:r w:rsidR="006E148C" w:rsidRPr="00F754EF">
        <w:rPr>
          <w:rFonts w:ascii="Aptos Display" w:hAnsi="Aptos Display"/>
        </w:rPr>
        <w:t>,</w:t>
      </w:r>
      <w:r w:rsidRPr="00F754EF">
        <w:rPr>
          <w:rFonts w:ascii="Aptos Display" w:hAnsi="Aptos Display"/>
        </w:rPr>
        <w:t xml:space="preserve">000 mujeres al cierre del programa, escalando desde una meta prevista de 2.500, debido a la extraordinaria demanda movilizada por el Ministerio. Este es un claro ejemplo del efecto palanca que produce la colaboración gubernamental: la plataforma técnica de ONU Mujeres y la capacidad de alcance del Ministerio se combinaron para </w:t>
      </w:r>
      <w:r w:rsidR="00DC5F36">
        <w:rPr>
          <w:rFonts w:ascii="Aptos Display" w:hAnsi="Aptos Display"/>
        </w:rPr>
        <w:t xml:space="preserve">movilizar una participación </w:t>
      </w:r>
      <w:r w:rsidRPr="00F754EF">
        <w:rPr>
          <w:rFonts w:ascii="Aptos Display" w:hAnsi="Aptos Display"/>
        </w:rPr>
        <w:t>a una escala que ninguno podría haber alcanzado por sí solo. El seguimiento para evaluar los resultados de sustento más allá de la capacitación fue limitado, lo que restringe la solidez de la afirmación sobre la efectividad.</w:t>
      </w:r>
    </w:p>
    <w:p w14:paraId="70744089" w14:textId="69109821" w:rsidR="007F62C8" w:rsidRPr="00F754EF" w:rsidRDefault="007F62C8" w:rsidP="005831BD">
      <w:pPr>
        <w:spacing w:line="240" w:lineRule="auto"/>
      </w:pPr>
      <w:r w:rsidRPr="00F754EF">
        <w:rPr>
          <w:rFonts w:ascii="Aptos Display" w:hAnsi="Aptos Display"/>
        </w:rPr>
        <w:t xml:space="preserve">En las comunidades rurales de Quito, 250 mujeres participaron en procesos de identidad cultural y emprendimiento, con 60 negocios fortalecidos e incorporados a la red comercial del municipio. </w:t>
      </w:r>
      <w:proofErr w:type="gramStart"/>
      <w:r w:rsidR="00124DA8">
        <w:rPr>
          <w:rFonts w:ascii="Aptos Display" w:hAnsi="Aptos Display"/>
        </w:rPr>
        <w:t xml:space="preserve">De </w:t>
      </w:r>
      <w:r w:rsidR="00124DA8">
        <w:rPr>
          <w:rFonts w:ascii="Aptos Display" w:hAnsi="Aptos Display"/>
        </w:rPr>
        <w:t>acuerdo al</w:t>
      </w:r>
      <w:proofErr w:type="gramEnd"/>
      <w:r w:rsidR="00124DA8">
        <w:rPr>
          <w:rFonts w:ascii="Aptos Display" w:hAnsi="Aptos Display"/>
        </w:rPr>
        <w:t xml:space="preserve"> informe final del programa, v</w:t>
      </w:r>
      <w:r w:rsidRPr="00F754EF">
        <w:rPr>
          <w:rFonts w:ascii="Aptos Display" w:hAnsi="Aptos Display"/>
        </w:rPr>
        <w:t>arias de las mujeres alcanzadas nunca habían sido beneficiarias de ningún programa público, lo que refleja la orientación constante de la oficina hacia LNOB</w:t>
      </w:r>
      <w:r w:rsidR="00B12F97">
        <w:rPr>
          <w:rStyle w:val="FootnoteReference"/>
          <w:rFonts w:ascii="Aptos Display" w:hAnsi="Aptos Display"/>
        </w:rPr>
        <w:footnoteReference w:id="39"/>
      </w:r>
      <w:r w:rsidRPr="00F754EF">
        <w:rPr>
          <w:rFonts w:ascii="Aptos Display" w:hAnsi="Aptos Display"/>
        </w:rPr>
        <w:t>.</w:t>
      </w:r>
    </w:p>
    <w:p w14:paraId="36DCC37A" w14:textId="3718B77F" w:rsidR="007F62C8" w:rsidRPr="00F754EF" w:rsidRDefault="007F62C8" w:rsidP="005831BD">
      <w:pPr>
        <w:spacing w:line="240" w:lineRule="auto"/>
      </w:pPr>
      <w:r w:rsidRPr="00F754EF">
        <w:rPr>
          <w:rFonts w:ascii="Aptos Display" w:hAnsi="Aptos Display"/>
        </w:rPr>
        <w:t xml:space="preserve">La red </w:t>
      </w:r>
      <w:proofErr w:type="spellStart"/>
      <w:r w:rsidRPr="00F754EF">
        <w:rPr>
          <w:rFonts w:ascii="Aptos Display" w:hAnsi="Aptos Display"/>
        </w:rPr>
        <w:t>WEPs</w:t>
      </w:r>
      <w:proofErr w:type="spellEnd"/>
      <w:r w:rsidRPr="00F754EF">
        <w:rPr>
          <w:rFonts w:ascii="Aptos Display" w:hAnsi="Aptos Display"/>
        </w:rPr>
        <w:t xml:space="preserve"> llegó a 167 empresas con 13 propuestas presentadas a negocios y fundaciones filantrópicas, pero como se mencionó anteriormente, el compromiso se mantuvo a nivel de sensibilización más que de cofinanciación, y </w:t>
      </w:r>
      <w:r w:rsidR="00C00F8D" w:rsidRPr="00F754EF">
        <w:rPr>
          <w:rFonts w:ascii="Aptos Display" w:hAnsi="Aptos Display"/>
        </w:rPr>
        <w:t>la salida imprevista de la persona responsable de esta cartera a mitad de ciclo —sin planes de sucesión documentados— generó una pérdida de impulso que no había sido plenamente recuperada al momento de esta evaluación.</w:t>
      </w:r>
      <w:r w:rsidRPr="00F754EF">
        <w:rPr>
          <w:rFonts w:ascii="Aptos Display" w:hAnsi="Aptos Display"/>
        </w:rPr>
        <w:t xml:space="preserve"> La cobertura de la seguridad social mostró una regresión en el periodo, situándose en el </w:t>
      </w:r>
      <w:r w:rsidR="00CB1877">
        <w:rPr>
          <w:rFonts w:ascii="Aptos Display" w:hAnsi="Aptos Display"/>
        </w:rPr>
        <w:t>38,7</w:t>
      </w:r>
      <w:r w:rsidRPr="00F754EF">
        <w:rPr>
          <w:rFonts w:ascii="Aptos Display" w:hAnsi="Aptos Display"/>
        </w:rPr>
        <w:t>%</w:t>
      </w:r>
      <w:r w:rsidR="00686DE6">
        <w:rPr>
          <w:rFonts w:ascii="Aptos Display" w:hAnsi="Aptos Display"/>
        </w:rPr>
        <w:t xml:space="preserve"> de la Población </w:t>
      </w:r>
      <w:proofErr w:type="spellStart"/>
      <w:r w:rsidR="00686DE6">
        <w:rPr>
          <w:rFonts w:ascii="Aptos Display" w:hAnsi="Aptos Display"/>
        </w:rPr>
        <w:t>Economómicamente</w:t>
      </w:r>
      <w:proofErr w:type="spellEnd"/>
      <w:r w:rsidR="00686DE6">
        <w:rPr>
          <w:rFonts w:ascii="Aptos Display" w:hAnsi="Aptos Display"/>
        </w:rPr>
        <w:t xml:space="preserve"> Activa</w:t>
      </w:r>
      <w:r w:rsidR="00497EB2">
        <w:rPr>
          <w:rStyle w:val="FootnoteReference"/>
          <w:rFonts w:ascii="Aptos Display" w:hAnsi="Aptos Display"/>
        </w:rPr>
        <w:footnoteReference w:id="40"/>
      </w:r>
      <w:r w:rsidRPr="00F754EF">
        <w:rPr>
          <w:rFonts w:ascii="Aptos Display" w:hAnsi="Aptos Display"/>
        </w:rPr>
        <w:t>, reflejando la predominancia del empleo informal</w:t>
      </w:r>
      <w:r w:rsidR="00686DE6">
        <w:rPr>
          <w:rFonts w:ascii="Aptos Display" w:hAnsi="Aptos Display"/>
        </w:rPr>
        <w:t xml:space="preserve"> (55,7%)</w:t>
      </w:r>
      <w:r w:rsidR="00497EB2">
        <w:rPr>
          <w:rStyle w:val="FootnoteReference"/>
          <w:rFonts w:ascii="Aptos Display" w:hAnsi="Aptos Display"/>
        </w:rPr>
        <w:footnoteReference w:id="41"/>
      </w:r>
      <w:r w:rsidRPr="00F754EF">
        <w:rPr>
          <w:rFonts w:ascii="Aptos Display" w:hAnsi="Aptos Display"/>
        </w:rPr>
        <w:t xml:space="preserve"> y la ausencia de reformas estructurales del mercado laboral dentro del ámbito de influencia de la oficina.</w:t>
      </w:r>
    </w:p>
    <w:p w14:paraId="64D17D46" w14:textId="77777777" w:rsidR="004F5261" w:rsidRPr="00F754EF" w:rsidRDefault="004F5261" w:rsidP="005831BD">
      <w:pPr>
        <w:spacing w:line="240" w:lineRule="auto"/>
        <w:rPr>
          <w:rFonts w:ascii="Aptos Display" w:hAnsi="Aptos Display"/>
          <w:b/>
          <w:bCs/>
          <w:color w:val="FF0000"/>
          <w:sz w:val="24"/>
          <w:szCs w:val="24"/>
        </w:rPr>
        <w:sectPr w:rsidR="004F5261" w:rsidRPr="00F754EF" w:rsidSect="004F5261">
          <w:type w:val="continuous"/>
          <w:pgSz w:w="12240" w:h="15840"/>
          <w:pgMar w:top="1440" w:right="1080" w:bottom="1440" w:left="1080" w:header="720" w:footer="252" w:gutter="0"/>
          <w:cols w:num="2" w:space="720"/>
          <w:docGrid w:linePitch="360"/>
        </w:sectPr>
      </w:pPr>
    </w:p>
    <w:p w14:paraId="6456C03C" w14:textId="77777777" w:rsidR="000A7DC0" w:rsidRDefault="000A7DC0" w:rsidP="005831BD">
      <w:pPr>
        <w:spacing w:line="240" w:lineRule="auto"/>
        <w:rPr>
          <w:rFonts w:ascii="Aptos Display" w:hAnsi="Aptos Display"/>
          <w:b/>
          <w:bCs/>
          <w:color w:val="FF0000"/>
          <w:sz w:val="24"/>
          <w:szCs w:val="24"/>
        </w:rPr>
      </w:pPr>
    </w:p>
    <w:p w14:paraId="0842960D" w14:textId="5018D957" w:rsidR="007F62C8" w:rsidRPr="00F754EF" w:rsidRDefault="007F62C8" w:rsidP="005831BD">
      <w:pPr>
        <w:spacing w:line="240" w:lineRule="auto"/>
      </w:pPr>
      <w:r w:rsidRPr="00F754EF">
        <w:rPr>
          <w:rFonts w:ascii="Aptos Display" w:hAnsi="Aptos Display"/>
          <w:b/>
          <w:bCs/>
          <w:color w:val="FF0000"/>
          <w:sz w:val="24"/>
          <w:szCs w:val="24"/>
        </w:rPr>
        <w:t>Hallazgo 11: La cartera priorizó de manera consistente a las mujeres más marginadas en ambos resultados, con logros documentados para mujeres indígenas, afroecuatorianas, rurales, migrantes y trabajadoras domésticas. Persisten brechas en la inclusión LGBTIQ+ y en el alcance a mujeres con discapacidad.</w:t>
      </w:r>
      <w:r w:rsidRPr="00F754EF">
        <w:rPr>
          <w:b/>
          <w:bCs/>
        </w:rPr>
        <w:t xml:space="preserve"> </w:t>
      </w:r>
    </w:p>
    <w:p w14:paraId="658907DA" w14:textId="77777777" w:rsidR="00E85555" w:rsidRPr="00F754EF" w:rsidRDefault="00E85555" w:rsidP="005831BD">
      <w:pPr>
        <w:spacing w:line="240" w:lineRule="auto"/>
        <w:rPr>
          <w:rFonts w:ascii="Aptos Display" w:hAnsi="Aptos Display"/>
        </w:rPr>
        <w:sectPr w:rsidR="00E85555" w:rsidRPr="00F754EF" w:rsidSect="00371CB2">
          <w:type w:val="continuous"/>
          <w:pgSz w:w="12240" w:h="15840"/>
          <w:pgMar w:top="1440" w:right="1080" w:bottom="1440" w:left="1080" w:header="720" w:footer="252" w:gutter="0"/>
          <w:cols w:space="720"/>
          <w:docGrid w:linePitch="360"/>
        </w:sectPr>
      </w:pPr>
    </w:p>
    <w:p w14:paraId="29C31934" w14:textId="77777777" w:rsidR="007F62C8" w:rsidRPr="00F754EF" w:rsidRDefault="007F62C8" w:rsidP="005831BD">
      <w:pPr>
        <w:spacing w:line="240" w:lineRule="auto"/>
      </w:pPr>
      <w:r w:rsidRPr="00F754EF">
        <w:rPr>
          <w:rFonts w:ascii="Aptos Display" w:hAnsi="Aptos Display"/>
        </w:rPr>
        <w:t xml:space="preserve">La orientación LNOB estuvo integrada en el enfoque de la cartera desde el inicio y se operacionalizó, no fue meramente aspiracional. Para mujeres indígenas y afroecuatorianas, </w:t>
      </w:r>
      <w:proofErr w:type="spellStart"/>
      <w:r w:rsidRPr="00F754EF">
        <w:rPr>
          <w:rFonts w:ascii="Aptos Display" w:hAnsi="Aptos Display"/>
        </w:rPr>
        <w:t>Spotlight</w:t>
      </w:r>
      <w:proofErr w:type="spellEnd"/>
      <w:r w:rsidRPr="00F754EF">
        <w:rPr>
          <w:rFonts w:ascii="Aptos Display" w:hAnsi="Aptos Display"/>
        </w:rPr>
        <w:t xml:space="preserve"> 2.0 produjo nuevas organizaciones de mujeres indígenas en la Amazonía como resultado no planificado del trabajo comunitario en territorios donde previamente no existían grupos de mujeres organizadas. La Agenda Nacional para Mujeres Afroecuatorianas 2023-2027 se elaboró mediante un proceso que reunió a más de 70 mujeres, generando un marco de incidencia política con nueve ejes temáticos ahora adoptados por CONAMUNE y otras organizaciones de mujeres afroecuatorianas.</w:t>
      </w:r>
    </w:p>
    <w:p w14:paraId="3CAAA4C0" w14:textId="6D705381" w:rsidR="007F62C8" w:rsidRPr="00F754EF" w:rsidRDefault="00A45C15" w:rsidP="005831BD">
      <w:pPr>
        <w:spacing w:line="240" w:lineRule="auto"/>
      </w:pPr>
      <w:proofErr w:type="gramStart"/>
      <w:r>
        <w:rPr>
          <w:rFonts w:ascii="Aptos Display" w:hAnsi="Aptos Display"/>
        </w:rPr>
        <w:t>De acuerdo al</w:t>
      </w:r>
      <w:proofErr w:type="gramEnd"/>
      <w:r>
        <w:rPr>
          <w:rFonts w:ascii="Aptos Display" w:hAnsi="Aptos Display"/>
        </w:rPr>
        <w:t xml:space="preserve"> informe final </w:t>
      </w:r>
      <w:r w:rsidR="00DA32A6">
        <w:rPr>
          <w:rFonts w:ascii="Aptos Display" w:hAnsi="Aptos Display"/>
        </w:rPr>
        <w:t xml:space="preserve">para el programa de fortalecimiento de identidades de mujeres rurales en Quito, </w:t>
      </w:r>
      <w:r w:rsidR="000420EC">
        <w:rPr>
          <w:rFonts w:ascii="Aptos Display" w:hAnsi="Aptos Display"/>
        </w:rPr>
        <w:t>se</w:t>
      </w:r>
      <w:r w:rsidR="007F62C8" w:rsidRPr="00F754EF">
        <w:rPr>
          <w:rFonts w:ascii="Aptos Display" w:hAnsi="Aptos Display"/>
        </w:rPr>
        <w:t xml:space="preserve"> alcanzó a mujeres excluidas explícitamente de los diseños urbanos: mujeres mayores, mujeres con educación interrumpida y mujeres cuya identidad cultural había sido sistemáticamente devaluada. El empoderamiento económico se conectó con la recuperación de la identidad cultural como una elección metodológica deliberada. Para las trabajadoras domésticas, una colaboración sostenida con CEOSL fortaleció la capacidad de liderazgo sindical sobre género, cuidados y derechos laborales, con varias mujeres del sindicato nacional de trabajadoras domésticas (UNTAH) que ahora ocupan puestos de liderazgo nacional tras cinco años </w:t>
      </w:r>
      <w:r w:rsidR="007F62C8" w:rsidRPr="00F754EF">
        <w:rPr>
          <w:rFonts w:ascii="Aptos Display" w:hAnsi="Aptos Display"/>
        </w:rPr>
        <w:lastRenderedPageBreak/>
        <w:t>de acompañamiento. Para mujeres migrantes, la cartera Caminantes alcanzó a mujeres en situaciones de alta marginalidad, incluidas sobrevivientes de trata, mujeres en el mercado sexual y mujeres en situación irregular en zonas fronterizas donde casi ningún otro actor opera. El programa diseñó servicios explícitamente para evitar crear barreras a mujeres sin documentación.</w:t>
      </w:r>
    </w:p>
    <w:p w14:paraId="797F30D0" w14:textId="077A7A34" w:rsidR="007F62C8" w:rsidRPr="00F754EF" w:rsidRDefault="007F62C8" w:rsidP="005831BD">
      <w:pPr>
        <w:spacing w:line="240" w:lineRule="auto"/>
      </w:pPr>
      <w:r w:rsidRPr="00F754EF">
        <w:rPr>
          <w:rFonts w:ascii="Aptos Display" w:hAnsi="Aptos Display"/>
        </w:rPr>
        <w:t xml:space="preserve">Vale la pena nombrar dos brechas de forma honesta. Primero, las mujeres con discapacidad fueron alcanzadas de manera inconsistente en la cartera. La oficina mejoró su desempeño en el marco de rendición de cuentas para la inclusión de discapacidad de UNDIS, pasando del 13% de indicadores cumplidos en 2021 al 38% en 2024, lo que muestra progreso, pero sigue por debajo del objetivo del 60% fijado para 2026. </w:t>
      </w:r>
      <w:r w:rsidRPr="00F754EF">
        <w:rPr>
          <w:rStyle w:val="FootnoteReference"/>
          <w:rFonts w:ascii="Aptos Display" w:hAnsi="Aptos Display"/>
        </w:rPr>
        <w:t>[</w:t>
      </w:r>
      <w:r w:rsidR="005158B4" w:rsidRPr="00F754EF">
        <w:rPr>
          <w:rStyle w:val="FootnoteReference"/>
          <w:rFonts w:ascii="Aptos Display" w:hAnsi="Aptos Display"/>
        </w:rPr>
        <w:footnoteReference w:id="42"/>
      </w:r>
      <w:r w:rsidRPr="00F754EF">
        <w:rPr>
          <w:rStyle w:val="FootnoteReference"/>
          <w:rFonts w:ascii="Aptos Display" w:hAnsi="Aptos Display"/>
        </w:rPr>
        <w:t xml:space="preserve">] </w:t>
      </w:r>
      <w:r w:rsidRPr="00F754EF">
        <w:rPr>
          <w:rFonts w:ascii="Aptos Display" w:hAnsi="Aptos Display"/>
        </w:rPr>
        <w:t xml:space="preserve">La reflexión interna de la oficina atribuyó esto directamente a las brechas de conocimiento del personal y a la ausencia de recursos dedicados, señalando que la oficina carecía tanto de la experiencia técnica como de una estrategia de movilización de recursos para abordar la inclusión de discapacidad de manera sistemática. El patrón observado en la cartera confirma esta valoración. Las mujeres con discapacidad estuvieron presentes en casi todas las áreas de programa: </w:t>
      </w:r>
      <w:proofErr w:type="spellStart"/>
      <w:r w:rsidRPr="00F754EF">
        <w:rPr>
          <w:rFonts w:ascii="Aptos Display" w:hAnsi="Aptos Display"/>
        </w:rPr>
        <w:t>Spotlight</w:t>
      </w:r>
      <w:proofErr w:type="spellEnd"/>
      <w:r w:rsidRPr="00F754EF">
        <w:rPr>
          <w:rFonts w:ascii="Aptos Display" w:hAnsi="Aptos Display"/>
        </w:rPr>
        <w:t xml:space="preserve"> 2.0 identificó </w:t>
      </w:r>
      <w:proofErr w:type="gramStart"/>
      <w:r w:rsidRPr="00F754EF">
        <w:rPr>
          <w:rFonts w:ascii="Aptos Display" w:hAnsi="Aptos Display"/>
        </w:rPr>
        <w:t>que</w:t>
      </w:r>
      <w:proofErr w:type="gramEnd"/>
      <w:r w:rsidRPr="00F754EF">
        <w:rPr>
          <w:rFonts w:ascii="Aptos Display" w:hAnsi="Aptos Display"/>
        </w:rPr>
        <w:t xml:space="preserve"> en un grupo de 70 mujeres en Morona Santiago, entre 10 y 11 presentaban discapacidad causada por violencia, una proporción lo suficientemente significativa como para constituir una categoría de sobrevivientes distinta. Sin embargo, este hallazgo no derivó en metodologías adaptadas ni rutas dedicadas de justicia y reparación: la discapacidad no se menciona en procesos legales o demandas de reparación, aunque esté documentada como consecuencia de violencia. Mujeres sordas y el acceso a lengua de señas se identificaron específicamente como déficit en los servicios de respuesta a la violencia. En la programación humanitaria, aunque no se diseñó una estrategia específica de discapacidad, los procedimientos operativos para la entrega de kits </w:t>
      </w:r>
      <w:r w:rsidRPr="00F754EF">
        <w:rPr>
          <w:rFonts w:ascii="Aptos Display" w:hAnsi="Aptos Display"/>
        </w:rPr>
        <w:t>humanitarios y fondos de emergencia incorporaron la discapacidad como criterio de priorización.</w:t>
      </w:r>
    </w:p>
    <w:p w14:paraId="24463B8E" w14:textId="1354EB6C" w:rsidR="007F62C8" w:rsidRPr="00F754EF" w:rsidRDefault="007F62C8" w:rsidP="005831BD">
      <w:pPr>
        <w:spacing w:line="240" w:lineRule="auto"/>
      </w:pPr>
      <w:r w:rsidRPr="00F754EF">
        <w:rPr>
          <w:rFonts w:ascii="Aptos Display" w:hAnsi="Aptos Display"/>
        </w:rPr>
        <w:t xml:space="preserve">Segundo, las mujeres LGBTIQ+ no fueron incluidas de manera sistemática en los diseños de programas, a pesar de ser </w:t>
      </w:r>
      <w:proofErr w:type="gramStart"/>
      <w:r w:rsidRPr="00F754EF">
        <w:rPr>
          <w:rFonts w:ascii="Aptos Display" w:hAnsi="Aptos Display"/>
        </w:rPr>
        <w:t>nombradas como</w:t>
      </w:r>
      <w:proofErr w:type="gramEnd"/>
      <w:r w:rsidRPr="00F754EF">
        <w:rPr>
          <w:rFonts w:ascii="Aptos Display" w:hAnsi="Aptos Display"/>
        </w:rPr>
        <w:t xml:space="preserve"> poblaciones prioritarias en la Nota Estratégica. Vale la pena destacar una excepción: bajo el proyecto Fortalecimiento de la Gestión Pública Estatal para Garantizar Derechos Económicos y una Vida Libre de Violencia, ONU Mujeres implementó un programa de capacitación en emprendimiento certificado dirigido específicamente a poblaciones LGBTIQ+, a través del cual 1.200 participantes completaron la formación y 738 desarrollaron planes de negocio </w:t>
      </w:r>
      <w:r w:rsidRPr="00F754EF">
        <w:rPr>
          <w:rStyle w:val="FootnoteReference"/>
          <w:rFonts w:ascii="Aptos Display" w:hAnsi="Aptos Display"/>
        </w:rPr>
        <w:t>[</w:t>
      </w:r>
      <w:r w:rsidR="00711460" w:rsidRPr="00F754EF">
        <w:rPr>
          <w:rStyle w:val="FootnoteReference"/>
          <w:rFonts w:ascii="Aptos Display" w:hAnsi="Aptos Display"/>
        </w:rPr>
        <w:footnoteReference w:id="43"/>
      </w:r>
      <w:r w:rsidRPr="00F754EF">
        <w:rPr>
          <w:rStyle w:val="FootnoteReference"/>
          <w:rFonts w:ascii="Aptos Display" w:hAnsi="Aptos Display"/>
        </w:rPr>
        <w:t>]</w:t>
      </w:r>
      <w:r w:rsidRPr="00F754EF">
        <w:rPr>
          <w:rFonts w:ascii="Aptos Display" w:hAnsi="Aptos Display"/>
        </w:rPr>
        <w:t xml:space="preserve">. Este resultado demuestra que cuando el enfoque explícito se diseña en el programa, el alcance es significativo. </w:t>
      </w:r>
    </w:p>
    <w:p w14:paraId="36284077" w14:textId="42AD8F8A" w:rsidR="007F62C8" w:rsidRPr="00F754EF" w:rsidRDefault="007F62C8" w:rsidP="005831BD">
      <w:pPr>
        <w:spacing w:line="240" w:lineRule="auto"/>
      </w:pPr>
      <w:r w:rsidRPr="00F754EF">
        <w:rPr>
          <w:rFonts w:ascii="Aptos Display" w:hAnsi="Aptos Display"/>
        </w:rPr>
        <w:t>Sin embargo, esto permaneció como una instancia aislada más que una estrategia sistemática en toda la cartera. Socios de la sociedad civil expresaron preocupación de que el enfoque de género de la cartera no se extendió de manera suficiente a identidades no binarias o transgénero, y que las mujeres lesbianas y bisexuales quedaron mayormente invisibles en la focalización del programa más allá de esta iniciativa. El proceso de construcción de paz en Guayaquil incluyó cierta participación de organizaciones LGBTIQ+, pero esto se atribuyó al esfuerzo deliberado del socio implementador de la OSC, más que al diseño del programa en sí. A nivel institucional de la oficina, se planteó la misma preocupación: cuando el enfoque de género de ONU Mujeres no nombra explícitamente a mujeres trans y lesbianas, existe el riesgo de fragmentación dentro del movimiento de derechos de las mujeres que la oficina tiene la autoridad normativa para superar. Estas brechas apuntan a un déficit estructural de interseccionalidad en la cartera, más que a omisiones aisladas a nivel de programa</w:t>
      </w:r>
      <w:r w:rsidR="00A03BAC" w:rsidRPr="00F754EF">
        <w:rPr>
          <w:rFonts w:ascii="Aptos Display" w:hAnsi="Aptos Display"/>
        </w:rPr>
        <w:t>.</w:t>
      </w:r>
    </w:p>
    <w:p w14:paraId="413DD3A5" w14:textId="77777777" w:rsidR="007F62C8" w:rsidRPr="00F754EF" w:rsidRDefault="007F62C8" w:rsidP="005831BD">
      <w:pPr>
        <w:spacing w:line="240" w:lineRule="auto"/>
      </w:pPr>
      <w:r w:rsidRPr="00F754EF">
        <w:rPr>
          <w:rFonts w:ascii="Aptos Display" w:hAnsi="Aptos Display"/>
        </w:rPr>
        <w:t xml:space="preserve">La Tabla 7 sintetiza la evidencia presentada en los Hallazgos 6 a 11 en un análisis de contribución por resultado de la Nota Estratégica. Para cada resultado, presenta la solidez de la evidencia de </w:t>
      </w:r>
      <w:r w:rsidRPr="00F754EF">
        <w:rPr>
          <w:rFonts w:ascii="Aptos Display" w:hAnsi="Aptos Display"/>
        </w:rPr>
        <w:lastRenderedPageBreak/>
        <w:t xml:space="preserve">logro, la naturaleza y grado de la contribución de ONU Mujeres, y los factores habilitadores y limitantes que moldearon los resultados. La tabla está concebida </w:t>
      </w:r>
      <w:r w:rsidRPr="00F754EF">
        <w:rPr>
          <w:rFonts w:ascii="Aptos Display" w:hAnsi="Aptos Display"/>
        </w:rPr>
        <w:t>como herramienta de referencia para los lectores que navegan los hallazgos, no como sustituto del análisis completo presentado en las secciones anteriores.</w:t>
      </w:r>
    </w:p>
    <w:p w14:paraId="54FF259D" w14:textId="77777777" w:rsidR="00E85555" w:rsidRPr="00F754EF" w:rsidRDefault="00E85555" w:rsidP="005831BD">
      <w:pPr>
        <w:pStyle w:val="Caption"/>
        <w:spacing w:after="120"/>
        <w:sectPr w:rsidR="00E85555" w:rsidRPr="00F754EF" w:rsidSect="00E85555">
          <w:type w:val="continuous"/>
          <w:pgSz w:w="12240" w:h="15840"/>
          <w:pgMar w:top="1440" w:right="1080" w:bottom="1440" w:left="1080" w:header="720" w:footer="252" w:gutter="0"/>
          <w:cols w:num="2" w:space="720"/>
          <w:docGrid w:linePitch="360"/>
        </w:sectPr>
      </w:pPr>
      <w:bookmarkStart w:id="40" w:name="_Toc227279873"/>
    </w:p>
    <w:p w14:paraId="7BED468A" w14:textId="5EE010D2" w:rsidR="007F62C8" w:rsidRPr="00F754EF" w:rsidRDefault="00167F67" w:rsidP="005831BD">
      <w:pPr>
        <w:pStyle w:val="Caption"/>
        <w:spacing w:after="120"/>
      </w:pPr>
      <w:r w:rsidRPr="00F754EF">
        <w:t xml:space="preserve">Tabla </w:t>
      </w:r>
      <w:r w:rsidRPr="00F754EF">
        <w:fldChar w:fldCharType="begin"/>
      </w:r>
      <w:r w:rsidRPr="00F754EF">
        <w:instrText xml:space="preserve"> SEQ Table \* ARABIC </w:instrText>
      </w:r>
      <w:r w:rsidRPr="00F754EF">
        <w:fldChar w:fldCharType="separate"/>
      </w:r>
      <w:r w:rsidR="004C6C83">
        <w:rPr>
          <w:noProof/>
        </w:rPr>
        <w:t>7</w:t>
      </w:r>
      <w:r w:rsidRPr="00F754EF">
        <w:fldChar w:fldCharType="end"/>
      </w:r>
      <w:r w:rsidRPr="00F754EF">
        <w:t xml:space="preserve"> </w:t>
      </w:r>
      <w:r w:rsidR="007F62C8" w:rsidRPr="00F754EF">
        <w:t>Análisis de contribución por resultado de la Nota Estratégica</w:t>
      </w:r>
      <w:bookmarkEnd w:id="40"/>
      <w:r w:rsidR="007F62C8" w:rsidRPr="00F754EF">
        <w:rPr>
          <w:b/>
          <w:bCs/>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1933"/>
        <w:gridCol w:w="2862"/>
        <w:gridCol w:w="2900"/>
        <w:gridCol w:w="2365"/>
      </w:tblGrid>
      <w:tr w:rsidR="007F62C8" w:rsidRPr="00F754EF" w14:paraId="751998BF" w14:textId="77777777" w:rsidTr="005E7595">
        <w:tc>
          <w:tcPr>
            <w:tcW w:w="0" w:type="auto"/>
            <w:tcBorders>
              <w:top w:val="single" w:sz="8" w:space="0" w:color="CCCCCC"/>
              <w:left w:val="single" w:sz="8" w:space="0" w:color="CCCCCC"/>
              <w:bottom w:val="single" w:sz="8" w:space="0" w:color="CCCCCC"/>
              <w:right w:val="single" w:sz="8" w:space="0" w:color="CCCCCC"/>
            </w:tcBorders>
            <w:shd w:val="clear" w:color="auto" w:fill="2E6DA4"/>
            <w:vAlign w:val="center"/>
            <w:hideMark/>
          </w:tcPr>
          <w:p w14:paraId="58B82806" w14:textId="77777777" w:rsidR="007F62C8" w:rsidRPr="00F754EF" w:rsidRDefault="007F62C8" w:rsidP="003A3913">
            <w:pPr>
              <w:spacing w:before="40" w:after="40" w:line="240" w:lineRule="auto"/>
              <w:ind w:left="144" w:right="144"/>
              <w:rPr>
                <w:sz w:val="17"/>
                <w:szCs w:val="17"/>
              </w:rPr>
            </w:pPr>
            <w:r w:rsidRPr="00F754EF">
              <w:rPr>
                <w:rFonts w:ascii="Aptos Display" w:hAnsi="Aptos Display"/>
                <w:b/>
                <w:bCs/>
                <w:color w:val="FFFFFF"/>
                <w:sz w:val="17"/>
                <w:szCs w:val="17"/>
              </w:rPr>
              <w:t>Resultado de la Nota Estratégica</w:t>
            </w:r>
            <w:r w:rsidRPr="00F754EF">
              <w:rPr>
                <w:b/>
                <w:bCs/>
                <w:sz w:val="17"/>
                <w:szCs w:val="17"/>
              </w:rPr>
              <w:t xml:space="preserve"> </w:t>
            </w:r>
          </w:p>
        </w:tc>
        <w:tc>
          <w:tcPr>
            <w:tcW w:w="0" w:type="auto"/>
            <w:tcBorders>
              <w:top w:val="single" w:sz="8" w:space="0" w:color="CCCCCC"/>
              <w:left w:val="nil"/>
              <w:bottom w:val="single" w:sz="8" w:space="0" w:color="CCCCCC"/>
              <w:right w:val="single" w:sz="8" w:space="0" w:color="CCCCCC"/>
            </w:tcBorders>
            <w:shd w:val="clear" w:color="auto" w:fill="2E6DA4"/>
            <w:vAlign w:val="center"/>
            <w:hideMark/>
          </w:tcPr>
          <w:p w14:paraId="2BE44CD1" w14:textId="77777777" w:rsidR="007F62C8" w:rsidRPr="00F754EF" w:rsidRDefault="007F62C8" w:rsidP="003A3913">
            <w:pPr>
              <w:spacing w:before="40" w:after="40" w:line="240" w:lineRule="auto"/>
              <w:ind w:left="144" w:right="144"/>
              <w:rPr>
                <w:sz w:val="17"/>
                <w:szCs w:val="17"/>
              </w:rPr>
            </w:pPr>
            <w:r w:rsidRPr="00F754EF">
              <w:rPr>
                <w:rFonts w:ascii="Aptos Display" w:hAnsi="Aptos Display"/>
                <w:b/>
                <w:bCs/>
                <w:color w:val="FFFFFF"/>
                <w:sz w:val="17"/>
                <w:szCs w:val="17"/>
              </w:rPr>
              <w:t>Evidencia de logro del resultado</w:t>
            </w:r>
            <w:r w:rsidRPr="00F754EF">
              <w:rPr>
                <w:b/>
                <w:bCs/>
                <w:sz w:val="17"/>
                <w:szCs w:val="17"/>
              </w:rPr>
              <w:t xml:space="preserve"> </w:t>
            </w:r>
          </w:p>
        </w:tc>
        <w:tc>
          <w:tcPr>
            <w:tcW w:w="0" w:type="auto"/>
            <w:tcBorders>
              <w:top w:val="single" w:sz="8" w:space="0" w:color="CCCCCC"/>
              <w:left w:val="nil"/>
              <w:bottom w:val="single" w:sz="8" w:space="0" w:color="CCCCCC"/>
              <w:right w:val="single" w:sz="8" w:space="0" w:color="CCCCCC"/>
            </w:tcBorders>
            <w:shd w:val="clear" w:color="auto" w:fill="2E6DA4"/>
            <w:vAlign w:val="center"/>
            <w:hideMark/>
          </w:tcPr>
          <w:p w14:paraId="7063B135" w14:textId="77777777" w:rsidR="007F62C8" w:rsidRPr="00F754EF" w:rsidRDefault="007F62C8" w:rsidP="003A3913">
            <w:pPr>
              <w:spacing w:before="40" w:after="40" w:line="240" w:lineRule="auto"/>
              <w:ind w:left="144" w:right="144"/>
              <w:rPr>
                <w:sz w:val="17"/>
                <w:szCs w:val="17"/>
              </w:rPr>
            </w:pPr>
            <w:r w:rsidRPr="00F754EF">
              <w:rPr>
                <w:rFonts w:ascii="Aptos Display" w:hAnsi="Aptos Display"/>
                <w:b/>
                <w:bCs/>
                <w:color w:val="FFFFFF"/>
                <w:sz w:val="17"/>
                <w:szCs w:val="17"/>
              </w:rPr>
              <w:t>Contribución de ONU Mujeres al resultado</w:t>
            </w:r>
            <w:r w:rsidRPr="00F754EF">
              <w:rPr>
                <w:b/>
                <w:bCs/>
                <w:sz w:val="17"/>
                <w:szCs w:val="17"/>
              </w:rPr>
              <w:t xml:space="preserve"> </w:t>
            </w:r>
          </w:p>
        </w:tc>
        <w:tc>
          <w:tcPr>
            <w:tcW w:w="0" w:type="auto"/>
            <w:tcBorders>
              <w:top w:val="single" w:sz="8" w:space="0" w:color="CCCCCC"/>
              <w:left w:val="nil"/>
              <w:bottom w:val="single" w:sz="8" w:space="0" w:color="CCCCCC"/>
              <w:right w:val="single" w:sz="8" w:space="0" w:color="CCCCCC"/>
            </w:tcBorders>
            <w:shd w:val="clear" w:color="auto" w:fill="2E6DA4"/>
            <w:vAlign w:val="center"/>
            <w:hideMark/>
          </w:tcPr>
          <w:p w14:paraId="3B9242CD" w14:textId="77777777" w:rsidR="007F62C8" w:rsidRPr="00F754EF" w:rsidRDefault="007F62C8" w:rsidP="003A3913">
            <w:pPr>
              <w:spacing w:before="40" w:after="40" w:line="240" w:lineRule="auto"/>
              <w:ind w:left="144" w:right="144"/>
              <w:rPr>
                <w:sz w:val="17"/>
                <w:szCs w:val="17"/>
              </w:rPr>
            </w:pPr>
            <w:r w:rsidRPr="00F754EF">
              <w:rPr>
                <w:rFonts w:ascii="Aptos Display" w:hAnsi="Aptos Display"/>
                <w:b/>
                <w:bCs/>
                <w:color w:val="FFFFFF"/>
                <w:sz w:val="17"/>
                <w:szCs w:val="17"/>
              </w:rPr>
              <w:t>Factores contribuyentes</w:t>
            </w:r>
            <w:r w:rsidRPr="00F754EF">
              <w:rPr>
                <w:b/>
                <w:bCs/>
                <w:sz w:val="17"/>
                <w:szCs w:val="17"/>
              </w:rPr>
              <w:t xml:space="preserve"> </w:t>
            </w:r>
          </w:p>
        </w:tc>
      </w:tr>
      <w:tr w:rsidR="007F62C8" w:rsidRPr="00F754EF" w14:paraId="4452E695" w14:textId="77777777" w:rsidTr="005E7595">
        <w:tc>
          <w:tcPr>
            <w:tcW w:w="0" w:type="auto"/>
            <w:tcBorders>
              <w:top w:val="nil"/>
              <w:left w:val="single" w:sz="8" w:space="0" w:color="CCCCCC"/>
              <w:bottom w:val="single" w:sz="8" w:space="0" w:color="CCCCCC"/>
              <w:right w:val="single" w:sz="8" w:space="0" w:color="CCCCCC"/>
            </w:tcBorders>
            <w:shd w:val="clear" w:color="auto" w:fill="EEF3F8"/>
            <w:vAlign w:val="center"/>
            <w:hideMark/>
          </w:tcPr>
          <w:p w14:paraId="7205D543" w14:textId="77777777" w:rsidR="007F62C8" w:rsidRPr="00F754EF" w:rsidRDefault="007F62C8" w:rsidP="003A3913">
            <w:pPr>
              <w:spacing w:before="40" w:after="40" w:line="240" w:lineRule="auto"/>
              <w:ind w:left="144" w:right="144"/>
              <w:rPr>
                <w:sz w:val="17"/>
                <w:szCs w:val="17"/>
              </w:rPr>
            </w:pPr>
            <w:r w:rsidRPr="00F754EF">
              <w:rPr>
                <w:rFonts w:ascii="Aptos Display" w:hAnsi="Aptos Display"/>
                <w:b/>
                <w:bCs/>
                <w:color w:val="1A2744"/>
                <w:sz w:val="17"/>
                <w:szCs w:val="17"/>
              </w:rPr>
              <w:t>Resultado 2: EVAWG Todas las mujeres y niñas viven una vida libre de todas las formas de violencia.</w:t>
            </w:r>
            <w:r w:rsidRPr="00F754EF">
              <w:rPr>
                <w:b/>
                <w:bCs/>
                <w:sz w:val="17"/>
                <w:szCs w:val="17"/>
              </w:rPr>
              <w:t xml:space="preserve"> </w:t>
            </w:r>
          </w:p>
          <w:p w14:paraId="64D37189" w14:textId="77777777" w:rsidR="007F62C8" w:rsidRPr="00F754EF" w:rsidRDefault="007F62C8" w:rsidP="003A3913">
            <w:pPr>
              <w:spacing w:before="40" w:after="40" w:line="240" w:lineRule="auto"/>
              <w:ind w:left="144" w:right="144"/>
              <w:rPr>
                <w:sz w:val="17"/>
                <w:szCs w:val="17"/>
              </w:rPr>
            </w:pPr>
            <w:r w:rsidRPr="00F754EF">
              <w:rPr>
                <w:rFonts w:ascii="Aptos Display" w:hAnsi="Aptos Display"/>
                <w:color w:val="5A6678"/>
                <w:sz w:val="17"/>
                <w:szCs w:val="17"/>
              </w:rPr>
              <w:t xml:space="preserve">Productos 2.1–2.4: Capacidad institucional · mecanismos locales de prevención · normas sociales y </w:t>
            </w:r>
            <w:proofErr w:type="spellStart"/>
            <w:r w:rsidRPr="00F754EF">
              <w:rPr>
                <w:rFonts w:ascii="Aptos Display" w:hAnsi="Aptos Display"/>
                <w:color w:val="5A6678"/>
                <w:sz w:val="17"/>
                <w:szCs w:val="17"/>
              </w:rPr>
              <w:t>Spotlight</w:t>
            </w:r>
            <w:proofErr w:type="spellEnd"/>
            <w:r w:rsidRPr="00F754EF">
              <w:rPr>
                <w:rFonts w:ascii="Aptos Display" w:hAnsi="Aptos Display"/>
                <w:color w:val="5A6678"/>
                <w:sz w:val="17"/>
                <w:szCs w:val="17"/>
              </w:rPr>
              <w:t xml:space="preserve"> 2.0 · WPS y PAN 1325</w:t>
            </w:r>
            <w:r w:rsidRPr="00F754EF">
              <w:rPr>
                <w:sz w:val="17"/>
                <w:szCs w:val="17"/>
              </w:rPr>
              <w:t xml:space="preserve"> </w:t>
            </w:r>
          </w:p>
        </w:tc>
        <w:tc>
          <w:tcPr>
            <w:tcW w:w="0" w:type="auto"/>
            <w:tcBorders>
              <w:top w:val="nil"/>
              <w:left w:val="nil"/>
              <w:bottom w:val="single" w:sz="8" w:space="0" w:color="CCCCCC"/>
              <w:right w:val="single" w:sz="8" w:space="0" w:color="CCCCCC"/>
            </w:tcBorders>
            <w:shd w:val="clear" w:color="auto" w:fill="E8F5F0"/>
            <w:vAlign w:val="center"/>
            <w:hideMark/>
          </w:tcPr>
          <w:p w14:paraId="1EB77AE6" w14:textId="77777777" w:rsidR="007F62C8" w:rsidRPr="00F754EF" w:rsidRDefault="007F62C8" w:rsidP="003A3913">
            <w:pPr>
              <w:spacing w:before="40" w:after="40" w:line="240" w:lineRule="auto"/>
              <w:ind w:left="144" w:right="144"/>
              <w:rPr>
                <w:sz w:val="17"/>
                <w:szCs w:val="17"/>
              </w:rPr>
            </w:pPr>
            <w:r w:rsidRPr="00F754EF">
              <w:rPr>
                <w:rFonts w:ascii="Aptos Display" w:hAnsi="Aptos Display"/>
                <w:b/>
                <w:bCs/>
                <w:color w:val="1A7A58"/>
                <w:sz w:val="17"/>
                <w:szCs w:val="17"/>
              </w:rPr>
              <w:t>Evidencia sólida de avances a nivel de producto.</w:t>
            </w:r>
            <w:r w:rsidRPr="00F754EF">
              <w:rPr>
                <w:b/>
                <w:bCs/>
                <w:sz w:val="17"/>
                <w:szCs w:val="17"/>
              </w:rPr>
              <w:t xml:space="preserve"> </w:t>
            </w:r>
            <w:r w:rsidRPr="00F754EF">
              <w:rPr>
                <w:rFonts w:ascii="Aptos Display" w:hAnsi="Aptos Display"/>
                <w:b/>
                <w:bCs/>
                <w:color w:val="1A2744"/>
                <w:sz w:val="17"/>
                <w:szCs w:val="17"/>
              </w:rPr>
              <w:t>Resultados bien documentados en capacidad institucional y anclaje normativo local.</w:t>
            </w:r>
            <w:r w:rsidRPr="00F754EF">
              <w:rPr>
                <w:b/>
                <w:bCs/>
                <w:sz w:val="17"/>
                <w:szCs w:val="17"/>
              </w:rPr>
              <w:t xml:space="preserve"> </w:t>
            </w:r>
          </w:p>
          <w:p w14:paraId="7FF29321" w14:textId="7E325341" w:rsidR="007F62C8" w:rsidRPr="00F754EF" w:rsidRDefault="007F62C8" w:rsidP="003A3913">
            <w:pPr>
              <w:spacing w:before="40" w:after="40" w:line="240" w:lineRule="auto"/>
              <w:ind w:left="144" w:right="144"/>
              <w:rPr>
                <w:sz w:val="17"/>
                <w:szCs w:val="17"/>
              </w:rPr>
            </w:pPr>
            <w:r w:rsidRPr="00F754EF">
              <w:rPr>
                <w:rFonts w:ascii="Aptos Display" w:hAnsi="Aptos Display"/>
                <w:color w:val="333333"/>
                <w:sz w:val="17"/>
                <w:szCs w:val="17"/>
              </w:rPr>
              <w:t>58</w:t>
            </w:r>
            <w:r w:rsidR="0021380F" w:rsidRPr="00F754EF">
              <w:rPr>
                <w:rFonts w:ascii="Aptos Display" w:hAnsi="Aptos Display"/>
                <w:color w:val="333333"/>
                <w:sz w:val="17"/>
                <w:szCs w:val="17"/>
              </w:rPr>
              <w:t>,</w:t>
            </w:r>
            <w:r w:rsidRPr="00F754EF">
              <w:rPr>
                <w:rFonts w:ascii="Aptos Display" w:hAnsi="Aptos Display"/>
                <w:color w:val="333333"/>
                <w:sz w:val="17"/>
                <w:szCs w:val="17"/>
              </w:rPr>
              <w:t>000 policías capacitados; protocolo de investigación de feminicidio en uso por fiscales; primer plan cantonal de prevención de violencia en Guayaquil aprobado por ordenanza; protocolos de acoso en transporte institucionalizados en Quito y Guayaquil; PAN-WPS 1325 firmado por 11 instituciones; red de 31 mujeres constructoras de paz operativa y autosostenible en Guayaquil; protocolos de Ciudades Seguras activos en cuatro ciudades. Los indicadores a nivel de resultado muestran regresión: la tasa de feminicidio aumentó de 0</w:t>
            </w:r>
            <w:r w:rsidR="0021380F" w:rsidRPr="00F754EF">
              <w:rPr>
                <w:rFonts w:ascii="Aptos Display" w:hAnsi="Aptos Display"/>
                <w:color w:val="333333"/>
                <w:sz w:val="17"/>
                <w:szCs w:val="17"/>
              </w:rPr>
              <w:t>.</w:t>
            </w:r>
            <w:r w:rsidRPr="00F754EF">
              <w:rPr>
                <w:rFonts w:ascii="Aptos Display" w:hAnsi="Aptos Display"/>
                <w:color w:val="333333"/>
                <w:sz w:val="17"/>
                <w:szCs w:val="17"/>
              </w:rPr>
              <w:t>87 a 1</w:t>
            </w:r>
            <w:r w:rsidR="0021380F" w:rsidRPr="00F754EF">
              <w:rPr>
                <w:rFonts w:ascii="Aptos Display" w:hAnsi="Aptos Display"/>
                <w:color w:val="333333"/>
                <w:sz w:val="17"/>
                <w:szCs w:val="17"/>
              </w:rPr>
              <w:t>.</w:t>
            </w:r>
            <w:r w:rsidRPr="00F754EF">
              <w:rPr>
                <w:rFonts w:ascii="Aptos Display" w:hAnsi="Aptos Display"/>
                <w:color w:val="333333"/>
                <w:sz w:val="17"/>
                <w:szCs w:val="17"/>
              </w:rPr>
              <w:t>24 por cada 100.000 mujeres, atribuida a dinámicas de crimen organizado fuera del alcance de la cartera.</w:t>
            </w:r>
            <w:r w:rsidRPr="00F754EF">
              <w:rPr>
                <w:sz w:val="17"/>
                <w:szCs w:val="17"/>
              </w:rPr>
              <w:t xml:space="preserve"> </w:t>
            </w:r>
          </w:p>
        </w:tc>
        <w:tc>
          <w:tcPr>
            <w:tcW w:w="0" w:type="auto"/>
            <w:tcBorders>
              <w:top w:val="nil"/>
              <w:left w:val="nil"/>
              <w:bottom w:val="single" w:sz="8" w:space="0" w:color="CCCCCC"/>
              <w:right w:val="single" w:sz="8" w:space="0" w:color="CCCCCC"/>
            </w:tcBorders>
            <w:shd w:val="clear" w:color="auto" w:fill="E8F5F0"/>
            <w:vAlign w:val="center"/>
            <w:hideMark/>
          </w:tcPr>
          <w:p w14:paraId="1803676E" w14:textId="77777777" w:rsidR="007F62C8" w:rsidRPr="00F754EF" w:rsidRDefault="007F62C8" w:rsidP="003A3913">
            <w:pPr>
              <w:spacing w:before="40" w:after="40" w:line="240" w:lineRule="auto"/>
              <w:ind w:left="144" w:right="144"/>
              <w:rPr>
                <w:sz w:val="17"/>
                <w:szCs w:val="17"/>
              </w:rPr>
            </w:pPr>
            <w:r w:rsidRPr="00F754EF">
              <w:rPr>
                <w:rFonts w:ascii="Aptos Display" w:hAnsi="Aptos Display"/>
                <w:b/>
                <w:bCs/>
                <w:color w:val="1A7A58"/>
                <w:sz w:val="17"/>
                <w:szCs w:val="17"/>
              </w:rPr>
              <w:t>Evidencia sólida de la contribución de ONU Mujeres a resultados institucionales y normativos.</w:t>
            </w:r>
            <w:r w:rsidRPr="00F754EF">
              <w:rPr>
                <w:b/>
                <w:bCs/>
                <w:sz w:val="17"/>
                <w:szCs w:val="17"/>
              </w:rPr>
              <w:t xml:space="preserve"> </w:t>
            </w:r>
            <w:r w:rsidRPr="00F754EF">
              <w:rPr>
                <w:rFonts w:ascii="Aptos Display" w:hAnsi="Aptos Display"/>
                <w:b/>
                <w:bCs/>
                <w:color w:val="1A2744"/>
                <w:sz w:val="17"/>
                <w:szCs w:val="17"/>
              </w:rPr>
              <w:t>ONU Mujeres fue el único socio que proporcionó herramientas operativas de transversalización de género para las fuerzas de seguridad.</w:t>
            </w:r>
            <w:r w:rsidRPr="00F754EF">
              <w:rPr>
                <w:b/>
                <w:bCs/>
                <w:sz w:val="17"/>
                <w:szCs w:val="17"/>
              </w:rPr>
              <w:t xml:space="preserve"> </w:t>
            </w:r>
          </w:p>
          <w:p w14:paraId="55A3A5FA" w14:textId="77777777" w:rsidR="007F62C8" w:rsidRPr="00F754EF" w:rsidRDefault="007F62C8" w:rsidP="003A3913">
            <w:pPr>
              <w:spacing w:before="40" w:after="40" w:line="240" w:lineRule="auto"/>
              <w:ind w:left="144" w:right="144"/>
              <w:rPr>
                <w:sz w:val="17"/>
                <w:szCs w:val="17"/>
              </w:rPr>
            </w:pPr>
            <w:r w:rsidRPr="00F754EF">
              <w:rPr>
                <w:rFonts w:ascii="Aptos Display" w:hAnsi="Aptos Display"/>
                <w:color w:val="333333"/>
                <w:sz w:val="17"/>
                <w:szCs w:val="17"/>
              </w:rPr>
              <w:t>La oficina diseñó directamente el perfilador de feminicidio, el modelo SAT, los planes de prevención cantonales y los protocolos de Ciudades Seguras. Para el PAN-WPS y la red PBF de constructoras de paz, ONU Mujeres lideró el proceso técnico durante dos años en dos administraciones gubernamentales. Contribución moderada al cambio de normas sociales: el cambio de comportamiento a nivel de resultado no se mide. SAT y RUV quedaron detenidos por disrupción institucional fuera del control de ONU Mujeres.</w:t>
            </w:r>
            <w:r w:rsidRPr="00F754EF">
              <w:rPr>
                <w:sz w:val="17"/>
                <w:szCs w:val="17"/>
              </w:rPr>
              <w:t xml:space="preserve"> </w:t>
            </w:r>
          </w:p>
        </w:tc>
        <w:tc>
          <w:tcPr>
            <w:tcW w:w="0" w:type="auto"/>
            <w:tcBorders>
              <w:top w:val="nil"/>
              <w:left w:val="nil"/>
              <w:bottom w:val="single" w:sz="8" w:space="0" w:color="CCCCCC"/>
              <w:right w:val="single" w:sz="8" w:space="0" w:color="CCCCCC"/>
            </w:tcBorders>
            <w:shd w:val="clear" w:color="auto" w:fill="E8ECF0"/>
            <w:vAlign w:val="center"/>
            <w:hideMark/>
          </w:tcPr>
          <w:p w14:paraId="02233872" w14:textId="77777777" w:rsidR="007F62C8" w:rsidRPr="00F754EF" w:rsidRDefault="007F62C8" w:rsidP="003A3913">
            <w:pPr>
              <w:spacing w:before="40" w:after="40" w:line="240" w:lineRule="auto"/>
              <w:ind w:left="144" w:right="144"/>
              <w:rPr>
                <w:sz w:val="17"/>
                <w:szCs w:val="17"/>
              </w:rPr>
            </w:pPr>
            <w:r w:rsidRPr="00F754EF">
              <w:rPr>
                <w:rFonts w:ascii="Aptos Display" w:hAnsi="Aptos Display"/>
                <w:b/>
                <w:bCs/>
                <w:color w:val="1A7A58"/>
                <w:sz w:val="17"/>
                <w:szCs w:val="17"/>
              </w:rPr>
              <w:t>Factores habilitadores:</w:t>
            </w:r>
            <w:r w:rsidRPr="00F754EF">
              <w:rPr>
                <w:b/>
                <w:bCs/>
                <w:sz w:val="17"/>
                <w:szCs w:val="17"/>
              </w:rPr>
              <w:t xml:space="preserve"> </w:t>
            </w:r>
          </w:p>
          <w:p w14:paraId="1C3931FA" w14:textId="77777777" w:rsidR="007F62C8" w:rsidRPr="00F754EF" w:rsidRDefault="007F62C8" w:rsidP="003A3913">
            <w:pPr>
              <w:spacing w:before="40" w:after="40" w:line="240" w:lineRule="auto"/>
              <w:ind w:left="144" w:right="144"/>
              <w:rPr>
                <w:sz w:val="17"/>
                <w:szCs w:val="17"/>
              </w:rPr>
            </w:pPr>
            <w:r w:rsidRPr="00F754EF">
              <w:rPr>
                <w:rFonts w:ascii="Aptos Display" w:hAnsi="Aptos Display"/>
                <w:color w:val="333333"/>
                <w:sz w:val="17"/>
                <w:szCs w:val="17"/>
              </w:rPr>
              <w:t>Relaciones gubernamentales sostenidas de varios años; asiento no permanente de Ecuador en el CSNU; voluntad política local en Cuenca y Quito; flexibilidad de financiación por canje de deuda FIEDS.</w:t>
            </w:r>
            <w:r w:rsidRPr="00F754EF">
              <w:rPr>
                <w:sz w:val="17"/>
                <w:szCs w:val="17"/>
              </w:rPr>
              <w:t xml:space="preserve"> </w:t>
            </w:r>
          </w:p>
          <w:p w14:paraId="593EFF04" w14:textId="77777777" w:rsidR="007F62C8" w:rsidRPr="00F754EF" w:rsidRDefault="007F62C8" w:rsidP="003A3913">
            <w:pPr>
              <w:spacing w:before="40" w:after="40" w:line="240" w:lineRule="auto"/>
              <w:ind w:left="144" w:right="144"/>
              <w:rPr>
                <w:sz w:val="17"/>
                <w:szCs w:val="17"/>
              </w:rPr>
            </w:pPr>
            <w:r w:rsidRPr="00F754EF">
              <w:rPr>
                <w:rFonts w:ascii="Aptos Display" w:hAnsi="Aptos Display"/>
                <w:b/>
                <w:bCs/>
                <w:color w:val="C75B7A"/>
                <w:sz w:val="17"/>
                <w:szCs w:val="17"/>
              </w:rPr>
              <w:t>Factores limitantes:</w:t>
            </w:r>
            <w:r w:rsidRPr="00F754EF">
              <w:rPr>
                <w:b/>
                <w:bCs/>
                <w:sz w:val="17"/>
                <w:szCs w:val="17"/>
              </w:rPr>
              <w:t xml:space="preserve"> </w:t>
            </w:r>
          </w:p>
          <w:p w14:paraId="60CA19F6" w14:textId="018E47C3" w:rsidR="007F62C8" w:rsidRPr="00F754EF" w:rsidRDefault="00315536" w:rsidP="003A3913">
            <w:pPr>
              <w:spacing w:before="40" w:after="40" w:line="240" w:lineRule="auto"/>
              <w:ind w:left="144" w:right="144"/>
              <w:rPr>
                <w:sz w:val="17"/>
                <w:szCs w:val="17"/>
              </w:rPr>
            </w:pPr>
            <w:r w:rsidRPr="00F754EF">
              <w:rPr>
                <w:rFonts w:ascii="Aptos Display" w:hAnsi="Aptos Display"/>
                <w:color w:val="333333"/>
                <w:sz w:val="17"/>
                <w:szCs w:val="17"/>
              </w:rPr>
              <w:t>la fusión del Ministerio de la Mujer y Derechos Humanos en el Ministerio de Gobierno</w:t>
            </w:r>
            <w:r w:rsidR="007F62C8" w:rsidRPr="00F754EF">
              <w:rPr>
                <w:rFonts w:ascii="Aptos Display" w:hAnsi="Aptos Display"/>
                <w:color w:val="333333"/>
                <w:sz w:val="17"/>
                <w:szCs w:val="17"/>
              </w:rPr>
              <w:t xml:space="preserve">; rotación de contrapartes nacionales; crimen organizado transformando las dinámicas de violencia; cierre de USAID; </w:t>
            </w:r>
            <w:r w:rsidR="00016CEE" w:rsidRPr="00F754EF">
              <w:rPr>
                <w:rFonts w:ascii="Aptos Display" w:hAnsi="Aptos Display"/>
                <w:color w:val="333333"/>
                <w:sz w:val="17"/>
                <w:szCs w:val="17"/>
              </w:rPr>
              <w:t>un entorno político local con prioridades diversas en materia de igualdad de género.</w:t>
            </w:r>
          </w:p>
        </w:tc>
      </w:tr>
      <w:tr w:rsidR="007F62C8" w:rsidRPr="00F754EF" w14:paraId="34254B81" w14:textId="77777777" w:rsidTr="005E7595">
        <w:tc>
          <w:tcPr>
            <w:tcW w:w="0" w:type="auto"/>
            <w:tcBorders>
              <w:top w:val="nil"/>
              <w:left w:val="single" w:sz="8" w:space="0" w:color="CCCCCC"/>
              <w:bottom w:val="single" w:sz="8" w:space="0" w:color="CCCCCC"/>
              <w:right w:val="single" w:sz="8" w:space="0" w:color="CCCCCC"/>
            </w:tcBorders>
            <w:shd w:val="clear" w:color="auto" w:fill="EEF3F8"/>
            <w:vAlign w:val="center"/>
            <w:hideMark/>
          </w:tcPr>
          <w:p w14:paraId="3B64B167" w14:textId="77777777" w:rsidR="007F62C8" w:rsidRPr="00F754EF" w:rsidRDefault="007F62C8" w:rsidP="003A3913">
            <w:pPr>
              <w:spacing w:before="40" w:after="40" w:line="240" w:lineRule="auto"/>
              <w:ind w:left="144" w:right="144"/>
              <w:rPr>
                <w:sz w:val="17"/>
                <w:szCs w:val="17"/>
              </w:rPr>
            </w:pPr>
            <w:r w:rsidRPr="00F754EF">
              <w:rPr>
                <w:rFonts w:ascii="Aptos Display" w:hAnsi="Aptos Display"/>
                <w:b/>
                <w:bCs/>
                <w:color w:val="1A2744"/>
                <w:sz w:val="17"/>
                <w:szCs w:val="17"/>
              </w:rPr>
              <w:t>Resultado 1: WEE Las mujeres tienen seguridad de ingresos, trabajo decente y autonomía económica.</w:t>
            </w:r>
            <w:r w:rsidRPr="00F754EF">
              <w:rPr>
                <w:b/>
                <w:bCs/>
                <w:sz w:val="17"/>
                <w:szCs w:val="17"/>
              </w:rPr>
              <w:t xml:space="preserve"> </w:t>
            </w:r>
          </w:p>
          <w:p w14:paraId="20F69D01" w14:textId="77777777" w:rsidR="007F62C8" w:rsidRPr="00F754EF" w:rsidRDefault="007F62C8" w:rsidP="003A3913">
            <w:pPr>
              <w:spacing w:before="40" w:after="40" w:line="240" w:lineRule="auto"/>
              <w:ind w:left="144" w:right="144"/>
              <w:rPr>
                <w:sz w:val="17"/>
                <w:szCs w:val="17"/>
              </w:rPr>
            </w:pPr>
            <w:r w:rsidRPr="00F754EF">
              <w:rPr>
                <w:rFonts w:ascii="Aptos Display" w:hAnsi="Aptos Display"/>
                <w:color w:val="5A6678"/>
                <w:sz w:val="17"/>
                <w:szCs w:val="17"/>
              </w:rPr>
              <w:t>Productos 1.1–1.4: Legislación y sistemas locales de cuidados · derechos laborales e igualdad salarial · financiación sensible al género · medios de vida y recursos productivos</w:t>
            </w:r>
            <w:r w:rsidRPr="00F754EF">
              <w:rPr>
                <w:sz w:val="17"/>
                <w:szCs w:val="17"/>
              </w:rPr>
              <w:t xml:space="preserve"> </w:t>
            </w:r>
          </w:p>
        </w:tc>
        <w:tc>
          <w:tcPr>
            <w:tcW w:w="0" w:type="auto"/>
            <w:tcBorders>
              <w:top w:val="nil"/>
              <w:left w:val="nil"/>
              <w:bottom w:val="single" w:sz="8" w:space="0" w:color="CCCCCC"/>
              <w:right w:val="single" w:sz="8" w:space="0" w:color="CCCCCC"/>
            </w:tcBorders>
            <w:shd w:val="clear" w:color="auto" w:fill="FFFBEB"/>
            <w:vAlign w:val="center"/>
            <w:hideMark/>
          </w:tcPr>
          <w:p w14:paraId="2FF1E803" w14:textId="77777777" w:rsidR="007F62C8" w:rsidRPr="00F754EF" w:rsidRDefault="007F62C8" w:rsidP="003A3913">
            <w:pPr>
              <w:spacing w:before="40" w:after="40" w:line="240" w:lineRule="auto"/>
              <w:ind w:left="144" w:right="144"/>
              <w:rPr>
                <w:sz w:val="17"/>
                <w:szCs w:val="17"/>
              </w:rPr>
            </w:pPr>
            <w:r w:rsidRPr="00F754EF">
              <w:rPr>
                <w:rFonts w:ascii="Aptos Display" w:hAnsi="Aptos Display"/>
                <w:b/>
                <w:bCs/>
                <w:color w:val="92600A"/>
                <w:sz w:val="17"/>
                <w:szCs w:val="17"/>
              </w:rPr>
              <w:t>Evidencia moderada de progreso.</w:t>
            </w:r>
            <w:r w:rsidRPr="00F754EF">
              <w:rPr>
                <w:b/>
                <w:bCs/>
                <w:sz w:val="17"/>
                <w:szCs w:val="17"/>
              </w:rPr>
              <w:t xml:space="preserve"> </w:t>
            </w:r>
            <w:r w:rsidRPr="00F754EF">
              <w:rPr>
                <w:rFonts w:ascii="Aptos Display" w:hAnsi="Aptos Display"/>
                <w:b/>
                <w:bCs/>
                <w:color w:val="1A2744"/>
                <w:sz w:val="17"/>
                <w:szCs w:val="17"/>
              </w:rPr>
              <w:t>Avances normativos significativos pero el cambio sistémico aún no se ha logrado.</w:t>
            </w:r>
            <w:r w:rsidRPr="00F754EF">
              <w:rPr>
                <w:b/>
                <w:bCs/>
                <w:sz w:val="17"/>
                <w:szCs w:val="17"/>
              </w:rPr>
              <w:t xml:space="preserve"> </w:t>
            </w:r>
          </w:p>
          <w:p w14:paraId="6E5E7ADA" w14:textId="00D10043" w:rsidR="007F62C8" w:rsidRPr="00F754EF" w:rsidRDefault="007F62C8" w:rsidP="003A3913">
            <w:pPr>
              <w:spacing w:before="40" w:after="40" w:line="240" w:lineRule="auto"/>
              <w:ind w:left="144" w:right="144"/>
              <w:rPr>
                <w:sz w:val="17"/>
                <w:szCs w:val="17"/>
              </w:rPr>
            </w:pPr>
            <w:r w:rsidRPr="00F754EF">
              <w:rPr>
                <w:rFonts w:ascii="Aptos Display" w:hAnsi="Aptos Display"/>
                <w:color w:val="333333"/>
                <w:sz w:val="17"/>
                <w:szCs w:val="17"/>
              </w:rPr>
              <w:t>Ley de Cuidados Humanos aprobada (2023); Ley de Igualdad Salarial y Ley de Economía Violeta promulgadas; la brecha salarial de género mejoró del 19% al 15</w:t>
            </w:r>
            <w:r w:rsidR="0021380F" w:rsidRPr="00F754EF">
              <w:rPr>
                <w:rFonts w:ascii="Aptos Display" w:hAnsi="Aptos Display"/>
                <w:color w:val="333333"/>
                <w:sz w:val="17"/>
                <w:szCs w:val="17"/>
              </w:rPr>
              <w:t>.</w:t>
            </w:r>
            <w:r w:rsidRPr="00F754EF">
              <w:rPr>
                <w:rFonts w:ascii="Aptos Display" w:hAnsi="Aptos Display"/>
                <w:color w:val="333333"/>
                <w:sz w:val="17"/>
                <w:szCs w:val="17"/>
              </w:rPr>
              <w:t>4%; 15.000 mujeres capacitadas en empoderamiento económico; se diseña la primera dirección municipal de cuidados en Quito; sistemas locales de cuidado avanzan en Cuenca e Imbabura; 2775 unidades económicas apoyadas en 2024. La cobertura de seguridad social retrocedió a 1</w:t>
            </w:r>
            <w:r w:rsidR="0021380F" w:rsidRPr="00F754EF">
              <w:rPr>
                <w:rFonts w:ascii="Aptos Display" w:hAnsi="Aptos Display"/>
                <w:color w:val="333333"/>
                <w:sz w:val="17"/>
                <w:szCs w:val="17"/>
              </w:rPr>
              <w:t>7.</w:t>
            </w:r>
            <w:r w:rsidRPr="00F754EF">
              <w:rPr>
                <w:rFonts w:ascii="Aptos Display" w:hAnsi="Aptos Display"/>
                <w:color w:val="333333"/>
                <w:sz w:val="17"/>
                <w:szCs w:val="17"/>
              </w:rPr>
              <w:t xml:space="preserve">88%. El reglamento de la Ley de Cuidados aún no ha sido firmado. El compromiso </w:t>
            </w:r>
            <w:proofErr w:type="spellStart"/>
            <w:r w:rsidRPr="00F754EF">
              <w:rPr>
                <w:rFonts w:ascii="Aptos Display" w:hAnsi="Aptos Display"/>
                <w:color w:val="333333"/>
                <w:sz w:val="17"/>
                <w:szCs w:val="17"/>
              </w:rPr>
              <w:t>WEPs</w:t>
            </w:r>
            <w:proofErr w:type="spellEnd"/>
            <w:r w:rsidRPr="00F754EF">
              <w:rPr>
                <w:rFonts w:ascii="Aptos Display" w:hAnsi="Aptos Display"/>
                <w:color w:val="333333"/>
                <w:sz w:val="17"/>
                <w:szCs w:val="17"/>
              </w:rPr>
              <w:t xml:space="preserve"> se mantuvo a nivel de sensibilización sin cofinanciación.</w:t>
            </w:r>
            <w:r w:rsidRPr="00F754EF">
              <w:rPr>
                <w:sz w:val="17"/>
                <w:szCs w:val="17"/>
              </w:rPr>
              <w:t xml:space="preserve"> </w:t>
            </w:r>
          </w:p>
        </w:tc>
        <w:tc>
          <w:tcPr>
            <w:tcW w:w="0" w:type="auto"/>
            <w:tcBorders>
              <w:top w:val="nil"/>
              <w:left w:val="nil"/>
              <w:bottom w:val="single" w:sz="8" w:space="0" w:color="CCCCCC"/>
              <w:right w:val="single" w:sz="8" w:space="0" w:color="CCCCCC"/>
            </w:tcBorders>
            <w:shd w:val="clear" w:color="auto" w:fill="E8F5F0"/>
            <w:vAlign w:val="center"/>
            <w:hideMark/>
          </w:tcPr>
          <w:p w14:paraId="399BED24" w14:textId="77777777" w:rsidR="007F62C8" w:rsidRPr="00F754EF" w:rsidRDefault="007F62C8" w:rsidP="003A3913">
            <w:pPr>
              <w:spacing w:before="40" w:after="40" w:line="240" w:lineRule="auto"/>
              <w:ind w:left="144" w:right="144"/>
              <w:rPr>
                <w:sz w:val="17"/>
                <w:szCs w:val="17"/>
              </w:rPr>
            </w:pPr>
            <w:r w:rsidRPr="00F754EF">
              <w:rPr>
                <w:rFonts w:ascii="Aptos Display" w:hAnsi="Aptos Display"/>
                <w:b/>
                <w:bCs/>
                <w:color w:val="1A7A58"/>
                <w:sz w:val="17"/>
                <w:szCs w:val="17"/>
              </w:rPr>
              <w:t xml:space="preserve">Evidencia sólida de contribución en economía de </w:t>
            </w:r>
            <w:proofErr w:type="gramStart"/>
            <w:r w:rsidRPr="00F754EF">
              <w:rPr>
                <w:rFonts w:ascii="Aptos Display" w:hAnsi="Aptos Display"/>
                <w:b/>
                <w:bCs/>
                <w:color w:val="1A7A58"/>
                <w:sz w:val="17"/>
                <w:szCs w:val="17"/>
              </w:rPr>
              <w:t>cuidados</w:t>
            </w:r>
            <w:r w:rsidRPr="00F754EF">
              <w:rPr>
                <w:b/>
                <w:bCs/>
                <w:sz w:val="17"/>
                <w:szCs w:val="17"/>
              </w:rPr>
              <w:t xml:space="preserve"> </w:t>
            </w:r>
            <w:r w:rsidRPr="00F754EF">
              <w:rPr>
                <w:rFonts w:ascii="Aptos Display" w:hAnsi="Aptos Display"/>
                <w:b/>
                <w:bCs/>
                <w:color w:val="BF8F00"/>
                <w:sz w:val="17"/>
                <w:szCs w:val="17"/>
              </w:rPr>
              <w:t>;</w:t>
            </w:r>
            <w:proofErr w:type="gramEnd"/>
            <w:r w:rsidRPr="00F754EF">
              <w:rPr>
                <w:rFonts w:ascii="Aptos Display" w:hAnsi="Aptos Display"/>
                <w:b/>
                <w:bCs/>
                <w:color w:val="BF8F00"/>
                <w:sz w:val="17"/>
                <w:szCs w:val="17"/>
              </w:rPr>
              <w:t xml:space="preserve"> moderada en derechos laborales y medios de vida.</w:t>
            </w:r>
            <w:r w:rsidRPr="00F754EF">
              <w:rPr>
                <w:b/>
                <w:bCs/>
                <w:sz w:val="17"/>
                <w:szCs w:val="17"/>
              </w:rPr>
              <w:t xml:space="preserve"> </w:t>
            </w:r>
            <w:r w:rsidRPr="00F754EF">
              <w:rPr>
                <w:rFonts w:ascii="Aptos Display" w:hAnsi="Aptos Display"/>
                <w:b/>
                <w:bCs/>
                <w:color w:val="1A2744"/>
                <w:sz w:val="17"/>
                <w:szCs w:val="17"/>
              </w:rPr>
              <w:t>ONU Mujeres es reconocida por el gobierno, sociedad civil y el sistema ONU como el actor que posicionó el cuidado como prioridad política nacional.</w:t>
            </w:r>
            <w:r w:rsidRPr="00F754EF">
              <w:rPr>
                <w:b/>
                <w:bCs/>
                <w:sz w:val="17"/>
                <w:szCs w:val="17"/>
              </w:rPr>
              <w:t xml:space="preserve"> </w:t>
            </w:r>
          </w:p>
          <w:p w14:paraId="2DE53FF1" w14:textId="77777777" w:rsidR="007F62C8" w:rsidRPr="00F754EF" w:rsidRDefault="007F62C8" w:rsidP="003A3913">
            <w:pPr>
              <w:spacing w:before="40" w:after="40" w:line="240" w:lineRule="auto"/>
              <w:ind w:left="144" w:right="144"/>
              <w:rPr>
                <w:sz w:val="17"/>
                <w:szCs w:val="17"/>
              </w:rPr>
            </w:pPr>
            <w:r w:rsidRPr="00F754EF">
              <w:rPr>
                <w:rFonts w:ascii="Aptos Display" w:hAnsi="Aptos Display"/>
                <w:color w:val="333333"/>
                <w:sz w:val="17"/>
                <w:szCs w:val="17"/>
              </w:rPr>
              <w:t xml:space="preserve">La Ley de Cuidados Humanos y la dirección de cuidados de Quito se atribuyen directamente a la incidencia sostenida de ONU Mujeres durante varios cambios de gobierno. Los insumos técnicos para la Ley de Igualdad Salarial y la Ley de Economía Violeta están documentados, aunque la contribución a la mejora de la brecha salarial es solo uno de varios factores. El programa de capacitación en empoderamiento económico (15.000 mujeres) demuestra el efecto palanca de la colaboración gubernamental. </w:t>
            </w:r>
            <w:proofErr w:type="spellStart"/>
            <w:r w:rsidRPr="00F754EF">
              <w:rPr>
                <w:rFonts w:ascii="Aptos Display" w:hAnsi="Aptos Display"/>
                <w:color w:val="333333"/>
                <w:sz w:val="17"/>
                <w:szCs w:val="17"/>
              </w:rPr>
              <w:t>WEPs</w:t>
            </w:r>
            <w:proofErr w:type="spellEnd"/>
            <w:r w:rsidRPr="00F754EF">
              <w:rPr>
                <w:rFonts w:ascii="Aptos Display" w:hAnsi="Aptos Display"/>
                <w:color w:val="333333"/>
                <w:sz w:val="17"/>
                <w:szCs w:val="17"/>
              </w:rPr>
              <w:t xml:space="preserve"> y el compromiso con el sector privado se mantuvieron a nivel de sensibilización</w:t>
            </w:r>
            <w:r w:rsidRPr="00F754EF">
              <w:rPr>
                <w:sz w:val="17"/>
                <w:szCs w:val="17"/>
              </w:rPr>
              <w:t xml:space="preserve"> </w:t>
            </w:r>
          </w:p>
        </w:tc>
        <w:tc>
          <w:tcPr>
            <w:tcW w:w="0" w:type="auto"/>
            <w:tcBorders>
              <w:top w:val="nil"/>
              <w:left w:val="nil"/>
              <w:bottom w:val="single" w:sz="8" w:space="0" w:color="CCCCCC"/>
              <w:right w:val="single" w:sz="8" w:space="0" w:color="CCCCCC"/>
            </w:tcBorders>
            <w:shd w:val="clear" w:color="auto" w:fill="E8ECF0"/>
            <w:vAlign w:val="center"/>
            <w:hideMark/>
          </w:tcPr>
          <w:p w14:paraId="4ED2CD6D" w14:textId="77777777" w:rsidR="007F62C8" w:rsidRPr="00F754EF" w:rsidRDefault="007F62C8" w:rsidP="003A3913">
            <w:pPr>
              <w:spacing w:before="40" w:after="40" w:line="240" w:lineRule="auto"/>
              <w:ind w:left="144" w:right="144"/>
              <w:rPr>
                <w:sz w:val="17"/>
                <w:szCs w:val="17"/>
              </w:rPr>
            </w:pPr>
            <w:r w:rsidRPr="00F754EF">
              <w:rPr>
                <w:rFonts w:ascii="Aptos Display" w:hAnsi="Aptos Display"/>
                <w:b/>
                <w:bCs/>
                <w:color w:val="1A7A58"/>
                <w:sz w:val="17"/>
                <w:szCs w:val="17"/>
              </w:rPr>
              <w:t>Factores habilitadores:</w:t>
            </w:r>
            <w:r w:rsidRPr="00F754EF">
              <w:rPr>
                <w:b/>
                <w:bCs/>
                <w:sz w:val="17"/>
                <w:szCs w:val="17"/>
              </w:rPr>
              <w:t xml:space="preserve"> </w:t>
            </w:r>
          </w:p>
          <w:p w14:paraId="081FB661" w14:textId="77777777" w:rsidR="007F62C8" w:rsidRPr="00F754EF" w:rsidRDefault="007F62C8" w:rsidP="003A3913">
            <w:pPr>
              <w:spacing w:before="40" w:after="40" w:line="240" w:lineRule="auto"/>
              <w:ind w:left="144" w:right="144"/>
              <w:rPr>
                <w:sz w:val="17"/>
                <w:szCs w:val="17"/>
              </w:rPr>
            </w:pPr>
            <w:r w:rsidRPr="00F754EF">
              <w:rPr>
                <w:rFonts w:ascii="Aptos Display" w:hAnsi="Aptos Display"/>
                <w:color w:val="333333"/>
                <w:sz w:val="17"/>
                <w:szCs w:val="17"/>
              </w:rPr>
              <w:t>Agenda de género de la Asamblea Nacional; capacidad de alcance del Ministerio de la Mujer; voluntad política local en Quito y Cuenca; colaboración con OIT en cuidados</w:t>
            </w:r>
            <w:r w:rsidRPr="00F754EF">
              <w:rPr>
                <w:sz w:val="17"/>
                <w:szCs w:val="17"/>
              </w:rPr>
              <w:t xml:space="preserve"> </w:t>
            </w:r>
          </w:p>
          <w:p w14:paraId="43A44A4E" w14:textId="77777777" w:rsidR="007F62C8" w:rsidRPr="00F754EF" w:rsidRDefault="007F62C8" w:rsidP="003A3913">
            <w:pPr>
              <w:spacing w:before="40" w:after="40" w:line="240" w:lineRule="auto"/>
              <w:ind w:left="144" w:right="144"/>
              <w:rPr>
                <w:sz w:val="17"/>
                <w:szCs w:val="17"/>
              </w:rPr>
            </w:pPr>
            <w:r w:rsidRPr="00F754EF">
              <w:rPr>
                <w:rFonts w:ascii="Aptos Display" w:hAnsi="Aptos Display"/>
                <w:b/>
                <w:bCs/>
                <w:color w:val="C75B7A"/>
                <w:sz w:val="17"/>
                <w:szCs w:val="17"/>
              </w:rPr>
              <w:t>Factores limitantes:</w:t>
            </w:r>
            <w:r w:rsidRPr="00F754EF">
              <w:rPr>
                <w:b/>
                <w:bCs/>
                <w:sz w:val="17"/>
                <w:szCs w:val="17"/>
              </w:rPr>
              <w:t xml:space="preserve"> </w:t>
            </w:r>
          </w:p>
          <w:p w14:paraId="10C36C7A" w14:textId="77777777" w:rsidR="007F62C8" w:rsidRPr="00F754EF" w:rsidRDefault="007F62C8" w:rsidP="003A3913">
            <w:pPr>
              <w:spacing w:before="40" w:after="40" w:line="240" w:lineRule="auto"/>
              <w:ind w:left="144" w:right="144"/>
              <w:rPr>
                <w:sz w:val="17"/>
                <w:szCs w:val="17"/>
              </w:rPr>
            </w:pPr>
            <w:r w:rsidRPr="00F754EF">
              <w:rPr>
                <w:rFonts w:ascii="Aptos Display" w:hAnsi="Aptos Display"/>
                <w:color w:val="333333"/>
                <w:sz w:val="17"/>
                <w:szCs w:val="17"/>
              </w:rPr>
              <w:t xml:space="preserve">Disolución del Ministerio de la Mujer; reglamento de la Ley de Cuidados pendiente de firma presidencial; predominancia del empleo informal; brecha de continuidad del personal </w:t>
            </w:r>
            <w:proofErr w:type="spellStart"/>
            <w:r w:rsidRPr="00F754EF">
              <w:rPr>
                <w:rFonts w:ascii="Aptos Display" w:hAnsi="Aptos Display"/>
                <w:color w:val="333333"/>
                <w:sz w:val="17"/>
                <w:szCs w:val="17"/>
              </w:rPr>
              <w:t>WEPs</w:t>
            </w:r>
            <w:proofErr w:type="spellEnd"/>
            <w:r w:rsidRPr="00F754EF">
              <w:rPr>
                <w:rFonts w:ascii="Aptos Display" w:hAnsi="Aptos Display"/>
                <w:color w:val="333333"/>
                <w:sz w:val="17"/>
                <w:szCs w:val="17"/>
              </w:rPr>
              <w:t>; retrasos por crisis energética.</w:t>
            </w:r>
            <w:r w:rsidRPr="00F754EF">
              <w:rPr>
                <w:sz w:val="17"/>
                <w:szCs w:val="17"/>
              </w:rPr>
              <w:t xml:space="preserve"> </w:t>
            </w:r>
          </w:p>
        </w:tc>
      </w:tr>
      <w:tr w:rsidR="00EE68BD" w:rsidRPr="00F754EF" w14:paraId="37BD3C40" w14:textId="77777777" w:rsidTr="005E7595">
        <w:tc>
          <w:tcPr>
            <w:tcW w:w="0" w:type="auto"/>
            <w:tcBorders>
              <w:top w:val="nil"/>
              <w:left w:val="single" w:sz="8" w:space="0" w:color="CCCCCC"/>
              <w:bottom w:val="single" w:sz="8" w:space="0" w:color="CCCCCC"/>
              <w:right w:val="single" w:sz="8" w:space="0" w:color="CCCCCC"/>
            </w:tcBorders>
            <w:shd w:val="clear" w:color="auto" w:fill="EEF3F8"/>
            <w:vAlign w:val="center"/>
          </w:tcPr>
          <w:p w14:paraId="30A5E2F7" w14:textId="77777777" w:rsidR="00EE68BD" w:rsidRPr="00F754EF" w:rsidRDefault="00EE68BD" w:rsidP="003A3913">
            <w:pPr>
              <w:spacing w:before="40" w:after="40" w:line="240" w:lineRule="auto"/>
              <w:ind w:left="144" w:right="144"/>
              <w:rPr>
                <w:sz w:val="17"/>
                <w:szCs w:val="17"/>
              </w:rPr>
            </w:pPr>
            <w:r w:rsidRPr="00F754EF">
              <w:rPr>
                <w:rFonts w:ascii="Aptos Display" w:hAnsi="Aptos Display"/>
                <w:b/>
                <w:bCs/>
                <w:color w:val="1A2744"/>
                <w:sz w:val="17"/>
                <w:szCs w:val="17"/>
              </w:rPr>
              <w:t>Transversal: No dejar a nadie atrás</w:t>
            </w:r>
            <w:r w:rsidRPr="00F754EF">
              <w:rPr>
                <w:b/>
                <w:bCs/>
                <w:sz w:val="17"/>
                <w:szCs w:val="17"/>
              </w:rPr>
              <w:t xml:space="preserve"> </w:t>
            </w:r>
          </w:p>
          <w:p w14:paraId="282AF68E" w14:textId="6700FAA4" w:rsidR="00EE68BD" w:rsidRPr="00F754EF" w:rsidRDefault="00EE68BD" w:rsidP="003A3913">
            <w:pPr>
              <w:spacing w:before="40" w:after="40" w:line="240" w:lineRule="auto"/>
              <w:ind w:left="144" w:right="144"/>
              <w:rPr>
                <w:rFonts w:ascii="Aptos Display" w:hAnsi="Aptos Display"/>
                <w:b/>
                <w:bCs/>
                <w:color w:val="1A2744"/>
                <w:sz w:val="17"/>
                <w:szCs w:val="17"/>
              </w:rPr>
            </w:pPr>
            <w:r w:rsidRPr="00F754EF">
              <w:rPr>
                <w:rFonts w:ascii="Aptos Display" w:hAnsi="Aptos Display"/>
                <w:color w:val="5A6678"/>
                <w:sz w:val="17"/>
                <w:szCs w:val="17"/>
              </w:rPr>
              <w:lastRenderedPageBreak/>
              <w:t>Poblaciones prioritarias: indígenas · afroecuatorianas · rurales · migrantes · trabajadoras domésticas · LGBTIQ+ · mujeres con discapacidad</w:t>
            </w:r>
          </w:p>
        </w:tc>
        <w:tc>
          <w:tcPr>
            <w:tcW w:w="0" w:type="auto"/>
            <w:gridSpan w:val="2"/>
            <w:tcBorders>
              <w:top w:val="nil"/>
              <w:left w:val="nil"/>
              <w:bottom w:val="single" w:sz="8" w:space="0" w:color="CCCCCC"/>
              <w:right w:val="single" w:sz="8" w:space="0" w:color="CCCCCC"/>
            </w:tcBorders>
            <w:shd w:val="clear" w:color="auto" w:fill="FFFBEB"/>
            <w:vAlign w:val="center"/>
          </w:tcPr>
          <w:p w14:paraId="53C7704E" w14:textId="77777777" w:rsidR="00EE68BD" w:rsidRPr="00F754EF" w:rsidRDefault="00EE68BD" w:rsidP="003A3913">
            <w:pPr>
              <w:spacing w:before="40" w:after="40" w:line="240" w:lineRule="auto"/>
              <w:ind w:left="144" w:right="144"/>
              <w:rPr>
                <w:sz w:val="17"/>
                <w:szCs w:val="17"/>
              </w:rPr>
            </w:pPr>
            <w:r w:rsidRPr="00F754EF">
              <w:rPr>
                <w:rFonts w:ascii="Aptos Display" w:hAnsi="Aptos Display"/>
                <w:b/>
                <w:bCs/>
                <w:color w:val="92600A"/>
                <w:sz w:val="17"/>
                <w:szCs w:val="17"/>
              </w:rPr>
              <w:lastRenderedPageBreak/>
              <w:t xml:space="preserve">Orientación LNOB sólida con resultados documentados para la mayoría de </w:t>
            </w:r>
            <w:proofErr w:type="gramStart"/>
            <w:r w:rsidRPr="00F754EF">
              <w:rPr>
                <w:rFonts w:ascii="Aptos Display" w:hAnsi="Aptos Display"/>
                <w:b/>
                <w:bCs/>
                <w:color w:val="92600A"/>
                <w:sz w:val="17"/>
                <w:szCs w:val="17"/>
              </w:rPr>
              <w:t>grupos</w:t>
            </w:r>
            <w:proofErr w:type="gramEnd"/>
            <w:r w:rsidRPr="00F754EF">
              <w:rPr>
                <w:rFonts w:ascii="Aptos Display" w:hAnsi="Aptos Display"/>
                <w:b/>
                <w:bCs/>
                <w:color w:val="92600A"/>
                <w:sz w:val="17"/>
                <w:szCs w:val="17"/>
              </w:rPr>
              <w:t xml:space="preserve"> prioritarios;</w:t>
            </w:r>
            <w:r w:rsidRPr="00F754EF">
              <w:rPr>
                <w:b/>
                <w:bCs/>
                <w:sz w:val="17"/>
                <w:szCs w:val="17"/>
              </w:rPr>
              <w:t xml:space="preserve"> </w:t>
            </w:r>
            <w:r w:rsidRPr="00F754EF">
              <w:rPr>
                <w:rFonts w:ascii="Aptos Display" w:hAnsi="Aptos Display"/>
                <w:b/>
                <w:bCs/>
                <w:color w:val="C00000"/>
                <w:sz w:val="17"/>
                <w:szCs w:val="17"/>
              </w:rPr>
              <w:t xml:space="preserve">brechas significativas para mujeres LGBTIQ+ y mujeres </w:t>
            </w:r>
            <w:r w:rsidRPr="00F754EF">
              <w:rPr>
                <w:rFonts w:ascii="Aptos Display" w:hAnsi="Aptos Display"/>
                <w:b/>
                <w:bCs/>
                <w:color w:val="C00000"/>
                <w:sz w:val="17"/>
                <w:szCs w:val="17"/>
              </w:rPr>
              <w:lastRenderedPageBreak/>
              <w:t>con discapacidad.</w:t>
            </w:r>
            <w:r w:rsidRPr="00F754EF">
              <w:rPr>
                <w:b/>
                <w:bCs/>
                <w:sz w:val="17"/>
                <w:szCs w:val="17"/>
              </w:rPr>
              <w:t xml:space="preserve"> </w:t>
            </w:r>
            <w:r w:rsidRPr="00F754EF">
              <w:rPr>
                <w:rFonts w:ascii="Aptos Display" w:hAnsi="Aptos Display"/>
                <w:b/>
                <w:bCs/>
                <w:color w:val="1A2744"/>
                <w:sz w:val="17"/>
                <w:szCs w:val="17"/>
              </w:rPr>
              <w:t>El compromiso LNOB fue operacionalizado, no aspiracional, para la mayoría de las poblaciones.</w:t>
            </w:r>
            <w:r w:rsidRPr="00F754EF">
              <w:rPr>
                <w:b/>
                <w:bCs/>
                <w:sz w:val="17"/>
                <w:szCs w:val="17"/>
              </w:rPr>
              <w:t xml:space="preserve"> </w:t>
            </w:r>
          </w:p>
          <w:p w14:paraId="252C5108" w14:textId="77777777" w:rsidR="00EE68BD" w:rsidRPr="00F754EF" w:rsidRDefault="00EE68BD" w:rsidP="003A3913">
            <w:pPr>
              <w:spacing w:before="40" w:after="40" w:line="240" w:lineRule="auto"/>
              <w:ind w:left="144" w:right="144"/>
              <w:rPr>
                <w:sz w:val="17"/>
                <w:szCs w:val="17"/>
              </w:rPr>
            </w:pPr>
            <w:r w:rsidRPr="00F754EF">
              <w:rPr>
                <w:rFonts w:ascii="Aptos Display" w:hAnsi="Aptos Display"/>
                <w:color w:val="333333"/>
                <w:sz w:val="17"/>
                <w:szCs w:val="17"/>
              </w:rPr>
              <w:t>La agenda de mujeres afroecuatorianas, la ruta de liderazgo sindical de las trabajadoras domésticas, el modelo de protección de mujeres migrantes y el enfoque de medios de vida rurales reflejan decisiones de diseño deliberadas de ONU Mujeres que lograron resultados documentados. Mujeres rurales en las parroquias de Quito alcanzadas por programación de identidad cultural y emprendimiento. Mujeres migrantes alcanzadas en zonas fronterizas donde casi ningún otro actor opera, con servicios diseñados para evitar barreras de documentación.</w:t>
            </w:r>
            <w:r w:rsidRPr="00F754EF">
              <w:rPr>
                <w:sz w:val="17"/>
                <w:szCs w:val="17"/>
              </w:rPr>
              <w:t xml:space="preserve"> </w:t>
            </w:r>
          </w:p>
          <w:p w14:paraId="62ABDAFE" w14:textId="53824E5E" w:rsidR="001C3C89" w:rsidRPr="00F754EF" w:rsidRDefault="001C3C89" w:rsidP="003A3913">
            <w:pPr>
              <w:spacing w:before="40" w:after="40" w:line="240" w:lineRule="auto"/>
              <w:ind w:left="144" w:right="144"/>
              <w:rPr>
                <w:sz w:val="17"/>
                <w:szCs w:val="17"/>
              </w:rPr>
            </w:pPr>
            <w:r w:rsidRPr="00F754EF">
              <w:rPr>
                <w:rFonts w:ascii="Aptos Display" w:hAnsi="Aptos Display"/>
                <w:color w:val="333333"/>
                <w:sz w:val="17"/>
                <w:szCs w:val="17"/>
              </w:rPr>
              <w:t xml:space="preserve">Para la inclusión LGBTIQ+, la contribución es </w:t>
            </w:r>
            <w:r w:rsidR="00F564BB" w:rsidRPr="00F754EF">
              <w:rPr>
                <w:rFonts w:ascii="Aptos Display" w:hAnsi="Aptos Display"/>
                <w:color w:val="333333"/>
                <w:sz w:val="17"/>
                <w:szCs w:val="17"/>
              </w:rPr>
              <w:t>baja</w:t>
            </w:r>
            <w:r w:rsidRPr="00F754EF">
              <w:rPr>
                <w:rFonts w:ascii="Aptos Display" w:hAnsi="Aptos Display"/>
                <w:color w:val="333333"/>
                <w:sz w:val="17"/>
                <w:szCs w:val="17"/>
              </w:rPr>
              <w:t>: el enfoque de género no se extendió de manera consistente a identidades no binarias o transgénero, y la brecha fue señalada por la sociedad civil como riesgo de credibilidad.</w:t>
            </w:r>
            <w:r w:rsidRPr="00F754EF">
              <w:rPr>
                <w:sz w:val="17"/>
                <w:szCs w:val="17"/>
              </w:rPr>
              <w:t xml:space="preserve"> </w:t>
            </w:r>
          </w:p>
          <w:p w14:paraId="519FF755" w14:textId="75FD2819" w:rsidR="00EE68BD" w:rsidRPr="00F754EF" w:rsidRDefault="001C3C89" w:rsidP="003A3913">
            <w:pPr>
              <w:spacing w:before="40" w:after="40" w:line="240" w:lineRule="auto"/>
              <w:ind w:left="144" w:right="144"/>
              <w:rPr>
                <w:rFonts w:ascii="Aptos Display" w:hAnsi="Aptos Display"/>
                <w:b/>
                <w:bCs/>
                <w:color w:val="1A7A58"/>
                <w:sz w:val="17"/>
                <w:szCs w:val="17"/>
              </w:rPr>
            </w:pPr>
            <w:r w:rsidRPr="00F754EF">
              <w:rPr>
                <w:rFonts w:ascii="Aptos Display" w:hAnsi="Aptos Display"/>
                <w:color w:val="333333"/>
                <w:sz w:val="17"/>
                <w:szCs w:val="17"/>
              </w:rPr>
              <w:t xml:space="preserve">Para la discapacidad, la contribución es parcial: la oficina avanzó en el marco UNDIS (13% a 38%) e identificó la discapacidad causada por violencia como categoría distinta en </w:t>
            </w:r>
            <w:proofErr w:type="spellStart"/>
            <w:r w:rsidRPr="00F754EF">
              <w:rPr>
                <w:rFonts w:ascii="Aptos Display" w:hAnsi="Aptos Display"/>
                <w:color w:val="333333"/>
                <w:sz w:val="17"/>
                <w:szCs w:val="17"/>
              </w:rPr>
              <w:t>Spotlight</w:t>
            </w:r>
            <w:proofErr w:type="spellEnd"/>
            <w:r w:rsidRPr="00F754EF">
              <w:rPr>
                <w:rFonts w:ascii="Aptos Display" w:hAnsi="Aptos Display"/>
                <w:color w:val="333333"/>
                <w:sz w:val="17"/>
                <w:szCs w:val="17"/>
              </w:rPr>
              <w:t>, pero no desarrolló rutas de justicia o reparación adaptadas, acceso a lengua de señas en servicios, ni una estrategia humanitaria dedicada a discapacidad.</w:t>
            </w:r>
          </w:p>
        </w:tc>
        <w:tc>
          <w:tcPr>
            <w:tcW w:w="0" w:type="auto"/>
            <w:tcBorders>
              <w:top w:val="nil"/>
              <w:left w:val="nil"/>
              <w:bottom w:val="single" w:sz="8" w:space="0" w:color="CCCCCC"/>
              <w:right w:val="single" w:sz="8" w:space="0" w:color="CCCCCC"/>
            </w:tcBorders>
            <w:shd w:val="clear" w:color="auto" w:fill="E8F5F0"/>
            <w:vAlign w:val="center"/>
          </w:tcPr>
          <w:p w14:paraId="7A5025A7" w14:textId="77777777" w:rsidR="001C3C89" w:rsidRPr="00F754EF" w:rsidRDefault="001C3C89" w:rsidP="003A3913">
            <w:pPr>
              <w:spacing w:before="40" w:after="40" w:line="240" w:lineRule="auto"/>
              <w:ind w:left="144" w:right="144"/>
              <w:rPr>
                <w:sz w:val="17"/>
                <w:szCs w:val="17"/>
              </w:rPr>
            </w:pPr>
            <w:r w:rsidRPr="00F754EF">
              <w:rPr>
                <w:rFonts w:ascii="Aptos Display" w:hAnsi="Aptos Display"/>
                <w:b/>
                <w:bCs/>
                <w:color w:val="1A7A58"/>
                <w:sz w:val="17"/>
                <w:szCs w:val="17"/>
              </w:rPr>
              <w:lastRenderedPageBreak/>
              <w:t>Factores habilitadores:</w:t>
            </w:r>
            <w:r w:rsidRPr="00F754EF">
              <w:rPr>
                <w:b/>
                <w:bCs/>
                <w:sz w:val="17"/>
                <w:szCs w:val="17"/>
              </w:rPr>
              <w:t xml:space="preserve"> </w:t>
            </w:r>
          </w:p>
          <w:p w14:paraId="6FC17864" w14:textId="77777777" w:rsidR="001C3C89" w:rsidRPr="00F754EF" w:rsidRDefault="001C3C89" w:rsidP="003A3913">
            <w:pPr>
              <w:spacing w:before="40" w:after="40" w:line="240" w:lineRule="auto"/>
              <w:ind w:left="144" w:right="144"/>
              <w:rPr>
                <w:sz w:val="17"/>
                <w:szCs w:val="17"/>
              </w:rPr>
            </w:pPr>
            <w:r w:rsidRPr="00F754EF">
              <w:rPr>
                <w:rFonts w:ascii="Aptos Display" w:hAnsi="Aptos Display"/>
                <w:color w:val="333333"/>
                <w:sz w:val="17"/>
                <w:szCs w:val="17"/>
              </w:rPr>
              <w:lastRenderedPageBreak/>
              <w:t>Focalización explícita LNOB en el diseño de la Nota Estratégica; presencia territorial en áreas marginalizadas; alianzas para comunidades fronterizas; colaboración sindical CEOSL para trabajadoras domésticas; presencia comunitaria de largo plazo en la Amazonía.</w:t>
            </w:r>
            <w:r w:rsidRPr="00F754EF">
              <w:rPr>
                <w:sz w:val="17"/>
                <w:szCs w:val="17"/>
              </w:rPr>
              <w:t xml:space="preserve"> </w:t>
            </w:r>
          </w:p>
          <w:p w14:paraId="1AA7D6B0" w14:textId="77777777" w:rsidR="001C3C89" w:rsidRPr="00F754EF" w:rsidRDefault="001C3C89" w:rsidP="003A3913">
            <w:pPr>
              <w:spacing w:before="40" w:after="40" w:line="240" w:lineRule="auto"/>
              <w:ind w:left="144" w:right="144"/>
              <w:rPr>
                <w:sz w:val="17"/>
                <w:szCs w:val="17"/>
              </w:rPr>
            </w:pPr>
            <w:r w:rsidRPr="00F754EF">
              <w:rPr>
                <w:rFonts w:ascii="Aptos Display" w:hAnsi="Aptos Display"/>
                <w:b/>
                <w:bCs/>
                <w:color w:val="C75B7A"/>
                <w:sz w:val="17"/>
                <w:szCs w:val="17"/>
              </w:rPr>
              <w:t>Factores limitantes:</w:t>
            </w:r>
            <w:r w:rsidRPr="00F754EF">
              <w:rPr>
                <w:b/>
                <w:bCs/>
                <w:sz w:val="17"/>
                <w:szCs w:val="17"/>
              </w:rPr>
              <w:t xml:space="preserve"> </w:t>
            </w:r>
          </w:p>
          <w:p w14:paraId="00E04B81" w14:textId="33E3CC9E" w:rsidR="00EE68BD" w:rsidRPr="00F754EF" w:rsidRDefault="001C3C89" w:rsidP="003A3913">
            <w:pPr>
              <w:spacing w:before="40" w:after="40" w:line="240" w:lineRule="auto"/>
              <w:ind w:left="144" w:right="144"/>
              <w:rPr>
                <w:rFonts w:ascii="Aptos Display" w:hAnsi="Aptos Display"/>
                <w:b/>
                <w:bCs/>
                <w:color w:val="1A7A58"/>
                <w:sz w:val="17"/>
                <w:szCs w:val="17"/>
              </w:rPr>
            </w:pPr>
            <w:r w:rsidRPr="00F754EF">
              <w:rPr>
                <w:rFonts w:ascii="Aptos Display" w:hAnsi="Aptos Display"/>
                <w:color w:val="333333"/>
                <w:sz w:val="17"/>
                <w:szCs w:val="17"/>
              </w:rPr>
              <w:t>Brecha de capacidad de inclusión de discapacidad en la oficina (conocimiento y recursos); liderazgo mixto de género en organizaciones de discapacidad limitando el compromiso; crimen organizado restringiendo acceso a algunos territorios; entorno político limitando la visibilidad LGBTIQ+ en el diseño del programa.</w:t>
            </w:r>
          </w:p>
        </w:tc>
      </w:tr>
    </w:tbl>
    <w:p w14:paraId="7E5AA401" w14:textId="77777777" w:rsidR="007F62C8" w:rsidRPr="00F754EF" w:rsidRDefault="007F62C8" w:rsidP="005831BD">
      <w:pPr>
        <w:spacing w:line="240" w:lineRule="auto"/>
        <w:rPr>
          <w:rFonts w:ascii="Calibri Light" w:hAnsi="Calibri Light" w:cs="Calibri Light"/>
        </w:rPr>
      </w:pPr>
      <w:r w:rsidRPr="00F754EF">
        <w:rPr>
          <w:rFonts w:ascii="Aptos Display" w:hAnsi="Aptos Display"/>
          <w:i/>
          <w:iCs/>
          <w:color w:val="auto"/>
          <w:sz w:val="18"/>
          <w:szCs w:val="18"/>
        </w:rPr>
        <w:lastRenderedPageBreak/>
        <w:t>Fuente: Análisis del equipo de evaluación basado en entrevistas a informantes clave, informes de Plan de Trabajo RMS 2023 y 2024, y documentación de programa.</w:t>
      </w:r>
      <w:r w:rsidRPr="00F754EF">
        <w:rPr>
          <w:i/>
          <w:iCs/>
        </w:rPr>
        <w:t xml:space="preserve"> </w:t>
      </w:r>
    </w:p>
    <w:p w14:paraId="1BFC2C87" w14:textId="77777777" w:rsidR="005E52AB" w:rsidRPr="00F754EF" w:rsidRDefault="005E52AB" w:rsidP="005831BD">
      <w:pPr>
        <w:pStyle w:val="Heading2"/>
        <w:rPr>
          <w:rFonts w:eastAsia="Times New Roman"/>
          <w:lang w:val="es-ES"/>
        </w:rPr>
      </w:pPr>
      <w:bookmarkStart w:id="41" w:name="_Toc233830050"/>
      <w:r w:rsidRPr="00F754EF">
        <w:rPr>
          <w:rFonts w:eastAsia="Times New Roman"/>
          <w:lang w:val="es-ES"/>
        </w:rPr>
        <w:t>4.4 Eficiencia</w:t>
      </w:r>
      <w:bookmarkEnd w:id="41"/>
      <w:r w:rsidRPr="00F754EF">
        <w:rPr>
          <w:rFonts w:eastAsia="Times New Roman"/>
          <w:lang w:val="es-ES"/>
        </w:rPr>
        <w:t xml:space="preserve"> </w:t>
      </w:r>
    </w:p>
    <w:p w14:paraId="57103202" w14:textId="069A2FE5" w:rsidR="005E52AB" w:rsidRPr="00F754EF" w:rsidRDefault="005E52AB" w:rsidP="005831BD">
      <w:pPr>
        <w:spacing w:line="240" w:lineRule="auto"/>
      </w:pPr>
      <w:r w:rsidRPr="00F754EF">
        <w:rPr>
          <w:rFonts w:ascii="Aptos Display" w:hAnsi="Aptos Display"/>
          <w:b/>
          <w:bCs/>
          <w:color w:val="FF0000"/>
          <w:sz w:val="24"/>
          <w:szCs w:val="24"/>
        </w:rPr>
        <w:t xml:space="preserve">Hallazgo 12: La oficina mantuvo una fuerte ejecución de </w:t>
      </w:r>
      <w:r w:rsidR="00A42340">
        <w:rPr>
          <w:rFonts w:ascii="Aptos Display" w:hAnsi="Aptos Display"/>
          <w:b/>
          <w:bCs/>
          <w:color w:val="FF0000"/>
          <w:sz w:val="24"/>
          <w:szCs w:val="24"/>
        </w:rPr>
        <w:t xml:space="preserve">recursos regulares </w:t>
      </w:r>
      <w:r w:rsidRPr="00F754EF">
        <w:rPr>
          <w:rFonts w:ascii="Aptos Display" w:hAnsi="Aptos Display"/>
          <w:b/>
          <w:bCs/>
          <w:color w:val="FF0000"/>
          <w:sz w:val="24"/>
          <w:szCs w:val="24"/>
        </w:rPr>
        <w:t>durante el periodo de evaluación, pero enfrentó desafíos persistentes en la ejecución de fondos no centrales, reflejando la complejidad del portafolio y restricciones estructurales en los procesos administrativos de ONU Mujeres.</w:t>
      </w:r>
      <w:r w:rsidRPr="00F754EF">
        <w:rPr>
          <w:b/>
          <w:bCs/>
        </w:rPr>
        <w:t xml:space="preserve"> </w:t>
      </w:r>
    </w:p>
    <w:p w14:paraId="78B3FB6B" w14:textId="77777777" w:rsidR="005E7595" w:rsidRPr="00F754EF" w:rsidRDefault="005E7595" w:rsidP="005831BD">
      <w:pPr>
        <w:spacing w:line="240" w:lineRule="auto"/>
        <w:rPr>
          <w:rFonts w:ascii="Aptos Display" w:hAnsi="Aptos Display"/>
        </w:rPr>
        <w:sectPr w:rsidR="005E7595" w:rsidRPr="00F754EF" w:rsidSect="00371CB2">
          <w:type w:val="continuous"/>
          <w:pgSz w:w="12240" w:h="15840"/>
          <w:pgMar w:top="1440" w:right="1080" w:bottom="1440" w:left="1080" w:header="720" w:footer="252" w:gutter="0"/>
          <w:cols w:space="720"/>
          <w:docGrid w:linePitch="360"/>
        </w:sectPr>
      </w:pPr>
    </w:p>
    <w:p w14:paraId="235B55BD" w14:textId="5DEA48C8" w:rsidR="005E52AB" w:rsidRPr="00F754EF" w:rsidRDefault="005E52AB" w:rsidP="005831BD">
      <w:pPr>
        <w:spacing w:line="240" w:lineRule="auto"/>
      </w:pPr>
      <w:r w:rsidRPr="00F754EF">
        <w:rPr>
          <w:rFonts w:ascii="Aptos Display" w:hAnsi="Aptos Display"/>
        </w:rPr>
        <w:t>La Oficina País gestionó recursos planificados de USD 13</w:t>
      </w:r>
      <w:r w:rsidR="00C850F1" w:rsidRPr="00F754EF">
        <w:rPr>
          <w:rFonts w:ascii="Aptos Display" w:hAnsi="Aptos Display"/>
        </w:rPr>
        <w:t>.</w:t>
      </w:r>
      <w:r w:rsidRPr="00F754EF">
        <w:rPr>
          <w:rFonts w:ascii="Aptos Display" w:hAnsi="Aptos Display"/>
        </w:rPr>
        <w:t>2 millones bajo el Marco de Resultados de Desarrollo para 2023 a 2025. En 2024, el año más plenamente documentado del ciclo, la oficina alcanzó una tasa de ejecución del 97% para recursos centrales y un 82% de entrega de fondos no centrales. La tasa de entrega de fondos centrales refleja una gestión financiera disciplinada y un monitoreo constante entre los equipos de operaciones y programa. La brecha en fondos no centrales es más reveladora, y lo que hay detrás de ella importa para el próximo ciclo.</w:t>
      </w:r>
    </w:p>
    <w:p w14:paraId="01F4F36E" w14:textId="09899EB5" w:rsidR="005E52AB" w:rsidRPr="00F754EF" w:rsidRDefault="005E52AB" w:rsidP="005831BD">
      <w:pPr>
        <w:spacing w:line="240" w:lineRule="auto"/>
      </w:pPr>
      <w:r w:rsidRPr="00F754EF">
        <w:rPr>
          <w:rFonts w:ascii="Aptos Display" w:hAnsi="Aptos Display"/>
        </w:rPr>
        <w:t>La movilización de recursos no alcanzó su meta anual. En 2024, la oficina consiguió USD 1</w:t>
      </w:r>
      <w:r w:rsidR="00757458" w:rsidRPr="00F754EF">
        <w:rPr>
          <w:rFonts w:ascii="Aptos Display" w:hAnsi="Aptos Display"/>
        </w:rPr>
        <w:t xml:space="preserve"> </w:t>
      </w:r>
      <w:r w:rsidRPr="00F754EF">
        <w:rPr>
          <w:rFonts w:ascii="Aptos Display" w:hAnsi="Aptos Display"/>
        </w:rPr>
        <w:t>397</w:t>
      </w:r>
      <w:r w:rsidR="00757458" w:rsidRPr="00F754EF">
        <w:rPr>
          <w:rFonts w:ascii="Aptos Display" w:hAnsi="Aptos Display"/>
        </w:rPr>
        <w:t xml:space="preserve"> </w:t>
      </w:r>
      <w:r w:rsidRPr="00F754EF">
        <w:rPr>
          <w:rFonts w:ascii="Aptos Display" w:hAnsi="Aptos Display"/>
        </w:rPr>
        <w:t>000 frente a una meta de USD 1</w:t>
      </w:r>
      <w:r w:rsidR="00757458" w:rsidRPr="00F754EF">
        <w:rPr>
          <w:rFonts w:ascii="Aptos Display" w:hAnsi="Aptos Display"/>
        </w:rPr>
        <w:t xml:space="preserve"> </w:t>
      </w:r>
      <w:r w:rsidRPr="00F754EF">
        <w:rPr>
          <w:rFonts w:ascii="Aptos Display" w:hAnsi="Aptos Display"/>
        </w:rPr>
        <w:t>800</w:t>
      </w:r>
      <w:r w:rsidR="00757458" w:rsidRPr="00F754EF">
        <w:rPr>
          <w:rFonts w:ascii="Aptos Display" w:hAnsi="Aptos Display"/>
        </w:rPr>
        <w:t xml:space="preserve"> </w:t>
      </w:r>
      <w:r w:rsidRPr="00F754EF">
        <w:rPr>
          <w:rFonts w:ascii="Aptos Display" w:hAnsi="Aptos Display"/>
        </w:rPr>
        <w:t xml:space="preserve">000, lo que supone un déficit de aproximadamente el 22%. Factores externos como la inestabilidad política, la congelación de fondos de USAID y la disminución de la confianza de donantes contribuyeron. Sin embargo, el déficit también refleja la concentración de </w:t>
      </w:r>
      <w:r w:rsidRPr="00F754EF">
        <w:rPr>
          <w:rFonts w:ascii="Aptos Display" w:hAnsi="Aptos Display"/>
        </w:rPr>
        <w:t>responsabilidades de movilización de recursos en el personal de programa, ya sobrecargado, tras la pérdida del colega que lideraba la vinculación con el sector privado.</w:t>
      </w:r>
      <w:r w:rsidRPr="00F754EF">
        <w:t xml:space="preserve"> </w:t>
      </w:r>
      <w:r w:rsidRPr="00F754EF">
        <w:rPr>
          <w:rFonts w:ascii="Aptos Display" w:hAnsi="Aptos Display"/>
        </w:rPr>
        <w:t>Esta brecha se subsanó posteriormente con la contratación de un enlace dedicado al sector privado a mediados de 2025.</w:t>
      </w:r>
    </w:p>
    <w:p w14:paraId="2D2B662E" w14:textId="58FA3078" w:rsidR="005E52AB" w:rsidRPr="00F754EF" w:rsidRDefault="005E52AB" w:rsidP="005831BD">
      <w:pPr>
        <w:spacing w:line="240" w:lineRule="auto"/>
      </w:pPr>
      <w:r w:rsidRPr="00F754EF">
        <w:rPr>
          <w:rFonts w:ascii="Aptos Display" w:hAnsi="Aptos Display"/>
        </w:rPr>
        <w:t xml:space="preserve">La distribución de recursos 61/39 entre el Resultado 2 (fin de la violencia, USD 8,0 millones) y el Resultado 1 (empoderamiento económico, USD 5,2 millones) reflejó el peso de la Iniciativa </w:t>
      </w:r>
      <w:proofErr w:type="spellStart"/>
      <w:r w:rsidRPr="00F754EF">
        <w:rPr>
          <w:rFonts w:ascii="Aptos Display" w:hAnsi="Aptos Display"/>
        </w:rPr>
        <w:t>Spotlight</w:t>
      </w:r>
      <w:proofErr w:type="spellEnd"/>
      <w:r w:rsidRPr="00F754EF">
        <w:rPr>
          <w:rFonts w:ascii="Aptos Display" w:hAnsi="Aptos Display"/>
        </w:rPr>
        <w:t xml:space="preserve"> más que una calibración estratégica deliberada entre ambos resultados. La consecuencia práctica se observa en los resultados: las dos mayores inversiones individuales estuvieron bajo el Resultado 2, mientras que la financiación de la economía del cuidado recibió la asignación más baja de cualquier resultado, con USD 255</w:t>
      </w:r>
      <w:r w:rsidR="00757458" w:rsidRPr="00F754EF">
        <w:rPr>
          <w:rFonts w:ascii="Aptos Display" w:hAnsi="Aptos Display"/>
        </w:rPr>
        <w:t>,</w:t>
      </w:r>
      <w:r w:rsidRPr="00F754EF">
        <w:rPr>
          <w:rFonts w:ascii="Aptos Display" w:hAnsi="Aptos Display"/>
        </w:rPr>
        <w:t>000, lo que explica por qué ese trabajo se mantuvo centrado en la incidencia política y no en la prestación de servicios.</w:t>
      </w:r>
    </w:p>
    <w:p w14:paraId="48E2880C" w14:textId="77777777" w:rsidR="00083C15" w:rsidRDefault="005E52AB" w:rsidP="005831BD">
      <w:pPr>
        <w:spacing w:line="240" w:lineRule="auto"/>
        <w:rPr>
          <w:rFonts w:ascii="Aptos Display" w:hAnsi="Aptos Display"/>
        </w:rPr>
      </w:pPr>
      <w:r w:rsidRPr="00F754EF">
        <w:rPr>
          <w:rFonts w:ascii="Aptos Display" w:hAnsi="Aptos Display"/>
        </w:rPr>
        <w:lastRenderedPageBreak/>
        <w:t xml:space="preserve">La tasa de entrega de fondos no centrales del 82% refleja cuellos de botella específicos que se repitieron en varios programas. En el programa de capacitación del Ministerio de la Mujer y Derechos Humanos, una extensión de contrato que requería aprobación de la sede fue presentada en agosto de 2024 y resuelta en noviembre, generando tres meses de parálisis en la implementación en un momento crítico. En </w:t>
      </w:r>
      <w:proofErr w:type="spellStart"/>
      <w:r w:rsidRPr="00F754EF">
        <w:rPr>
          <w:rFonts w:ascii="Aptos Display" w:hAnsi="Aptos Display"/>
        </w:rPr>
        <w:t>Spotlight</w:t>
      </w:r>
      <w:proofErr w:type="spellEnd"/>
      <w:r w:rsidRPr="00F754EF">
        <w:rPr>
          <w:rFonts w:ascii="Aptos Display" w:hAnsi="Aptos Display"/>
        </w:rPr>
        <w:t xml:space="preserve"> 2.0, la congelación de USAID requirió seis meses de incidencia antes de que se confirmaran los fondos, durante los cuales el equipo implementó un plan de aceleración de emergencia concentrando recursos en dos territorios en lugar de cuatro para cumplir con los compromisos de donantes. </w:t>
      </w:r>
      <w:r w:rsidR="00F83374" w:rsidRPr="00F83374">
        <w:rPr>
          <w:rFonts w:ascii="Aptos Display" w:hAnsi="Aptos Display"/>
        </w:rPr>
        <w:t xml:space="preserve">Las interrupciones en los flujos de </w:t>
      </w:r>
      <w:proofErr w:type="spellStart"/>
      <w:r w:rsidR="00F83374" w:rsidRPr="00F83374">
        <w:rPr>
          <w:rFonts w:ascii="Aptos Display" w:hAnsi="Aptos Display"/>
        </w:rPr>
        <w:t>financiacion</w:t>
      </w:r>
      <w:proofErr w:type="spellEnd"/>
      <w:r w:rsidR="00F83374" w:rsidRPr="00F83374">
        <w:rPr>
          <w:rFonts w:ascii="Aptos Display" w:hAnsi="Aptos Display"/>
        </w:rPr>
        <w:t xml:space="preserve"> generaron </w:t>
      </w:r>
      <w:proofErr w:type="spellStart"/>
      <w:r w:rsidR="00F83374" w:rsidRPr="00F83374">
        <w:rPr>
          <w:rFonts w:ascii="Aptos Display" w:hAnsi="Aptos Display"/>
        </w:rPr>
        <w:t>presion</w:t>
      </w:r>
      <w:proofErr w:type="spellEnd"/>
      <w:r w:rsidR="00F83374" w:rsidRPr="00F83374">
        <w:rPr>
          <w:rFonts w:ascii="Aptos Display" w:hAnsi="Aptos Display"/>
        </w:rPr>
        <w:t xml:space="preserve"> operativa sobre los socios implementadores, algunos de los cuales absorbieron costos operativos propios para mantener la continuidad de las actividades, lo que subraya la importancia de contar con mecanismos de </w:t>
      </w:r>
      <w:proofErr w:type="spellStart"/>
      <w:r w:rsidR="00F83374" w:rsidRPr="00F83374">
        <w:rPr>
          <w:rFonts w:ascii="Aptos Display" w:hAnsi="Aptos Display"/>
        </w:rPr>
        <w:t>gestion</w:t>
      </w:r>
      <w:proofErr w:type="spellEnd"/>
      <w:r w:rsidR="00F83374" w:rsidRPr="00F83374">
        <w:rPr>
          <w:rFonts w:ascii="Aptos Display" w:hAnsi="Aptos Display"/>
        </w:rPr>
        <w:t xml:space="preserve"> del riesgo financiero en programas con alta dependencia de socios de la sociedad civil</w:t>
      </w:r>
      <w:r w:rsidRPr="00F754EF">
        <w:rPr>
          <w:rFonts w:ascii="Aptos Display" w:hAnsi="Aptos Display"/>
        </w:rPr>
        <w:t xml:space="preserve">. </w:t>
      </w:r>
    </w:p>
    <w:p w14:paraId="7069DC90" w14:textId="2A0CD20A" w:rsidR="00A94F7A" w:rsidRDefault="00A94F7A" w:rsidP="005831BD">
      <w:pPr>
        <w:spacing w:line="240" w:lineRule="auto"/>
        <w:rPr>
          <w:rFonts w:ascii="Aptos Display" w:hAnsi="Aptos Display"/>
        </w:rPr>
      </w:pPr>
      <w:r w:rsidRPr="00A94F7A">
        <w:rPr>
          <w:rFonts w:ascii="Aptos Display" w:hAnsi="Aptos Display"/>
        </w:rPr>
        <w:t xml:space="preserve">El portafolio humanitario evidencio tensiones entre los plazos de los procesos de </w:t>
      </w:r>
      <w:proofErr w:type="spellStart"/>
      <w:r w:rsidRPr="00A94F7A">
        <w:rPr>
          <w:rFonts w:ascii="Aptos Display" w:hAnsi="Aptos Display"/>
        </w:rPr>
        <w:t>adquisicion</w:t>
      </w:r>
      <w:proofErr w:type="spellEnd"/>
      <w:r w:rsidRPr="00A94F7A">
        <w:rPr>
          <w:rFonts w:ascii="Aptos Display" w:hAnsi="Aptos Display"/>
        </w:rPr>
        <w:t xml:space="preserve"> corporativos y las necesidades de respuesta </w:t>
      </w:r>
      <w:proofErr w:type="spellStart"/>
      <w:r w:rsidRPr="00A94F7A">
        <w:rPr>
          <w:rFonts w:ascii="Aptos Display" w:hAnsi="Aptos Display"/>
        </w:rPr>
        <w:t>rapida</w:t>
      </w:r>
      <w:proofErr w:type="spellEnd"/>
      <w:r w:rsidRPr="00A94F7A">
        <w:rPr>
          <w:rFonts w:ascii="Aptos Display" w:hAnsi="Aptos Display"/>
        </w:rPr>
        <w:t xml:space="preserve"> propias de los contextos de emergencia, </w:t>
      </w:r>
      <w:proofErr w:type="spellStart"/>
      <w:r w:rsidRPr="00A94F7A">
        <w:rPr>
          <w:rFonts w:ascii="Aptos Display" w:hAnsi="Aptos Display"/>
        </w:rPr>
        <w:t>senalando</w:t>
      </w:r>
      <w:proofErr w:type="spellEnd"/>
      <w:r w:rsidRPr="00A94F7A">
        <w:rPr>
          <w:rFonts w:ascii="Aptos Display" w:hAnsi="Aptos Display"/>
        </w:rPr>
        <w:t xml:space="preserve"> oportunidades para adaptar procedimientos a las particularidades de la </w:t>
      </w:r>
      <w:proofErr w:type="spellStart"/>
      <w:r w:rsidRPr="00A94F7A">
        <w:rPr>
          <w:rFonts w:ascii="Aptos Display" w:hAnsi="Aptos Display"/>
        </w:rPr>
        <w:t>programacion</w:t>
      </w:r>
      <w:proofErr w:type="spellEnd"/>
      <w:r w:rsidRPr="00A94F7A">
        <w:rPr>
          <w:rFonts w:ascii="Aptos Display" w:hAnsi="Aptos Display"/>
        </w:rPr>
        <w:t xml:space="preserve"> humanitaria.</w:t>
      </w:r>
    </w:p>
    <w:p w14:paraId="77458F8A" w14:textId="230C8696" w:rsidR="005E52AB" w:rsidRPr="00F754EF" w:rsidRDefault="005E52AB" w:rsidP="005831BD">
      <w:pPr>
        <w:spacing w:line="240" w:lineRule="auto"/>
      </w:pPr>
      <w:r w:rsidRPr="00F754EF">
        <w:rPr>
          <w:rFonts w:ascii="Aptos Display" w:hAnsi="Aptos Display"/>
        </w:rPr>
        <w:t>Frente a este panorama, la oficina demostró una innovación significativa en la movilización de recursos. El mecanismo de intercambio de deuda FIEDS generó USD 750</w:t>
      </w:r>
      <w:r w:rsidR="00757458" w:rsidRPr="00F754EF">
        <w:rPr>
          <w:rFonts w:ascii="Aptos Display" w:hAnsi="Aptos Display"/>
        </w:rPr>
        <w:t>,</w:t>
      </w:r>
      <w:r w:rsidRPr="00F754EF">
        <w:rPr>
          <w:rFonts w:ascii="Aptos Display" w:hAnsi="Aptos Display"/>
        </w:rPr>
        <w:t xml:space="preserve">000 para </w:t>
      </w:r>
      <w:proofErr w:type="spellStart"/>
      <w:r w:rsidRPr="00F754EF">
        <w:rPr>
          <w:rFonts w:ascii="Aptos Display" w:hAnsi="Aptos Display"/>
        </w:rPr>
        <w:t>Spotlight</w:t>
      </w:r>
      <w:proofErr w:type="spellEnd"/>
      <w:r w:rsidRPr="00F754EF">
        <w:rPr>
          <w:rFonts w:ascii="Aptos Display" w:hAnsi="Aptos Display"/>
        </w:rPr>
        <w:t xml:space="preserve"> 2.0 con una condicionalidad más flexible que las subvenciones tradicionales de donantes. El cofinanciamiento municipal del Municipio de Quito mostró que los gobiernos subnacionales pueden ser socios financieros genuinos, no solo contrapartes de implementación. El programa del Ministerio de la Mujer y Derechos Humanos demostró que los recursos del gobierno nacional canalizados a través de ONU Mujeres pueden movilizarse a escala significativa incluso en contextos de incertidumbre y debilidad institucional.</w:t>
      </w:r>
    </w:p>
    <w:p w14:paraId="2BC13B86" w14:textId="77777777" w:rsidR="005E7595" w:rsidRPr="00F754EF" w:rsidRDefault="005E7595" w:rsidP="005831BD">
      <w:pPr>
        <w:spacing w:line="240" w:lineRule="auto"/>
        <w:rPr>
          <w:rFonts w:ascii="Aptos Display" w:hAnsi="Aptos Display"/>
          <w:b/>
          <w:bCs/>
          <w:color w:val="FF0000"/>
          <w:sz w:val="24"/>
          <w:szCs w:val="24"/>
        </w:rPr>
        <w:sectPr w:rsidR="005E7595" w:rsidRPr="00F754EF" w:rsidSect="005E7595">
          <w:type w:val="continuous"/>
          <w:pgSz w:w="12240" w:h="15840"/>
          <w:pgMar w:top="1440" w:right="1080" w:bottom="1440" w:left="1080" w:header="720" w:footer="252" w:gutter="0"/>
          <w:cols w:num="2" w:space="720"/>
          <w:docGrid w:linePitch="360"/>
        </w:sectPr>
      </w:pPr>
    </w:p>
    <w:p w14:paraId="71727C56" w14:textId="77777777" w:rsidR="000A7DC0" w:rsidRDefault="000A7DC0" w:rsidP="005831BD">
      <w:pPr>
        <w:spacing w:line="240" w:lineRule="auto"/>
        <w:rPr>
          <w:rFonts w:ascii="Aptos Display" w:hAnsi="Aptos Display"/>
          <w:b/>
          <w:bCs/>
          <w:color w:val="FF0000"/>
          <w:sz w:val="24"/>
          <w:szCs w:val="24"/>
        </w:rPr>
      </w:pPr>
    </w:p>
    <w:p w14:paraId="42A08829" w14:textId="3293F6DE" w:rsidR="005E52AB" w:rsidRPr="00F754EF" w:rsidRDefault="005E52AB" w:rsidP="005831BD">
      <w:pPr>
        <w:spacing w:line="240" w:lineRule="auto"/>
      </w:pPr>
      <w:r w:rsidRPr="00F754EF">
        <w:rPr>
          <w:rFonts w:ascii="Aptos Display" w:hAnsi="Aptos Display"/>
          <w:b/>
          <w:bCs/>
          <w:color w:val="FF0000"/>
          <w:sz w:val="24"/>
          <w:szCs w:val="24"/>
        </w:rPr>
        <w:t>Hallazgo 13: La oficina ejecutó un portafolio complejo y geográficamente disperso con un equipo que ha disminuido con el tiempo, logrando resultados en parte gracias al extraordinario compromiso personal de los miembros del equipo, cuyos volúmenes de trabajo acumulativos superaron niveles sostenibles.</w:t>
      </w:r>
      <w:r w:rsidRPr="00F754EF">
        <w:rPr>
          <w:b/>
          <w:bCs/>
        </w:rPr>
        <w:t xml:space="preserve"> </w:t>
      </w:r>
    </w:p>
    <w:p w14:paraId="2F153CB4" w14:textId="77777777" w:rsidR="005E7595" w:rsidRPr="00F754EF" w:rsidRDefault="005E7595" w:rsidP="005831BD">
      <w:pPr>
        <w:spacing w:line="240" w:lineRule="auto"/>
        <w:rPr>
          <w:rFonts w:ascii="Aptos Display" w:hAnsi="Aptos Display"/>
        </w:rPr>
        <w:sectPr w:rsidR="005E7595" w:rsidRPr="00F754EF" w:rsidSect="00371CB2">
          <w:type w:val="continuous"/>
          <w:pgSz w:w="12240" w:h="15840"/>
          <w:pgMar w:top="1440" w:right="1080" w:bottom="1440" w:left="1080" w:header="720" w:footer="252" w:gutter="0"/>
          <w:cols w:space="720"/>
          <w:docGrid w:linePitch="360"/>
        </w:sectPr>
      </w:pPr>
    </w:p>
    <w:p w14:paraId="23945D72" w14:textId="77777777" w:rsidR="005E52AB" w:rsidRPr="00F754EF" w:rsidRDefault="005E52AB" w:rsidP="005831BD">
      <w:pPr>
        <w:spacing w:line="240" w:lineRule="auto"/>
      </w:pPr>
      <w:r w:rsidRPr="00F754EF">
        <w:rPr>
          <w:rFonts w:ascii="Aptos Display" w:hAnsi="Aptos Display"/>
        </w:rPr>
        <w:t>A septiembre de 2024, la oficina operaba con aproximadamente 25 personas en plantilla central, distribuidas en tres pilares de programa: fin de la violencia contra mujeres y niñas, empoderamiento económico de las mujeres y gobernanza y participación, apoyadas por un equipo centralizado de operaciones. La oficina fue más grande al inicio del ciclo y continuó reduciéndose conforme los programas concluyeron en 2025.</w:t>
      </w:r>
    </w:p>
    <w:p w14:paraId="0DD19C02" w14:textId="6C26C475" w:rsidR="005E52AB" w:rsidRPr="00F754EF" w:rsidRDefault="005E52AB" w:rsidP="005831BD">
      <w:pPr>
        <w:spacing w:line="240" w:lineRule="auto"/>
      </w:pPr>
      <w:r w:rsidRPr="00F754EF">
        <w:rPr>
          <w:rFonts w:ascii="Aptos Display" w:hAnsi="Aptos Display"/>
        </w:rPr>
        <w:t xml:space="preserve">La jubilación de la Representante de País en abril de 2025 y el largo periodo sin reemplazo permanente creó una brecha estructural significativa. La Especialista de Programa para el Empoderamiento Económico de las Mujeres asumió funciones de Jefatura de Agencia de manera interina, combinando liderazgo estratégico de la oficina con responsabilidad técnica completa sobre el portafolio de empoderamiento económico. Los socios del </w:t>
      </w:r>
      <w:r w:rsidRPr="00F754EF">
        <w:rPr>
          <w:rFonts w:ascii="Aptos Display" w:hAnsi="Aptos Display"/>
        </w:rPr>
        <w:t>sistema ONU señalaron que el arreglo funcionó mejor de lo esperado, y la evidencia lo respalda: las relaciones con contrapartes se mantuvieron, los programas continuaron y la oficina conservó su liderazgo de coordinación dentro del sistema ONU. Lo que el arreglo no pudo suplir completamente fue la autoridad política de una Representante permanente en un momento en que el reposicionamiento ante la administración entrante requería un involucramiento institucional de alto nivel.</w:t>
      </w:r>
    </w:p>
    <w:p w14:paraId="3D5AB80B" w14:textId="5CFABC9C" w:rsidR="005E52AB" w:rsidRPr="00F754EF" w:rsidRDefault="005E52AB" w:rsidP="005831BD">
      <w:pPr>
        <w:spacing w:line="240" w:lineRule="auto"/>
      </w:pPr>
      <w:r w:rsidRPr="00F754EF">
        <w:rPr>
          <w:rFonts w:ascii="Aptos Display" w:hAnsi="Aptos Display"/>
        </w:rPr>
        <w:t xml:space="preserve">Varios entrevistados, incluidos personal de ONU Mujeres y socios del sistema ONU, describieron niveles de carga de trabajo que señalan un problema estructural, no individual. El personal describió obligaciones de coordinación que extendían la jornada laboral hasta altas horas de la noche, un patrón que la propia oficina identificó como necesitado de atención estructural. Un socio del </w:t>
      </w:r>
      <w:r w:rsidRPr="00F754EF">
        <w:rPr>
          <w:rFonts w:ascii="Aptos Display" w:hAnsi="Aptos Display"/>
        </w:rPr>
        <w:lastRenderedPageBreak/>
        <w:t xml:space="preserve">sistema ONU destacó que el compromiso del equipo era evidente y admirable, y precisamente por eso la sostenibilidad de los niveles actuales de carga laboral era </w:t>
      </w:r>
      <w:proofErr w:type="gramStart"/>
      <w:r w:rsidRPr="00F754EF">
        <w:rPr>
          <w:rFonts w:ascii="Aptos Display" w:hAnsi="Aptos Display"/>
        </w:rPr>
        <w:t>una preocupación a señalar</w:t>
      </w:r>
      <w:proofErr w:type="gramEnd"/>
      <w:r w:rsidRPr="00F754EF">
        <w:rPr>
          <w:rFonts w:ascii="Aptos Display" w:hAnsi="Aptos Display"/>
        </w:rPr>
        <w:t xml:space="preserve">. El mandato completo de coordinación </w:t>
      </w:r>
      <w:proofErr w:type="spellStart"/>
      <w:r w:rsidRPr="00F754EF">
        <w:rPr>
          <w:rFonts w:ascii="Aptos Display" w:hAnsi="Aptos Display"/>
        </w:rPr>
        <w:t>interagencial</w:t>
      </w:r>
      <w:proofErr w:type="spellEnd"/>
      <w:r w:rsidRPr="00F754EF">
        <w:rPr>
          <w:rFonts w:ascii="Aptos Display" w:hAnsi="Aptos Display"/>
        </w:rPr>
        <w:t xml:space="preserve"> concentrado en un número reducido de posiciones junto a portafolios de programa completos ilustra la magnitud del asunto: liderazgo del Grupo Técnico </w:t>
      </w:r>
      <w:proofErr w:type="spellStart"/>
      <w:r w:rsidRPr="00F754EF">
        <w:rPr>
          <w:rFonts w:ascii="Aptos Display" w:hAnsi="Aptos Display"/>
        </w:rPr>
        <w:t>Interagencial</w:t>
      </w:r>
      <w:proofErr w:type="spellEnd"/>
      <w:r w:rsidRPr="00F754EF">
        <w:rPr>
          <w:rFonts w:ascii="Aptos Display" w:hAnsi="Aptos Display"/>
        </w:rPr>
        <w:t xml:space="preserve"> de Género, copresidencia del Subgrupo de VBG dentro del Grupo de Migrantes y Refugiados, participación en el Equipo Humanitario de País desde diciembre de 2024, grupos de trabajo BOS y el proceso UNCT-SWAP. La evaluación plantea esto no como crítica al desempeño individual, que fue consistentemente elogiado en todos los grupos de entrevista, sino como un riesgo de diseño: la próxima Nota Estratégica debe ser cautelosa al expandir las ambiciones temáticas sin un plan de dotación de </w:t>
      </w:r>
      <w:r w:rsidRPr="00F754EF">
        <w:rPr>
          <w:rFonts w:ascii="Aptos Display" w:hAnsi="Aptos Display"/>
        </w:rPr>
        <w:t xml:space="preserve">personal </w:t>
      </w:r>
      <w:r w:rsidR="008F42D2" w:rsidRPr="00F754EF">
        <w:rPr>
          <w:rFonts w:ascii="Aptos Display" w:hAnsi="Aptos Display"/>
        </w:rPr>
        <w:t>realista, basado en evidencia y alineado con las prioridades del próximo ciclo</w:t>
      </w:r>
      <w:r w:rsidRPr="00F754EF">
        <w:rPr>
          <w:rFonts w:ascii="Aptos Display" w:hAnsi="Aptos Display"/>
        </w:rPr>
        <w:t>.</w:t>
      </w:r>
    </w:p>
    <w:p w14:paraId="5C534421" w14:textId="30349851" w:rsidR="005E52AB" w:rsidRPr="00F754EF" w:rsidRDefault="005E52AB" w:rsidP="005831BD">
      <w:pPr>
        <w:spacing w:line="240" w:lineRule="auto"/>
      </w:pPr>
      <w:r w:rsidRPr="00F754EF">
        <w:rPr>
          <w:rFonts w:ascii="Aptos Display" w:hAnsi="Aptos Display"/>
        </w:rPr>
        <w:t xml:space="preserve">La oficina cubría más de nueve provincias desde su base en Quito, con personal en Guayaquil y Lago Agrio integrado en las operaciones de otras agencias ONU. Este modelo logró un alcance geográfico que una estructura basada solo en Quito no habría podido gestionar, y la </w:t>
      </w:r>
      <w:proofErr w:type="spellStart"/>
      <w:r w:rsidRPr="00F754EF">
        <w:rPr>
          <w:rFonts w:ascii="Aptos Display" w:hAnsi="Aptos Display"/>
        </w:rPr>
        <w:t>co-ubicación</w:t>
      </w:r>
      <w:proofErr w:type="spellEnd"/>
      <w:r w:rsidRPr="00F754EF">
        <w:rPr>
          <w:rFonts w:ascii="Aptos Display" w:hAnsi="Aptos Display"/>
        </w:rPr>
        <w:t xml:space="preserve"> con OIM y ACNUR permitió al portafolio humanitario operar en territorios fronterizos donde ONU Mujeres no habría tenido presencia de otro modo. </w:t>
      </w:r>
      <w:r w:rsidR="004A3CDC">
        <w:rPr>
          <w:rFonts w:ascii="Aptos Display" w:hAnsi="Aptos Display"/>
        </w:rPr>
        <w:t>E</w:t>
      </w:r>
      <w:r w:rsidRPr="00F754EF">
        <w:rPr>
          <w:rFonts w:ascii="Aptos Display" w:hAnsi="Aptos Display"/>
        </w:rPr>
        <w:t>l monitoreo de calidad en territorios remotos dependía de socios implementadores y consultores, no de personal de ONU Mujeres, lo que limitó la capacidad de la oficina para hacer ajustes en tiempo real y redujo su visibilidad directa sobre lo que sucedía a nivel comunitario.</w:t>
      </w:r>
    </w:p>
    <w:p w14:paraId="5CC681A2" w14:textId="77777777" w:rsidR="005E7595" w:rsidRPr="00F754EF" w:rsidRDefault="005E7595" w:rsidP="005831BD">
      <w:pPr>
        <w:spacing w:line="240" w:lineRule="auto"/>
        <w:rPr>
          <w:rFonts w:ascii="Aptos Display" w:hAnsi="Aptos Display"/>
          <w:b/>
          <w:bCs/>
          <w:i/>
          <w:iCs/>
          <w:color w:val="009CDB"/>
          <w:sz w:val="24"/>
          <w:szCs w:val="24"/>
        </w:rPr>
        <w:sectPr w:rsidR="005E7595" w:rsidRPr="00F754EF" w:rsidSect="005E7595">
          <w:type w:val="continuous"/>
          <w:pgSz w:w="12240" w:h="15840"/>
          <w:pgMar w:top="1440" w:right="1080" w:bottom="1440" w:left="1080" w:header="720" w:footer="252" w:gutter="0"/>
          <w:cols w:num="2" w:space="720"/>
          <w:docGrid w:linePitch="360"/>
        </w:sectPr>
      </w:pPr>
    </w:p>
    <w:p w14:paraId="4770B8A7" w14:textId="77777777" w:rsidR="005E52AB" w:rsidRPr="00F754EF" w:rsidRDefault="005E52AB" w:rsidP="005831BD">
      <w:pPr>
        <w:spacing w:line="240" w:lineRule="auto"/>
      </w:pPr>
      <w:r w:rsidRPr="00F754EF">
        <w:rPr>
          <w:rFonts w:ascii="Aptos Display" w:hAnsi="Aptos Display"/>
          <w:b/>
          <w:bCs/>
          <w:color w:val="FF0000"/>
          <w:sz w:val="24"/>
          <w:szCs w:val="24"/>
        </w:rPr>
        <w:t xml:space="preserve">Hallazgo 14: La estructura de gestión de la oficina permitió una sólida ejecución programática bajo una presión contextual extraordinaria, apoyada por un monitoreo financiero disciplinado y una coordinación </w:t>
      </w:r>
      <w:proofErr w:type="spellStart"/>
      <w:r w:rsidRPr="00F754EF">
        <w:rPr>
          <w:rFonts w:ascii="Aptos Display" w:hAnsi="Aptos Display"/>
          <w:b/>
          <w:bCs/>
          <w:color w:val="FF0000"/>
          <w:sz w:val="24"/>
          <w:szCs w:val="24"/>
        </w:rPr>
        <w:t>interagencial</w:t>
      </w:r>
      <w:proofErr w:type="spellEnd"/>
      <w:r w:rsidRPr="00F754EF">
        <w:rPr>
          <w:rFonts w:ascii="Aptos Display" w:hAnsi="Aptos Display"/>
          <w:b/>
          <w:bCs/>
          <w:color w:val="FF0000"/>
          <w:sz w:val="24"/>
          <w:szCs w:val="24"/>
        </w:rPr>
        <w:t xml:space="preserve"> efectiva. Cuellos de botella operativos específicos en los plazos de adquisiciones, procesos de aprobación de la sede y gestión de proveedores generaron retrasos medibles en varios programas.</w:t>
      </w:r>
      <w:r w:rsidRPr="00F754EF">
        <w:rPr>
          <w:b/>
          <w:bCs/>
        </w:rPr>
        <w:t xml:space="preserve"> </w:t>
      </w:r>
    </w:p>
    <w:p w14:paraId="3D55AFA9" w14:textId="77777777" w:rsidR="005E7595" w:rsidRPr="00F754EF" w:rsidRDefault="005E7595" w:rsidP="005831BD">
      <w:pPr>
        <w:spacing w:line="240" w:lineRule="auto"/>
        <w:rPr>
          <w:rFonts w:ascii="Aptos Display" w:hAnsi="Aptos Display"/>
        </w:rPr>
        <w:sectPr w:rsidR="005E7595" w:rsidRPr="00F754EF" w:rsidSect="00371CB2">
          <w:type w:val="continuous"/>
          <w:pgSz w:w="12240" w:h="15840"/>
          <w:pgMar w:top="1440" w:right="1080" w:bottom="1440" w:left="1080" w:header="720" w:footer="252" w:gutter="0"/>
          <w:cols w:space="720"/>
          <w:docGrid w:linePitch="360"/>
        </w:sectPr>
      </w:pPr>
    </w:p>
    <w:p w14:paraId="4A68BD74" w14:textId="77777777" w:rsidR="005E52AB" w:rsidRPr="00F754EF" w:rsidRDefault="005E52AB" w:rsidP="005831BD">
      <w:pPr>
        <w:spacing w:line="240" w:lineRule="auto"/>
      </w:pPr>
      <w:r w:rsidRPr="00F754EF">
        <w:rPr>
          <w:rFonts w:ascii="Aptos Display" w:hAnsi="Aptos Display"/>
        </w:rPr>
        <w:t>El panorama general del desempeño operativo durante este ciclo es el de una competencia genuina bajo presión sostenida, con restricciones identificables y recurrentes que vale la pena nombrar precisamente porque la mayoría son abordables.</w:t>
      </w:r>
    </w:p>
    <w:p w14:paraId="2F38E7D4" w14:textId="77777777" w:rsidR="005E52AB" w:rsidRPr="00F754EF" w:rsidRDefault="005E52AB" w:rsidP="005831BD">
      <w:pPr>
        <w:spacing w:line="240" w:lineRule="auto"/>
      </w:pPr>
      <w:r w:rsidRPr="00F754EF">
        <w:rPr>
          <w:rFonts w:ascii="Aptos Display" w:hAnsi="Aptos Display"/>
        </w:rPr>
        <w:t xml:space="preserve">La migración al sistema de gestión financiera Quantum, completada durante el periodo de evaluación, requirió una inversión significativa de tiempo del </w:t>
      </w:r>
      <w:proofErr w:type="gramStart"/>
      <w:r w:rsidRPr="00F754EF">
        <w:rPr>
          <w:rFonts w:ascii="Aptos Display" w:hAnsi="Aptos Display"/>
        </w:rPr>
        <w:t>personal</w:t>
      </w:r>
      <w:proofErr w:type="gramEnd"/>
      <w:r w:rsidRPr="00F754EF">
        <w:rPr>
          <w:rFonts w:ascii="Aptos Display" w:hAnsi="Aptos Display"/>
        </w:rPr>
        <w:t xml:space="preserve"> pero para 2024 funcionaba bien, apoyando 295 órdenes de compra y 123 solicitudes de viaje y contribuyendo a la transparencia financiera que sustentó la tasa de entrega central del 97%. Esta base operativa se mantuvo incluso cuando el contexto se volvió más turbulento. Donde no se mantuvo fue en procesos que requerían rapidez y flexibilidad: extensiones de contrato, requisitos de nueva licitación y plazos de aprobación de la sede, diseñados para programación rutinaria pero que generaron retrasos en cascada en contextos políticamente sensibles y de rápida evolución.</w:t>
      </w:r>
    </w:p>
    <w:p w14:paraId="35227DF1" w14:textId="77777777" w:rsidR="005E52AB" w:rsidRPr="00F754EF" w:rsidRDefault="005E52AB" w:rsidP="005831BD">
      <w:pPr>
        <w:spacing w:line="240" w:lineRule="auto"/>
      </w:pPr>
      <w:r w:rsidRPr="00F754EF">
        <w:rPr>
          <w:rFonts w:ascii="Aptos Display" w:hAnsi="Aptos Display"/>
        </w:rPr>
        <w:t xml:space="preserve">Dos casos lo ilustran claramente. Una extensión de contrato en el programa de capacitación del Ministerio de la Mujer y Derechos Humanos requirió </w:t>
      </w:r>
      <w:r w:rsidRPr="00F754EF">
        <w:rPr>
          <w:rFonts w:ascii="Aptos Display" w:hAnsi="Aptos Display"/>
        </w:rPr>
        <w:t>una nueva licitación completa pese a que el único proveedor calificado era la misma institución que había ejecutado la fase anterior, lo que costó meses en un momento crítico de implementación. En el programa electoral, un producto de aprendizaje digital requirió múltiples ciclos de revisión porque el proveedor carecía de suficiente experiencia temática, consumiendo más tiempo de aseguramiento de calidad del que el programa había presupuestado. Ningún caso refleja mala gestión de la oficina: ambos reflejan un desajuste entre la arquitectura estándar de adquisiciones y las realidades de programación en contextos volátiles. La oficina no puede resolver esto unilateralmente, pero los casos documentados proporcionan una base concreta para la incidencia dentro de los sistemas globales de ONU Mujeres.</w:t>
      </w:r>
    </w:p>
    <w:p w14:paraId="07465CCC" w14:textId="77777777" w:rsidR="005E52AB" w:rsidRPr="00F754EF" w:rsidRDefault="005E52AB" w:rsidP="005831BD">
      <w:pPr>
        <w:spacing w:line="240" w:lineRule="auto"/>
      </w:pPr>
      <w:r w:rsidRPr="00F754EF">
        <w:rPr>
          <w:rFonts w:ascii="Aptos Display" w:hAnsi="Aptos Display"/>
        </w:rPr>
        <w:t xml:space="preserve">Una tensión estructural similar apareció en la gestión de programas conjuntos. Como agencia líder de </w:t>
      </w:r>
      <w:proofErr w:type="spellStart"/>
      <w:r w:rsidRPr="00F754EF">
        <w:rPr>
          <w:rFonts w:ascii="Aptos Display" w:hAnsi="Aptos Display"/>
        </w:rPr>
        <w:t>Spotlight</w:t>
      </w:r>
      <w:proofErr w:type="spellEnd"/>
      <w:r w:rsidRPr="00F754EF">
        <w:rPr>
          <w:rFonts w:ascii="Aptos Display" w:hAnsi="Aptos Display"/>
        </w:rPr>
        <w:t xml:space="preserve">, ONU Mujeres coordinó la presentación de informes entre PNUD y UNFPA sin autoridad jerárquica para exigir cumplimiento de plazos, y el mecanismo de Fondo Fiduciario en Nueva York significaba que no podía controlar los flujos de </w:t>
      </w:r>
      <w:r w:rsidRPr="00F754EF">
        <w:rPr>
          <w:rFonts w:ascii="Aptos Display" w:hAnsi="Aptos Display"/>
        </w:rPr>
        <w:lastRenderedPageBreak/>
        <w:t>informes de otras agencias. En el programa electoral con PNUD, canalizar toda la comunicación a través de un solo contacto con múltiples portafolios generó demoras en la capacidad de respuesta que el socio identificó como una brecha específica. No son fallos de coordinación sino características de diseño de la arquitectura de programas conjuntos que generan fricción previsible.</w:t>
      </w:r>
    </w:p>
    <w:p w14:paraId="3162B435" w14:textId="642C10FF" w:rsidR="005E52AB" w:rsidRDefault="005E52AB" w:rsidP="005831BD">
      <w:pPr>
        <w:spacing w:line="240" w:lineRule="auto"/>
        <w:rPr>
          <w:rFonts w:ascii="Aptos Display" w:hAnsi="Aptos Display"/>
        </w:rPr>
      </w:pPr>
      <w:r w:rsidRPr="00F754EF">
        <w:rPr>
          <w:rFonts w:ascii="Aptos Display" w:hAnsi="Aptos Display"/>
        </w:rPr>
        <w:t xml:space="preserve">Un área donde la evaluación identifica una brecha más plenamente bajo el control de la oficina es la </w:t>
      </w:r>
      <w:r w:rsidRPr="00F754EF">
        <w:rPr>
          <w:rFonts w:ascii="Aptos Display" w:hAnsi="Aptos Display"/>
        </w:rPr>
        <w:t xml:space="preserve">comunicación. Los actores externos señalaron consistentemente que los resultados de ONU Mujeres no eran ampliamente visibles fuera de audiencias institucionales, y </w:t>
      </w:r>
      <w:r w:rsidR="00E243B5">
        <w:rPr>
          <w:rFonts w:ascii="Aptos Display" w:hAnsi="Aptos Display"/>
        </w:rPr>
        <w:t>citaron</w:t>
      </w:r>
      <w:r w:rsidRPr="00F754EF">
        <w:rPr>
          <w:rFonts w:ascii="Aptos Display" w:hAnsi="Aptos Display"/>
        </w:rPr>
        <w:t xml:space="preserve"> la necesidad de una comunicación de resultados más fuerte para sostener el apoyo político a la programación de igualdad de género. La oficina </w:t>
      </w:r>
      <w:r w:rsidR="00897E97">
        <w:rPr>
          <w:rFonts w:ascii="Aptos Display" w:hAnsi="Aptos Display"/>
        </w:rPr>
        <w:t>indic</w:t>
      </w:r>
      <w:r w:rsidRPr="00F754EF">
        <w:rPr>
          <w:rFonts w:ascii="Aptos Display" w:hAnsi="Aptos Display"/>
        </w:rPr>
        <w:t xml:space="preserve">ó que su perfil público no había llegado a generaciones jóvenes, </w:t>
      </w:r>
      <w:r w:rsidR="00310D2E" w:rsidRPr="00F754EF">
        <w:rPr>
          <w:rFonts w:ascii="Aptos Display" w:hAnsi="Aptos Display"/>
        </w:rPr>
        <w:t>permaneciendo orientado hacia contrapartes institucionales en vez de hacia las generaciones jóvenes</w:t>
      </w:r>
      <w:r w:rsidRPr="00F754EF">
        <w:rPr>
          <w:rFonts w:ascii="Aptos Display" w:hAnsi="Aptos Display"/>
        </w:rPr>
        <w:t>.</w:t>
      </w:r>
    </w:p>
    <w:p w14:paraId="1B40BC1D" w14:textId="77777777" w:rsidR="005E7595" w:rsidRPr="00F754EF" w:rsidRDefault="005E7595" w:rsidP="005831BD">
      <w:pPr>
        <w:pStyle w:val="Heading2"/>
        <w:rPr>
          <w:rFonts w:eastAsia="Times New Roman"/>
          <w:lang w:val="es-ES"/>
        </w:rPr>
        <w:sectPr w:rsidR="005E7595" w:rsidRPr="00F754EF" w:rsidSect="005E7595">
          <w:type w:val="continuous"/>
          <w:pgSz w:w="12240" w:h="15840"/>
          <w:pgMar w:top="1440" w:right="1080" w:bottom="1440" w:left="1080" w:header="720" w:footer="252" w:gutter="0"/>
          <w:cols w:num="2" w:space="720"/>
          <w:docGrid w:linePitch="360"/>
        </w:sectPr>
      </w:pPr>
    </w:p>
    <w:p w14:paraId="32A834A4" w14:textId="77777777" w:rsidR="005E52AB" w:rsidRPr="00F754EF" w:rsidRDefault="005E52AB" w:rsidP="005831BD">
      <w:pPr>
        <w:pStyle w:val="Heading2"/>
        <w:rPr>
          <w:rFonts w:eastAsia="Times New Roman"/>
          <w:lang w:val="es-ES"/>
        </w:rPr>
      </w:pPr>
      <w:bookmarkStart w:id="42" w:name="_Toc233830051"/>
      <w:r w:rsidRPr="00F754EF">
        <w:rPr>
          <w:rFonts w:eastAsia="Times New Roman"/>
          <w:lang w:val="es-ES"/>
        </w:rPr>
        <w:t>4.5 Sostenibilidad</w:t>
      </w:r>
      <w:bookmarkEnd w:id="42"/>
      <w:r w:rsidRPr="00F754EF">
        <w:rPr>
          <w:rFonts w:eastAsia="Times New Roman"/>
          <w:lang w:val="es-ES"/>
        </w:rPr>
        <w:t xml:space="preserve"> </w:t>
      </w:r>
    </w:p>
    <w:p w14:paraId="41E8DAA0" w14:textId="6B15A42C" w:rsidR="005E52AB" w:rsidRPr="00F754EF" w:rsidRDefault="005E52AB" w:rsidP="005831BD">
      <w:pPr>
        <w:spacing w:line="240" w:lineRule="auto"/>
      </w:pPr>
      <w:r w:rsidRPr="00F754EF">
        <w:rPr>
          <w:rFonts w:ascii="Aptos Display" w:hAnsi="Aptos Display"/>
          <w:b/>
          <w:bCs/>
          <w:color w:val="FF0000"/>
          <w:sz w:val="24"/>
          <w:szCs w:val="24"/>
        </w:rPr>
        <w:t xml:space="preserve">Hallazgo 15: La sostenibilidad es más fuerte donde los resultados están anclados en instrumentos normativos subnacionales, presupuestos municipales y apropiación de la sociedad civil. Es más </w:t>
      </w:r>
      <w:r w:rsidR="00F564BB" w:rsidRPr="00F754EF">
        <w:rPr>
          <w:rFonts w:ascii="Aptos Display" w:hAnsi="Aptos Display"/>
          <w:b/>
          <w:bCs/>
          <w:color w:val="FF0000"/>
          <w:sz w:val="24"/>
          <w:szCs w:val="24"/>
        </w:rPr>
        <w:t>baja</w:t>
      </w:r>
      <w:r w:rsidRPr="00F754EF">
        <w:rPr>
          <w:rFonts w:ascii="Aptos Display" w:hAnsi="Aptos Display"/>
          <w:b/>
          <w:bCs/>
          <w:color w:val="FF0000"/>
          <w:sz w:val="24"/>
          <w:szCs w:val="24"/>
        </w:rPr>
        <w:t xml:space="preserve"> donde los resultados dependen de instituciones gubernamentales nacionales debilitadas estructuralmente, o donde existen herramientas técnicas sin un hogar institucional para su operacionalización.</w:t>
      </w:r>
      <w:r w:rsidRPr="00F754EF">
        <w:rPr>
          <w:b/>
          <w:bCs/>
        </w:rPr>
        <w:t xml:space="preserve"> </w:t>
      </w:r>
    </w:p>
    <w:p w14:paraId="00AEA1A0" w14:textId="77777777" w:rsidR="005E7595" w:rsidRPr="00F754EF" w:rsidRDefault="005E7595" w:rsidP="005831BD">
      <w:pPr>
        <w:spacing w:line="240" w:lineRule="auto"/>
        <w:rPr>
          <w:rFonts w:ascii="Aptos Display" w:hAnsi="Aptos Display"/>
        </w:rPr>
        <w:sectPr w:rsidR="005E7595" w:rsidRPr="00F754EF" w:rsidSect="00371CB2">
          <w:type w:val="continuous"/>
          <w:pgSz w:w="12240" w:h="15840"/>
          <w:pgMar w:top="1440" w:right="1080" w:bottom="1440" w:left="1080" w:header="720" w:footer="252" w:gutter="0"/>
          <w:cols w:space="720"/>
          <w:docGrid w:linePitch="360"/>
        </w:sectPr>
      </w:pPr>
    </w:p>
    <w:p w14:paraId="1D181627" w14:textId="77777777" w:rsidR="005E52AB" w:rsidRPr="00F754EF" w:rsidRDefault="005E52AB" w:rsidP="005831BD">
      <w:pPr>
        <w:spacing w:line="240" w:lineRule="auto"/>
      </w:pPr>
      <w:r w:rsidRPr="00F754EF">
        <w:rPr>
          <w:rFonts w:ascii="Aptos Display" w:hAnsi="Aptos Display"/>
        </w:rPr>
        <w:t>La evidencia apunta a un claro gradiente de sostenibilidad en el portafolio, desde lo altamente duradero hasta lo estructuralmente frágil.</w:t>
      </w:r>
    </w:p>
    <w:p w14:paraId="40168A78" w14:textId="77777777" w:rsidR="005E52AB" w:rsidRPr="00F754EF" w:rsidRDefault="005E52AB" w:rsidP="005831BD">
      <w:pPr>
        <w:spacing w:line="240" w:lineRule="auto"/>
      </w:pPr>
      <w:r w:rsidRPr="00F754EF">
        <w:rPr>
          <w:rFonts w:ascii="Aptos Display" w:hAnsi="Aptos Display"/>
        </w:rPr>
        <w:t xml:space="preserve">Los resultados más duraderos del portafolio son los integrados en instrumentos jurídicamente vinculantes que no dependen de la voluntad política individual para permanecer vigentes. En Guayaquil, el plan cantonal de prevención de violencia fue aprobado por ordenanza y el protocolo de acoso en el transporte fue institucionalizado mediante resolución vinculante de la Agencia Municipal de Tránsito, haciendo obligatorio el cumplimiento independientemente de quién ocupe el cargo. El reglamento de funcionamiento de la red de respuesta a la violencia también se formalizó, dando a la red una base legal para la continuidad. En Cuenca, el acompañamiento de la tercera edición del plan de igualdad y cuidados resultó en su integración en la ordenanza de planificación territorial como instrumento vinculante y no como agenda independiente. La dirección de cuidados de Quito, creada durante el periodo de evaluación, es la primera área institucionalizada de cuidados en Ecuador y opera con una asignación presupuestaria dedicada dentro de la secretaría municipal. Varios entrevistados señalaron independientemente que una vez que un servicio existe y la ciudadanía lo usa, resulta políticamente costoso desmantelarlo, </w:t>
      </w:r>
      <w:r w:rsidRPr="00F754EF">
        <w:rPr>
          <w:rFonts w:ascii="Aptos Display" w:hAnsi="Aptos Display"/>
        </w:rPr>
        <w:t>especialmente cuando está respaldado por una ordenanza. Esta lógica de anclaje normativo es el mecanismo de sostenibilidad más fiable que generó el portafolio.</w:t>
      </w:r>
    </w:p>
    <w:p w14:paraId="3BCAEF31" w14:textId="1011FAA7" w:rsidR="005E52AB" w:rsidRPr="00F754EF" w:rsidRDefault="005E52AB" w:rsidP="005831BD">
      <w:pPr>
        <w:spacing w:line="240" w:lineRule="auto"/>
      </w:pPr>
      <w:r w:rsidRPr="00F754EF">
        <w:rPr>
          <w:rFonts w:ascii="Aptos Display" w:hAnsi="Aptos Display"/>
        </w:rPr>
        <w:t>El fortalecimiento de capacidades produjo resultados duraderos cuando generó sistemas y herramientas en lugar de familiaridad con un experto externo. El Ministerio del Interior continuó ciclos de formación usando materiales desarrollados con apoyo de ONU Mujeres, incluida una aplicación móvil que proporciona acceso instantáneo a protocolos de respuesta con enfoque de género, y el curso de e-learning del Tribunal de Disputas Electorales sobre violencia política contra las mujeres es ahora una herramienta abierta usada activamente para formación continua. En Guayaquil, la formación de conductores de autobús sobre acoso en espacios públicos alcanzó a 1</w:t>
      </w:r>
      <w:r w:rsidR="009B2601" w:rsidRPr="00F754EF">
        <w:rPr>
          <w:rFonts w:ascii="Aptos Display" w:hAnsi="Aptos Display"/>
        </w:rPr>
        <w:t>,</w:t>
      </w:r>
      <w:r w:rsidRPr="00F754EF">
        <w:rPr>
          <w:rFonts w:ascii="Aptos Display" w:hAnsi="Aptos Display"/>
        </w:rPr>
        <w:t xml:space="preserve">500 conductores y se incorporó al calendario regular de formación de la agencia de tránsito. Sin embargo, la sostenibilidad de capacidades fue consistentemente frágil cuando se concentró en individuos y no en sistemas. Tras el cierre de proyectos, las instituciones contrapartes buscaban a personal específico de ONU Mujeres por nombre, porque las relaciones técnicas habían residido en la persona y no en procesos documentados. En un caso, los socios no pudieron replicar una metodología tras una formación porque </w:t>
      </w:r>
      <w:r w:rsidRPr="00F754EF">
        <w:rPr>
          <w:rFonts w:ascii="Aptos Display" w:hAnsi="Aptos Display"/>
        </w:rPr>
        <w:lastRenderedPageBreak/>
        <w:t>la organización implementadora declinó compartirla, lo que significa que la inversión en capacidades no sobrevivió al proyecto. El fortalecimiento de capacidades genera resultados duraderos cuando las instituciones pueden operar herramientas de manera independiente; no genera resultados duraderos si produce dependencia de un recurso externo específico.</w:t>
      </w:r>
    </w:p>
    <w:p w14:paraId="7346FD38" w14:textId="77777777" w:rsidR="005E52AB" w:rsidRPr="00F754EF" w:rsidRDefault="005E52AB" w:rsidP="005831BD">
      <w:pPr>
        <w:spacing w:line="240" w:lineRule="auto"/>
      </w:pPr>
      <w:r w:rsidRPr="00F754EF">
        <w:rPr>
          <w:rFonts w:ascii="Aptos Display" w:hAnsi="Aptos Display"/>
        </w:rPr>
        <w:t>Las organizaciones de la sociedad civil demostraron ser las custodias más consistentes de los resultados durante y después del periodo de evaluación. La red de 105 mujeres constructoras de paz en Guayaquil continuó operando tras la salida de ONU Mujeres, con el municipio asignando presupuesto para su continuación y la red adoptando sus propios criterios de membresía y estructura de gobernanza. Los socios de la sociedad civil fortalecieron su capacidad analítica sobre feminicidio, violencia en espacios públicos y justicia para mujeres indígenas, permitiéndoles seguir presionando por la implementación de políticas mucho después de que los proyectos cerraran. Una socia articuló la lógica claramente: los instrumentos normativos y planes producidos con apoyo de ONU Mujeres son activos que el movimiento de mujeres conserva independientemente de la postura gubernamental actual, porque proporcionan una base legal para la rendición de cuentas y elegibilidad que trasciende cualquier administración.</w:t>
      </w:r>
    </w:p>
    <w:p w14:paraId="056D460F" w14:textId="4856C4FD" w:rsidR="005E52AB" w:rsidRPr="00F754EF" w:rsidRDefault="005E52AB" w:rsidP="005831BD">
      <w:pPr>
        <w:spacing w:line="240" w:lineRule="auto"/>
      </w:pPr>
      <w:r w:rsidRPr="00F754EF">
        <w:rPr>
          <w:rFonts w:ascii="Aptos Display" w:hAnsi="Aptos Display"/>
        </w:rPr>
        <w:t xml:space="preserve">Sin embargo, varios socios de la sociedad civil plantearon una preocupación </w:t>
      </w:r>
      <w:r w:rsidR="00F66774">
        <w:rPr>
          <w:rFonts w:ascii="Aptos Display" w:hAnsi="Aptos Display"/>
        </w:rPr>
        <w:t>referente</w:t>
      </w:r>
      <w:r w:rsidRPr="00F754EF">
        <w:rPr>
          <w:rFonts w:ascii="Aptos Display" w:hAnsi="Aptos Display"/>
        </w:rPr>
        <w:t xml:space="preserve"> </w:t>
      </w:r>
      <w:r w:rsidR="00F66774">
        <w:rPr>
          <w:rFonts w:ascii="Aptos Display" w:hAnsi="Aptos Display"/>
        </w:rPr>
        <w:t>a</w:t>
      </w:r>
      <w:r w:rsidRPr="00F754EF">
        <w:rPr>
          <w:rFonts w:ascii="Aptos Display" w:hAnsi="Aptos Display"/>
        </w:rPr>
        <w:t>l giro progresivo del portafolio hacia el trabajo principalmente con gobiernos locales</w:t>
      </w:r>
      <w:r w:rsidR="005B6989">
        <w:rPr>
          <w:rFonts w:ascii="Aptos Display" w:hAnsi="Aptos Display"/>
        </w:rPr>
        <w:t xml:space="preserve">, teniendo como consecuencia una </w:t>
      </w:r>
      <w:proofErr w:type="spellStart"/>
      <w:r w:rsidR="005B6989">
        <w:rPr>
          <w:rFonts w:ascii="Aptos Display" w:hAnsi="Aptos Display"/>
        </w:rPr>
        <w:t>reduccion</w:t>
      </w:r>
      <w:proofErr w:type="spellEnd"/>
      <w:r w:rsidR="005B6989">
        <w:rPr>
          <w:rFonts w:ascii="Aptos Display" w:hAnsi="Aptos Display"/>
        </w:rPr>
        <w:t xml:space="preserve"> </w:t>
      </w:r>
      <w:r w:rsidR="00DC23DD">
        <w:rPr>
          <w:rFonts w:ascii="Aptos Display" w:hAnsi="Aptos Display"/>
        </w:rPr>
        <w:t>de las iniciativas con</w:t>
      </w:r>
      <w:r w:rsidRPr="00F754EF">
        <w:rPr>
          <w:rFonts w:ascii="Aptos Display" w:hAnsi="Aptos Display"/>
        </w:rPr>
        <w:t xml:space="preserve"> la sociedad civil.</w:t>
      </w:r>
    </w:p>
    <w:p w14:paraId="4C25528A" w14:textId="77777777" w:rsidR="005E52AB" w:rsidRPr="00F754EF" w:rsidRDefault="005E52AB" w:rsidP="005831BD">
      <w:pPr>
        <w:spacing w:line="240" w:lineRule="auto"/>
      </w:pPr>
      <w:r w:rsidRPr="00F754EF">
        <w:rPr>
          <w:rFonts w:ascii="Aptos Display" w:hAnsi="Aptos Display"/>
        </w:rPr>
        <w:t>El portafolio Caminantes generó sostenibilidad a través de una lógica diferente: capacitación técnica para el personal de refugios, pequeñas subvenciones para proyectos productivos que dan ingresos independientes a los refugios y una infraestructura de protocolos binacionales que conecta rutas de protección entre Ecuador y Colombia. Cuatro refugios en provincias fronterizas recibieron apoyo para proyectos productivos que les permiten generar ingresos propios, y los socios implementadores evaluaron la red binacional como más sostenible que cualquier proyecto individual porque es una infraestructura de relaciones y protocolos de la que múltiples actores se benefician.</w:t>
      </w:r>
    </w:p>
    <w:p w14:paraId="467B1E76" w14:textId="275561D2" w:rsidR="005E7595" w:rsidRPr="00E2532C" w:rsidRDefault="00EA5743" w:rsidP="005831BD">
      <w:pPr>
        <w:spacing w:line="240" w:lineRule="auto"/>
        <w:sectPr w:rsidR="005E7595" w:rsidRPr="00E2532C" w:rsidSect="005E7595">
          <w:type w:val="continuous"/>
          <w:pgSz w:w="12240" w:h="15840"/>
          <w:pgMar w:top="1440" w:right="1080" w:bottom="1440" w:left="1080" w:header="720" w:footer="252" w:gutter="0"/>
          <w:cols w:num="2" w:space="720"/>
          <w:docGrid w:linePitch="360"/>
        </w:sectPr>
      </w:pPr>
      <w:r>
        <w:rPr>
          <w:rFonts w:ascii="Aptos Display" w:hAnsi="Aptos Display"/>
        </w:rPr>
        <w:t>Ciertas</w:t>
      </w:r>
      <w:r w:rsidR="005E52AB" w:rsidRPr="00F754EF">
        <w:rPr>
          <w:rFonts w:ascii="Aptos Display" w:hAnsi="Aptos Display"/>
        </w:rPr>
        <w:t xml:space="preserve"> áreas tienen perspectivas bajas de sostenibilidad sin acción correctiva. </w:t>
      </w:r>
      <w:r w:rsidR="00A47E78" w:rsidRPr="00A47E78">
        <w:rPr>
          <w:rFonts w:ascii="Aptos Display" w:hAnsi="Aptos Display"/>
        </w:rPr>
        <w:t xml:space="preserve">El RUV y el SAT cuentan con desarrollo </w:t>
      </w:r>
      <w:proofErr w:type="spellStart"/>
      <w:r w:rsidR="00A47E78" w:rsidRPr="00A47E78">
        <w:rPr>
          <w:rFonts w:ascii="Aptos Display" w:hAnsi="Aptos Display"/>
        </w:rPr>
        <w:t>tecnico</w:t>
      </w:r>
      <w:proofErr w:type="spellEnd"/>
      <w:r w:rsidR="00A47E78" w:rsidRPr="00A47E78">
        <w:rPr>
          <w:rFonts w:ascii="Aptos Display" w:hAnsi="Aptos Display"/>
        </w:rPr>
        <w:t xml:space="preserve"> consolidado, aunque su </w:t>
      </w:r>
      <w:proofErr w:type="spellStart"/>
      <w:r w:rsidR="00A47E78" w:rsidRPr="00A47E78">
        <w:rPr>
          <w:rFonts w:ascii="Aptos Display" w:hAnsi="Aptos Display"/>
        </w:rPr>
        <w:t>operacionalizacion</w:t>
      </w:r>
      <w:proofErr w:type="spellEnd"/>
      <w:r w:rsidR="00A47E78" w:rsidRPr="00A47E78">
        <w:rPr>
          <w:rFonts w:ascii="Aptos Display" w:hAnsi="Aptos Display"/>
        </w:rPr>
        <w:t xml:space="preserve"> enfrenta incertidumbre sobre la vía institucional tras la </w:t>
      </w:r>
      <w:proofErr w:type="spellStart"/>
      <w:r w:rsidR="00A47E78" w:rsidRPr="00A47E78">
        <w:rPr>
          <w:rFonts w:ascii="Aptos Display" w:hAnsi="Aptos Display"/>
        </w:rPr>
        <w:t>reestructuracion</w:t>
      </w:r>
      <w:proofErr w:type="spellEnd"/>
      <w:r w:rsidR="00A47E78" w:rsidRPr="00A47E78">
        <w:rPr>
          <w:rFonts w:ascii="Aptos Display" w:hAnsi="Aptos Display"/>
        </w:rPr>
        <w:t xml:space="preserve"> del Ministerio de la Mujer y Derechos Humanos, requiriendo </w:t>
      </w:r>
      <w:proofErr w:type="spellStart"/>
      <w:r w:rsidR="00A47E78" w:rsidRPr="00A47E78">
        <w:rPr>
          <w:rFonts w:ascii="Aptos Display" w:hAnsi="Aptos Display"/>
        </w:rPr>
        <w:t>clarificacion</w:t>
      </w:r>
      <w:proofErr w:type="spellEnd"/>
      <w:r w:rsidR="00A47E78" w:rsidRPr="00A47E78">
        <w:rPr>
          <w:rFonts w:ascii="Aptos Display" w:hAnsi="Aptos Display"/>
        </w:rPr>
        <w:t xml:space="preserve"> de responsabilidades sectoriales para su plena </w:t>
      </w:r>
      <w:proofErr w:type="spellStart"/>
      <w:r w:rsidR="00A47E78" w:rsidRPr="00A47E78">
        <w:rPr>
          <w:rFonts w:ascii="Aptos Display" w:hAnsi="Aptos Display"/>
        </w:rPr>
        <w:t>activacion</w:t>
      </w:r>
      <w:proofErr w:type="spellEnd"/>
      <w:r w:rsidR="005E52AB" w:rsidRPr="00F754EF">
        <w:rPr>
          <w:rFonts w:ascii="Aptos Display" w:hAnsi="Aptos Display"/>
        </w:rPr>
        <w:t>.</w:t>
      </w:r>
      <w:r w:rsidR="005E52AB" w:rsidRPr="00F754EF">
        <w:t xml:space="preserve"> </w:t>
      </w:r>
      <w:r w:rsidR="005E52AB" w:rsidRPr="00F754EF">
        <w:rPr>
          <w:rFonts w:ascii="Aptos Display" w:hAnsi="Aptos Display"/>
        </w:rPr>
        <w:t xml:space="preserve">Ambos son legalmente obligatorios, por lo que la obligación legal sobrevive, pero la vía de operacionalización es incierta. Los avances en la economía del cuidado a nivel nacional son jurídicamente </w:t>
      </w:r>
      <w:r w:rsidR="003C33FF" w:rsidRPr="00F754EF">
        <w:rPr>
          <w:rFonts w:ascii="Aptos Display" w:hAnsi="Aptos Display"/>
        </w:rPr>
        <w:t>sólidos,</w:t>
      </w:r>
      <w:r w:rsidR="005E52AB" w:rsidRPr="00F754EF">
        <w:rPr>
          <w:rFonts w:ascii="Aptos Display" w:hAnsi="Aptos Display"/>
        </w:rPr>
        <w:t xml:space="preserve"> pero procedimentalmente </w:t>
      </w:r>
      <w:proofErr w:type="spellStart"/>
      <w:r w:rsidR="00A47E78">
        <w:rPr>
          <w:rFonts w:ascii="Aptos Display" w:hAnsi="Aptos Display"/>
        </w:rPr>
        <w:t>aun</w:t>
      </w:r>
      <w:proofErr w:type="spellEnd"/>
      <w:r w:rsidR="00A47E78">
        <w:rPr>
          <w:rFonts w:ascii="Aptos Display" w:hAnsi="Aptos Display"/>
        </w:rPr>
        <w:t xml:space="preserve"> no se cuenta con la</w:t>
      </w:r>
      <w:r w:rsidR="005E52AB" w:rsidRPr="00F754EF">
        <w:rPr>
          <w:rFonts w:ascii="Aptos Display" w:hAnsi="Aptos Display"/>
        </w:rPr>
        <w:t xml:space="preserve"> firma presidencial del reglamento de la Ley de Cuidados Humanos,</w:t>
      </w:r>
      <w:r w:rsidR="00A47E78">
        <w:rPr>
          <w:rFonts w:ascii="Aptos Display" w:hAnsi="Aptos Display"/>
        </w:rPr>
        <w:t xml:space="preserve"> por lo que</w:t>
      </w:r>
      <w:r w:rsidR="005E52AB" w:rsidRPr="00F754EF">
        <w:rPr>
          <w:rFonts w:ascii="Aptos Display" w:hAnsi="Aptos Display"/>
        </w:rPr>
        <w:t xml:space="preserve"> la arquitectura de coordinación prevista en la ley no puede activarse. Y el portafolio de empoderamiento económico de las mujeres, especialmente la vinculación </w:t>
      </w:r>
      <w:proofErr w:type="spellStart"/>
      <w:r w:rsidR="005E52AB" w:rsidRPr="00F754EF">
        <w:rPr>
          <w:rFonts w:ascii="Aptos Display" w:hAnsi="Aptos Display"/>
        </w:rPr>
        <w:t>WEPs</w:t>
      </w:r>
      <w:proofErr w:type="spellEnd"/>
      <w:r w:rsidR="005E52AB" w:rsidRPr="00F754EF">
        <w:rPr>
          <w:rFonts w:ascii="Aptos Display" w:hAnsi="Aptos Display"/>
        </w:rPr>
        <w:t xml:space="preserve">, es frágil por la brecha de continuidad del personal. </w:t>
      </w:r>
    </w:p>
    <w:p w14:paraId="0A14B255" w14:textId="77777777" w:rsidR="005412C7" w:rsidRDefault="005412C7" w:rsidP="005831BD">
      <w:pPr>
        <w:spacing w:line="240" w:lineRule="auto"/>
        <w:rPr>
          <w:rFonts w:ascii="Aptos Display" w:hAnsi="Aptos Display"/>
          <w:b/>
          <w:bCs/>
          <w:color w:val="FF0000"/>
          <w:sz w:val="24"/>
          <w:szCs w:val="24"/>
        </w:rPr>
      </w:pPr>
    </w:p>
    <w:p w14:paraId="0CBC214D" w14:textId="5C2171B9" w:rsidR="005E52AB" w:rsidRPr="00F754EF" w:rsidRDefault="005E52AB" w:rsidP="005831BD">
      <w:pPr>
        <w:spacing w:line="240" w:lineRule="auto"/>
      </w:pPr>
      <w:r w:rsidRPr="00F754EF">
        <w:rPr>
          <w:rFonts w:ascii="Aptos Display" w:hAnsi="Aptos Display"/>
          <w:b/>
          <w:bCs/>
          <w:color w:val="FF0000"/>
          <w:sz w:val="24"/>
          <w:szCs w:val="24"/>
        </w:rPr>
        <w:t>Hallazgo 16: El portafolio contribuyó a cambios transformadores en tres dominios específicos: el tratamiento del feminicidio como prioridad institucional, la economía del cuidado como agenda legítima de política social y la aparición de nuevas formas de agencia política de mujeres en contextos de crimen organizado. Estos cambios son cualitativamente significativos y cumplen un alto umbral de impacto sistémico. También son reversibles, y varios ya están bajo amenaza.</w:t>
      </w:r>
      <w:r w:rsidRPr="00F754EF">
        <w:rPr>
          <w:b/>
          <w:bCs/>
        </w:rPr>
        <w:t xml:space="preserve"> </w:t>
      </w:r>
    </w:p>
    <w:p w14:paraId="30386BF9" w14:textId="77777777" w:rsidR="005E7595" w:rsidRPr="00F754EF" w:rsidRDefault="005E7595" w:rsidP="005831BD">
      <w:pPr>
        <w:spacing w:line="240" w:lineRule="auto"/>
        <w:rPr>
          <w:rFonts w:ascii="Aptos Display" w:hAnsi="Aptos Display"/>
        </w:rPr>
        <w:sectPr w:rsidR="005E7595" w:rsidRPr="00F754EF" w:rsidSect="00371CB2">
          <w:type w:val="continuous"/>
          <w:pgSz w:w="12240" w:h="15840"/>
          <w:pgMar w:top="1440" w:right="1080" w:bottom="1440" w:left="1080" w:header="720" w:footer="252" w:gutter="0"/>
          <w:cols w:space="720"/>
          <w:docGrid w:linePitch="360"/>
        </w:sectPr>
      </w:pPr>
    </w:p>
    <w:p w14:paraId="28564457" w14:textId="77777777" w:rsidR="005E52AB" w:rsidRPr="00F754EF" w:rsidRDefault="005E52AB" w:rsidP="005831BD">
      <w:pPr>
        <w:spacing w:line="240" w:lineRule="auto"/>
      </w:pPr>
      <w:r w:rsidRPr="00F754EF">
        <w:rPr>
          <w:rFonts w:ascii="Aptos Display" w:hAnsi="Aptos Display"/>
        </w:rPr>
        <w:t xml:space="preserve">La evaluación aplica un estándar exigente para el cambio transformador: un cambio es transformador cuando altera sistemas, normas o relaciones de poder subyacentes de modo que crea nuevas </w:t>
      </w:r>
      <w:r w:rsidRPr="00F754EF">
        <w:rPr>
          <w:rFonts w:ascii="Aptos Display" w:hAnsi="Aptos Display"/>
        </w:rPr>
        <w:t xml:space="preserve">posibilidades que antes no existían, en lugar de producir mejores resultados dentro de sistemas existentes. Bajo este estándar, el portafolio </w:t>
      </w:r>
      <w:r w:rsidRPr="00F754EF">
        <w:rPr>
          <w:rFonts w:ascii="Aptos Display" w:hAnsi="Aptos Display"/>
        </w:rPr>
        <w:lastRenderedPageBreak/>
        <w:t>contribuyó a cambios transformadores en las siguientes áreas.</w:t>
      </w:r>
    </w:p>
    <w:p w14:paraId="10888E62" w14:textId="0994F84E" w:rsidR="005E52AB" w:rsidRPr="00F754EF" w:rsidRDefault="005E52AB" w:rsidP="005831BD">
      <w:pPr>
        <w:spacing w:line="240" w:lineRule="auto"/>
      </w:pPr>
      <w:r w:rsidRPr="00F754EF">
        <w:rPr>
          <w:rFonts w:ascii="Aptos Display" w:hAnsi="Aptos Display"/>
        </w:rPr>
        <w:t xml:space="preserve">Antes del trabajo del portafolio, el feminicidio estaba definido legalmente en </w:t>
      </w:r>
      <w:r w:rsidR="003C33FF" w:rsidRPr="00F754EF">
        <w:rPr>
          <w:rFonts w:ascii="Aptos Display" w:hAnsi="Aptos Display"/>
        </w:rPr>
        <w:t>Ecuador,</w:t>
      </w:r>
      <w:r w:rsidRPr="00F754EF">
        <w:rPr>
          <w:rFonts w:ascii="Aptos Display" w:hAnsi="Aptos Display"/>
        </w:rPr>
        <w:t xml:space="preserve"> pero tratado institucionalmente como una subcategoría de homicidio, sin protocolos de investigación específicos, perfiles de perpetradores ni mecanismos de alerta temprana. Al final del periodo de evaluación, la Policía Nacional contaba con un protocolo validado de investigación de feminicidio formado en 58.000 agentes, los fiscales tenían acceso a una herramienta de perfiles de perpetradores que no existía antes en la región, el sistema 911 de Guayaquil desagregaba datos de violencia de género por tipo, edad, etnia y relación víctima-perpetrador, y la normativa nacional para planes locales de seguridad hizo que la violencia de género fuera componente obligatorio de la planificación municipal por primera vez. Estos cambios representan un cambio sistémico en cómo </w:t>
      </w:r>
      <w:proofErr w:type="spellStart"/>
      <w:r w:rsidR="00B25B78">
        <w:rPr>
          <w:rFonts w:ascii="Aptos Display" w:hAnsi="Aptos Display"/>
        </w:rPr>
        <w:t>cietras</w:t>
      </w:r>
      <w:proofErr w:type="spellEnd"/>
      <w:r w:rsidR="00B25B78">
        <w:rPr>
          <w:rFonts w:ascii="Aptos Display" w:hAnsi="Aptos Display"/>
        </w:rPr>
        <w:t xml:space="preserve"> instituciones dentro del Estado</w:t>
      </w:r>
      <w:r w:rsidRPr="00F754EF">
        <w:rPr>
          <w:rFonts w:ascii="Aptos Display" w:hAnsi="Aptos Display"/>
        </w:rPr>
        <w:t xml:space="preserve"> reconoce</w:t>
      </w:r>
      <w:r w:rsidR="00B25B78">
        <w:rPr>
          <w:rFonts w:ascii="Aptos Display" w:hAnsi="Aptos Display"/>
        </w:rPr>
        <w:t>n</w:t>
      </w:r>
      <w:r w:rsidRPr="00F754EF">
        <w:rPr>
          <w:rFonts w:ascii="Aptos Display" w:hAnsi="Aptos Display"/>
        </w:rPr>
        <w:t xml:space="preserve"> y responde</w:t>
      </w:r>
      <w:r w:rsidR="00B25B78">
        <w:rPr>
          <w:rFonts w:ascii="Aptos Display" w:hAnsi="Aptos Display"/>
        </w:rPr>
        <w:t>n</w:t>
      </w:r>
      <w:r w:rsidRPr="00F754EF">
        <w:rPr>
          <w:rFonts w:ascii="Aptos Display" w:hAnsi="Aptos Display"/>
        </w:rPr>
        <w:t xml:space="preserve"> al feminicidio. El hecho de que la tasa de feminicidio empeorara durante el periodo refleja dinámicas de crimen organizado fuera del alcance del portafolio y demuestra precisamente por qué estos cambios institucionales importan.</w:t>
      </w:r>
    </w:p>
    <w:p w14:paraId="61CAF1BC" w14:textId="77777777" w:rsidR="005E52AB" w:rsidRPr="00F754EF" w:rsidRDefault="005E52AB" w:rsidP="005831BD">
      <w:pPr>
        <w:spacing w:line="240" w:lineRule="auto"/>
      </w:pPr>
      <w:r w:rsidRPr="00F754EF">
        <w:rPr>
          <w:rFonts w:ascii="Aptos Display" w:hAnsi="Aptos Display"/>
        </w:rPr>
        <w:t xml:space="preserve">Sobre violencia política, el Tribunal de Disputas Electorales emitió sus primeras sanciones monetarias por violencia política contra las mujeres en Ecuador durante el periodo de evaluación, los casos resueltos pasaron de 2 en 2020 a 13 en 2024, y el Tribunal institucionalizó la formación sobre el tema a través de un curso e-learning activo en todo el sistema judicial. Este tipo de cambio es difícil de revertir: una vez que una institución establece precedentes, invierte en formación y comienza a tratar una categoría como cognoscible, la lógica institucional de continuidad es más fuerte que la lógica de retroceso. En la economía del cuidado, la aprobación de la Ley de Cuidados Humanos (2023), el desarrollo de la primera dirección municipal de cuidados en Quito y el desarrollo de modelos de costos de cuidados para múltiples municipios representan un cambio conceptual de los cuidados como asistencia social a los cuidados como protección social. Varios entrevistados describieron este cambio en términos similares: una puerta que </w:t>
      </w:r>
      <w:r w:rsidRPr="00F754EF">
        <w:rPr>
          <w:rFonts w:ascii="Aptos Display" w:hAnsi="Aptos Display"/>
        </w:rPr>
        <w:t>antes no estaba abierta, ahora lo está. La pregunta para el próximo ciclo es si existen recursos y voluntad política suficientes para pasar por ella.</w:t>
      </w:r>
    </w:p>
    <w:p w14:paraId="41A8929D" w14:textId="77777777" w:rsidR="005E52AB" w:rsidRPr="00F754EF" w:rsidRDefault="005E52AB" w:rsidP="005831BD">
      <w:pPr>
        <w:spacing w:line="240" w:lineRule="auto"/>
      </w:pPr>
      <w:r w:rsidRPr="00F754EF">
        <w:rPr>
          <w:rFonts w:ascii="Aptos Display" w:hAnsi="Aptos Display"/>
        </w:rPr>
        <w:t>Uno de los resultados transformadores más significativos y menos anticipados fue la consolidación de la red de constructoras de paz de Guayaquil. Ciento cinco mujeres líderes de territorios urbanos, a través de un programa diseñado para el fortalecimiento institucional, se convirtieron en un actor colectivo genuino de seguridad. La red operaba en territorios de conflicto, creó canales de comunicación sobre actividad criminal que ninguna institución formal de seguridad podía acceder y se autoorganizó hasta establecer sus propios criterios de membresía, proceso presupuestario y reunión anual. Iniciativas culturales con jóvenes en Guayaquil generaron un resultado igualmente inesperado: organizaciones comunitarias que entraron como participantes del programa se convirtieron en actores cívicos activos que desarrollaron y presentaron sus propias propuestas al municipio y prefectura, proceso replicado en Quito.</w:t>
      </w:r>
    </w:p>
    <w:p w14:paraId="7B0D584A" w14:textId="709317E1" w:rsidR="005E52AB" w:rsidRPr="00F754EF" w:rsidRDefault="005E52AB" w:rsidP="005831BD">
      <w:pPr>
        <w:spacing w:line="240" w:lineRule="auto"/>
      </w:pPr>
      <w:r w:rsidRPr="00F754EF">
        <w:rPr>
          <w:rFonts w:ascii="Aptos Display" w:hAnsi="Aptos Display"/>
        </w:rPr>
        <w:t xml:space="preserve">Tres factores estructurales limitaron una transformación más amplia. El desmantelamiento del Ministerio de la Mujer y Derechos Humanos eliminó el anclaje institucional para la transversalización nacional de la igualdad de género, dejando sin entidad con mandato, presencia territorial y presupuesto para traducir avances normativos en prestación de servicios a escala. Los resultados más transformadores del portafolio se concentraron a nivel subnacional precisamente porque las instituciones nacionales </w:t>
      </w:r>
      <w:r w:rsidR="0036082C">
        <w:rPr>
          <w:rFonts w:ascii="Aptos Display" w:hAnsi="Aptos Display"/>
        </w:rPr>
        <w:t>enfrenta</w:t>
      </w:r>
      <w:r w:rsidR="00B752E0">
        <w:rPr>
          <w:rFonts w:ascii="Aptos Display" w:hAnsi="Aptos Display"/>
        </w:rPr>
        <w:t>ban un periodo de</w:t>
      </w:r>
      <w:r w:rsidRPr="00F754EF">
        <w:rPr>
          <w:rFonts w:ascii="Aptos Display" w:hAnsi="Aptos Display"/>
        </w:rPr>
        <w:t xml:space="preserve"> inestab</w:t>
      </w:r>
      <w:r w:rsidR="00B752E0">
        <w:rPr>
          <w:rFonts w:ascii="Aptos Display" w:hAnsi="Aptos Display"/>
        </w:rPr>
        <w:t>ilidad</w:t>
      </w:r>
      <w:r w:rsidRPr="00F754EF">
        <w:rPr>
          <w:rFonts w:ascii="Aptos Display" w:hAnsi="Aptos Display"/>
        </w:rPr>
        <w:t xml:space="preserve">. </w:t>
      </w:r>
      <w:r w:rsidR="0015157B">
        <w:rPr>
          <w:rFonts w:ascii="Aptos Display" w:hAnsi="Aptos Display"/>
        </w:rPr>
        <w:t>Finalmente, indicaciones en</w:t>
      </w:r>
      <w:r w:rsidRPr="00F754EF">
        <w:rPr>
          <w:rFonts w:ascii="Aptos Display" w:hAnsi="Aptos Display"/>
        </w:rPr>
        <w:t xml:space="preserve"> </w:t>
      </w:r>
      <w:r w:rsidR="0015157B">
        <w:rPr>
          <w:rFonts w:ascii="Aptos Display" w:hAnsi="Aptos Display"/>
        </w:rPr>
        <w:t>un</w:t>
      </w:r>
      <w:r w:rsidRPr="00F754EF">
        <w:rPr>
          <w:rFonts w:ascii="Aptos Display" w:hAnsi="Aptos Display"/>
        </w:rPr>
        <w:t xml:space="preserve"> espacio cívico en retroceso, incluyendo el acoso </w:t>
      </w:r>
      <w:r w:rsidR="00552776" w:rsidRPr="00F754EF">
        <w:rPr>
          <w:rFonts w:ascii="Aptos Display" w:hAnsi="Aptos Display"/>
        </w:rPr>
        <w:t xml:space="preserve">legal </w:t>
      </w:r>
      <w:r w:rsidR="00552776">
        <w:rPr>
          <w:rFonts w:ascii="Aptos Display" w:hAnsi="Aptos Display"/>
        </w:rPr>
        <w:t xml:space="preserve">documentado </w:t>
      </w:r>
      <w:r w:rsidRPr="00F754EF">
        <w:rPr>
          <w:rFonts w:ascii="Aptos Display" w:hAnsi="Aptos Display"/>
        </w:rPr>
        <w:t xml:space="preserve">a organizaciones de mujeres, presenta una </w:t>
      </w:r>
      <w:r w:rsidR="00B951FB">
        <w:rPr>
          <w:rFonts w:ascii="Aptos Display" w:hAnsi="Aptos Display"/>
        </w:rPr>
        <w:t>barrera</w:t>
      </w:r>
      <w:r w:rsidRPr="00F754EF">
        <w:rPr>
          <w:rFonts w:ascii="Aptos Display" w:hAnsi="Aptos Display"/>
        </w:rPr>
        <w:t xml:space="preserve"> estructural para la </w:t>
      </w:r>
      <w:r w:rsidR="00B951FB">
        <w:rPr>
          <w:rFonts w:ascii="Aptos Display" w:hAnsi="Aptos Display"/>
        </w:rPr>
        <w:t>sosteni</w:t>
      </w:r>
      <w:r w:rsidRPr="00F754EF">
        <w:rPr>
          <w:rFonts w:ascii="Aptos Display" w:hAnsi="Aptos Display"/>
        </w:rPr>
        <w:t xml:space="preserve">bilidad </w:t>
      </w:r>
      <w:r w:rsidR="00B951FB">
        <w:rPr>
          <w:rFonts w:ascii="Aptos Display" w:hAnsi="Aptos Display"/>
        </w:rPr>
        <w:t>d</w:t>
      </w:r>
      <w:r w:rsidRPr="00F754EF">
        <w:rPr>
          <w:rFonts w:ascii="Aptos Display" w:hAnsi="Aptos Display"/>
        </w:rPr>
        <w:t xml:space="preserve">el portafolio. </w:t>
      </w:r>
    </w:p>
    <w:p w14:paraId="3E6DCE6B" w14:textId="77777777" w:rsidR="00521521" w:rsidRPr="00F754EF" w:rsidRDefault="00521521" w:rsidP="005831BD">
      <w:pPr>
        <w:pStyle w:val="TITLEPAGE"/>
        <w:spacing w:after="120"/>
        <w:rPr>
          <w:lang w:val="es-ES"/>
        </w:rPr>
        <w:sectPr w:rsidR="00521521" w:rsidRPr="00F754EF" w:rsidSect="005E7595">
          <w:type w:val="continuous"/>
          <w:pgSz w:w="12240" w:h="15840"/>
          <w:pgMar w:top="1440" w:right="1080" w:bottom="1440" w:left="1080" w:header="720" w:footer="252" w:gutter="0"/>
          <w:cols w:num="2" w:space="720"/>
          <w:docGrid w:linePitch="360"/>
        </w:sectPr>
      </w:pPr>
    </w:p>
    <w:p w14:paraId="463112B6" w14:textId="77777777" w:rsidR="00E90618" w:rsidRPr="00F754EF" w:rsidRDefault="00E90618" w:rsidP="005831BD">
      <w:pPr>
        <w:pStyle w:val="Heading1"/>
        <w:spacing w:after="120"/>
        <w:rPr>
          <w:rStyle w:val="normaltextrun"/>
          <w:rFonts w:eastAsia="Times New Roman"/>
          <w:caps w:val="0"/>
          <w:lang w:val="es-ES"/>
        </w:rPr>
      </w:pPr>
      <w:bookmarkStart w:id="43" w:name="_Toc233830052"/>
      <w:r w:rsidRPr="00F754EF">
        <w:rPr>
          <w:rStyle w:val="normaltextrun"/>
          <w:rFonts w:eastAsia="Times New Roman"/>
          <w:caps w:val="0"/>
          <w:lang w:val="es-ES"/>
        </w:rPr>
        <w:lastRenderedPageBreak/>
        <w:t>SECCIÓN 5. LECCIONES APRENDIDAS</w:t>
      </w:r>
      <w:bookmarkEnd w:id="43"/>
      <w:r w:rsidRPr="00F754EF">
        <w:rPr>
          <w:rStyle w:val="normaltextrun"/>
          <w:rFonts w:eastAsia="Times New Roman"/>
          <w:caps w:val="0"/>
          <w:lang w:val="es-ES"/>
        </w:rPr>
        <w:t xml:space="preserve"> </w:t>
      </w:r>
    </w:p>
    <w:p w14:paraId="63A7B545" w14:textId="172F6F3E" w:rsidR="00E90618" w:rsidRPr="00F754EF" w:rsidRDefault="00E90618" w:rsidP="005831BD">
      <w:pPr>
        <w:spacing w:line="240" w:lineRule="auto"/>
      </w:pPr>
      <w:r w:rsidRPr="00F754EF">
        <w:rPr>
          <w:rFonts w:ascii="Aptos Display" w:hAnsi="Aptos Display"/>
          <w:b/>
          <w:bCs/>
          <w:color w:val="BF8F00"/>
          <w:sz w:val="24"/>
          <w:szCs w:val="24"/>
        </w:rPr>
        <w:t xml:space="preserve">Lección 1: </w:t>
      </w:r>
      <w:r w:rsidR="00D04ECA" w:rsidRPr="00D04ECA">
        <w:rPr>
          <w:rFonts w:ascii="Aptos Display" w:hAnsi="Aptos Display"/>
          <w:b/>
          <w:bCs/>
          <w:color w:val="BF8F00"/>
          <w:sz w:val="24"/>
          <w:szCs w:val="24"/>
        </w:rPr>
        <w:t>En contextos de inestabilidad política nacional, el anclaje normativo subnacional produce resultados más duraderos que la inversión institucional nacional</w:t>
      </w:r>
      <w:r w:rsidRPr="00F754EF">
        <w:rPr>
          <w:rFonts w:ascii="Aptos Display" w:hAnsi="Aptos Display"/>
          <w:b/>
          <w:bCs/>
          <w:color w:val="BF8F00"/>
          <w:sz w:val="24"/>
          <w:szCs w:val="24"/>
        </w:rPr>
        <w:t>.</w:t>
      </w:r>
      <w:r w:rsidRPr="00F754EF">
        <w:rPr>
          <w:b/>
          <w:bCs/>
        </w:rPr>
        <w:t xml:space="preserve"> </w:t>
      </w:r>
    </w:p>
    <w:p w14:paraId="7F930BEA" w14:textId="77777777" w:rsidR="005E7595" w:rsidRPr="00F754EF" w:rsidRDefault="005E7595" w:rsidP="005831BD">
      <w:pPr>
        <w:spacing w:line="240" w:lineRule="auto"/>
        <w:rPr>
          <w:rFonts w:ascii="Aptos Display" w:hAnsi="Aptos Display"/>
          <w:color w:val="auto"/>
        </w:rPr>
        <w:sectPr w:rsidR="005E7595" w:rsidRPr="00F754EF" w:rsidSect="005831BD">
          <w:pgSz w:w="12240" w:h="15840"/>
          <w:pgMar w:top="1440" w:right="1080" w:bottom="1440" w:left="1080" w:header="720" w:footer="490" w:gutter="0"/>
          <w:cols w:space="720"/>
          <w:docGrid w:linePitch="360"/>
        </w:sectPr>
      </w:pPr>
    </w:p>
    <w:p w14:paraId="2CCA4FAD" w14:textId="77777777" w:rsidR="00102FF2" w:rsidRDefault="003D6C4B" w:rsidP="005831BD">
      <w:pPr>
        <w:spacing w:line="240" w:lineRule="auto"/>
        <w:rPr>
          <w:rFonts w:ascii="Aptos Display" w:hAnsi="Aptos Display"/>
          <w:color w:val="auto"/>
        </w:rPr>
      </w:pPr>
      <w:r w:rsidRPr="003D6C4B">
        <w:rPr>
          <w:rFonts w:ascii="Aptos Display" w:hAnsi="Aptos Display"/>
          <w:color w:val="auto"/>
        </w:rPr>
        <w:t xml:space="preserve">Cuando la arquitectura institucional nacional para la igualdad de género se contrae o se vuelve políticamente inestable, los gobiernos subnacionales, los mecanismos de género locales y los actores judiciales pueden ofrecer puntos de entrada más estables para resultados sostenibles. </w:t>
      </w:r>
    </w:p>
    <w:p w14:paraId="0B96AB84" w14:textId="3060F867" w:rsidR="00E90618" w:rsidRPr="00F754EF" w:rsidRDefault="003D6C4B" w:rsidP="005831BD">
      <w:pPr>
        <w:spacing w:line="240" w:lineRule="auto"/>
      </w:pPr>
      <w:r w:rsidRPr="003D6C4B">
        <w:rPr>
          <w:rFonts w:ascii="Aptos Display" w:hAnsi="Aptos Display"/>
          <w:color w:val="auto"/>
        </w:rPr>
        <w:t xml:space="preserve">Los instrumentos normativos subnacionales crean obligaciones que sobreviven a administraciones específicas porque </w:t>
      </w:r>
      <w:r w:rsidR="0080428D">
        <w:rPr>
          <w:rFonts w:ascii="Aptos Display" w:hAnsi="Aptos Display"/>
          <w:color w:val="auto"/>
        </w:rPr>
        <w:t>modificarlos</w:t>
      </w:r>
      <w:r w:rsidRPr="003D6C4B">
        <w:rPr>
          <w:rFonts w:ascii="Aptos Display" w:hAnsi="Aptos Display"/>
          <w:color w:val="auto"/>
        </w:rPr>
        <w:t xml:space="preserve"> requiere un esfuerzo legislativo activo, mientras que las herramientas </w:t>
      </w:r>
      <w:r w:rsidRPr="003D6C4B">
        <w:rPr>
          <w:rFonts w:ascii="Aptos Display" w:hAnsi="Aptos Display"/>
          <w:color w:val="auto"/>
        </w:rPr>
        <w:t xml:space="preserve">nacionales pueden ser neutralizadas por inacción institucional. La evaluación muestra que los resultados más </w:t>
      </w:r>
      <w:r w:rsidR="00F159A9">
        <w:rPr>
          <w:rFonts w:ascii="Aptos Display" w:hAnsi="Aptos Display"/>
          <w:color w:val="auto"/>
        </w:rPr>
        <w:t>sostenibles</w:t>
      </w:r>
      <w:r w:rsidRPr="003D6C4B">
        <w:rPr>
          <w:rFonts w:ascii="Aptos Display" w:hAnsi="Aptos Display"/>
          <w:color w:val="auto"/>
        </w:rPr>
        <w:t xml:space="preserve"> del ciclo fueron aquellos integrados en gobiernos municipales con mandatos, presupuestos y contrapartes propias. En contextos </w:t>
      </w:r>
      <w:r w:rsidR="00E36064">
        <w:rPr>
          <w:rFonts w:ascii="Aptos Display" w:hAnsi="Aptos Display"/>
          <w:color w:val="auto"/>
        </w:rPr>
        <w:t>de cambios de las prioridades i</w:t>
      </w:r>
      <w:r w:rsidRPr="003D6C4B">
        <w:rPr>
          <w:rFonts w:ascii="Aptos Display" w:hAnsi="Aptos Display"/>
          <w:color w:val="auto"/>
        </w:rPr>
        <w:t>nstitucional</w:t>
      </w:r>
      <w:r w:rsidR="00E36064">
        <w:rPr>
          <w:rFonts w:ascii="Aptos Display" w:hAnsi="Aptos Display"/>
          <w:color w:val="auto"/>
        </w:rPr>
        <w:t>es</w:t>
      </w:r>
      <w:r w:rsidRPr="003D6C4B">
        <w:rPr>
          <w:rFonts w:ascii="Aptos Display" w:hAnsi="Aptos Display"/>
          <w:color w:val="auto"/>
        </w:rPr>
        <w:t xml:space="preserve"> nacional</w:t>
      </w:r>
      <w:r w:rsidR="00E36064">
        <w:rPr>
          <w:rFonts w:ascii="Aptos Display" w:hAnsi="Aptos Display"/>
          <w:color w:val="auto"/>
        </w:rPr>
        <w:t>es</w:t>
      </w:r>
      <w:r w:rsidRPr="003D6C4B">
        <w:rPr>
          <w:rFonts w:ascii="Aptos Display" w:hAnsi="Aptos Display"/>
          <w:color w:val="auto"/>
        </w:rPr>
        <w:t xml:space="preserve">, los puntos de entrada subnacionales </w:t>
      </w:r>
      <w:r w:rsidR="00BA113E">
        <w:rPr>
          <w:rFonts w:ascii="Aptos Display" w:hAnsi="Aptos Display"/>
          <w:color w:val="auto"/>
        </w:rPr>
        <w:t>se vuelven una</w:t>
      </w:r>
      <w:r w:rsidRPr="003D6C4B">
        <w:rPr>
          <w:rFonts w:ascii="Aptos Display" w:hAnsi="Aptos Display"/>
          <w:color w:val="auto"/>
        </w:rPr>
        <w:t xml:space="preserve"> elección estratégica principal. </w:t>
      </w:r>
    </w:p>
    <w:p w14:paraId="2E3E8F91" w14:textId="77777777" w:rsidR="00E90618" w:rsidRPr="00F754EF" w:rsidRDefault="00E90618" w:rsidP="005831BD">
      <w:pPr>
        <w:spacing w:line="240" w:lineRule="auto"/>
        <w:rPr>
          <w:b/>
          <w:bCs/>
        </w:rPr>
      </w:pPr>
      <w:r w:rsidRPr="00F754EF">
        <w:rPr>
          <w:rFonts w:ascii="Aptos Display" w:hAnsi="Aptos Display"/>
          <w:b/>
          <w:bCs/>
          <w:i/>
          <w:iCs/>
          <w:color w:val="auto"/>
        </w:rPr>
        <w:t>Basado en los hallazgos 1, 2, 6, 9, 15, 16.</w:t>
      </w:r>
      <w:r w:rsidRPr="00F754EF">
        <w:rPr>
          <w:b/>
          <w:bCs/>
          <w:i/>
          <w:iCs/>
        </w:rPr>
        <w:t xml:space="preserve"> </w:t>
      </w:r>
    </w:p>
    <w:p w14:paraId="473D15C1" w14:textId="77777777" w:rsidR="005E7595" w:rsidRPr="00F754EF" w:rsidRDefault="005E7595" w:rsidP="005831BD">
      <w:pPr>
        <w:spacing w:line="240" w:lineRule="auto"/>
        <w:rPr>
          <w:rFonts w:ascii="Aptos Display" w:hAnsi="Aptos Display"/>
          <w:b/>
          <w:bCs/>
          <w:color w:val="BF8F00"/>
          <w:sz w:val="24"/>
          <w:szCs w:val="24"/>
        </w:rPr>
        <w:sectPr w:rsidR="005E7595" w:rsidRPr="00F754EF" w:rsidSect="005E7595">
          <w:type w:val="continuous"/>
          <w:pgSz w:w="12240" w:h="15840"/>
          <w:pgMar w:top="1440" w:right="1080" w:bottom="1440" w:left="1080" w:header="720" w:footer="490" w:gutter="0"/>
          <w:cols w:num="2" w:space="720"/>
          <w:docGrid w:linePitch="360"/>
        </w:sectPr>
      </w:pPr>
    </w:p>
    <w:p w14:paraId="4AC158AA" w14:textId="77777777" w:rsidR="003D6C4B" w:rsidRDefault="003D6C4B" w:rsidP="005831BD">
      <w:pPr>
        <w:spacing w:line="240" w:lineRule="auto"/>
        <w:rPr>
          <w:rFonts w:ascii="Aptos Display" w:hAnsi="Aptos Display"/>
          <w:b/>
          <w:bCs/>
          <w:color w:val="BF8F00"/>
          <w:sz w:val="24"/>
          <w:szCs w:val="24"/>
        </w:rPr>
      </w:pPr>
    </w:p>
    <w:p w14:paraId="31167263" w14:textId="1EE81ADF" w:rsidR="00E90618" w:rsidRPr="00F754EF" w:rsidRDefault="00E90618" w:rsidP="005831BD">
      <w:pPr>
        <w:spacing w:line="240" w:lineRule="auto"/>
      </w:pPr>
      <w:r w:rsidRPr="00F754EF">
        <w:rPr>
          <w:rFonts w:ascii="Aptos Display" w:hAnsi="Aptos Display"/>
          <w:b/>
          <w:bCs/>
          <w:color w:val="BF8F00"/>
          <w:sz w:val="24"/>
          <w:szCs w:val="24"/>
        </w:rPr>
        <w:t>Lección 2:</w:t>
      </w:r>
      <w:r w:rsidRPr="00F754EF">
        <w:rPr>
          <w:b/>
          <w:bCs/>
        </w:rPr>
        <w:t xml:space="preserve"> </w:t>
      </w:r>
      <w:r w:rsidR="00A069F0" w:rsidRPr="00A069F0">
        <w:rPr>
          <w:rFonts w:ascii="Aptos Display" w:hAnsi="Aptos Display"/>
          <w:b/>
          <w:bCs/>
          <w:color w:val="BF8F00"/>
          <w:sz w:val="24"/>
          <w:szCs w:val="24"/>
        </w:rPr>
        <w:t>La preparación institucional es un requisito previo para la sostenibilidad técnica, independientemente de la calidad de la herramienta</w:t>
      </w:r>
      <w:r w:rsidRPr="00F754EF">
        <w:rPr>
          <w:rFonts w:ascii="Aptos Display" w:hAnsi="Aptos Display"/>
          <w:b/>
          <w:bCs/>
          <w:color w:val="BF8F00"/>
          <w:sz w:val="24"/>
          <w:szCs w:val="24"/>
        </w:rPr>
        <w:t>.</w:t>
      </w:r>
      <w:r w:rsidRPr="00F754EF">
        <w:rPr>
          <w:b/>
          <w:bCs/>
        </w:rPr>
        <w:t xml:space="preserve"> </w:t>
      </w:r>
    </w:p>
    <w:p w14:paraId="081323DE" w14:textId="77777777" w:rsidR="00C127A1" w:rsidRPr="00F754EF" w:rsidRDefault="00C127A1" w:rsidP="005831BD">
      <w:pPr>
        <w:spacing w:line="240" w:lineRule="auto"/>
        <w:rPr>
          <w:rFonts w:ascii="Aptos Display" w:hAnsi="Aptos Display"/>
        </w:rPr>
        <w:sectPr w:rsidR="00C127A1" w:rsidRPr="00F754EF" w:rsidSect="005E7595">
          <w:type w:val="continuous"/>
          <w:pgSz w:w="12240" w:h="15840"/>
          <w:pgMar w:top="1440" w:right="1080" w:bottom="1440" w:left="1080" w:header="720" w:footer="490" w:gutter="0"/>
          <w:cols w:space="720"/>
          <w:docGrid w:linePitch="360"/>
        </w:sectPr>
      </w:pPr>
    </w:p>
    <w:p w14:paraId="653124EB" w14:textId="4B07AC65" w:rsidR="00A15D6D" w:rsidRDefault="00E91DE1" w:rsidP="005831BD">
      <w:pPr>
        <w:spacing w:line="240" w:lineRule="auto"/>
      </w:pPr>
      <w:r w:rsidRPr="00E91DE1">
        <w:rPr>
          <w:rFonts w:ascii="Aptos Display" w:hAnsi="Aptos Display"/>
        </w:rPr>
        <w:t xml:space="preserve">Los productos técnicos generan resultados sostenibles cuando están anclados en una institución con mandato, capacidad y presupuesto para utilizarlos una vez que termina el apoyo externo. Donde ese anclaje no se asegura en la fase de diseño, la inversión queda en riesgo ante cambios institucionales, rotación de contrapartes o disolución de la entidad prevista como receptora. El mismo principio aplica cuando el conocimiento sobre </w:t>
      </w:r>
      <w:r w:rsidRPr="00E91DE1">
        <w:rPr>
          <w:rFonts w:ascii="Aptos Display" w:hAnsi="Aptos Display"/>
        </w:rPr>
        <w:t>metodologías reside en personas o socios implementadores sin mecanismos de transferencia</w:t>
      </w:r>
      <w:r w:rsidR="00C12421">
        <w:rPr>
          <w:rFonts w:ascii="Aptos Display" w:hAnsi="Aptos Display"/>
        </w:rPr>
        <w:t xml:space="preserve">, que vuelve </w:t>
      </w:r>
      <w:r w:rsidRPr="00E91DE1">
        <w:rPr>
          <w:rFonts w:ascii="Aptos Display" w:hAnsi="Aptos Display"/>
        </w:rPr>
        <w:t xml:space="preserve">la inversión en capacidades </w:t>
      </w:r>
      <w:r w:rsidR="00C12421">
        <w:rPr>
          <w:rFonts w:ascii="Aptos Display" w:hAnsi="Aptos Display"/>
        </w:rPr>
        <w:t>poco</w:t>
      </w:r>
      <w:r w:rsidRPr="00E91DE1">
        <w:rPr>
          <w:rFonts w:ascii="Aptos Display" w:hAnsi="Aptos Display"/>
        </w:rPr>
        <w:t xml:space="preserve"> transferible. Los futuros diseños de programa deben incluir una evaluación explícita de preparación institucional antes de comprometerse con el desarrollo técnico. </w:t>
      </w:r>
    </w:p>
    <w:p w14:paraId="39CEA698" w14:textId="6A875768" w:rsidR="00E90618" w:rsidRPr="00F754EF" w:rsidRDefault="00E90618" w:rsidP="005831BD">
      <w:pPr>
        <w:spacing w:line="240" w:lineRule="auto"/>
      </w:pPr>
      <w:r w:rsidRPr="00F754EF">
        <w:rPr>
          <w:rFonts w:ascii="Aptos Display" w:hAnsi="Aptos Display"/>
          <w:b/>
          <w:bCs/>
          <w:i/>
          <w:iCs/>
        </w:rPr>
        <w:t>Basado en los hallazgos 6, 8, 9, 15.</w:t>
      </w:r>
      <w:r w:rsidRPr="00F754EF">
        <w:rPr>
          <w:b/>
          <w:bCs/>
          <w:i/>
          <w:iCs/>
        </w:rPr>
        <w:t xml:space="preserve"> </w:t>
      </w:r>
    </w:p>
    <w:p w14:paraId="6153A4C8" w14:textId="77777777" w:rsidR="00C127A1" w:rsidRPr="00F754EF" w:rsidRDefault="00C127A1" w:rsidP="005831BD">
      <w:pPr>
        <w:spacing w:line="240" w:lineRule="auto"/>
        <w:rPr>
          <w:rFonts w:ascii="Aptos Display" w:hAnsi="Aptos Display"/>
          <w:b/>
          <w:bCs/>
          <w:color w:val="BF8F00"/>
          <w:sz w:val="24"/>
          <w:szCs w:val="24"/>
        </w:rPr>
        <w:sectPr w:rsidR="00C127A1" w:rsidRPr="00F754EF" w:rsidSect="00C127A1">
          <w:type w:val="continuous"/>
          <w:pgSz w:w="12240" w:h="15840"/>
          <w:pgMar w:top="1440" w:right="1080" w:bottom="1440" w:left="1080" w:header="720" w:footer="490" w:gutter="0"/>
          <w:cols w:num="2" w:space="720"/>
          <w:docGrid w:linePitch="360"/>
        </w:sectPr>
      </w:pPr>
    </w:p>
    <w:p w14:paraId="61252BB9" w14:textId="77777777" w:rsidR="009203F8" w:rsidRDefault="009203F8" w:rsidP="005831BD">
      <w:pPr>
        <w:spacing w:line="240" w:lineRule="auto"/>
        <w:rPr>
          <w:rFonts w:ascii="Aptos Display" w:hAnsi="Aptos Display"/>
          <w:b/>
          <w:bCs/>
          <w:color w:val="BF8F00"/>
          <w:sz w:val="24"/>
          <w:szCs w:val="24"/>
        </w:rPr>
      </w:pPr>
    </w:p>
    <w:p w14:paraId="47D9D894" w14:textId="480DBC28" w:rsidR="00E90618" w:rsidRPr="00F754EF" w:rsidRDefault="00E90618" w:rsidP="005831BD">
      <w:pPr>
        <w:spacing w:line="240" w:lineRule="auto"/>
      </w:pPr>
      <w:r w:rsidRPr="00F754EF">
        <w:rPr>
          <w:rFonts w:ascii="Aptos Display" w:hAnsi="Aptos Display"/>
          <w:b/>
          <w:bCs/>
          <w:color w:val="BF8F00"/>
          <w:sz w:val="24"/>
          <w:szCs w:val="24"/>
        </w:rPr>
        <w:t xml:space="preserve">Lección 3: </w:t>
      </w:r>
      <w:r w:rsidR="00BF17ED" w:rsidRPr="00BF17ED">
        <w:rPr>
          <w:rFonts w:ascii="Aptos Display" w:hAnsi="Aptos Display"/>
          <w:b/>
          <w:bCs/>
          <w:color w:val="BF8F00"/>
          <w:sz w:val="24"/>
          <w:szCs w:val="24"/>
        </w:rPr>
        <w:t>La continuidad del personal y la planificación de sucesión son activos programáticos con consecuencias directas para la calidad y continuidad de los resultados</w:t>
      </w:r>
      <w:r w:rsidRPr="00F754EF">
        <w:rPr>
          <w:rFonts w:ascii="Aptos Display" w:hAnsi="Aptos Display"/>
          <w:b/>
          <w:bCs/>
          <w:color w:val="BF8F00"/>
          <w:sz w:val="24"/>
          <w:szCs w:val="24"/>
        </w:rPr>
        <w:t>.</w:t>
      </w:r>
      <w:r w:rsidRPr="00F754EF">
        <w:rPr>
          <w:b/>
          <w:bCs/>
        </w:rPr>
        <w:t xml:space="preserve"> </w:t>
      </w:r>
    </w:p>
    <w:p w14:paraId="786AD5D8" w14:textId="77777777" w:rsidR="00703000" w:rsidRPr="00F754EF" w:rsidRDefault="00703000" w:rsidP="005831BD">
      <w:pPr>
        <w:spacing w:line="240" w:lineRule="auto"/>
        <w:rPr>
          <w:rFonts w:ascii="Aptos Display" w:hAnsi="Aptos Display"/>
          <w:color w:val="auto"/>
        </w:rPr>
        <w:sectPr w:rsidR="00703000" w:rsidRPr="00F754EF" w:rsidSect="005E7595">
          <w:type w:val="continuous"/>
          <w:pgSz w:w="12240" w:h="15840"/>
          <w:pgMar w:top="1440" w:right="1080" w:bottom="1440" w:left="1080" w:header="720" w:footer="490" w:gutter="0"/>
          <w:cols w:space="720"/>
          <w:docGrid w:linePitch="360"/>
        </w:sectPr>
      </w:pPr>
    </w:p>
    <w:p w14:paraId="695BE036" w14:textId="6E7B1029" w:rsidR="00E04DDE" w:rsidRDefault="00F7088E" w:rsidP="005831BD">
      <w:pPr>
        <w:spacing w:line="240" w:lineRule="auto"/>
      </w:pPr>
      <w:r w:rsidRPr="00F7088E">
        <w:rPr>
          <w:rFonts w:ascii="Aptos Display" w:hAnsi="Aptos Display"/>
          <w:color w:val="auto"/>
        </w:rPr>
        <w:t xml:space="preserve">En oficinas pequeñas, el conocimiento institucional, las relaciones con contrapartes y la lógica programática tienden a concentrarse en personas individuales en lugar de estar documentados en sistemas que sobrevivan a los cambios de personal. Cuando se producen vacantes — especialmente en puestos que concentran múltiples funciones estratégicas — las actividades se suspenden, la carga se redistribuye informalmente sobre personal </w:t>
      </w:r>
      <w:r w:rsidR="00350F48">
        <w:rPr>
          <w:rFonts w:ascii="Aptos Display" w:hAnsi="Aptos Display"/>
          <w:color w:val="auto"/>
        </w:rPr>
        <w:t>remanente</w:t>
      </w:r>
      <w:r w:rsidRPr="00F7088E">
        <w:rPr>
          <w:rFonts w:ascii="Aptos Display" w:hAnsi="Aptos Display"/>
          <w:color w:val="auto"/>
        </w:rPr>
        <w:t xml:space="preserve">, y las relaciones de confianza construidas durante años no pueden transferirse rápidamente. Esto es una consecuencia previsible de un diseño que no incorpora planificación de sucesión ni requisitos de gestión del conocimiento como condiciones estructurales del programa. </w:t>
      </w:r>
    </w:p>
    <w:p w14:paraId="6108E1F5" w14:textId="1327650A" w:rsidR="00E90618" w:rsidRPr="00F754EF" w:rsidRDefault="00E90618" w:rsidP="005831BD">
      <w:pPr>
        <w:spacing w:line="240" w:lineRule="auto"/>
      </w:pPr>
      <w:r w:rsidRPr="00F754EF">
        <w:rPr>
          <w:rFonts w:ascii="Aptos Display" w:hAnsi="Aptos Display"/>
          <w:b/>
          <w:bCs/>
          <w:i/>
          <w:iCs/>
          <w:color w:val="auto"/>
        </w:rPr>
        <w:t>Basado en los hallazgos 10, 13, 14, 15.</w:t>
      </w:r>
      <w:r w:rsidRPr="00F754EF">
        <w:rPr>
          <w:b/>
          <w:bCs/>
          <w:i/>
          <w:iCs/>
        </w:rPr>
        <w:t xml:space="preserve"> </w:t>
      </w:r>
    </w:p>
    <w:p w14:paraId="359AAED0" w14:textId="77777777" w:rsidR="00703000" w:rsidRPr="00F754EF" w:rsidRDefault="00703000" w:rsidP="005831BD">
      <w:pPr>
        <w:spacing w:line="240" w:lineRule="auto"/>
        <w:rPr>
          <w:rFonts w:ascii="Aptos Display" w:hAnsi="Aptos Display"/>
          <w:b/>
          <w:bCs/>
          <w:color w:val="BF8F00"/>
          <w:sz w:val="24"/>
          <w:szCs w:val="24"/>
        </w:rPr>
        <w:sectPr w:rsidR="00703000" w:rsidRPr="00F754EF" w:rsidSect="00703000">
          <w:type w:val="continuous"/>
          <w:pgSz w:w="12240" w:h="15840"/>
          <w:pgMar w:top="1440" w:right="1080" w:bottom="1440" w:left="1080" w:header="720" w:footer="490" w:gutter="0"/>
          <w:cols w:num="2" w:space="720"/>
          <w:docGrid w:linePitch="360"/>
        </w:sectPr>
      </w:pPr>
    </w:p>
    <w:p w14:paraId="3CF9D08B" w14:textId="77777777" w:rsidR="00E04DDE" w:rsidRDefault="00E04DDE" w:rsidP="005831BD">
      <w:pPr>
        <w:spacing w:line="240" w:lineRule="auto"/>
        <w:rPr>
          <w:rFonts w:ascii="Aptos Display" w:hAnsi="Aptos Display"/>
          <w:b/>
          <w:bCs/>
          <w:color w:val="BF8F00"/>
          <w:sz w:val="24"/>
          <w:szCs w:val="24"/>
        </w:rPr>
      </w:pPr>
    </w:p>
    <w:p w14:paraId="2CD16260" w14:textId="18DB439C" w:rsidR="00E90618" w:rsidRPr="00F754EF" w:rsidRDefault="00E90618" w:rsidP="005831BD">
      <w:pPr>
        <w:spacing w:line="240" w:lineRule="auto"/>
      </w:pPr>
      <w:r w:rsidRPr="00F754EF">
        <w:rPr>
          <w:rFonts w:ascii="Aptos Display" w:hAnsi="Aptos Display"/>
          <w:b/>
          <w:bCs/>
          <w:color w:val="BF8F00"/>
          <w:sz w:val="24"/>
          <w:szCs w:val="24"/>
        </w:rPr>
        <w:t xml:space="preserve">Lección 4: </w:t>
      </w:r>
      <w:r w:rsidR="00BD1EFB" w:rsidRPr="00BD1EFB">
        <w:rPr>
          <w:rFonts w:ascii="Aptos Display" w:hAnsi="Aptos Display"/>
          <w:b/>
          <w:bCs/>
          <w:color w:val="BF8F00"/>
          <w:sz w:val="24"/>
          <w:szCs w:val="24"/>
        </w:rPr>
        <w:t>Las organizaciones de la sociedad civil cumplen una función de rendición de cuentas para los resultados de igualdad de género que requiere inversión sistemática más allá de las alianzas de implementación</w:t>
      </w:r>
      <w:r w:rsidRPr="00F754EF">
        <w:rPr>
          <w:rFonts w:ascii="Aptos Display" w:hAnsi="Aptos Display"/>
          <w:b/>
          <w:bCs/>
          <w:color w:val="BF8F00"/>
          <w:sz w:val="24"/>
          <w:szCs w:val="24"/>
        </w:rPr>
        <w:t>.</w:t>
      </w:r>
      <w:r w:rsidRPr="00F754EF">
        <w:rPr>
          <w:b/>
          <w:bCs/>
        </w:rPr>
        <w:t xml:space="preserve"> </w:t>
      </w:r>
    </w:p>
    <w:p w14:paraId="451F2345" w14:textId="77777777" w:rsidR="00B317E4" w:rsidRPr="00F754EF" w:rsidRDefault="00B317E4" w:rsidP="005831BD">
      <w:pPr>
        <w:spacing w:line="240" w:lineRule="auto"/>
        <w:rPr>
          <w:rFonts w:ascii="Aptos Display" w:hAnsi="Aptos Display"/>
          <w:color w:val="auto"/>
        </w:rPr>
        <w:sectPr w:rsidR="00B317E4" w:rsidRPr="00F754EF" w:rsidSect="005E7595">
          <w:type w:val="continuous"/>
          <w:pgSz w:w="12240" w:h="15840"/>
          <w:pgMar w:top="1440" w:right="1080" w:bottom="1440" w:left="1080" w:header="720" w:footer="490" w:gutter="0"/>
          <w:cols w:space="720"/>
          <w:docGrid w:linePitch="360"/>
        </w:sectPr>
      </w:pPr>
    </w:p>
    <w:p w14:paraId="651FAEE3" w14:textId="6FEB9D6F" w:rsidR="00917C6A" w:rsidRPr="008645B9" w:rsidRDefault="00917C6A" w:rsidP="00917C6A">
      <w:pPr>
        <w:spacing w:line="240" w:lineRule="auto"/>
        <w:rPr>
          <w:rFonts w:ascii="Aptos Display" w:hAnsi="Aptos Display"/>
          <w:color w:val="auto"/>
          <w:lang w:val="es-MX"/>
        </w:rPr>
      </w:pPr>
      <w:r w:rsidRPr="008645B9">
        <w:rPr>
          <w:rFonts w:ascii="Aptos Display" w:hAnsi="Aptos Display"/>
          <w:color w:val="auto"/>
          <w:lang w:val="es-MX"/>
        </w:rPr>
        <w:lastRenderedPageBreak/>
        <w:t xml:space="preserve">Los avances normativos requieren presión social sostenida para traducirse en cambio real. Las organizaciones de la sociedad civil proveen esa presión, especialmente donde el compromiso gubernamental con la igualdad de género enfrenta resistencias institucionales. Cuando estas organizaciones son tratadas únicamente como socias implementadoras, su capacidad para ejercer funciones independientes de monitoreo y rendición de cuentas queda subordinada a la relación contractual. La evaluación muestra que los avances </w:t>
      </w:r>
      <w:r w:rsidRPr="008645B9">
        <w:rPr>
          <w:rFonts w:ascii="Aptos Display" w:hAnsi="Aptos Display"/>
          <w:color w:val="auto"/>
          <w:lang w:val="es-MX"/>
        </w:rPr>
        <w:t xml:space="preserve">más duraderos ocurrieron donde organizaciones con legitimidad propia, capacidad técnica y autonomía financiera continuaron exigiendo la implementación después de que terminó el apoyo directo. Su fortalecimiento como actoras de rendición de cuentas, con su propia teoría de cambio y recursos dedicados, es condición para la sostenibilidad de los resultados normativos. </w:t>
      </w:r>
    </w:p>
    <w:p w14:paraId="3CD5AC3B" w14:textId="4C65DF01" w:rsidR="00E90618" w:rsidRPr="00F754EF" w:rsidRDefault="00E90618" w:rsidP="00917C6A">
      <w:pPr>
        <w:spacing w:line="240" w:lineRule="auto"/>
      </w:pPr>
      <w:r w:rsidRPr="00F754EF">
        <w:rPr>
          <w:rFonts w:ascii="Aptos Display" w:hAnsi="Aptos Display"/>
          <w:b/>
          <w:bCs/>
          <w:i/>
          <w:iCs/>
          <w:color w:val="auto"/>
        </w:rPr>
        <w:t>Basado en los hallazgos 3, 5, 15, 16.</w:t>
      </w:r>
      <w:r w:rsidRPr="00F754EF">
        <w:rPr>
          <w:b/>
          <w:bCs/>
          <w:i/>
          <w:iCs/>
        </w:rPr>
        <w:t xml:space="preserve"> </w:t>
      </w:r>
    </w:p>
    <w:p w14:paraId="5698E402" w14:textId="77777777" w:rsidR="00B317E4" w:rsidRPr="00F754EF" w:rsidRDefault="00B317E4" w:rsidP="005831BD">
      <w:pPr>
        <w:spacing w:line="240" w:lineRule="auto"/>
        <w:rPr>
          <w:rFonts w:ascii="Aptos Display" w:hAnsi="Aptos Display"/>
          <w:b/>
          <w:bCs/>
          <w:color w:val="BF8F00"/>
          <w:sz w:val="24"/>
          <w:szCs w:val="24"/>
        </w:rPr>
        <w:sectPr w:rsidR="00B317E4" w:rsidRPr="00F754EF" w:rsidSect="00B317E4">
          <w:type w:val="continuous"/>
          <w:pgSz w:w="12240" w:h="15840"/>
          <w:pgMar w:top="1440" w:right="1080" w:bottom="1440" w:left="1080" w:header="720" w:footer="490" w:gutter="0"/>
          <w:cols w:num="2" w:space="720"/>
          <w:docGrid w:linePitch="360"/>
        </w:sectPr>
      </w:pPr>
    </w:p>
    <w:p w14:paraId="76A158D4" w14:textId="77777777" w:rsidR="00917C6A" w:rsidRDefault="00917C6A" w:rsidP="005831BD">
      <w:pPr>
        <w:spacing w:line="240" w:lineRule="auto"/>
        <w:rPr>
          <w:rFonts w:ascii="Aptos Display" w:hAnsi="Aptos Display"/>
          <w:b/>
          <w:bCs/>
          <w:color w:val="BF8F00"/>
          <w:sz w:val="24"/>
          <w:szCs w:val="24"/>
        </w:rPr>
      </w:pPr>
    </w:p>
    <w:p w14:paraId="6C3D1CF0" w14:textId="2F883871" w:rsidR="00E90618" w:rsidRPr="00F754EF" w:rsidRDefault="00E90618" w:rsidP="005831BD">
      <w:pPr>
        <w:spacing w:line="240" w:lineRule="auto"/>
      </w:pPr>
      <w:r w:rsidRPr="00F754EF">
        <w:rPr>
          <w:rFonts w:ascii="Aptos Display" w:hAnsi="Aptos Display"/>
          <w:b/>
          <w:bCs/>
          <w:color w:val="BF8F00"/>
          <w:sz w:val="24"/>
          <w:szCs w:val="24"/>
        </w:rPr>
        <w:t xml:space="preserve">Lección 5: </w:t>
      </w:r>
      <w:r w:rsidR="00B1309E" w:rsidRPr="00B1309E">
        <w:rPr>
          <w:rFonts w:ascii="Aptos Display" w:hAnsi="Aptos Display"/>
          <w:b/>
          <w:bCs/>
          <w:color w:val="BF8F00"/>
          <w:sz w:val="24"/>
          <w:szCs w:val="24"/>
        </w:rPr>
        <w:t>El cambio normativo y el cambio de comportamiento requieren intervenciones diferentes en escalas de tiempo distintas. Incorporarlos en una sola teoría de cambio produce marcos de resultados que no</w:t>
      </w:r>
      <w:r w:rsidR="00CF746B">
        <w:rPr>
          <w:rFonts w:ascii="Aptos Display" w:hAnsi="Aptos Display"/>
          <w:b/>
          <w:bCs/>
          <w:color w:val="BF8F00"/>
          <w:sz w:val="24"/>
          <w:szCs w:val="24"/>
        </w:rPr>
        <w:t xml:space="preserve"> siempre</w:t>
      </w:r>
      <w:r w:rsidR="00B1309E" w:rsidRPr="00B1309E">
        <w:rPr>
          <w:rFonts w:ascii="Aptos Display" w:hAnsi="Aptos Display"/>
          <w:b/>
          <w:bCs/>
          <w:color w:val="BF8F00"/>
          <w:sz w:val="24"/>
          <w:szCs w:val="24"/>
        </w:rPr>
        <w:t xml:space="preserve"> pueden demostrar transformación</w:t>
      </w:r>
      <w:r w:rsidRPr="00F754EF">
        <w:rPr>
          <w:rFonts w:ascii="Aptos Display" w:hAnsi="Aptos Display"/>
          <w:b/>
          <w:bCs/>
          <w:color w:val="BF8F00"/>
          <w:sz w:val="24"/>
          <w:szCs w:val="24"/>
        </w:rPr>
        <w:t>.</w:t>
      </w:r>
      <w:r w:rsidRPr="00F754EF">
        <w:rPr>
          <w:b/>
          <w:bCs/>
        </w:rPr>
        <w:t xml:space="preserve"> </w:t>
      </w:r>
    </w:p>
    <w:p w14:paraId="18CD982D" w14:textId="77777777" w:rsidR="00B317E4" w:rsidRPr="00F754EF" w:rsidRDefault="00B317E4" w:rsidP="005831BD">
      <w:pPr>
        <w:spacing w:line="240" w:lineRule="auto"/>
        <w:rPr>
          <w:rFonts w:ascii="Aptos Display" w:hAnsi="Aptos Display"/>
          <w:color w:val="auto"/>
        </w:rPr>
        <w:sectPr w:rsidR="00B317E4" w:rsidRPr="00F754EF" w:rsidSect="005E7595">
          <w:type w:val="continuous"/>
          <w:pgSz w:w="12240" w:h="15840"/>
          <w:pgMar w:top="1440" w:right="1080" w:bottom="1440" w:left="1080" w:header="720" w:footer="490" w:gutter="0"/>
          <w:cols w:space="720"/>
          <w:docGrid w:linePitch="360"/>
        </w:sectPr>
      </w:pPr>
    </w:p>
    <w:p w14:paraId="5248E846" w14:textId="660F052F" w:rsidR="00E90618" w:rsidRPr="00F754EF" w:rsidRDefault="00EE4623" w:rsidP="005831BD">
      <w:pPr>
        <w:spacing w:line="240" w:lineRule="auto"/>
      </w:pPr>
      <w:r w:rsidRPr="00EE4623">
        <w:rPr>
          <w:rFonts w:ascii="Aptos Display" w:hAnsi="Aptos Display"/>
          <w:color w:val="auto"/>
        </w:rPr>
        <w:t xml:space="preserve">El cambio normativo crea las condiciones necesarias para la transformación, pero no la produce automáticamente ni en el corto plazo, especialmente cuando factores contextuales — como dinámicas de crimen organizado o normas de masculinidad— operan en sentido contrario. Las teorías de cambio que asumen que el anclaje normativo catalizará automáticamente cambios de comportamiento a través de sistemas institucionales sobreestiman la </w:t>
      </w:r>
      <w:r w:rsidRPr="00EE4623">
        <w:rPr>
          <w:rFonts w:ascii="Aptos Display" w:hAnsi="Aptos Display"/>
          <w:color w:val="auto"/>
        </w:rPr>
        <w:t xml:space="preserve">velocidad de la transformación y dificultan la demostración de resultados dentro del ciclo programático. Las intervenciones orientadas a normas sociales y cambio generacional requieren enfoques especializados, horizontes temporales más largos, y marcos de resultados diferenciados. </w:t>
      </w:r>
    </w:p>
    <w:p w14:paraId="5203B718" w14:textId="2744A8D8" w:rsidR="003C33FF" w:rsidRPr="00F754EF" w:rsidRDefault="00E90618" w:rsidP="005831BD">
      <w:pPr>
        <w:spacing w:line="240" w:lineRule="auto"/>
        <w:rPr>
          <w:b/>
          <w:bCs/>
          <w:i/>
          <w:iCs/>
        </w:rPr>
      </w:pPr>
      <w:r w:rsidRPr="00F754EF">
        <w:rPr>
          <w:rFonts w:ascii="Aptos Display" w:hAnsi="Aptos Display"/>
          <w:b/>
          <w:bCs/>
          <w:i/>
          <w:iCs/>
          <w:color w:val="auto"/>
        </w:rPr>
        <w:t>Basado en los hallazgos 6, 7, 10, 11, 16.</w:t>
      </w:r>
      <w:r w:rsidRPr="00F754EF">
        <w:rPr>
          <w:b/>
          <w:bCs/>
          <w:i/>
          <w:iCs/>
        </w:rPr>
        <w:t xml:space="preserve"> </w:t>
      </w:r>
    </w:p>
    <w:p w14:paraId="2253C789" w14:textId="77777777" w:rsidR="00B317E4" w:rsidRPr="00F754EF" w:rsidRDefault="00B317E4" w:rsidP="005831BD">
      <w:pPr>
        <w:suppressAutoHyphens w:val="0"/>
        <w:autoSpaceDE/>
        <w:autoSpaceDN/>
        <w:adjustRightInd/>
        <w:spacing w:line="240" w:lineRule="auto"/>
        <w:jc w:val="left"/>
        <w:rPr>
          <w:i/>
          <w:iCs/>
        </w:rPr>
        <w:sectPr w:rsidR="00B317E4" w:rsidRPr="00F754EF" w:rsidSect="00B317E4">
          <w:type w:val="continuous"/>
          <w:pgSz w:w="12240" w:h="15840"/>
          <w:pgMar w:top="1440" w:right="1080" w:bottom="1440" w:left="1080" w:header="720" w:footer="490" w:gutter="0"/>
          <w:cols w:num="2" w:space="720"/>
          <w:docGrid w:linePitch="360"/>
        </w:sectPr>
      </w:pPr>
    </w:p>
    <w:p w14:paraId="5AF4A0C0" w14:textId="77777777" w:rsidR="00EE4623" w:rsidRDefault="00EE4623">
      <w:pPr>
        <w:suppressAutoHyphens w:val="0"/>
        <w:autoSpaceDE/>
        <w:autoSpaceDN/>
        <w:adjustRightInd/>
        <w:spacing w:after="160" w:line="259" w:lineRule="auto"/>
        <w:jc w:val="left"/>
        <w:rPr>
          <w:rStyle w:val="normaltextrun"/>
          <w:rFonts w:ascii="Aptos Display" w:eastAsia="Times New Roman" w:hAnsi="Aptos Display" w:cs="Gotham-Book"/>
          <w:b/>
          <w:bCs/>
          <w:color w:val="009CDB"/>
          <w:sz w:val="48"/>
          <w:szCs w:val="58"/>
          <w:u w:val="thick"/>
        </w:rPr>
      </w:pPr>
      <w:r>
        <w:rPr>
          <w:rStyle w:val="normaltextrun"/>
          <w:rFonts w:eastAsia="Times New Roman"/>
          <w:caps/>
        </w:rPr>
        <w:br w:type="page"/>
      </w:r>
    </w:p>
    <w:p w14:paraId="7394029C" w14:textId="77777777" w:rsidR="00E90618" w:rsidRPr="00F754EF" w:rsidRDefault="00E90618" w:rsidP="00AD49B5">
      <w:pPr>
        <w:pStyle w:val="Heading1"/>
        <w:spacing w:before="0" w:after="0"/>
        <w:rPr>
          <w:rStyle w:val="normaltextrun"/>
          <w:rFonts w:eastAsia="Times New Roman"/>
          <w:caps w:val="0"/>
          <w:lang w:val="es-ES"/>
        </w:rPr>
      </w:pPr>
      <w:bookmarkStart w:id="44" w:name="_Toc233830053"/>
      <w:r w:rsidRPr="00F754EF">
        <w:rPr>
          <w:rStyle w:val="normaltextrun"/>
          <w:rFonts w:eastAsia="Times New Roman"/>
          <w:caps w:val="0"/>
          <w:lang w:val="es-ES"/>
        </w:rPr>
        <w:lastRenderedPageBreak/>
        <w:t>SECCIÓN 6. CONCLUSIONES</w:t>
      </w:r>
      <w:bookmarkEnd w:id="44"/>
      <w:r w:rsidRPr="00F754EF">
        <w:rPr>
          <w:rStyle w:val="normaltextrun"/>
          <w:rFonts w:eastAsia="Times New Roman"/>
          <w:caps w:val="0"/>
          <w:lang w:val="es-ES"/>
        </w:rPr>
        <w:t xml:space="preserve"> </w:t>
      </w:r>
    </w:p>
    <w:p w14:paraId="10351449" w14:textId="330690DE" w:rsidR="00E90618" w:rsidRPr="00F754EF" w:rsidRDefault="00E90618" w:rsidP="00AD49B5">
      <w:pPr>
        <w:pStyle w:val="redemphasistext0"/>
        <w:spacing w:before="0" w:beforeAutospacing="0" w:after="0" w:afterAutospacing="0"/>
        <w:jc w:val="both"/>
      </w:pPr>
      <w:r w:rsidRPr="00F754EF">
        <w:rPr>
          <w:rFonts w:ascii="Aptos Display" w:hAnsi="Aptos Display"/>
          <w:b/>
          <w:bCs/>
          <w:color w:val="1F4E79"/>
        </w:rPr>
        <w:t xml:space="preserve">Conclusión 1: </w:t>
      </w:r>
      <w:bookmarkStart w:id="45" w:name="_Hlk228404159"/>
      <w:r w:rsidR="002D4B89" w:rsidRPr="002D4B89">
        <w:rPr>
          <w:rFonts w:ascii="Aptos Display" w:hAnsi="Aptos Display"/>
          <w:b/>
          <w:bCs/>
          <w:color w:val="1F4E79"/>
        </w:rPr>
        <w:t xml:space="preserve">El portafolio logró </w:t>
      </w:r>
      <w:r w:rsidR="009502E6">
        <w:rPr>
          <w:rFonts w:ascii="Aptos Display" w:hAnsi="Aptos Display"/>
          <w:b/>
          <w:bCs/>
          <w:color w:val="1F4E79"/>
        </w:rPr>
        <w:t>mejores</w:t>
      </w:r>
      <w:r w:rsidR="002D4B89" w:rsidRPr="002D4B89">
        <w:rPr>
          <w:rFonts w:ascii="Aptos Display" w:hAnsi="Aptos Display"/>
          <w:b/>
          <w:bCs/>
          <w:color w:val="1F4E79"/>
        </w:rPr>
        <w:t xml:space="preserve"> resultados cuando aplicó una lógica consistente</w:t>
      </w:r>
      <w:r w:rsidR="00DC0927">
        <w:rPr>
          <w:rFonts w:ascii="Aptos Display" w:hAnsi="Aptos Display"/>
          <w:b/>
          <w:bCs/>
          <w:color w:val="1F4E79"/>
        </w:rPr>
        <w:t xml:space="preserve"> </w:t>
      </w:r>
      <w:r w:rsidR="0044631E" w:rsidRPr="003A3913">
        <w:rPr>
          <w:rFonts w:ascii="Aptos Display" w:hAnsi="Aptos Display"/>
          <w:b/>
          <w:bCs/>
          <w:color w:val="1F4E79"/>
        </w:rPr>
        <w:t>que combinó tres condiciones identificadas en los hallazgos: el anclaje normativo en instrumentos vinculantes, la inversión operacional para operacionalizar esos instrumentos, y el fortalecimiento de la sociedad civil como custodio de largo plazo de los resultados.</w:t>
      </w:r>
      <w:r w:rsidR="00DC0927" w:rsidRPr="003A3913">
        <w:rPr>
          <w:rFonts w:ascii="Aptos Display" w:hAnsi="Aptos Display"/>
          <w:b/>
          <w:bCs/>
          <w:color w:val="1F4E79"/>
        </w:rPr>
        <w:t xml:space="preserve"> </w:t>
      </w:r>
      <w:r w:rsidR="002D4B89" w:rsidRPr="002D4B89">
        <w:rPr>
          <w:rFonts w:ascii="Aptos Display" w:hAnsi="Aptos Display"/>
          <w:b/>
          <w:bCs/>
          <w:color w:val="1F4E79"/>
        </w:rPr>
        <w:t>Cuando algún elemento de esta secuencia estuvo ausente o insuficientemente financiado, los resultados fueron menos duraderos</w:t>
      </w:r>
      <w:bookmarkEnd w:id="45"/>
      <w:r w:rsidRPr="00F754EF">
        <w:rPr>
          <w:rFonts w:ascii="Aptos Display" w:hAnsi="Aptos Display"/>
          <w:b/>
          <w:bCs/>
          <w:color w:val="1F4E79"/>
        </w:rPr>
        <w:t>.</w:t>
      </w:r>
      <w:r w:rsidRPr="00F754EF">
        <w:rPr>
          <w:b/>
          <w:bCs/>
        </w:rPr>
        <w:t xml:space="preserve"> </w:t>
      </w:r>
    </w:p>
    <w:p w14:paraId="5705CB1F" w14:textId="77777777" w:rsidR="006F33EA" w:rsidRPr="00F754EF" w:rsidRDefault="006F33EA" w:rsidP="00AD49B5">
      <w:pPr>
        <w:pStyle w:val="redemphasistext0"/>
        <w:spacing w:before="0" w:beforeAutospacing="0" w:after="0" w:afterAutospacing="0"/>
        <w:jc w:val="both"/>
        <w:rPr>
          <w:rFonts w:ascii="Aptos Display" w:hAnsi="Aptos Display"/>
          <w:sz w:val="22"/>
          <w:szCs w:val="22"/>
        </w:rPr>
        <w:sectPr w:rsidR="006F33EA" w:rsidRPr="00F754EF" w:rsidSect="005E7595">
          <w:type w:val="continuous"/>
          <w:pgSz w:w="12240" w:h="15840"/>
          <w:pgMar w:top="1440" w:right="1080" w:bottom="1440" w:left="1080" w:header="720" w:footer="490" w:gutter="0"/>
          <w:cols w:space="720"/>
          <w:docGrid w:linePitch="360"/>
        </w:sectPr>
      </w:pPr>
    </w:p>
    <w:p w14:paraId="494C803E" w14:textId="28348B24" w:rsidR="00E90618" w:rsidRPr="008645B9" w:rsidRDefault="007B2123" w:rsidP="00AD49B5">
      <w:pPr>
        <w:pStyle w:val="redemphasistext0"/>
        <w:spacing w:before="0" w:beforeAutospacing="0" w:after="0" w:afterAutospacing="0"/>
        <w:jc w:val="both"/>
        <w:rPr>
          <w:rFonts w:ascii="Aptos Display" w:hAnsi="Aptos Display"/>
          <w:lang w:val="es-MX"/>
        </w:rPr>
      </w:pPr>
      <w:r w:rsidRPr="008645B9">
        <w:rPr>
          <w:rFonts w:ascii="Aptos Display" w:hAnsi="Aptos Display"/>
          <w:lang w:val="es-MX"/>
        </w:rPr>
        <w:t xml:space="preserve">La evaluación identifica un mecanismo común en los logros más significativos del ciclo: la credibilidad normativa de la Oficina creó anclajes institucionales, la inversión programática los operacionalizó a través de herramientas y capacidades, y la sociedad civil o los gobiernos locales asumieron la custodia a largo plazo. Donde esta secuencia se completó, los resultados demostraron resiliencia frente a </w:t>
      </w:r>
      <w:r w:rsidRPr="008645B9">
        <w:rPr>
          <w:rFonts w:ascii="Aptos Display" w:hAnsi="Aptos Display"/>
          <w:lang w:val="es-MX"/>
        </w:rPr>
        <w:t>cambios de gobierno y rotación de contrapartes. Donde uno o más elementos estuvieron ausentes, los productos técnicos quedaron fragmentados o sin hogar institucional. La teoría de cambio del portafolio operó de manera intuitiva y parcialmente efectiva, pero al no ser explícita, la asignación de recursos no siempre cubrió los tres elementos de manera simultánea</w:t>
      </w:r>
      <w:r w:rsidR="00E90618" w:rsidRPr="00F754EF">
        <w:rPr>
          <w:rFonts w:ascii="Aptos Display" w:hAnsi="Aptos Display"/>
          <w:sz w:val="22"/>
          <w:szCs w:val="22"/>
        </w:rPr>
        <w:t>.</w:t>
      </w:r>
    </w:p>
    <w:p w14:paraId="715DB484" w14:textId="66A80CD1" w:rsidR="00A93422" w:rsidRPr="00F754EF" w:rsidRDefault="00E90618" w:rsidP="00AD49B5">
      <w:pPr>
        <w:pStyle w:val="redemphasistext0"/>
        <w:spacing w:before="0" w:beforeAutospacing="0" w:after="0" w:afterAutospacing="0"/>
        <w:jc w:val="both"/>
        <w:rPr>
          <w:b/>
          <w:bCs/>
          <w:i/>
          <w:iCs/>
        </w:rPr>
      </w:pPr>
      <w:r w:rsidRPr="00F754EF">
        <w:rPr>
          <w:rFonts w:ascii="Aptos Display" w:hAnsi="Aptos Display"/>
          <w:b/>
          <w:bCs/>
          <w:i/>
          <w:iCs/>
          <w:sz w:val="22"/>
          <w:szCs w:val="22"/>
        </w:rPr>
        <w:t>Basado en los hallazgos 1, 6, 7, 9, 10, 15, 16</w:t>
      </w:r>
      <w:r w:rsidRPr="00F754EF">
        <w:rPr>
          <w:b/>
          <w:bCs/>
          <w:i/>
          <w:iCs/>
        </w:rPr>
        <w:t xml:space="preserve"> </w:t>
      </w:r>
    </w:p>
    <w:p w14:paraId="144E5B07" w14:textId="77777777" w:rsidR="006F33EA" w:rsidRPr="00F754EF" w:rsidRDefault="006F33EA" w:rsidP="00AD49B5">
      <w:pPr>
        <w:pStyle w:val="redemphasistext0"/>
        <w:spacing w:before="0" w:beforeAutospacing="0" w:after="0" w:afterAutospacing="0"/>
        <w:jc w:val="both"/>
        <w:rPr>
          <w:rFonts w:ascii="Aptos Display" w:hAnsi="Aptos Display"/>
          <w:b/>
          <w:bCs/>
          <w:color w:val="1F4E79"/>
        </w:rPr>
        <w:sectPr w:rsidR="006F33EA" w:rsidRPr="00F754EF" w:rsidSect="006F33EA">
          <w:type w:val="continuous"/>
          <w:pgSz w:w="12240" w:h="15840"/>
          <w:pgMar w:top="1440" w:right="1080" w:bottom="1440" w:left="1080" w:header="720" w:footer="490" w:gutter="0"/>
          <w:cols w:num="2" w:space="720"/>
          <w:docGrid w:linePitch="360"/>
        </w:sectPr>
      </w:pPr>
    </w:p>
    <w:p w14:paraId="28AE2B16" w14:textId="77777777" w:rsidR="006F33EA" w:rsidRPr="00F754EF" w:rsidRDefault="006F33EA" w:rsidP="00AD49B5">
      <w:pPr>
        <w:pStyle w:val="redemphasistext0"/>
        <w:spacing w:before="0" w:beforeAutospacing="0" w:after="0" w:afterAutospacing="0"/>
        <w:jc w:val="both"/>
        <w:rPr>
          <w:rFonts w:ascii="Aptos Display" w:hAnsi="Aptos Display"/>
          <w:b/>
          <w:bCs/>
          <w:color w:val="1F4E79"/>
        </w:rPr>
      </w:pPr>
    </w:p>
    <w:p w14:paraId="3CB7B060" w14:textId="56F25480" w:rsidR="006F33EA" w:rsidRPr="00F754EF" w:rsidRDefault="00E90618" w:rsidP="00AD49B5">
      <w:pPr>
        <w:pStyle w:val="redemphasistext0"/>
        <w:spacing w:before="0" w:beforeAutospacing="0" w:after="0" w:afterAutospacing="0"/>
        <w:jc w:val="both"/>
        <w:rPr>
          <w:rFonts w:ascii="Aptos Display" w:hAnsi="Aptos Display"/>
          <w:sz w:val="22"/>
          <w:szCs w:val="22"/>
        </w:rPr>
        <w:sectPr w:rsidR="006F33EA" w:rsidRPr="00F754EF" w:rsidSect="005E7595">
          <w:type w:val="continuous"/>
          <w:pgSz w:w="12240" w:h="15840"/>
          <w:pgMar w:top="1440" w:right="1080" w:bottom="1440" w:left="1080" w:header="720" w:footer="490" w:gutter="0"/>
          <w:cols w:space="720"/>
          <w:docGrid w:linePitch="360"/>
        </w:sectPr>
      </w:pPr>
      <w:r w:rsidRPr="00F754EF">
        <w:rPr>
          <w:rFonts w:ascii="Aptos Display" w:hAnsi="Aptos Display"/>
          <w:b/>
          <w:bCs/>
          <w:color w:val="1F4E79"/>
        </w:rPr>
        <w:t xml:space="preserve">Conclusión 2: </w:t>
      </w:r>
      <w:bookmarkStart w:id="46" w:name="_Hlk228404192"/>
      <w:r w:rsidR="00CA0A1D" w:rsidRPr="00CA0A1D">
        <w:rPr>
          <w:rFonts w:ascii="Aptos Display" w:hAnsi="Aptos Display"/>
          <w:b/>
          <w:bCs/>
          <w:color w:val="1F4E79"/>
        </w:rPr>
        <w:t xml:space="preserve">La Oficina aprovechó su triple mandato de forma efectiva durante un ciclo </w:t>
      </w:r>
      <w:proofErr w:type="spellStart"/>
      <w:proofErr w:type="gramStart"/>
      <w:r w:rsidR="00CA0A1D" w:rsidRPr="00CA0A1D">
        <w:rPr>
          <w:rFonts w:ascii="Aptos Display" w:hAnsi="Aptos Display"/>
          <w:b/>
          <w:bCs/>
          <w:color w:val="1F4E79"/>
        </w:rPr>
        <w:t>turbulento,</w:t>
      </w:r>
      <w:r w:rsidR="00B1662B" w:rsidRPr="004E72D5">
        <w:rPr>
          <w:rFonts w:ascii="Aptos Display" w:hAnsi="Aptos Display"/>
        </w:rPr>
        <w:t>pero</w:t>
      </w:r>
      <w:proofErr w:type="spellEnd"/>
      <w:proofErr w:type="gramEnd"/>
      <w:r w:rsidR="00B1662B" w:rsidRPr="004E72D5">
        <w:rPr>
          <w:rFonts w:ascii="Aptos Display" w:hAnsi="Aptos Display"/>
        </w:rPr>
        <w:t xml:space="preserve"> sostener ese desempeño generó demandas significativas sobre el personal, </w:t>
      </w:r>
      <w:r w:rsidR="00B1662B">
        <w:rPr>
          <w:rFonts w:ascii="Aptos Display" w:hAnsi="Aptos Display"/>
        </w:rPr>
        <w:t xml:space="preserve">mostrando </w:t>
      </w:r>
      <w:r w:rsidR="00B1662B" w:rsidRPr="004E72D5">
        <w:rPr>
          <w:rFonts w:ascii="Aptos Display" w:hAnsi="Aptos Display"/>
        </w:rPr>
        <w:t>una brecha de capacidad estructural que requiere atención en el próximo ciclo</w:t>
      </w:r>
      <w:r w:rsidR="00B1662B">
        <w:rPr>
          <w:rFonts w:ascii="Aptos Display" w:hAnsi="Aptos Display"/>
        </w:rPr>
        <w:t>.</w:t>
      </w:r>
      <w:r w:rsidR="00B1662B" w:rsidRPr="00CA0A1D" w:rsidDel="00B1662B">
        <w:rPr>
          <w:rFonts w:ascii="Aptos Display" w:hAnsi="Aptos Display"/>
          <w:b/>
          <w:bCs/>
          <w:color w:val="1F4E79"/>
        </w:rPr>
        <w:t xml:space="preserve"> </w:t>
      </w:r>
      <w:bookmarkEnd w:id="46"/>
    </w:p>
    <w:p w14:paraId="25FC2DFC" w14:textId="2475995E" w:rsidR="00E90618" w:rsidRPr="008645B9" w:rsidRDefault="00BB7584" w:rsidP="00AD49B5">
      <w:pPr>
        <w:pStyle w:val="redemphasistext0"/>
        <w:spacing w:before="0" w:beforeAutospacing="0" w:after="0" w:afterAutospacing="0"/>
        <w:jc w:val="both"/>
        <w:rPr>
          <w:rFonts w:ascii="Aptos Display" w:hAnsi="Aptos Display"/>
          <w:lang w:val="es-MX"/>
        </w:rPr>
      </w:pPr>
      <w:r w:rsidRPr="008645B9">
        <w:rPr>
          <w:rFonts w:ascii="Aptos Display" w:hAnsi="Aptos Display"/>
          <w:lang w:val="es-MX"/>
        </w:rPr>
        <w:t xml:space="preserve">La capacidad de ONU Mujeres Ecuador para integrar funciones normativas, de coordinación y operacionales produjo resultados que ninguna organización de mandato único podría haber replicado, y fue identificada por socios de todos los grupos como la principal ventaja comparativa de la Oficina. Sin embargo, la evaluación encuentra que el cumplimiento de este mandato descansó en un equipo reducido que operó a una intensidad poco sostenible, con vacantes de liderazgo durante períodos críticos y sin </w:t>
      </w:r>
      <w:r w:rsidRPr="008645B9">
        <w:rPr>
          <w:rFonts w:ascii="Aptos Display" w:hAnsi="Aptos Display"/>
          <w:lang w:val="es-MX"/>
        </w:rPr>
        <w:t>mecanismos de sucesión o gestión del conocimiento que absorbieran los cambios de personal sin consecuencias programáticas. La conclusión no es que deba reducirse la ambición del mandato, sino que su ejercicio efectivo requiere un modelo de personal y recursos diseñado para sostenerlo. Sin abordar este desajuste estructural, el riesgo institucional continuará trasladándose a personas en lugar de ser gestionado por sistemas</w:t>
      </w:r>
      <w:r w:rsidR="00E90618" w:rsidRPr="00F754EF">
        <w:rPr>
          <w:rFonts w:ascii="Aptos Display" w:hAnsi="Aptos Display"/>
          <w:sz w:val="22"/>
          <w:szCs w:val="22"/>
        </w:rPr>
        <w:t>.</w:t>
      </w:r>
    </w:p>
    <w:p w14:paraId="567CDD6F" w14:textId="77777777" w:rsidR="00E90618" w:rsidRPr="00F754EF" w:rsidRDefault="00E90618" w:rsidP="00AD49B5">
      <w:pPr>
        <w:pStyle w:val="redemphasistext0"/>
        <w:spacing w:before="0" w:beforeAutospacing="0" w:after="0" w:afterAutospacing="0"/>
        <w:jc w:val="both"/>
      </w:pPr>
      <w:r w:rsidRPr="00F754EF">
        <w:rPr>
          <w:rFonts w:ascii="Aptos Display" w:hAnsi="Aptos Display"/>
          <w:b/>
          <w:bCs/>
          <w:i/>
          <w:iCs/>
          <w:sz w:val="22"/>
          <w:szCs w:val="22"/>
        </w:rPr>
        <w:t>Basado en los hallazgos 3, 4, 5, 12, 13, 14.</w:t>
      </w:r>
      <w:r w:rsidRPr="00F754EF">
        <w:rPr>
          <w:b/>
          <w:bCs/>
          <w:i/>
          <w:iCs/>
        </w:rPr>
        <w:t xml:space="preserve"> </w:t>
      </w:r>
    </w:p>
    <w:p w14:paraId="6DF6345B" w14:textId="77777777" w:rsidR="006F33EA" w:rsidRPr="00F754EF" w:rsidRDefault="006F33EA" w:rsidP="00AD49B5">
      <w:pPr>
        <w:pStyle w:val="redemphasistext0"/>
        <w:spacing w:before="0" w:beforeAutospacing="0" w:after="0" w:afterAutospacing="0"/>
        <w:jc w:val="both"/>
        <w:rPr>
          <w:rFonts w:ascii="Aptos Display" w:hAnsi="Aptos Display"/>
          <w:b/>
          <w:bCs/>
          <w:color w:val="1F4E79"/>
        </w:rPr>
        <w:sectPr w:rsidR="006F33EA" w:rsidRPr="00F754EF" w:rsidSect="006F33EA">
          <w:type w:val="continuous"/>
          <w:pgSz w:w="12240" w:h="15840"/>
          <w:pgMar w:top="1440" w:right="1080" w:bottom="1440" w:left="1080" w:header="720" w:footer="490" w:gutter="0"/>
          <w:cols w:num="2" w:space="720"/>
          <w:docGrid w:linePitch="360"/>
        </w:sectPr>
      </w:pPr>
    </w:p>
    <w:p w14:paraId="0689A5E0" w14:textId="77777777" w:rsidR="006F33EA" w:rsidRPr="00F754EF" w:rsidRDefault="006F33EA" w:rsidP="00AD49B5">
      <w:pPr>
        <w:pStyle w:val="redemphasistext0"/>
        <w:spacing w:before="0" w:beforeAutospacing="0" w:after="0" w:afterAutospacing="0"/>
        <w:jc w:val="both"/>
        <w:rPr>
          <w:rFonts w:ascii="Aptos Display" w:hAnsi="Aptos Display"/>
          <w:b/>
          <w:bCs/>
          <w:color w:val="1F4E79"/>
        </w:rPr>
      </w:pPr>
    </w:p>
    <w:p w14:paraId="0F47D0B5" w14:textId="2FC8C001" w:rsidR="00E90618" w:rsidRPr="00F754EF" w:rsidRDefault="00E90618" w:rsidP="00AD49B5">
      <w:pPr>
        <w:pStyle w:val="redemphasistext0"/>
        <w:spacing w:before="0" w:beforeAutospacing="0" w:after="0" w:afterAutospacing="0"/>
        <w:jc w:val="both"/>
      </w:pPr>
      <w:r w:rsidRPr="00F754EF">
        <w:rPr>
          <w:rFonts w:ascii="Aptos Display" w:hAnsi="Aptos Display"/>
          <w:b/>
          <w:bCs/>
          <w:color w:val="1F4E79"/>
        </w:rPr>
        <w:t xml:space="preserve">Conclusión 3: </w:t>
      </w:r>
      <w:bookmarkStart w:id="47" w:name="_Hlk228404241"/>
      <w:r w:rsidR="005E2888" w:rsidRPr="005E2888">
        <w:rPr>
          <w:rFonts w:ascii="Aptos Display" w:hAnsi="Aptos Display"/>
          <w:b/>
          <w:bCs/>
          <w:color w:val="1F4E79"/>
        </w:rPr>
        <w:t xml:space="preserve">Las respuestas adaptativas de la Oficina ante la inestabilidad institucional fueron sistemáticamente más sólidas a nivel subnacional que nacional, lo que constituye una </w:t>
      </w:r>
      <w:r w:rsidR="008543B6">
        <w:rPr>
          <w:rFonts w:ascii="Aptos Display" w:hAnsi="Aptos Display"/>
          <w:b/>
          <w:bCs/>
          <w:color w:val="1F4E79"/>
        </w:rPr>
        <w:t xml:space="preserve">clara </w:t>
      </w:r>
      <w:r w:rsidR="005E2888" w:rsidRPr="005E2888">
        <w:rPr>
          <w:rFonts w:ascii="Aptos Display" w:hAnsi="Aptos Display"/>
          <w:b/>
          <w:bCs/>
          <w:color w:val="1F4E79"/>
        </w:rPr>
        <w:t>orientación estratégica</w:t>
      </w:r>
      <w:r w:rsidRPr="00F754EF">
        <w:rPr>
          <w:rFonts w:ascii="Aptos Display" w:hAnsi="Aptos Display"/>
          <w:b/>
          <w:bCs/>
          <w:color w:val="1F4E79"/>
        </w:rPr>
        <w:t>.</w:t>
      </w:r>
      <w:r w:rsidRPr="00F754EF">
        <w:rPr>
          <w:b/>
          <w:bCs/>
        </w:rPr>
        <w:t xml:space="preserve"> </w:t>
      </w:r>
      <w:bookmarkEnd w:id="47"/>
    </w:p>
    <w:p w14:paraId="078F4A87" w14:textId="77777777" w:rsidR="006F33EA" w:rsidRPr="00F754EF" w:rsidRDefault="006F33EA" w:rsidP="00AD49B5">
      <w:pPr>
        <w:pStyle w:val="redemphasistext0"/>
        <w:spacing w:before="0" w:beforeAutospacing="0" w:after="0" w:afterAutospacing="0"/>
        <w:jc w:val="both"/>
        <w:rPr>
          <w:rFonts w:ascii="Aptos Display" w:hAnsi="Aptos Display"/>
          <w:sz w:val="22"/>
          <w:szCs w:val="22"/>
        </w:rPr>
        <w:sectPr w:rsidR="006F33EA" w:rsidRPr="00F754EF" w:rsidSect="005E7595">
          <w:type w:val="continuous"/>
          <w:pgSz w:w="12240" w:h="15840"/>
          <w:pgMar w:top="1440" w:right="1080" w:bottom="1440" w:left="1080" w:header="720" w:footer="490" w:gutter="0"/>
          <w:cols w:space="720"/>
          <w:docGrid w:linePitch="360"/>
        </w:sectPr>
      </w:pPr>
    </w:p>
    <w:p w14:paraId="511E5A03" w14:textId="66AF0782" w:rsidR="00E90618" w:rsidRPr="008645B9" w:rsidRDefault="007B1474" w:rsidP="00AD49B5">
      <w:pPr>
        <w:pStyle w:val="redemphasistext0"/>
        <w:spacing w:before="0" w:beforeAutospacing="0" w:after="0" w:afterAutospacing="0"/>
        <w:jc w:val="both"/>
        <w:rPr>
          <w:rFonts w:ascii="Aptos Display" w:hAnsi="Aptos Display"/>
          <w:lang w:val="es-MX"/>
        </w:rPr>
      </w:pPr>
      <w:r w:rsidRPr="008645B9">
        <w:rPr>
          <w:rFonts w:ascii="Aptos Display" w:hAnsi="Aptos Display"/>
          <w:lang w:val="es-MX"/>
        </w:rPr>
        <w:t xml:space="preserve">Cuando el entorno institucional nacional se contrajo, los resultados más resilientes y mejor documentados del ciclo fueron aquellos anclados en gobiernos municipales con mandatos, presupuestos y contrapartes propias. </w:t>
      </w:r>
      <w:r w:rsidR="00B74F8E" w:rsidRPr="008645B9">
        <w:rPr>
          <w:rFonts w:ascii="Aptos Display" w:hAnsi="Aptos Display"/>
          <w:lang w:val="es-MX"/>
        </w:rPr>
        <w:t>La</w:t>
      </w:r>
      <w:r w:rsidRPr="008645B9">
        <w:rPr>
          <w:rFonts w:ascii="Aptos Display" w:hAnsi="Aptos Display"/>
          <w:lang w:val="es-MX"/>
        </w:rPr>
        <w:t xml:space="preserve"> Oficina mantuvo relaciones de trabajo con contrapartes nacionales y avanzó instrumentos normativos a ese nivel</w:t>
      </w:r>
      <w:r w:rsidR="00DA6759" w:rsidRPr="008645B9">
        <w:rPr>
          <w:rFonts w:ascii="Aptos Display" w:hAnsi="Aptos Display"/>
          <w:lang w:val="es-MX"/>
        </w:rPr>
        <w:t xml:space="preserve">, aprovechando </w:t>
      </w:r>
      <w:r w:rsidRPr="008645B9">
        <w:rPr>
          <w:rFonts w:ascii="Aptos Display" w:hAnsi="Aptos Display"/>
          <w:lang w:val="es-MX"/>
        </w:rPr>
        <w:t xml:space="preserve">dónde existían las condiciones habilitantes para un </w:t>
      </w:r>
      <w:r w:rsidRPr="008645B9">
        <w:rPr>
          <w:rFonts w:ascii="Aptos Display" w:hAnsi="Aptos Display"/>
          <w:lang w:val="es-MX"/>
        </w:rPr>
        <w:t>trabajo sostenido. El registro subnacional es más duradero, más reconocido por socios como distintivo, y menos vulnerable a la reversión por inacción gubernamental central. La evaluación considera que este patrón debe orientar el diseño de la próxima Nota Estratégica desde el inicio, no como respaldo ante la volatilidad política sino como elección estratégica principal</w:t>
      </w:r>
      <w:r w:rsidR="00E90618" w:rsidRPr="00F754EF">
        <w:rPr>
          <w:rFonts w:ascii="Aptos Display" w:hAnsi="Aptos Display"/>
          <w:sz w:val="22"/>
          <w:szCs w:val="22"/>
        </w:rPr>
        <w:t>.</w:t>
      </w:r>
    </w:p>
    <w:p w14:paraId="14701004" w14:textId="77777777" w:rsidR="00E90618" w:rsidRPr="00F754EF" w:rsidRDefault="00E90618" w:rsidP="00AD49B5">
      <w:pPr>
        <w:pStyle w:val="redemphasistext0"/>
        <w:spacing w:before="0" w:beforeAutospacing="0" w:after="0" w:afterAutospacing="0"/>
        <w:jc w:val="both"/>
      </w:pPr>
      <w:r w:rsidRPr="00F754EF">
        <w:rPr>
          <w:rFonts w:ascii="Aptos Display" w:hAnsi="Aptos Display"/>
          <w:b/>
          <w:bCs/>
          <w:i/>
          <w:iCs/>
          <w:sz w:val="22"/>
          <w:szCs w:val="22"/>
        </w:rPr>
        <w:t>Basado en los hallazgos 2, 6, 9, 15.</w:t>
      </w:r>
      <w:r w:rsidRPr="00F754EF">
        <w:rPr>
          <w:b/>
          <w:bCs/>
          <w:i/>
          <w:iCs/>
        </w:rPr>
        <w:t xml:space="preserve"> </w:t>
      </w:r>
    </w:p>
    <w:p w14:paraId="1F2ACD86" w14:textId="77777777" w:rsidR="006F33EA" w:rsidRPr="00F754EF" w:rsidRDefault="006F33EA" w:rsidP="00AD49B5">
      <w:pPr>
        <w:pStyle w:val="redemphasistext0"/>
        <w:spacing w:before="0" w:beforeAutospacing="0" w:after="0" w:afterAutospacing="0"/>
        <w:jc w:val="both"/>
        <w:rPr>
          <w:rFonts w:ascii="Aptos Display" w:hAnsi="Aptos Display"/>
          <w:b/>
          <w:bCs/>
          <w:color w:val="1F4E79"/>
        </w:rPr>
        <w:sectPr w:rsidR="006F33EA" w:rsidRPr="00F754EF" w:rsidSect="006F33EA">
          <w:type w:val="continuous"/>
          <w:pgSz w:w="12240" w:h="15840"/>
          <w:pgMar w:top="1440" w:right="1080" w:bottom="1440" w:left="1080" w:header="720" w:footer="490" w:gutter="0"/>
          <w:cols w:num="2" w:space="720"/>
          <w:docGrid w:linePitch="360"/>
        </w:sectPr>
      </w:pPr>
    </w:p>
    <w:p w14:paraId="3539DAE5" w14:textId="77777777" w:rsidR="006F33EA" w:rsidRPr="00F754EF" w:rsidRDefault="006F33EA" w:rsidP="00AD49B5">
      <w:pPr>
        <w:pStyle w:val="redemphasistext0"/>
        <w:spacing w:before="0" w:beforeAutospacing="0" w:after="0" w:afterAutospacing="0"/>
        <w:jc w:val="both"/>
        <w:rPr>
          <w:rFonts w:ascii="Aptos Display" w:hAnsi="Aptos Display"/>
          <w:b/>
          <w:bCs/>
          <w:color w:val="1F4E79"/>
        </w:rPr>
      </w:pPr>
    </w:p>
    <w:p w14:paraId="7A9DAE15" w14:textId="502C57F5" w:rsidR="006F33EA" w:rsidRPr="00037E7A" w:rsidRDefault="00E90618" w:rsidP="00AD49B5">
      <w:pPr>
        <w:pStyle w:val="redemphasistext0"/>
        <w:spacing w:before="0" w:beforeAutospacing="0" w:after="0" w:afterAutospacing="0"/>
        <w:jc w:val="both"/>
        <w:sectPr w:rsidR="006F33EA" w:rsidRPr="00037E7A" w:rsidSect="005E7595">
          <w:type w:val="continuous"/>
          <w:pgSz w:w="12240" w:h="15840"/>
          <w:pgMar w:top="1440" w:right="1080" w:bottom="1440" w:left="1080" w:header="720" w:footer="490" w:gutter="0"/>
          <w:cols w:space="720"/>
          <w:docGrid w:linePitch="360"/>
        </w:sectPr>
      </w:pPr>
      <w:r w:rsidRPr="00F754EF">
        <w:rPr>
          <w:rFonts w:ascii="Aptos Display" w:hAnsi="Aptos Display"/>
          <w:b/>
          <w:bCs/>
          <w:color w:val="1F4E79"/>
        </w:rPr>
        <w:t xml:space="preserve">Conclusión 4: </w:t>
      </w:r>
      <w:bookmarkStart w:id="48" w:name="_Hlk228404306"/>
      <w:r w:rsidR="00F343C8" w:rsidRPr="00F343C8">
        <w:rPr>
          <w:rFonts w:ascii="Aptos Display" w:hAnsi="Aptos Display"/>
          <w:b/>
          <w:bCs/>
          <w:color w:val="1F4E79"/>
        </w:rPr>
        <w:t>El desempeño en eficiencia del portafolio refleja competencia operacional genuina bajo presión extraordinaria, pero también un modelo de gestión del conocimiento que trasladó el riesgo institucional</w:t>
      </w:r>
      <w:r w:rsidRPr="00F754EF">
        <w:rPr>
          <w:rFonts w:ascii="Aptos Display" w:hAnsi="Aptos Display"/>
          <w:b/>
          <w:bCs/>
          <w:color w:val="1F4E79"/>
        </w:rPr>
        <w:t>.</w:t>
      </w:r>
      <w:r w:rsidRPr="00F754EF">
        <w:rPr>
          <w:b/>
          <w:bCs/>
        </w:rPr>
        <w:t xml:space="preserve"> </w:t>
      </w:r>
      <w:bookmarkEnd w:id="48"/>
    </w:p>
    <w:p w14:paraId="25E8D5D1" w14:textId="10C5DDBC" w:rsidR="00037E7A" w:rsidRPr="00037E7A" w:rsidRDefault="00037E7A" w:rsidP="00037E7A">
      <w:pPr>
        <w:pStyle w:val="redemphasistext0"/>
        <w:spacing w:before="0" w:beforeAutospacing="0" w:after="0"/>
        <w:jc w:val="both"/>
        <w:rPr>
          <w:rFonts w:ascii="Aptos Display" w:hAnsi="Aptos Display"/>
          <w:sz w:val="22"/>
          <w:szCs w:val="22"/>
        </w:rPr>
      </w:pPr>
      <w:r w:rsidRPr="00037E7A">
        <w:rPr>
          <w:rFonts w:ascii="Aptos Display" w:hAnsi="Aptos Display"/>
          <w:sz w:val="22"/>
          <w:szCs w:val="22"/>
        </w:rPr>
        <w:t xml:space="preserve">La Oficina sostuvo operaciones complejas bajo condiciones de vacante de liderazgo, rotación de personal y requisitos administrativos crecientes, lo que evidencia capacidad operacional acumulada a través de sucesivos ciclos programáticos. Sin embargo, la evaluación encuentra que buena parte de ese conocimiento institucional permaneció tácito y no sistematizado, concentrado en personas cuya continuidad no podía garantizarse. Cuando se produjeron cambios de personal, las funciones </w:t>
      </w:r>
      <w:r w:rsidRPr="00037E7A">
        <w:rPr>
          <w:rFonts w:ascii="Aptos Display" w:hAnsi="Aptos Display"/>
          <w:sz w:val="22"/>
          <w:szCs w:val="22"/>
        </w:rPr>
        <w:t>estratégicas fueron absorbidas informalmente por colegas ya al límite, sin planes de sucesión ni procesos documentados. Este es un problema de diseño, no de desempeño individual, con consecuencias directas para la continuidad programática y el bienestar del equipo.</w:t>
      </w:r>
    </w:p>
    <w:p w14:paraId="71A8947A" w14:textId="77777777" w:rsidR="00E90618" w:rsidRPr="00F754EF" w:rsidRDefault="00E90618" w:rsidP="00AD49B5">
      <w:pPr>
        <w:pStyle w:val="redemphasistext0"/>
        <w:spacing w:before="0" w:beforeAutospacing="0" w:after="0" w:afterAutospacing="0"/>
        <w:jc w:val="both"/>
      </w:pPr>
      <w:r w:rsidRPr="00F754EF">
        <w:rPr>
          <w:rFonts w:ascii="Aptos Display" w:hAnsi="Aptos Display"/>
          <w:b/>
          <w:bCs/>
          <w:i/>
          <w:iCs/>
          <w:sz w:val="22"/>
          <w:szCs w:val="22"/>
        </w:rPr>
        <w:t>Basado en los hallazgos 10, 13, 14, 15.</w:t>
      </w:r>
      <w:r w:rsidRPr="00F754EF">
        <w:rPr>
          <w:b/>
          <w:bCs/>
          <w:i/>
          <w:iCs/>
        </w:rPr>
        <w:t xml:space="preserve"> </w:t>
      </w:r>
    </w:p>
    <w:p w14:paraId="0E2C6786" w14:textId="77777777" w:rsidR="006F33EA" w:rsidRPr="00F754EF" w:rsidRDefault="006F33EA" w:rsidP="00AD49B5">
      <w:pPr>
        <w:pStyle w:val="redemphasistext0"/>
        <w:spacing w:before="0" w:beforeAutospacing="0" w:after="0" w:afterAutospacing="0"/>
        <w:jc w:val="both"/>
        <w:rPr>
          <w:rFonts w:ascii="Aptos Display" w:hAnsi="Aptos Display"/>
          <w:b/>
          <w:bCs/>
          <w:color w:val="1F4E79"/>
        </w:rPr>
        <w:sectPr w:rsidR="006F33EA" w:rsidRPr="00F754EF" w:rsidSect="006F33EA">
          <w:type w:val="continuous"/>
          <w:pgSz w:w="12240" w:h="15840"/>
          <w:pgMar w:top="1440" w:right="1080" w:bottom="1440" w:left="1080" w:header="720" w:footer="490" w:gutter="0"/>
          <w:cols w:num="2" w:space="720"/>
          <w:docGrid w:linePitch="360"/>
        </w:sectPr>
      </w:pPr>
    </w:p>
    <w:p w14:paraId="5B9EEAAC" w14:textId="77777777" w:rsidR="006F33EA" w:rsidRPr="00F754EF" w:rsidRDefault="006F33EA" w:rsidP="00AD49B5">
      <w:pPr>
        <w:pStyle w:val="redemphasistext0"/>
        <w:spacing w:before="0" w:beforeAutospacing="0" w:after="0" w:afterAutospacing="0"/>
        <w:jc w:val="both"/>
        <w:rPr>
          <w:rFonts w:ascii="Aptos Display" w:hAnsi="Aptos Display"/>
          <w:b/>
          <w:bCs/>
          <w:color w:val="1F4E79"/>
        </w:rPr>
      </w:pPr>
    </w:p>
    <w:p w14:paraId="6B550122" w14:textId="61036807" w:rsidR="00E90618" w:rsidRPr="00F754EF" w:rsidRDefault="00E90618" w:rsidP="00AD49B5">
      <w:pPr>
        <w:pStyle w:val="redemphasistext0"/>
        <w:spacing w:before="0" w:beforeAutospacing="0" w:after="0" w:afterAutospacing="0"/>
        <w:jc w:val="both"/>
      </w:pPr>
      <w:r w:rsidRPr="00F754EF">
        <w:rPr>
          <w:rFonts w:ascii="Aptos Display" w:hAnsi="Aptos Display"/>
          <w:b/>
          <w:bCs/>
          <w:color w:val="1F4E79"/>
        </w:rPr>
        <w:t xml:space="preserve">Conclusión 5: </w:t>
      </w:r>
      <w:r w:rsidR="00F95CC3" w:rsidRPr="00F95CC3">
        <w:rPr>
          <w:rFonts w:ascii="Aptos Display" w:hAnsi="Aptos Display"/>
          <w:b/>
          <w:bCs/>
          <w:color w:val="1F4E79"/>
        </w:rPr>
        <w:t xml:space="preserve">El portafolio contribuyó a cambios transformadores genuinos en ámbitos prioritarios, pero las condiciones para proteger esos logros son más frágiles ahora que al inicio del ciclo. Adicionalmente, mujeres en situación de mayor </w:t>
      </w:r>
      <w:r w:rsidR="008F533E" w:rsidRPr="00F95CC3">
        <w:rPr>
          <w:rFonts w:ascii="Aptos Display" w:hAnsi="Aptos Display"/>
          <w:b/>
          <w:bCs/>
          <w:color w:val="1F4E79"/>
        </w:rPr>
        <w:t>margin</w:t>
      </w:r>
      <w:r w:rsidR="008F533E">
        <w:rPr>
          <w:rFonts w:ascii="Aptos Display" w:hAnsi="Aptos Display"/>
          <w:b/>
          <w:bCs/>
          <w:color w:val="1F4E79"/>
        </w:rPr>
        <w:t>alidad</w:t>
      </w:r>
      <w:r w:rsidR="008F533E" w:rsidRPr="00F95CC3">
        <w:rPr>
          <w:rFonts w:ascii="Aptos Display" w:hAnsi="Aptos Display"/>
          <w:b/>
          <w:bCs/>
          <w:color w:val="1F4E79"/>
        </w:rPr>
        <w:t xml:space="preserve"> </w:t>
      </w:r>
      <w:r w:rsidR="00F95CC3" w:rsidRPr="00F95CC3">
        <w:rPr>
          <w:rFonts w:ascii="Aptos Display" w:hAnsi="Aptos Display"/>
          <w:b/>
          <w:bCs/>
          <w:color w:val="1F4E79"/>
        </w:rPr>
        <w:t>no se beneficiaron equitativamente de estos avances.</w:t>
      </w:r>
    </w:p>
    <w:p w14:paraId="588C37F3" w14:textId="77777777" w:rsidR="006F33EA" w:rsidRPr="00F754EF" w:rsidRDefault="006F33EA" w:rsidP="00AD49B5">
      <w:pPr>
        <w:pStyle w:val="redemphasistext0"/>
        <w:spacing w:before="0" w:beforeAutospacing="0" w:after="0" w:afterAutospacing="0"/>
        <w:jc w:val="both"/>
        <w:rPr>
          <w:rFonts w:ascii="Aptos Display" w:hAnsi="Aptos Display"/>
          <w:sz w:val="22"/>
          <w:szCs w:val="22"/>
        </w:rPr>
        <w:sectPr w:rsidR="006F33EA" w:rsidRPr="00F754EF" w:rsidSect="005E7595">
          <w:type w:val="continuous"/>
          <w:pgSz w:w="12240" w:h="15840"/>
          <w:pgMar w:top="1440" w:right="1080" w:bottom="1440" w:left="1080" w:header="720" w:footer="490" w:gutter="0"/>
          <w:cols w:space="720"/>
          <w:docGrid w:linePitch="360"/>
        </w:sectPr>
      </w:pPr>
    </w:p>
    <w:p w14:paraId="37195616" w14:textId="190B3CAC" w:rsidR="00E90618" w:rsidRPr="00F754EF" w:rsidRDefault="00A91D4F" w:rsidP="00AD49B5">
      <w:pPr>
        <w:pStyle w:val="redemphasistext0"/>
        <w:spacing w:before="0" w:beforeAutospacing="0" w:after="0" w:afterAutospacing="0"/>
        <w:jc w:val="both"/>
      </w:pPr>
      <w:r w:rsidRPr="00A91D4F">
        <w:rPr>
          <w:rFonts w:ascii="Aptos Display" w:hAnsi="Aptos Display"/>
          <w:sz w:val="22"/>
          <w:szCs w:val="22"/>
        </w:rPr>
        <w:t xml:space="preserve">La Oficina logró establecer prioridades de política pública en materia de violencia contra las mujeres, economía del cuidado y agencia colectiva femenina en contextos de riesgo. Estos son avances que cumplen un estándar elevado de cambio transformador. Sin embargo, la evaluación identifica que la arquitectura institucional que sostenía estos avances se ha debilitado durante el ciclo, y las organizaciones de sociedad civil que cumplen funciones de rendición de cuentas enfrentan condiciones operativas </w:t>
      </w:r>
      <w:r w:rsidR="004704D8">
        <w:rPr>
          <w:rFonts w:ascii="Aptos Display" w:hAnsi="Aptos Display"/>
          <w:sz w:val="22"/>
          <w:szCs w:val="22"/>
        </w:rPr>
        <w:t>r</w:t>
      </w:r>
      <w:r w:rsidR="004704D8" w:rsidRPr="004704D8">
        <w:rPr>
          <w:rFonts w:ascii="Aptos Display" w:hAnsi="Aptos Display"/>
          <w:sz w:val="22"/>
          <w:szCs w:val="22"/>
        </w:rPr>
        <w:t>educida</w:t>
      </w:r>
      <w:r w:rsidR="004704D8">
        <w:rPr>
          <w:rFonts w:ascii="Aptos Display" w:hAnsi="Aptos Display"/>
          <w:sz w:val="22"/>
          <w:szCs w:val="22"/>
        </w:rPr>
        <w:t>s</w:t>
      </w:r>
      <w:r w:rsidR="004704D8" w:rsidRPr="004704D8">
        <w:rPr>
          <w:rFonts w:ascii="Aptos Display" w:hAnsi="Aptos Display"/>
          <w:sz w:val="22"/>
          <w:szCs w:val="22"/>
        </w:rPr>
        <w:t xml:space="preserve"> y en proceso de </w:t>
      </w:r>
      <w:proofErr w:type="spellStart"/>
      <w:r w:rsidR="004704D8" w:rsidRPr="004704D8">
        <w:rPr>
          <w:rFonts w:ascii="Aptos Display" w:hAnsi="Aptos Display"/>
          <w:sz w:val="22"/>
          <w:szCs w:val="22"/>
        </w:rPr>
        <w:t>reestructuracion</w:t>
      </w:r>
      <w:proofErr w:type="spellEnd"/>
      <w:r w:rsidR="004704D8" w:rsidRPr="004704D8">
        <w:rPr>
          <w:rFonts w:ascii="Aptos Display" w:hAnsi="Aptos Display"/>
          <w:sz w:val="22"/>
          <w:szCs w:val="22"/>
        </w:rPr>
        <w:t>, en un contexto de incertidumbre institucional.</w:t>
      </w:r>
      <w:r w:rsidRPr="00A91D4F">
        <w:rPr>
          <w:rFonts w:ascii="Aptos Display" w:hAnsi="Aptos Display"/>
          <w:sz w:val="22"/>
          <w:szCs w:val="22"/>
        </w:rPr>
        <w:t xml:space="preserve"> Adicionalmente, mujeres con discapacidad y mujeres de poblaciones LGBTIQ+ quedaron fuera del alcance estructural del portafolio pese a ser prioridades declaradas, lo que significa que los logros transformadores del ciclo no se distribuyeron equitativamente entre las mujeres a quienes la Oficina debe servir. Esto representa una brecha de derechos que la próxima Nota Estratégica debe atender de manera explícita.</w:t>
      </w:r>
    </w:p>
    <w:p w14:paraId="620850A6" w14:textId="20B27B7A" w:rsidR="00A93422" w:rsidRPr="00F754EF" w:rsidRDefault="00E90618" w:rsidP="00AD49B5">
      <w:pPr>
        <w:pStyle w:val="redemphasistext0"/>
        <w:spacing w:before="0" w:beforeAutospacing="0" w:after="0" w:afterAutospacing="0"/>
        <w:jc w:val="both"/>
        <w:rPr>
          <w:b/>
          <w:bCs/>
          <w:i/>
          <w:iCs/>
        </w:rPr>
      </w:pPr>
      <w:r w:rsidRPr="00F754EF">
        <w:rPr>
          <w:rFonts w:ascii="Aptos Display" w:hAnsi="Aptos Display"/>
          <w:b/>
          <w:bCs/>
          <w:i/>
          <w:iCs/>
          <w:sz w:val="22"/>
          <w:szCs w:val="22"/>
        </w:rPr>
        <w:t>Basado en los hallazgos 8, 11, 16.</w:t>
      </w:r>
      <w:r w:rsidRPr="00F754EF">
        <w:rPr>
          <w:b/>
          <w:bCs/>
          <w:i/>
          <w:iCs/>
        </w:rPr>
        <w:t xml:space="preserve"> </w:t>
      </w:r>
    </w:p>
    <w:p w14:paraId="164B4EEE" w14:textId="77777777" w:rsidR="006F33EA" w:rsidRPr="003A3913" w:rsidRDefault="006F33EA" w:rsidP="00AD49B5">
      <w:pPr>
        <w:suppressAutoHyphens w:val="0"/>
        <w:autoSpaceDE/>
        <w:autoSpaceDN/>
        <w:adjustRightInd/>
        <w:spacing w:after="0" w:line="240" w:lineRule="auto"/>
        <w:rPr>
          <w:b/>
          <w:bCs/>
          <w:i/>
          <w:iCs/>
          <w:lang w:val="es-MX"/>
        </w:rPr>
        <w:sectPr w:rsidR="006F33EA" w:rsidRPr="003A3913" w:rsidSect="006F33EA">
          <w:type w:val="continuous"/>
          <w:pgSz w:w="12240" w:h="15840"/>
          <w:pgMar w:top="1440" w:right="1080" w:bottom="1440" w:left="1080" w:header="720" w:footer="490" w:gutter="0"/>
          <w:cols w:num="2" w:space="720"/>
          <w:docGrid w:linePitch="360"/>
        </w:sectPr>
      </w:pPr>
    </w:p>
    <w:p w14:paraId="7A37B0A3" w14:textId="77777777" w:rsidR="00A93422" w:rsidRPr="00F754EF" w:rsidRDefault="00A93422" w:rsidP="00AD49B5">
      <w:pPr>
        <w:suppressAutoHyphens w:val="0"/>
        <w:autoSpaceDE/>
        <w:autoSpaceDN/>
        <w:adjustRightInd/>
        <w:spacing w:after="0" w:line="240" w:lineRule="auto"/>
        <w:rPr>
          <w:rFonts w:ascii="Times New Roman" w:hAnsi="Times New Roman" w:cs="Times New Roman"/>
          <w:b/>
          <w:bCs/>
          <w:i/>
          <w:iCs/>
          <w:color w:val="auto"/>
          <w:sz w:val="24"/>
          <w:szCs w:val="24"/>
          <w:lang w:eastAsia="en-US"/>
        </w:rPr>
      </w:pPr>
      <w:r w:rsidRPr="00F754EF">
        <w:rPr>
          <w:b/>
          <w:bCs/>
          <w:i/>
          <w:iCs/>
        </w:rPr>
        <w:br w:type="page"/>
      </w:r>
    </w:p>
    <w:p w14:paraId="740AD528" w14:textId="77777777" w:rsidR="00E90618" w:rsidRPr="00F754EF" w:rsidRDefault="00E90618" w:rsidP="006D4CCF">
      <w:pPr>
        <w:pStyle w:val="Heading1"/>
        <w:spacing w:before="0" w:after="0"/>
        <w:rPr>
          <w:rStyle w:val="normaltextrun"/>
          <w:rFonts w:eastAsia="Times New Roman"/>
          <w:caps w:val="0"/>
          <w:lang w:val="es-ES"/>
        </w:rPr>
      </w:pPr>
      <w:bookmarkStart w:id="49" w:name="_Toc233830054"/>
      <w:r w:rsidRPr="00F754EF">
        <w:rPr>
          <w:rStyle w:val="normaltextrun"/>
          <w:rFonts w:eastAsia="Times New Roman"/>
          <w:caps w:val="0"/>
          <w:lang w:val="es-ES"/>
        </w:rPr>
        <w:lastRenderedPageBreak/>
        <w:t>SECCIÓN 7. RECOMENDACIONES</w:t>
      </w:r>
      <w:bookmarkEnd w:id="49"/>
    </w:p>
    <w:p w14:paraId="469462ED" w14:textId="09F09755" w:rsidR="00E90618" w:rsidRPr="00F754EF" w:rsidRDefault="00E90618" w:rsidP="006D4CCF">
      <w:pPr>
        <w:pBdr>
          <w:top w:val="single" w:sz="4" w:space="1" w:color="auto"/>
          <w:left w:val="single" w:sz="4" w:space="4" w:color="auto"/>
          <w:bottom w:val="single" w:sz="4" w:space="1" w:color="auto"/>
          <w:right w:val="single" w:sz="4" w:space="4" w:color="auto"/>
        </w:pBdr>
        <w:autoSpaceDE/>
        <w:spacing w:after="0" w:line="240" w:lineRule="auto"/>
      </w:pPr>
      <w:r w:rsidRPr="00F754EF">
        <w:rPr>
          <w:rFonts w:ascii="Aptos Display" w:hAnsi="Aptos Display"/>
          <w:b/>
          <w:bCs/>
        </w:rPr>
        <w:t xml:space="preserve">RECOMENDACIÓN 1: </w:t>
      </w:r>
      <w:r w:rsidR="00431F38" w:rsidRPr="00F754EF">
        <w:rPr>
          <w:rFonts w:ascii="Aptos Display" w:hAnsi="Aptos Display"/>
          <w:b/>
          <w:bCs/>
        </w:rPr>
        <w:t>Fortalecer la colaboración con la sociedad civil como socio estratégico y actor de rendición de cuentas</w:t>
      </w:r>
    </w:p>
    <w:p w14:paraId="45A40400" w14:textId="70A64A74" w:rsidR="00E90618" w:rsidRPr="00F754EF" w:rsidRDefault="00234ECC" w:rsidP="006D4CCF">
      <w:pPr>
        <w:pBdr>
          <w:top w:val="single" w:sz="4" w:space="1" w:color="auto"/>
          <w:left w:val="single" w:sz="4" w:space="4" w:color="auto"/>
          <w:bottom w:val="single" w:sz="4" w:space="1" w:color="auto"/>
          <w:right w:val="single" w:sz="4" w:space="4" w:color="auto"/>
        </w:pBdr>
        <w:autoSpaceDE/>
        <w:spacing w:after="0" w:line="240" w:lineRule="auto"/>
      </w:pPr>
      <w:r w:rsidRPr="00F754EF">
        <w:rPr>
          <w:rFonts w:ascii="Aptos Display" w:hAnsi="Aptos Display"/>
        </w:rPr>
        <w:t>La evaluación identifica a las organizaciones de la sociedad civil como las principales custodias de los resultados más duraderos del portafolio. Para consolidar este rol en el próximo ciclo, ONU Mujeres debe ampliar su enfoque más allá de las alianzas de implementación e invertir en el entorno habilitador que permite a estas organizaciones ejercer funciones de rendición de cuentas de manera independiente y sostenida</w:t>
      </w:r>
      <w:r w:rsidR="00E90618" w:rsidRPr="00F754EF">
        <w:rPr>
          <w:rFonts w:ascii="Aptos Display" w:hAnsi="Aptos Display"/>
        </w:rPr>
        <w:t>.</w:t>
      </w:r>
    </w:p>
    <w:p w14:paraId="17F700B6" w14:textId="41A4900F" w:rsidR="00E90618" w:rsidRPr="00F754EF" w:rsidRDefault="00E90618" w:rsidP="006D4CCF">
      <w:pPr>
        <w:autoSpaceDE/>
        <w:spacing w:after="0" w:line="240" w:lineRule="auto"/>
      </w:pPr>
      <w:r w:rsidRPr="00F754EF">
        <w:rPr>
          <w:rFonts w:ascii="Aptos Display" w:hAnsi="Aptos Display"/>
          <w:b/>
          <w:bCs/>
        </w:rPr>
        <w:t>Prioridad:</w:t>
      </w:r>
      <w:r w:rsidRPr="00F754EF">
        <w:rPr>
          <w:b/>
          <w:bCs/>
        </w:rPr>
        <w:t xml:space="preserve"> </w:t>
      </w:r>
      <w:r w:rsidRPr="00F754EF">
        <w:rPr>
          <w:rFonts w:ascii="Aptos Display" w:hAnsi="Aptos Display"/>
        </w:rPr>
        <w:t>Alta.</w:t>
      </w:r>
      <w:r w:rsidR="005D0AC8" w:rsidRPr="00F754EF">
        <w:tab/>
      </w:r>
      <w:r w:rsidRPr="00F754EF">
        <w:rPr>
          <w:rFonts w:ascii="Aptos Display" w:hAnsi="Aptos Display"/>
          <w:b/>
          <w:bCs/>
        </w:rPr>
        <w:t>Calendario:</w:t>
      </w:r>
      <w:r w:rsidRPr="00F754EF">
        <w:rPr>
          <w:b/>
          <w:bCs/>
        </w:rPr>
        <w:t xml:space="preserve"> </w:t>
      </w:r>
      <w:r w:rsidRPr="00F754EF">
        <w:rPr>
          <w:rFonts w:ascii="Aptos Display" w:hAnsi="Aptos Display"/>
        </w:rPr>
        <w:t>Fase de diseño de la próxima Nota Estratégica, desde el primer año.</w:t>
      </w:r>
    </w:p>
    <w:p w14:paraId="79E303EE" w14:textId="77777777" w:rsidR="00E90618" w:rsidRPr="00F754EF" w:rsidRDefault="00E90618" w:rsidP="006D4CCF">
      <w:pPr>
        <w:autoSpaceDE/>
        <w:spacing w:after="0" w:line="240" w:lineRule="auto"/>
      </w:pPr>
      <w:r w:rsidRPr="00F754EF">
        <w:rPr>
          <w:rFonts w:ascii="Aptos Display" w:hAnsi="Aptos Display"/>
          <w:b/>
          <w:bCs/>
        </w:rPr>
        <w:t>Pasos sugeridos:</w:t>
      </w:r>
      <w:r w:rsidRPr="00F754EF">
        <w:rPr>
          <w:b/>
          <w:bCs/>
        </w:rPr>
        <w:t xml:space="preserve"> </w:t>
      </w:r>
    </w:p>
    <w:p w14:paraId="151ABC0C" w14:textId="7E2F6D9E" w:rsidR="00E90618" w:rsidRPr="00F754EF" w:rsidRDefault="00E90618" w:rsidP="005F74DB">
      <w:pPr>
        <w:pStyle w:val="ListParagraph"/>
        <w:numPr>
          <w:ilvl w:val="0"/>
          <w:numId w:val="6"/>
        </w:numPr>
        <w:suppressAutoHyphens w:val="0"/>
        <w:autoSpaceDE/>
        <w:adjustRightInd/>
        <w:spacing w:line="240" w:lineRule="auto"/>
        <w:ind w:left="1080"/>
      </w:pPr>
      <w:r w:rsidRPr="00F754EF">
        <w:rPr>
          <w:rFonts w:ascii="Aptos Display" w:hAnsi="Aptos Display"/>
        </w:rPr>
        <w:t>Incluir un componente dedicado de fortalecimiento de la sociedad civil</w:t>
      </w:r>
      <w:r w:rsidR="007621C8" w:rsidRPr="00F754EF">
        <w:rPr>
          <w:rFonts w:ascii="Aptos Display" w:hAnsi="Aptos Display"/>
        </w:rPr>
        <w:t>.</w:t>
      </w:r>
    </w:p>
    <w:p w14:paraId="3DACD221" w14:textId="518CE2B1" w:rsidR="00E90618" w:rsidRPr="00F754EF" w:rsidRDefault="00E90618" w:rsidP="005F74DB">
      <w:pPr>
        <w:pStyle w:val="ListParagraph"/>
        <w:numPr>
          <w:ilvl w:val="0"/>
          <w:numId w:val="6"/>
        </w:numPr>
        <w:suppressAutoHyphens w:val="0"/>
        <w:autoSpaceDE/>
        <w:adjustRightInd/>
        <w:spacing w:line="240" w:lineRule="auto"/>
        <w:ind w:left="1080"/>
      </w:pPr>
      <w:r w:rsidRPr="00F754EF">
        <w:rPr>
          <w:rFonts w:ascii="Aptos Display" w:hAnsi="Aptos Display"/>
        </w:rPr>
        <w:t>Reconstruir el diálogo estructurado con el movimiento de mujeres a través del Grupo Asesor de Sociedad Civil.</w:t>
      </w:r>
    </w:p>
    <w:p w14:paraId="29C1A97C" w14:textId="77777777" w:rsidR="00117C2E" w:rsidRPr="00F754EF" w:rsidRDefault="00117C2E" w:rsidP="005F74DB">
      <w:pPr>
        <w:pStyle w:val="ListParagraph"/>
        <w:numPr>
          <w:ilvl w:val="0"/>
          <w:numId w:val="6"/>
        </w:numPr>
        <w:suppressAutoHyphens w:val="0"/>
        <w:autoSpaceDE/>
        <w:adjustRightInd/>
        <w:spacing w:line="240" w:lineRule="auto"/>
        <w:ind w:left="1080"/>
      </w:pPr>
      <w:r w:rsidRPr="00F754EF">
        <w:rPr>
          <w:rFonts w:ascii="Aptos Display" w:hAnsi="Aptos Display"/>
        </w:rPr>
        <w:t>Desarrollar una estrategia de acompañamiento para organizaciones de la sociedad civil que operen en entornos de restricción regulatoria.</w:t>
      </w:r>
    </w:p>
    <w:p w14:paraId="46C254B6" w14:textId="5723BAA2" w:rsidR="00E90618" w:rsidRPr="00F754EF" w:rsidRDefault="00E90618" w:rsidP="005F74DB">
      <w:pPr>
        <w:pStyle w:val="ListParagraph"/>
        <w:numPr>
          <w:ilvl w:val="0"/>
          <w:numId w:val="6"/>
        </w:numPr>
        <w:suppressAutoHyphens w:val="0"/>
        <w:autoSpaceDE/>
        <w:adjustRightInd/>
        <w:spacing w:line="240" w:lineRule="auto"/>
        <w:ind w:left="1080"/>
      </w:pPr>
      <w:r w:rsidRPr="00F754EF">
        <w:rPr>
          <w:rFonts w:ascii="Aptos Display" w:hAnsi="Aptos Display"/>
        </w:rPr>
        <w:t>Priorizar alianzas plurianuales con socios clave de sociedad civil en vez de contratos por proyecto.</w:t>
      </w:r>
    </w:p>
    <w:p w14:paraId="2838B7D0" w14:textId="7349BC31" w:rsidR="00E90618" w:rsidRPr="00F754EF" w:rsidRDefault="00E90618" w:rsidP="006D4CCF">
      <w:pPr>
        <w:autoSpaceDE/>
        <w:spacing w:after="0" w:line="240" w:lineRule="auto"/>
      </w:pPr>
      <w:r w:rsidRPr="00F754EF">
        <w:rPr>
          <w:rFonts w:ascii="Aptos Display" w:hAnsi="Aptos Display"/>
          <w:b/>
          <w:bCs/>
        </w:rPr>
        <w:t>Razonamiento e impacto:</w:t>
      </w:r>
      <w:r w:rsidRPr="00F754EF">
        <w:rPr>
          <w:b/>
          <w:bCs/>
        </w:rPr>
        <w:t xml:space="preserve"> </w:t>
      </w:r>
      <w:r w:rsidRPr="00F754EF">
        <w:rPr>
          <w:rFonts w:ascii="Aptos Display" w:hAnsi="Aptos Display"/>
        </w:rPr>
        <w:t xml:space="preserve">Las organizaciones de la sociedad civil son el mecanismo principal para convertir los instrumentos normativos en presión de rendición de cuentas y en implementación </w:t>
      </w:r>
      <w:r w:rsidR="00164B5D" w:rsidRPr="00F754EF">
        <w:rPr>
          <w:rFonts w:ascii="Aptos Display" w:hAnsi="Aptos Display"/>
        </w:rPr>
        <w:t xml:space="preserve">efectiva </w:t>
      </w:r>
      <w:r w:rsidRPr="00F754EF">
        <w:rPr>
          <w:rFonts w:ascii="Aptos Display" w:hAnsi="Aptos Display"/>
        </w:rPr>
        <w:t xml:space="preserve">de políticas. </w:t>
      </w:r>
    </w:p>
    <w:p w14:paraId="22F07D68" w14:textId="77777777" w:rsidR="00E90618" w:rsidRPr="00F754EF" w:rsidRDefault="00E90618" w:rsidP="006D4CCF">
      <w:pPr>
        <w:autoSpaceDE/>
        <w:spacing w:after="0" w:line="240" w:lineRule="auto"/>
        <w:rPr>
          <w:b/>
          <w:bCs/>
          <w:i/>
          <w:iCs/>
        </w:rPr>
      </w:pPr>
      <w:r w:rsidRPr="00F754EF">
        <w:rPr>
          <w:rFonts w:ascii="Aptos Display" w:hAnsi="Aptos Display"/>
          <w:b/>
          <w:bCs/>
          <w:i/>
          <w:iCs/>
        </w:rPr>
        <w:t>Alineado con las conclusiones 1, 3 y 5; hallazgos 3, 5, 15, 16.</w:t>
      </w:r>
      <w:r w:rsidRPr="00F754EF">
        <w:rPr>
          <w:b/>
          <w:bCs/>
          <w:i/>
          <w:iCs/>
        </w:rPr>
        <w:t xml:space="preserve"> </w:t>
      </w:r>
    </w:p>
    <w:p w14:paraId="59C4F381" w14:textId="77777777" w:rsidR="005D0AC8" w:rsidRPr="00F754EF" w:rsidRDefault="005D0AC8" w:rsidP="006D4CCF">
      <w:pPr>
        <w:autoSpaceDE/>
        <w:spacing w:after="0" w:line="240" w:lineRule="auto"/>
        <w:rPr>
          <w:b/>
          <w:bCs/>
          <w:i/>
          <w:iCs/>
        </w:rPr>
      </w:pPr>
    </w:p>
    <w:p w14:paraId="3326790A" w14:textId="4C99777C" w:rsidR="000910E6" w:rsidRPr="00F754EF" w:rsidRDefault="000910E6" w:rsidP="006D4CCF">
      <w:pPr>
        <w:pBdr>
          <w:top w:val="single" w:sz="4" w:space="1" w:color="auto"/>
          <w:left w:val="single" w:sz="4" w:space="4" w:color="auto"/>
          <w:bottom w:val="single" w:sz="4" w:space="1" w:color="auto"/>
          <w:right w:val="single" w:sz="4" w:space="4" w:color="auto"/>
        </w:pBdr>
        <w:autoSpaceDE/>
        <w:spacing w:after="0" w:line="240" w:lineRule="auto"/>
      </w:pPr>
      <w:r w:rsidRPr="00F754EF">
        <w:rPr>
          <w:rFonts w:ascii="Aptos Display" w:hAnsi="Aptos Display"/>
          <w:b/>
          <w:bCs/>
        </w:rPr>
        <w:t xml:space="preserve">RECOMENDACIÓN 2: </w:t>
      </w:r>
      <w:r w:rsidR="00164B5D" w:rsidRPr="00F754EF">
        <w:rPr>
          <w:rFonts w:ascii="Aptos Display" w:hAnsi="Aptos Display"/>
          <w:b/>
          <w:bCs/>
        </w:rPr>
        <w:t>Formalizar la estrategia subnacional como modelo de intervención</w:t>
      </w:r>
      <w:r w:rsidRPr="00F754EF">
        <w:rPr>
          <w:rFonts w:ascii="Aptos Display" w:hAnsi="Aptos Display"/>
          <w:b/>
          <w:bCs/>
        </w:rPr>
        <w:t>.</w:t>
      </w:r>
      <w:r w:rsidRPr="00F754EF">
        <w:rPr>
          <w:b/>
          <w:bCs/>
        </w:rPr>
        <w:t xml:space="preserve"> </w:t>
      </w:r>
    </w:p>
    <w:p w14:paraId="33E8A905" w14:textId="6C0D12DC" w:rsidR="006C1F0F" w:rsidRPr="00F754EF" w:rsidRDefault="006C1F0F" w:rsidP="006C1F0F">
      <w:pPr>
        <w:pBdr>
          <w:top w:val="single" w:sz="4" w:space="1" w:color="auto"/>
          <w:left w:val="single" w:sz="4" w:space="4" w:color="auto"/>
          <w:bottom w:val="single" w:sz="4" w:space="1" w:color="auto"/>
          <w:right w:val="single" w:sz="4" w:space="4" w:color="auto"/>
        </w:pBdr>
        <w:autoSpaceDE/>
        <w:spacing w:after="0" w:line="240" w:lineRule="auto"/>
        <w:rPr>
          <w:rFonts w:ascii="Aptos Display" w:hAnsi="Aptos Display"/>
        </w:rPr>
      </w:pPr>
      <w:r w:rsidRPr="00F754EF">
        <w:rPr>
          <w:rFonts w:ascii="Aptos Display" w:hAnsi="Aptos Display"/>
        </w:rPr>
        <w:t>La evaluación constató resultados sistemáticamente más sólidos y duraderos a nivel subnacional en ambos resultados del portafolio. La próxima Nota Estratégica debe reconocer la intervención subnacional como orientación estratégica.</w:t>
      </w:r>
    </w:p>
    <w:p w14:paraId="65FE3E6F" w14:textId="19501E0B" w:rsidR="000910E6" w:rsidRPr="00F754EF" w:rsidRDefault="006C1F0F" w:rsidP="006C1F0F">
      <w:pPr>
        <w:pBdr>
          <w:top w:val="single" w:sz="4" w:space="1" w:color="auto"/>
          <w:left w:val="single" w:sz="4" w:space="4" w:color="auto"/>
          <w:bottom w:val="single" w:sz="4" w:space="1" w:color="auto"/>
          <w:right w:val="single" w:sz="4" w:space="4" w:color="auto"/>
        </w:pBdr>
        <w:autoSpaceDE/>
        <w:spacing w:after="0" w:line="240" w:lineRule="auto"/>
      </w:pPr>
      <w:r w:rsidRPr="00F754EF">
        <w:rPr>
          <w:rFonts w:ascii="Aptos Display" w:hAnsi="Aptos Display"/>
        </w:rPr>
        <w:t>Al mismo tiempo, las recientes modificaciones al marco de financiación de los gobiernos locales establecidas en el Código Orgánico de Organización Territorial, Autonomía y Descentralización (COOTAD) tienen implicaciones para la prestación de servicios a nivel subnacional. En este contexto, la oficina deberá diversificar sus fuentes de movilización de recursos locales y fortalecer las alianzas territoriales más allá de la cofinanciación municipal</w:t>
      </w:r>
      <w:r w:rsidR="000910E6" w:rsidRPr="00F754EF">
        <w:rPr>
          <w:rFonts w:ascii="Aptos Display" w:hAnsi="Aptos Display"/>
        </w:rPr>
        <w:t>.</w:t>
      </w:r>
    </w:p>
    <w:p w14:paraId="64D9FA46" w14:textId="7021BCDD" w:rsidR="000910E6" w:rsidRPr="00F754EF" w:rsidRDefault="000910E6" w:rsidP="006D4CCF">
      <w:pPr>
        <w:autoSpaceDE/>
        <w:spacing w:after="0" w:line="240" w:lineRule="auto"/>
      </w:pPr>
      <w:r w:rsidRPr="00F754EF">
        <w:rPr>
          <w:rFonts w:ascii="Aptos Display" w:hAnsi="Aptos Display"/>
          <w:b/>
          <w:bCs/>
        </w:rPr>
        <w:t>Prioridad:</w:t>
      </w:r>
      <w:r w:rsidRPr="00F754EF">
        <w:rPr>
          <w:b/>
          <w:bCs/>
        </w:rPr>
        <w:t xml:space="preserve"> </w:t>
      </w:r>
      <w:r w:rsidRPr="00F754EF">
        <w:rPr>
          <w:rFonts w:ascii="Aptos Display" w:hAnsi="Aptos Display"/>
        </w:rPr>
        <w:t>Alta.</w:t>
      </w:r>
      <w:r w:rsidR="005D0AC8" w:rsidRPr="00F754EF">
        <w:tab/>
      </w:r>
      <w:r w:rsidRPr="00F754EF">
        <w:rPr>
          <w:rFonts w:ascii="Aptos Display" w:hAnsi="Aptos Display"/>
          <w:b/>
          <w:bCs/>
        </w:rPr>
        <w:t>Calendario:</w:t>
      </w:r>
      <w:r w:rsidRPr="00F754EF">
        <w:rPr>
          <w:b/>
          <w:bCs/>
        </w:rPr>
        <w:t xml:space="preserve"> </w:t>
      </w:r>
      <w:r w:rsidRPr="00F754EF">
        <w:rPr>
          <w:rFonts w:ascii="Aptos Display" w:hAnsi="Aptos Display"/>
        </w:rPr>
        <w:t>Fase de diseño de la próxima Nota Estratégica.</w:t>
      </w:r>
    </w:p>
    <w:p w14:paraId="19634093" w14:textId="77777777" w:rsidR="000910E6" w:rsidRPr="00F754EF" w:rsidRDefault="000910E6" w:rsidP="006D4CCF">
      <w:pPr>
        <w:autoSpaceDE/>
        <w:spacing w:after="0" w:line="240" w:lineRule="auto"/>
      </w:pPr>
      <w:r w:rsidRPr="00F754EF">
        <w:rPr>
          <w:rFonts w:ascii="Aptos Display" w:hAnsi="Aptos Display"/>
          <w:b/>
          <w:bCs/>
        </w:rPr>
        <w:t>Pasos sugeridos:</w:t>
      </w:r>
      <w:r w:rsidRPr="00F754EF">
        <w:rPr>
          <w:b/>
          <w:bCs/>
        </w:rPr>
        <w:t xml:space="preserve"> </w:t>
      </w:r>
    </w:p>
    <w:p w14:paraId="0FB10585" w14:textId="3D1F24DF" w:rsidR="000910E6" w:rsidRPr="00F754EF" w:rsidRDefault="000910E6" w:rsidP="005F74DB">
      <w:pPr>
        <w:pStyle w:val="ListParagraph"/>
        <w:numPr>
          <w:ilvl w:val="0"/>
          <w:numId w:val="7"/>
        </w:numPr>
        <w:suppressAutoHyphens w:val="0"/>
        <w:autoSpaceDE/>
        <w:adjustRightInd/>
        <w:spacing w:line="240" w:lineRule="auto"/>
        <w:ind w:left="1080"/>
      </w:pPr>
      <w:r w:rsidRPr="00F754EF">
        <w:rPr>
          <w:rFonts w:ascii="Aptos Display" w:hAnsi="Aptos Display"/>
        </w:rPr>
        <w:t>Identificar municipios prioritarios para el próximo ciclo en función de la voluntad política, la profundidad de la relación existente y el potencial de réplica.</w:t>
      </w:r>
    </w:p>
    <w:p w14:paraId="152D890C" w14:textId="77777777" w:rsidR="000910E6" w:rsidRPr="00F754EF" w:rsidRDefault="000910E6" w:rsidP="005F74DB">
      <w:pPr>
        <w:pStyle w:val="ListParagraph"/>
        <w:numPr>
          <w:ilvl w:val="0"/>
          <w:numId w:val="7"/>
        </w:numPr>
        <w:suppressAutoHyphens w:val="0"/>
        <w:autoSpaceDE/>
        <w:adjustRightInd/>
        <w:spacing w:line="240" w:lineRule="auto"/>
        <w:ind w:left="1080"/>
      </w:pPr>
      <w:r w:rsidRPr="00F754EF">
        <w:rPr>
          <w:rFonts w:ascii="Aptos Display" w:hAnsi="Aptos Display"/>
        </w:rPr>
        <w:t>Diseñar estrategias para movilizar recursos dedicados a iniciativas locales y fortalecer alianzas con organizaciones de la sociedad civil y grupos de mujeres en el territorio, construyendo alianzas locales capaces de sostener los avances en igualdad de género en un contexto de restricción fiscal.</w:t>
      </w:r>
    </w:p>
    <w:p w14:paraId="0EEF6103" w14:textId="77777777" w:rsidR="000910E6" w:rsidRPr="00F754EF" w:rsidRDefault="000910E6" w:rsidP="005F74DB">
      <w:pPr>
        <w:pStyle w:val="ListParagraph"/>
        <w:numPr>
          <w:ilvl w:val="0"/>
          <w:numId w:val="7"/>
        </w:numPr>
        <w:suppressAutoHyphens w:val="0"/>
        <w:autoSpaceDE/>
        <w:adjustRightInd/>
        <w:spacing w:line="240" w:lineRule="auto"/>
        <w:ind w:left="1080"/>
      </w:pPr>
      <w:r w:rsidRPr="00F754EF">
        <w:rPr>
          <w:rFonts w:ascii="Aptos Display" w:hAnsi="Aptos Display"/>
        </w:rPr>
        <w:t>Utilizar el modelo de cuidados de Quito, los instrumentos desarrollados en el programa Ciudades Seguras, la red de constructores de paz de Guayaquil y el plan de igualdad de Cuenca como plantillas explícitas de réplica con apoyo de fortalecimiento de capacidades para los nuevos municipios.</w:t>
      </w:r>
    </w:p>
    <w:p w14:paraId="106966CA" w14:textId="77777777" w:rsidR="000910E6" w:rsidRPr="00F754EF" w:rsidRDefault="000910E6" w:rsidP="005F74DB">
      <w:pPr>
        <w:pStyle w:val="ListParagraph"/>
        <w:numPr>
          <w:ilvl w:val="0"/>
          <w:numId w:val="7"/>
        </w:numPr>
        <w:suppressAutoHyphens w:val="0"/>
        <w:autoSpaceDE/>
        <w:adjustRightInd/>
        <w:spacing w:line="240" w:lineRule="auto"/>
        <w:ind w:left="1080"/>
      </w:pPr>
      <w:r w:rsidRPr="00F754EF">
        <w:rPr>
          <w:rFonts w:ascii="Aptos Display" w:hAnsi="Aptos Display"/>
        </w:rPr>
        <w:t>Considerar la vinculación con la Asociación de Municipalidades del Ecuador como plataforma de coordinación y escalado</w:t>
      </w:r>
      <w:r w:rsidRPr="00F754EF">
        <w:t xml:space="preserve"> </w:t>
      </w:r>
      <w:r w:rsidRPr="00F754EF">
        <w:rPr>
          <w:rFonts w:ascii="Aptos Display" w:hAnsi="Aptos Display"/>
        </w:rPr>
        <w:t>para el diálogo político y el aprendizaje entre iguales entre gobiernos locales.</w:t>
      </w:r>
    </w:p>
    <w:p w14:paraId="49A59D2A" w14:textId="77777777" w:rsidR="007033FD" w:rsidRPr="00F754EF" w:rsidRDefault="000910E6">
      <w:pPr>
        <w:pStyle w:val="ListParagraph"/>
        <w:numPr>
          <w:ilvl w:val="0"/>
          <w:numId w:val="7"/>
        </w:numPr>
        <w:suppressAutoHyphens w:val="0"/>
        <w:autoSpaceDE/>
        <w:adjustRightInd/>
        <w:spacing w:line="240" w:lineRule="auto"/>
        <w:ind w:left="1080"/>
      </w:pPr>
      <w:r w:rsidRPr="00F754EF">
        <w:rPr>
          <w:rFonts w:ascii="Aptos Display" w:hAnsi="Aptos Display"/>
        </w:rPr>
        <w:t xml:space="preserve">Mantener </w:t>
      </w:r>
      <w:r w:rsidR="002A202F" w:rsidRPr="00F754EF">
        <w:rPr>
          <w:rFonts w:ascii="Aptos Display" w:hAnsi="Aptos Display"/>
        </w:rPr>
        <w:t xml:space="preserve">una capacidad </w:t>
      </w:r>
      <w:r w:rsidRPr="00F754EF">
        <w:rPr>
          <w:rFonts w:ascii="Aptos Display" w:hAnsi="Aptos Display"/>
        </w:rPr>
        <w:t xml:space="preserve">de incidencia normativa nacional </w:t>
      </w:r>
      <w:r w:rsidR="007033FD" w:rsidRPr="00F754EF">
        <w:rPr>
          <w:rFonts w:ascii="Aptos Display" w:hAnsi="Aptos Display"/>
        </w:rPr>
        <w:t>focalizada en las ventanas institucionales verificadas: el reglamento de implementación de la Ley de Cuidados Humanos, la operativización del SAT y la implementación del PAN-Mujeres, Paz y Seguridad.</w:t>
      </w:r>
    </w:p>
    <w:p w14:paraId="2B189006" w14:textId="0984E082" w:rsidR="000910E6" w:rsidRPr="00F754EF" w:rsidRDefault="000910E6" w:rsidP="007033FD">
      <w:pPr>
        <w:suppressAutoHyphens w:val="0"/>
        <w:autoSpaceDE/>
        <w:adjustRightInd/>
        <w:spacing w:line="240" w:lineRule="auto"/>
      </w:pPr>
      <w:r w:rsidRPr="00F754EF">
        <w:rPr>
          <w:rFonts w:ascii="Aptos Display" w:hAnsi="Aptos Display"/>
          <w:b/>
          <w:bCs/>
        </w:rPr>
        <w:t>Razonamiento e impacto:</w:t>
      </w:r>
      <w:r w:rsidRPr="00F754EF">
        <w:rPr>
          <w:b/>
          <w:bCs/>
        </w:rPr>
        <w:t xml:space="preserve"> </w:t>
      </w:r>
      <w:r w:rsidRPr="00F754EF">
        <w:rPr>
          <w:rFonts w:ascii="Aptos Display" w:hAnsi="Aptos Display"/>
        </w:rPr>
        <w:t>Formalizar el modelo subnacional reduce la exposición del portafolio a la volatilidad política nacional, genera recursos más flexibles a través del cofinanciamiento y produce resultados más sostenibles mediante el anclaje normativo.</w:t>
      </w:r>
    </w:p>
    <w:p w14:paraId="6859EE26" w14:textId="77777777" w:rsidR="000910E6" w:rsidRPr="00F754EF" w:rsidRDefault="000910E6" w:rsidP="006D4CCF">
      <w:pPr>
        <w:autoSpaceDE/>
        <w:spacing w:after="0" w:line="240" w:lineRule="auto"/>
        <w:rPr>
          <w:b/>
          <w:bCs/>
          <w:i/>
          <w:iCs/>
        </w:rPr>
      </w:pPr>
      <w:r w:rsidRPr="00F754EF">
        <w:rPr>
          <w:rFonts w:ascii="Aptos Display" w:hAnsi="Aptos Display"/>
          <w:b/>
          <w:bCs/>
          <w:i/>
          <w:iCs/>
        </w:rPr>
        <w:t>Alineado con las conclusiones 1, 3; hallazgos 2, 6, 9, 12, 15.</w:t>
      </w:r>
      <w:r w:rsidRPr="00F754EF">
        <w:rPr>
          <w:b/>
          <w:bCs/>
          <w:i/>
          <w:iCs/>
        </w:rPr>
        <w:t xml:space="preserve"> </w:t>
      </w:r>
    </w:p>
    <w:p w14:paraId="624E240C" w14:textId="77777777" w:rsidR="005D0AC8" w:rsidRPr="00F754EF" w:rsidRDefault="005D0AC8" w:rsidP="006D4CCF">
      <w:pPr>
        <w:autoSpaceDE/>
        <w:spacing w:after="0" w:line="240" w:lineRule="auto"/>
        <w:rPr>
          <w:b/>
          <w:bCs/>
        </w:rPr>
      </w:pPr>
    </w:p>
    <w:p w14:paraId="5D121BF1" w14:textId="62CC508E" w:rsidR="000910E6" w:rsidRPr="00F754EF" w:rsidRDefault="000910E6" w:rsidP="006D4CCF">
      <w:pPr>
        <w:pBdr>
          <w:top w:val="single" w:sz="4" w:space="1" w:color="auto"/>
          <w:left w:val="single" w:sz="4" w:space="4" w:color="auto"/>
          <w:bottom w:val="single" w:sz="4" w:space="1" w:color="auto"/>
          <w:right w:val="single" w:sz="4" w:space="4" w:color="auto"/>
        </w:pBdr>
        <w:autoSpaceDE/>
        <w:spacing w:after="0" w:line="240" w:lineRule="auto"/>
      </w:pPr>
      <w:r w:rsidRPr="00F754EF">
        <w:rPr>
          <w:rFonts w:ascii="Aptos Display" w:hAnsi="Aptos Display"/>
          <w:b/>
          <w:bCs/>
        </w:rPr>
        <w:t xml:space="preserve">RECOMENDACIÓN 3: </w:t>
      </w:r>
      <w:r w:rsidR="00CE31F0" w:rsidRPr="00F754EF">
        <w:rPr>
          <w:rFonts w:ascii="Aptos Display" w:hAnsi="Aptos Display"/>
          <w:b/>
          <w:bCs/>
        </w:rPr>
        <w:t>Rediseñar la estrategia de colaboración con el sector privado sobre la base de sistemas institucionales documentados</w:t>
      </w:r>
      <w:r w:rsidRPr="00F754EF">
        <w:rPr>
          <w:rFonts w:ascii="Aptos Display" w:hAnsi="Aptos Display"/>
          <w:b/>
          <w:bCs/>
        </w:rPr>
        <w:t>.</w:t>
      </w:r>
      <w:r w:rsidRPr="00F754EF">
        <w:rPr>
          <w:b/>
          <w:bCs/>
        </w:rPr>
        <w:t xml:space="preserve"> </w:t>
      </w:r>
    </w:p>
    <w:p w14:paraId="1AC6DB39" w14:textId="5BD6FC97" w:rsidR="000910E6" w:rsidRPr="00F754EF" w:rsidRDefault="00FF246F" w:rsidP="006D4CCF">
      <w:pPr>
        <w:pBdr>
          <w:top w:val="single" w:sz="4" w:space="1" w:color="auto"/>
          <w:left w:val="single" w:sz="4" w:space="4" w:color="auto"/>
          <w:bottom w:val="single" w:sz="4" w:space="1" w:color="auto"/>
          <w:right w:val="single" w:sz="4" w:space="4" w:color="auto"/>
        </w:pBdr>
        <w:autoSpaceDE/>
        <w:spacing w:after="0" w:line="240" w:lineRule="auto"/>
        <w:rPr>
          <w:rFonts w:ascii="Aptos Display" w:hAnsi="Aptos Display"/>
        </w:rPr>
      </w:pPr>
      <w:r w:rsidRPr="00FF246F">
        <w:rPr>
          <w:rFonts w:ascii="Aptos Display" w:hAnsi="Aptos Display"/>
        </w:rPr>
        <w:t>La participación del sector privado en el portafolio se mantuvo predominantemente en el nivel de sensibilización y adhesión a los Principios de Empoderamiento de las Mujeres (</w:t>
      </w:r>
      <w:proofErr w:type="spellStart"/>
      <w:r w:rsidRPr="00FF246F">
        <w:rPr>
          <w:rFonts w:ascii="Aptos Display" w:hAnsi="Aptos Display"/>
        </w:rPr>
        <w:t>WEPs</w:t>
      </w:r>
      <w:proofErr w:type="spellEnd"/>
      <w:r w:rsidRPr="00FF246F">
        <w:rPr>
          <w:rFonts w:ascii="Aptos Display" w:hAnsi="Aptos Display"/>
        </w:rPr>
        <w:t>). Para ampliar el impacto y la sostenibilidad de esta línea de trabajo en el próximo ciclo, la oficina deberá construir sobre una base institucional documentada que sea resiliente ante cambios de personal y que genere una nueva vía de movilización de recursos</w:t>
      </w:r>
      <w:r w:rsidR="000910E6" w:rsidRPr="00F754EF">
        <w:rPr>
          <w:rFonts w:ascii="Aptos Display" w:hAnsi="Aptos Display"/>
        </w:rPr>
        <w:t>.</w:t>
      </w:r>
    </w:p>
    <w:p w14:paraId="557122FE" w14:textId="3A76B383" w:rsidR="000910E6" w:rsidRPr="00F754EF" w:rsidRDefault="000910E6" w:rsidP="006D4CCF">
      <w:pPr>
        <w:autoSpaceDE/>
        <w:spacing w:after="0" w:line="240" w:lineRule="auto"/>
      </w:pPr>
      <w:r w:rsidRPr="00F754EF">
        <w:rPr>
          <w:rFonts w:ascii="Aptos Display" w:hAnsi="Aptos Display"/>
          <w:b/>
          <w:bCs/>
        </w:rPr>
        <w:t>Prioridad:</w:t>
      </w:r>
      <w:r w:rsidRPr="00F754EF">
        <w:rPr>
          <w:b/>
          <w:bCs/>
        </w:rPr>
        <w:t xml:space="preserve"> </w:t>
      </w:r>
      <w:r w:rsidRPr="00F754EF">
        <w:rPr>
          <w:rFonts w:ascii="Aptos Display" w:hAnsi="Aptos Display"/>
        </w:rPr>
        <w:t>Media.</w:t>
      </w:r>
      <w:r w:rsidR="005D0AC8" w:rsidRPr="00F754EF">
        <w:tab/>
      </w:r>
      <w:r w:rsidRPr="00F754EF">
        <w:rPr>
          <w:rFonts w:ascii="Aptos Display" w:hAnsi="Aptos Display"/>
          <w:b/>
          <w:bCs/>
        </w:rPr>
        <w:t>Calendario:</w:t>
      </w:r>
      <w:r w:rsidRPr="00F754EF">
        <w:rPr>
          <w:b/>
          <w:bCs/>
        </w:rPr>
        <w:t xml:space="preserve"> </w:t>
      </w:r>
      <w:r w:rsidRPr="00F754EF">
        <w:rPr>
          <w:rFonts w:ascii="Aptos Display" w:hAnsi="Aptos Display"/>
        </w:rPr>
        <w:t>Análisis regional en el primer año; estrategia operativa en el segundo año.</w:t>
      </w:r>
    </w:p>
    <w:p w14:paraId="705853EB" w14:textId="77777777" w:rsidR="000910E6" w:rsidRPr="00F754EF" w:rsidRDefault="000910E6" w:rsidP="006D4CCF">
      <w:pPr>
        <w:autoSpaceDE/>
        <w:spacing w:after="0" w:line="240" w:lineRule="auto"/>
      </w:pPr>
      <w:r w:rsidRPr="00F754EF">
        <w:rPr>
          <w:rFonts w:ascii="Aptos Display" w:hAnsi="Aptos Display"/>
          <w:b/>
          <w:bCs/>
        </w:rPr>
        <w:t>Pasos sugeridos:</w:t>
      </w:r>
      <w:r w:rsidRPr="00F754EF">
        <w:rPr>
          <w:b/>
          <w:bCs/>
        </w:rPr>
        <w:t xml:space="preserve"> </w:t>
      </w:r>
    </w:p>
    <w:p w14:paraId="079862EC" w14:textId="61A50C76" w:rsidR="000910E6" w:rsidRPr="00F754EF" w:rsidRDefault="000910E6" w:rsidP="005F74DB">
      <w:pPr>
        <w:pStyle w:val="ListParagraph"/>
        <w:numPr>
          <w:ilvl w:val="0"/>
          <w:numId w:val="8"/>
        </w:numPr>
        <w:suppressAutoHyphens w:val="0"/>
        <w:autoSpaceDE/>
        <w:adjustRightInd/>
        <w:spacing w:line="240" w:lineRule="auto"/>
        <w:ind w:left="1080"/>
      </w:pPr>
      <w:r w:rsidRPr="00F754EF">
        <w:rPr>
          <w:rFonts w:ascii="Aptos Display" w:hAnsi="Aptos Display"/>
        </w:rPr>
        <w:t>Realizar un análisis para identificar modelos exitosos de participación del sector privado en América Latina y evaluar su aplicabilidad al contexto ecuatoriano.</w:t>
      </w:r>
    </w:p>
    <w:p w14:paraId="7C17B7A5" w14:textId="135C63C6" w:rsidR="000910E6" w:rsidRPr="00F754EF" w:rsidRDefault="000910E6" w:rsidP="005F74DB">
      <w:pPr>
        <w:pStyle w:val="ListParagraph"/>
        <w:numPr>
          <w:ilvl w:val="0"/>
          <w:numId w:val="8"/>
        </w:numPr>
        <w:suppressAutoHyphens w:val="0"/>
        <w:autoSpaceDE/>
        <w:adjustRightInd/>
        <w:spacing w:line="240" w:lineRule="auto"/>
        <w:ind w:left="1080"/>
      </w:pPr>
      <w:r w:rsidRPr="00F754EF">
        <w:rPr>
          <w:rFonts w:ascii="Aptos Display" w:hAnsi="Aptos Display"/>
        </w:rPr>
        <w:t xml:space="preserve">Valorar la </w:t>
      </w:r>
      <w:r w:rsidR="00B515A6" w:rsidRPr="00F754EF">
        <w:rPr>
          <w:rFonts w:ascii="Aptos Display" w:hAnsi="Aptos Display"/>
        </w:rPr>
        <w:t xml:space="preserve">adhesión </w:t>
      </w:r>
      <w:r w:rsidRPr="00F754EF">
        <w:rPr>
          <w:rFonts w:ascii="Aptos Display" w:hAnsi="Aptos Display"/>
        </w:rPr>
        <w:t xml:space="preserve">a la </w:t>
      </w:r>
      <w:proofErr w:type="spellStart"/>
      <w:r w:rsidRPr="00F754EF">
        <w:rPr>
          <w:rFonts w:ascii="Aptos Display" w:hAnsi="Aptos Display"/>
        </w:rPr>
        <w:t>Unstereotype</w:t>
      </w:r>
      <w:proofErr w:type="spellEnd"/>
      <w:r w:rsidRPr="00F754EF">
        <w:rPr>
          <w:rFonts w:ascii="Aptos Display" w:hAnsi="Aptos Display"/>
        </w:rPr>
        <w:t xml:space="preserve"> Alliance como plataforma para trabajar con la industria publicitaria y de comunicación en torno a estereotipos de género perjudiciales, una carencia señalada en los hallazgos de comunicación.</w:t>
      </w:r>
    </w:p>
    <w:p w14:paraId="34ED32D2" w14:textId="3803FD57" w:rsidR="000910E6" w:rsidRPr="00F754EF" w:rsidRDefault="000910E6" w:rsidP="005F74DB">
      <w:pPr>
        <w:pStyle w:val="ListParagraph"/>
        <w:numPr>
          <w:ilvl w:val="0"/>
          <w:numId w:val="8"/>
        </w:numPr>
        <w:suppressAutoHyphens w:val="0"/>
        <w:autoSpaceDE/>
        <w:adjustRightInd/>
        <w:spacing w:line="240" w:lineRule="auto"/>
        <w:ind w:left="1080"/>
      </w:pPr>
      <w:r w:rsidRPr="00F754EF">
        <w:rPr>
          <w:rFonts w:ascii="Aptos Display" w:hAnsi="Aptos Display"/>
        </w:rPr>
        <w:t xml:space="preserve">Rediseñar el modelo de participación en los </w:t>
      </w:r>
      <w:proofErr w:type="spellStart"/>
      <w:r w:rsidRPr="00F754EF">
        <w:rPr>
          <w:rFonts w:ascii="Aptos Display" w:hAnsi="Aptos Display"/>
        </w:rPr>
        <w:t>WEPs</w:t>
      </w:r>
      <w:proofErr w:type="spellEnd"/>
      <w:r w:rsidRPr="00F754EF">
        <w:rPr>
          <w:rFonts w:ascii="Aptos Display" w:hAnsi="Aptos Display"/>
        </w:rPr>
        <w:t xml:space="preserve"> basándose en procesos institucionales documentados, responsabilidad compartida entre el personal y una progresión </w:t>
      </w:r>
      <w:r w:rsidR="00D73F2D" w:rsidRPr="00F754EF">
        <w:rPr>
          <w:rFonts w:ascii="Aptos Display" w:hAnsi="Aptos Display"/>
        </w:rPr>
        <w:t>escalonada</w:t>
      </w:r>
      <w:r w:rsidRPr="00F754EF">
        <w:rPr>
          <w:rFonts w:ascii="Aptos Display" w:hAnsi="Aptos Display"/>
        </w:rPr>
        <w:t xml:space="preserve"> desde el compromiso hasta el cofinanciamiento con hitos definidos.</w:t>
      </w:r>
    </w:p>
    <w:p w14:paraId="0963C551" w14:textId="53C31B2E" w:rsidR="000910E6" w:rsidRPr="00F754EF" w:rsidRDefault="000910E6" w:rsidP="006D4CCF">
      <w:pPr>
        <w:autoSpaceDE/>
        <w:spacing w:after="0" w:line="240" w:lineRule="auto"/>
      </w:pPr>
      <w:r w:rsidRPr="00F754EF">
        <w:rPr>
          <w:rFonts w:ascii="Aptos Display" w:hAnsi="Aptos Display"/>
          <w:b/>
          <w:bCs/>
        </w:rPr>
        <w:t>Razonamiento e impacto:</w:t>
      </w:r>
      <w:r w:rsidRPr="00F754EF">
        <w:rPr>
          <w:b/>
          <w:bCs/>
        </w:rPr>
        <w:t xml:space="preserve"> </w:t>
      </w:r>
      <w:r w:rsidRPr="00F754EF">
        <w:rPr>
          <w:rFonts w:ascii="Aptos Display" w:hAnsi="Aptos Display"/>
        </w:rPr>
        <w:t>La implicación del sector privado más resiliente a los cambios de personal y una nueva vía de financiación que reduzca la dependencia de donantes bilaterales.</w:t>
      </w:r>
    </w:p>
    <w:p w14:paraId="53957709" w14:textId="77777777" w:rsidR="000910E6" w:rsidRPr="00F754EF" w:rsidRDefault="000910E6" w:rsidP="006D4CCF">
      <w:pPr>
        <w:autoSpaceDE/>
        <w:spacing w:after="0" w:line="240" w:lineRule="auto"/>
        <w:rPr>
          <w:b/>
          <w:bCs/>
          <w:i/>
          <w:iCs/>
        </w:rPr>
      </w:pPr>
      <w:r w:rsidRPr="00F754EF">
        <w:rPr>
          <w:rFonts w:ascii="Aptos Display" w:hAnsi="Aptos Display"/>
          <w:b/>
          <w:bCs/>
          <w:i/>
          <w:iCs/>
        </w:rPr>
        <w:t>Alineado con las conclusiones 2, 4; hallazgos 5, 10, 12, 14.</w:t>
      </w:r>
      <w:r w:rsidRPr="00F754EF">
        <w:rPr>
          <w:b/>
          <w:bCs/>
          <w:i/>
          <w:iCs/>
        </w:rPr>
        <w:t xml:space="preserve"> </w:t>
      </w:r>
    </w:p>
    <w:p w14:paraId="0DCC1449" w14:textId="77777777" w:rsidR="005D0AC8" w:rsidRPr="00F754EF" w:rsidRDefault="005D0AC8" w:rsidP="006D4CCF">
      <w:pPr>
        <w:autoSpaceDE/>
        <w:spacing w:after="0" w:line="240" w:lineRule="auto"/>
        <w:rPr>
          <w:b/>
          <w:bCs/>
        </w:rPr>
      </w:pPr>
    </w:p>
    <w:p w14:paraId="48B10BB3" w14:textId="104C5743" w:rsidR="008F6CC7" w:rsidRPr="00F754EF" w:rsidRDefault="000910E6" w:rsidP="008F6CC7">
      <w:pPr>
        <w:pBdr>
          <w:top w:val="single" w:sz="4" w:space="1" w:color="auto"/>
          <w:left w:val="single" w:sz="4" w:space="4" w:color="auto"/>
          <w:bottom w:val="single" w:sz="4" w:space="1" w:color="auto"/>
          <w:right w:val="single" w:sz="4" w:space="4" w:color="auto"/>
        </w:pBdr>
        <w:autoSpaceDE/>
        <w:spacing w:after="0" w:line="240" w:lineRule="auto"/>
        <w:rPr>
          <w:rFonts w:ascii="Aptos Display" w:hAnsi="Aptos Display"/>
          <w:b/>
          <w:bCs/>
        </w:rPr>
      </w:pPr>
      <w:r w:rsidRPr="00F754EF">
        <w:rPr>
          <w:rFonts w:ascii="Aptos Display" w:hAnsi="Aptos Display"/>
          <w:b/>
          <w:bCs/>
        </w:rPr>
        <w:t xml:space="preserve">RECOMENDACIÓN 4: </w:t>
      </w:r>
      <w:r w:rsidR="008F6CC7" w:rsidRPr="00F754EF">
        <w:rPr>
          <w:rFonts w:ascii="Aptos Display" w:hAnsi="Aptos Display"/>
          <w:b/>
          <w:bCs/>
        </w:rPr>
        <w:t>Diseñar los portafolios de Mujeres, Paz y Seguridad y de acción humanitaria como una unidad programática coherente</w:t>
      </w:r>
    </w:p>
    <w:p w14:paraId="4FC13A29" w14:textId="77777777" w:rsidR="000910E6" w:rsidRPr="00F754EF" w:rsidRDefault="000910E6" w:rsidP="006D4CCF">
      <w:pPr>
        <w:pBdr>
          <w:top w:val="single" w:sz="4" w:space="1" w:color="auto"/>
          <w:left w:val="single" w:sz="4" w:space="4" w:color="auto"/>
          <w:bottom w:val="single" w:sz="4" w:space="1" w:color="auto"/>
          <w:right w:val="single" w:sz="4" w:space="4" w:color="auto"/>
        </w:pBdr>
        <w:autoSpaceDE/>
        <w:spacing w:after="0" w:line="240" w:lineRule="auto"/>
      </w:pPr>
      <w:r w:rsidRPr="00F754EF">
        <w:rPr>
          <w:rFonts w:ascii="Aptos Display" w:hAnsi="Aptos Display"/>
        </w:rPr>
        <w:t>La integración de estas líneas de trabajo bajo un marco común aumenta el peso estratégico y la coherencia operativa. Este enfoque responde a la realidad del entorno operativo de Ecuador, donde la seguridad, la movilidad humana y la violencia de género están profundamente interconectadas.</w:t>
      </w:r>
    </w:p>
    <w:p w14:paraId="4D6603D3" w14:textId="1C144A13" w:rsidR="000910E6" w:rsidRPr="00F754EF" w:rsidRDefault="000910E6" w:rsidP="006D4CCF">
      <w:pPr>
        <w:autoSpaceDE/>
        <w:spacing w:after="0" w:line="240" w:lineRule="auto"/>
      </w:pPr>
      <w:r w:rsidRPr="00F754EF">
        <w:rPr>
          <w:rFonts w:ascii="Aptos Display" w:hAnsi="Aptos Display"/>
          <w:b/>
          <w:bCs/>
        </w:rPr>
        <w:t>Prioridad:</w:t>
      </w:r>
      <w:r w:rsidRPr="00F754EF">
        <w:rPr>
          <w:b/>
          <w:bCs/>
        </w:rPr>
        <w:t xml:space="preserve"> </w:t>
      </w:r>
      <w:r w:rsidRPr="00F754EF">
        <w:rPr>
          <w:rFonts w:ascii="Aptos Display" w:hAnsi="Aptos Display"/>
        </w:rPr>
        <w:t>Alta.</w:t>
      </w:r>
      <w:r w:rsidR="005D0AC8" w:rsidRPr="00F754EF">
        <w:tab/>
      </w:r>
      <w:r w:rsidRPr="00F754EF">
        <w:rPr>
          <w:rFonts w:ascii="Aptos Display" w:hAnsi="Aptos Display"/>
          <w:b/>
          <w:bCs/>
        </w:rPr>
        <w:t>Calendario:</w:t>
      </w:r>
      <w:r w:rsidRPr="00F754EF">
        <w:rPr>
          <w:b/>
          <w:bCs/>
        </w:rPr>
        <w:t xml:space="preserve"> </w:t>
      </w:r>
      <w:r w:rsidRPr="00F754EF">
        <w:rPr>
          <w:rFonts w:ascii="Aptos Display" w:hAnsi="Aptos Display"/>
        </w:rPr>
        <w:t>Fase de diseño de la próxima Nota Estratégica.</w:t>
      </w:r>
    </w:p>
    <w:p w14:paraId="5DAD94F6" w14:textId="77777777" w:rsidR="000910E6" w:rsidRPr="00F754EF" w:rsidRDefault="000910E6" w:rsidP="006D4CCF">
      <w:pPr>
        <w:autoSpaceDE/>
        <w:spacing w:after="0" w:line="240" w:lineRule="auto"/>
      </w:pPr>
      <w:r w:rsidRPr="00F754EF">
        <w:rPr>
          <w:rFonts w:ascii="Aptos Display" w:hAnsi="Aptos Display"/>
          <w:b/>
          <w:bCs/>
        </w:rPr>
        <w:t>Pasos sugeridos:</w:t>
      </w:r>
      <w:r w:rsidRPr="00F754EF">
        <w:rPr>
          <w:b/>
          <w:bCs/>
        </w:rPr>
        <w:t xml:space="preserve"> </w:t>
      </w:r>
    </w:p>
    <w:p w14:paraId="67387D01" w14:textId="77777777" w:rsidR="000910E6" w:rsidRPr="00F754EF" w:rsidRDefault="000910E6" w:rsidP="005F74DB">
      <w:pPr>
        <w:pStyle w:val="ListParagraph"/>
        <w:numPr>
          <w:ilvl w:val="0"/>
          <w:numId w:val="9"/>
        </w:numPr>
        <w:suppressAutoHyphens w:val="0"/>
        <w:autoSpaceDE/>
        <w:adjustRightInd/>
        <w:spacing w:line="240" w:lineRule="auto"/>
        <w:ind w:left="1080"/>
      </w:pPr>
      <w:r w:rsidRPr="00F754EF">
        <w:rPr>
          <w:rFonts w:ascii="Aptos Display" w:hAnsi="Aptos Display"/>
        </w:rPr>
        <w:t>Diseñar el portafolio de WPS y humanitario como un área programática única en la próxima Nota Estratégica, con indicadores de resultado compartidos, una estrategia territorial común y una persona responsable designada para ambas áreas.</w:t>
      </w:r>
    </w:p>
    <w:p w14:paraId="7D206ED2" w14:textId="77777777" w:rsidR="000910E6" w:rsidRPr="00F754EF" w:rsidRDefault="000910E6" w:rsidP="005F74DB">
      <w:pPr>
        <w:pStyle w:val="ListParagraph"/>
        <w:numPr>
          <w:ilvl w:val="0"/>
          <w:numId w:val="9"/>
        </w:numPr>
        <w:suppressAutoHyphens w:val="0"/>
        <w:autoSpaceDE/>
        <w:adjustRightInd/>
        <w:spacing w:line="240" w:lineRule="auto"/>
        <w:ind w:left="1080"/>
      </w:pPr>
      <w:r w:rsidRPr="00F754EF">
        <w:rPr>
          <w:rFonts w:ascii="Aptos Display" w:hAnsi="Aptos Display"/>
        </w:rPr>
        <w:t>Utilizar el PAN-Mujeres, Paz y Seguridad 2025-2029 como ancla normativa del trabajo de WPS del próximo ciclo, mapeando las contribuciones planificadas de la oficina explícitamente frente al marco de implementación quinquenal del PAN.</w:t>
      </w:r>
    </w:p>
    <w:p w14:paraId="604857DD" w14:textId="77777777" w:rsidR="000910E6" w:rsidRPr="00F754EF" w:rsidRDefault="000910E6" w:rsidP="005F74DB">
      <w:pPr>
        <w:pStyle w:val="ListParagraph"/>
        <w:numPr>
          <w:ilvl w:val="0"/>
          <w:numId w:val="9"/>
        </w:numPr>
        <w:suppressAutoHyphens w:val="0"/>
        <w:autoSpaceDE/>
        <w:adjustRightInd/>
        <w:spacing w:line="240" w:lineRule="auto"/>
        <w:ind w:left="1080"/>
      </w:pPr>
      <w:r w:rsidRPr="00F754EF">
        <w:rPr>
          <w:rFonts w:ascii="Aptos Display" w:hAnsi="Aptos Display"/>
        </w:rPr>
        <w:t>Aprovechar el modelo binacional Caminantes para desarrollar una alianza estructurada con ONU Mujeres Colombia para el corredor fronterizo norte.</w:t>
      </w:r>
    </w:p>
    <w:p w14:paraId="373A48B2" w14:textId="6F228345" w:rsidR="000910E6" w:rsidRPr="00F754EF" w:rsidRDefault="000910E6" w:rsidP="006D4CCF">
      <w:pPr>
        <w:autoSpaceDE/>
        <w:spacing w:after="0" w:line="240" w:lineRule="auto"/>
      </w:pPr>
      <w:r w:rsidRPr="00F754EF">
        <w:rPr>
          <w:rFonts w:ascii="Aptos Display" w:hAnsi="Aptos Display"/>
          <w:b/>
          <w:bCs/>
        </w:rPr>
        <w:t>Razonamiento e impacto:</w:t>
      </w:r>
      <w:r w:rsidRPr="00F754EF">
        <w:rPr>
          <w:b/>
          <w:bCs/>
        </w:rPr>
        <w:t xml:space="preserve"> </w:t>
      </w:r>
      <w:r w:rsidRPr="00F754EF">
        <w:rPr>
          <w:rFonts w:ascii="Aptos Display" w:hAnsi="Aptos Display"/>
        </w:rPr>
        <w:t>La integración de los portafolios de WPS y humanitario incrementa la coherencia y visibilidad estratégica de este conjunto de trabajos, reduce los costes de coordinación y refuerza el posicionamiento de la oficina respecto al nexo seguridad-género</w:t>
      </w:r>
      <w:r w:rsidR="00825B80" w:rsidRPr="00F754EF">
        <w:rPr>
          <w:rFonts w:ascii="Aptos Display" w:hAnsi="Aptos Display"/>
        </w:rPr>
        <w:t>.</w:t>
      </w:r>
    </w:p>
    <w:p w14:paraId="5203A0B7" w14:textId="77777777" w:rsidR="000910E6" w:rsidRPr="00F754EF" w:rsidRDefault="000910E6" w:rsidP="006D4CCF">
      <w:pPr>
        <w:autoSpaceDE/>
        <w:spacing w:after="0" w:line="240" w:lineRule="auto"/>
        <w:rPr>
          <w:b/>
          <w:bCs/>
          <w:i/>
          <w:iCs/>
        </w:rPr>
      </w:pPr>
      <w:r w:rsidRPr="00F754EF">
        <w:rPr>
          <w:rFonts w:ascii="Aptos Display" w:hAnsi="Aptos Display"/>
          <w:b/>
          <w:bCs/>
          <w:i/>
          <w:iCs/>
        </w:rPr>
        <w:t>Alineado con las conclusiones 3, 5; hallazgos 2, 8, 15, 16.</w:t>
      </w:r>
      <w:r w:rsidRPr="00F754EF">
        <w:rPr>
          <w:b/>
          <w:bCs/>
          <w:i/>
          <w:iCs/>
        </w:rPr>
        <w:t xml:space="preserve"> </w:t>
      </w:r>
    </w:p>
    <w:p w14:paraId="27292DC9" w14:textId="77777777" w:rsidR="005D0AC8" w:rsidRPr="00F754EF" w:rsidRDefault="005D0AC8" w:rsidP="006D4CCF">
      <w:pPr>
        <w:autoSpaceDE/>
        <w:spacing w:after="0" w:line="240" w:lineRule="auto"/>
        <w:rPr>
          <w:b/>
          <w:bCs/>
        </w:rPr>
      </w:pPr>
    </w:p>
    <w:p w14:paraId="70397454" w14:textId="27B4D829" w:rsidR="000910E6" w:rsidRPr="00F754EF" w:rsidRDefault="000910E6" w:rsidP="006D4CCF">
      <w:pPr>
        <w:pBdr>
          <w:top w:val="single" w:sz="4" w:space="1" w:color="auto"/>
          <w:left w:val="single" w:sz="4" w:space="4" w:color="auto"/>
          <w:bottom w:val="single" w:sz="4" w:space="1" w:color="auto"/>
          <w:right w:val="single" w:sz="4" w:space="4" w:color="auto"/>
        </w:pBdr>
        <w:autoSpaceDE/>
        <w:spacing w:after="0" w:line="240" w:lineRule="auto"/>
      </w:pPr>
      <w:r w:rsidRPr="00F754EF">
        <w:rPr>
          <w:rFonts w:ascii="Aptos Display" w:hAnsi="Aptos Display"/>
          <w:b/>
          <w:bCs/>
        </w:rPr>
        <w:t>RECOMENDACIÓN 5:</w:t>
      </w:r>
      <w:r w:rsidRPr="00F754EF">
        <w:rPr>
          <w:b/>
          <w:bCs/>
        </w:rPr>
        <w:t xml:space="preserve"> </w:t>
      </w:r>
      <w:r w:rsidR="000D5400" w:rsidRPr="00F754EF">
        <w:rPr>
          <w:rFonts w:ascii="Aptos Display" w:hAnsi="Aptos Display"/>
          <w:b/>
          <w:bCs/>
        </w:rPr>
        <w:t>Realizar una revisión funcional de capacidades antes de finalizar la próxima Nota Estratégica</w:t>
      </w:r>
      <w:r w:rsidRPr="00F754EF">
        <w:rPr>
          <w:rFonts w:ascii="Aptos Display" w:hAnsi="Aptos Display"/>
          <w:b/>
          <w:bCs/>
        </w:rPr>
        <w:t>.</w:t>
      </w:r>
      <w:r w:rsidRPr="00F754EF">
        <w:rPr>
          <w:b/>
          <w:bCs/>
        </w:rPr>
        <w:t xml:space="preserve"> </w:t>
      </w:r>
    </w:p>
    <w:p w14:paraId="6730B146" w14:textId="441306CB" w:rsidR="000910E6" w:rsidRPr="00F754EF" w:rsidRDefault="004F59D5" w:rsidP="006D4CCF">
      <w:pPr>
        <w:pBdr>
          <w:top w:val="single" w:sz="4" w:space="1" w:color="auto"/>
          <w:left w:val="single" w:sz="4" w:space="4" w:color="auto"/>
          <w:bottom w:val="single" w:sz="4" w:space="1" w:color="auto"/>
          <w:right w:val="single" w:sz="4" w:space="4" w:color="auto"/>
        </w:pBdr>
        <w:autoSpaceDE/>
        <w:spacing w:after="0" w:line="240" w:lineRule="auto"/>
      </w:pPr>
      <w:r w:rsidRPr="00F754EF">
        <w:rPr>
          <w:rFonts w:ascii="Aptos Display" w:hAnsi="Aptos Display"/>
        </w:rPr>
        <w:t>La próxima Nota Estratégica debe estar precedida por una revisión que asegure que cada prioridad declarada cuente con los recursos humanos, técnicos y financieros necesarios para su implementación efectiva</w:t>
      </w:r>
      <w:r w:rsidR="000910E6" w:rsidRPr="00F754EF">
        <w:rPr>
          <w:rFonts w:ascii="Aptos Display" w:hAnsi="Aptos Display"/>
        </w:rPr>
        <w:t>.</w:t>
      </w:r>
    </w:p>
    <w:p w14:paraId="7593C0FD" w14:textId="7875098A" w:rsidR="000910E6" w:rsidRPr="00F754EF" w:rsidRDefault="000910E6" w:rsidP="006D4CCF">
      <w:pPr>
        <w:autoSpaceDE/>
        <w:spacing w:after="0" w:line="240" w:lineRule="auto"/>
      </w:pPr>
      <w:r w:rsidRPr="00F754EF">
        <w:rPr>
          <w:rFonts w:ascii="Aptos Display" w:hAnsi="Aptos Display"/>
          <w:b/>
          <w:bCs/>
        </w:rPr>
        <w:t>Prioridad:</w:t>
      </w:r>
      <w:r w:rsidRPr="00F754EF">
        <w:rPr>
          <w:b/>
          <w:bCs/>
        </w:rPr>
        <w:t xml:space="preserve"> </w:t>
      </w:r>
      <w:r w:rsidRPr="00F754EF">
        <w:rPr>
          <w:rFonts w:ascii="Aptos Display" w:hAnsi="Aptos Display"/>
        </w:rPr>
        <w:t>Alta.</w:t>
      </w:r>
      <w:r w:rsidR="005D0AC8" w:rsidRPr="00F754EF">
        <w:tab/>
      </w:r>
      <w:r w:rsidRPr="00F754EF">
        <w:rPr>
          <w:rFonts w:ascii="Aptos Display" w:hAnsi="Aptos Display"/>
          <w:b/>
          <w:bCs/>
        </w:rPr>
        <w:t>Calendario:</w:t>
      </w:r>
      <w:r w:rsidRPr="00F754EF">
        <w:rPr>
          <w:b/>
          <w:bCs/>
        </w:rPr>
        <w:t xml:space="preserve"> </w:t>
      </w:r>
      <w:r w:rsidRPr="00F754EF">
        <w:rPr>
          <w:rFonts w:ascii="Aptos Display" w:hAnsi="Aptos Display"/>
        </w:rPr>
        <w:t>Realizar revisiones internas antes de finalizar la Nota Estratégica.</w:t>
      </w:r>
    </w:p>
    <w:p w14:paraId="405F9189" w14:textId="77777777" w:rsidR="000910E6" w:rsidRPr="00F754EF" w:rsidRDefault="000910E6" w:rsidP="006D4CCF">
      <w:pPr>
        <w:autoSpaceDE/>
        <w:spacing w:after="0" w:line="240" w:lineRule="auto"/>
      </w:pPr>
      <w:r w:rsidRPr="00F754EF">
        <w:rPr>
          <w:rFonts w:ascii="Aptos Display" w:hAnsi="Aptos Display"/>
          <w:b/>
          <w:bCs/>
        </w:rPr>
        <w:t>Pasos sugeridos:</w:t>
      </w:r>
      <w:r w:rsidRPr="00F754EF">
        <w:rPr>
          <w:b/>
          <w:bCs/>
        </w:rPr>
        <w:t xml:space="preserve"> </w:t>
      </w:r>
    </w:p>
    <w:p w14:paraId="2D5F16B4" w14:textId="28F86606" w:rsidR="000910E6" w:rsidRPr="00F754EF" w:rsidRDefault="000910E6" w:rsidP="005F74DB">
      <w:pPr>
        <w:pStyle w:val="ListParagraph"/>
        <w:numPr>
          <w:ilvl w:val="0"/>
          <w:numId w:val="10"/>
        </w:numPr>
        <w:suppressAutoHyphens w:val="0"/>
        <w:autoSpaceDE/>
        <w:adjustRightInd/>
        <w:spacing w:line="240" w:lineRule="auto"/>
        <w:ind w:left="1080"/>
      </w:pPr>
      <w:r w:rsidRPr="00F754EF">
        <w:rPr>
          <w:rFonts w:ascii="Aptos Display" w:hAnsi="Aptos Display"/>
        </w:rPr>
        <w:lastRenderedPageBreak/>
        <w:t>Convocar una revisión interna de personal y sucesión para mapear qué funciones, relaciones y conocimientos institucionales, y establecer protocolos de sucesión y requisitos mínimos de personal por área de resultado en el marco de recursos del nuevo ciclo.</w:t>
      </w:r>
    </w:p>
    <w:p w14:paraId="33F6BA61" w14:textId="2EC7A7D8" w:rsidR="000910E6" w:rsidRPr="00F754EF" w:rsidRDefault="00AD525F" w:rsidP="005F74DB">
      <w:pPr>
        <w:pStyle w:val="ListParagraph"/>
        <w:numPr>
          <w:ilvl w:val="0"/>
          <w:numId w:val="10"/>
        </w:numPr>
        <w:suppressAutoHyphens w:val="0"/>
        <w:autoSpaceDE/>
        <w:adjustRightInd/>
        <w:spacing w:line="240" w:lineRule="auto"/>
        <w:ind w:left="1080"/>
      </w:pPr>
      <w:r w:rsidRPr="00F754EF">
        <w:rPr>
          <w:rFonts w:ascii="Aptos Display" w:hAnsi="Aptos Display"/>
        </w:rPr>
        <w:t>R</w:t>
      </w:r>
      <w:r w:rsidR="000910E6" w:rsidRPr="00F754EF">
        <w:rPr>
          <w:rFonts w:ascii="Aptos Display" w:hAnsi="Aptos Display"/>
        </w:rPr>
        <w:t>ealizar una reflexión interna estructurada con el personal del programa sobre la capacidad técnica actual de la oficina para la programación inclusiva de discapacidad, identificando brechas de conocimiento, recursos regionales existentes y opciones de alianzas</w:t>
      </w:r>
      <w:r w:rsidRPr="00F754EF">
        <w:rPr>
          <w:rFonts w:ascii="Aptos Display" w:hAnsi="Aptos Display"/>
        </w:rPr>
        <w:t>.</w:t>
      </w:r>
    </w:p>
    <w:p w14:paraId="1B58DD8D" w14:textId="3C7ED453" w:rsidR="000910E6" w:rsidRPr="00F754EF" w:rsidRDefault="000910E6" w:rsidP="005F74DB">
      <w:pPr>
        <w:pStyle w:val="ListParagraph"/>
        <w:numPr>
          <w:ilvl w:val="0"/>
          <w:numId w:val="10"/>
        </w:numPr>
        <w:suppressAutoHyphens w:val="0"/>
        <w:autoSpaceDE/>
        <w:adjustRightInd/>
        <w:spacing w:line="240" w:lineRule="auto"/>
        <w:ind w:left="1080"/>
      </w:pPr>
      <w:r w:rsidRPr="00F754EF">
        <w:rPr>
          <w:rFonts w:ascii="Aptos Display" w:hAnsi="Aptos Display"/>
        </w:rPr>
        <w:t>Aprovechar la oficina regional, los intercambios Sur-Sur con otras oficinas de ONU Mujeres y los conocimientos comunitarios de los socios implementadores del ciclo.</w:t>
      </w:r>
    </w:p>
    <w:p w14:paraId="3B383A8C" w14:textId="5AB16588" w:rsidR="000910E6" w:rsidRPr="00F754EF" w:rsidRDefault="000910E6" w:rsidP="006D4CCF">
      <w:pPr>
        <w:autoSpaceDE/>
        <w:spacing w:after="0" w:line="240" w:lineRule="auto"/>
      </w:pPr>
      <w:r w:rsidRPr="00F754EF">
        <w:rPr>
          <w:rFonts w:ascii="Aptos Display" w:hAnsi="Aptos Display"/>
          <w:b/>
          <w:bCs/>
        </w:rPr>
        <w:t>Razonamiento e impacto:</w:t>
      </w:r>
      <w:r w:rsidRPr="00F754EF">
        <w:rPr>
          <w:b/>
          <w:bCs/>
        </w:rPr>
        <w:t xml:space="preserve"> </w:t>
      </w:r>
      <w:r w:rsidRPr="00F754EF">
        <w:rPr>
          <w:rFonts w:ascii="Aptos Display" w:hAnsi="Aptos Display"/>
        </w:rPr>
        <w:t xml:space="preserve">Una Nota Estratégica que recoja prioridades que la oficina puede ejecutar. </w:t>
      </w:r>
    </w:p>
    <w:p w14:paraId="772ADBE8" w14:textId="1C957116" w:rsidR="007D2944" w:rsidRPr="00F754EF" w:rsidRDefault="000910E6" w:rsidP="006D4CCF">
      <w:pPr>
        <w:autoSpaceDE/>
        <w:spacing w:after="0" w:line="240" w:lineRule="auto"/>
        <w:rPr>
          <w:b/>
          <w:bCs/>
          <w:i/>
          <w:iCs/>
        </w:rPr>
      </w:pPr>
      <w:r w:rsidRPr="00F754EF">
        <w:rPr>
          <w:rFonts w:ascii="Aptos Display" w:hAnsi="Aptos Display"/>
          <w:b/>
          <w:bCs/>
          <w:i/>
          <w:iCs/>
        </w:rPr>
        <w:t>Alineado con las conclusiones 2, 4, 5; hallazgos 11, 13, 14, 16.</w:t>
      </w:r>
      <w:r w:rsidRPr="00F754EF">
        <w:rPr>
          <w:b/>
          <w:bCs/>
          <w:i/>
          <w:iCs/>
        </w:rPr>
        <w:t xml:space="preserve"> </w:t>
      </w:r>
    </w:p>
    <w:p w14:paraId="2C2020DA" w14:textId="58F80A02" w:rsidR="007D2944" w:rsidRPr="00F754EF" w:rsidRDefault="007D2944" w:rsidP="005831BD">
      <w:pPr>
        <w:suppressAutoHyphens w:val="0"/>
        <w:autoSpaceDE/>
        <w:autoSpaceDN/>
        <w:adjustRightInd/>
        <w:spacing w:line="240" w:lineRule="auto"/>
        <w:jc w:val="left"/>
        <w:rPr>
          <w:i/>
          <w:iCs/>
        </w:rPr>
      </w:pPr>
    </w:p>
    <w:p w14:paraId="1111F656" w14:textId="5FB393D6" w:rsidR="007D2944" w:rsidRPr="00F754EF" w:rsidRDefault="007D2944" w:rsidP="005831BD">
      <w:pPr>
        <w:pStyle w:val="TITLEPAGE"/>
        <w:spacing w:after="120"/>
        <w:rPr>
          <w:lang w:val="es-ES"/>
        </w:rPr>
      </w:pPr>
      <w:bookmarkStart w:id="50" w:name="_Toc226111579"/>
      <w:bookmarkStart w:id="51" w:name="_Toc233830055"/>
      <w:r w:rsidRPr="00F754EF">
        <w:rPr>
          <w:lang w:val="es-ES"/>
        </w:rPr>
        <w:t>An</w:t>
      </w:r>
      <w:bookmarkEnd w:id="50"/>
      <w:r w:rsidRPr="00F754EF">
        <w:rPr>
          <w:lang w:val="es-ES"/>
        </w:rPr>
        <w:t>exos</w:t>
      </w:r>
      <w:bookmarkEnd w:id="51"/>
    </w:p>
    <w:p w14:paraId="792404E6" w14:textId="3DB16F90" w:rsidR="007D2944" w:rsidRPr="00F754EF" w:rsidRDefault="007D2944" w:rsidP="005831BD">
      <w:pPr>
        <w:spacing w:line="240" w:lineRule="auto"/>
        <w:rPr>
          <w:rFonts w:ascii="Aptos Display" w:hAnsi="Aptos Display"/>
          <w:b/>
          <w:bCs/>
          <w:sz w:val="24"/>
          <w:szCs w:val="24"/>
        </w:rPr>
      </w:pPr>
      <w:r w:rsidRPr="00F754EF">
        <w:rPr>
          <w:rFonts w:ascii="Aptos Display" w:hAnsi="Aptos Display"/>
          <w:b/>
          <w:bCs/>
          <w:sz w:val="24"/>
          <w:szCs w:val="24"/>
        </w:rPr>
        <w:t>Los anexos están disponibles en el volumen 2 del reporte</w:t>
      </w:r>
    </w:p>
    <w:p w14:paraId="75DCEC94" w14:textId="3F0AB0FF" w:rsidR="007D2944" w:rsidRPr="00F754EF" w:rsidRDefault="007D2944" w:rsidP="005831BD">
      <w:pPr>
        <w:spacing w:line="240" w:lineRule="auto"/>
        <w:rPr>
          <w:rFonts w:ascii="Aptos Display" w:hAnsi="Aptos Display"/>
        </w:rPr>
      </w:pPr>
      <w:r w:rsidRPr="00F754EF">
        <w:rPr>
          <w:rFonts w:ascii="Aptos Display" w:hAnsi="Aptos Display"/>
        </w:rPr>
        <w:t>Anexo 1: Equipo de evaluación</w:t>
      </w:r>
      <w:r w:rsidRPr="00F754EF">
        <w:rPr>
          <w:rFonts w:ascii="Aptos Display" w:hAnsi="Aptos Display"/>
        </w:rPr>
        <w:tab/>
      </w:r>
    </w:p>
    <w:p w14:paraId="376CE1E0" w14:textId="1DB6C5C7" w:rsidR="007D2944" w:rsidRPr="00F754EF" w:rsidRDefault="007D2944" w:rsidP="005831BD">
      <w:pPr>
        <w:spacing w:line="240" w:lineRule="auto"/>
        <w:rPr>
          <w:rFonts w:ascii="Aptos Display" w:hAnsi="Aptos Display"/>
        </w:rPr>
      </w:pPr>
      <w:r w:rsidRPr="00F754EF">
        <w:rPr>
          <w:rFonts w:ascii="Aptos Display" w:hAnsi="Aptos Display"/>
        </w:rPr>
        <w:t>Anexo 2: Lista de documentos consultados</w:t>
      </w:r>
      <w:r w:rsidRPr="00F754EF">
        <w:rPr>
          <w:rFonts w:ascii="Aptos Display" w:hAnsi="Aptos Display"/>
        </w:rPr>
        <w:tab/>
      </w:r>
    </w:p>
    <w:p w14:paraId="67222ECE" w14:textId="47BACC06" w:rsidR="007D2944" w:rsidRPr="003A3913" w:rsidRDefault="007D2944" w:rsidP="005831BD">
      <w:pPr>
        <w:spacing w:line="240" w:lineRule="auto"/>
        <w:rPr>
          <w:rFonts w:ascii="Aptos Display" w:hAnsi="Aptos Display"/>
        </w:rPr>
      </w:pPr>
      <w:r w:rsidRPr="003A3913">
        <w:rPr>
          <w:rFonts w:ascii="Aptos Display" w:hAnsi="Aptos Display"/>
        </w:rPr>
        <w:t>Anexo 3:</w:t>
      </w:r>
      <w:r w:rsidR="00C93901" w:rsidRPr="003A3913">
        <w:rPr>
          <w:rFonts w:ascii="Aptos Display" w:hAnsi="Aptos Display"/>
        </w:rPr>
        <w:t xml:space="preserve"> Lista de Informantes</w:t>
      </w:r>
      <w:r w:rsidRPr="003A3913">
        <w:rPr>
          <w:rFonts w:ascii="Aptos Display" w:hAnsi="Aptos Display"/>
        </w:rPr>
        <w:t xml:space="preserve"> </w:t>
      </w:r>
    </w:p>
    <w:p w14:paraId="256A8C46" w14:textId="21C3F87F" w:rsidR="007D2944" w:rsidRPr="00F754EF" w:rsidRDefault="007D2944" w:rsidP="005831BD">
      <w:pPr>
        <w:spacing w:line="240" w:lineRule="auto"/>
        <w:rPr>
          <w:rFonts w:ascii="Aptos Display" w:hAnsi="Aptos Display"/>
        </w:rPr>
      </w:pPr>
      <w:r w:rsidRPr="00F754EF">
        <w:rPr>
          <w:rFonts w:ascii="Aptos Display" w:hAnsi="Aptos Display"/>
        </w:rPr>
        <w:t xml:space="preserve">Anexo 4: </w:t>
      </w:r>
      <w:r w:rsidR="00D76A3B" w:rsidRPr="00F754EF">
        <w:rPr>
          <w:rFonts w:ascii="Aptos Display" w:hAnsi="Aptos Display"/>
        </w:rPr>
        <w:t>Teoría</w:t>
      </w:r>
      <w:r w:rsidRPr="00F754EF">
        <w:rPr>
          <w:rFonts w:ascii="Aptos Display" w:hAnsi="Aptos Display"/>
        </w:rPr>
        <w:t xml:space="preserve"> de cambio de la Nota Estratégica</w:t>
      </w:r>
    </w:p>
    <w:p w14:paraId="03942171" w14:textId="67FDB631" w:rsidR="007D2944" w:rsidRPr="00F754EF" w:rsidRDefault="007D2944" w:rsidP="005831BD">
      <w:pPr>
        <w:spacing w:line="240" w:lineRule="auto"/>
        <w:rPr>
          <w:rFonts w:ascii="Aptos Display" w:hAnsi="Aptos Display"/>
        </w:rPr>
      </w:pPr>
      <w:r w:rsidRPr="00F754EF">
        <w:rPr>
          <w:rFonts w:ascii="Aptos Display" w:hAnsi="Aptos Display"/>
        </w:rPr>
        <w:t xml:space="preserve">Anexo 5: </w:t>
      </w:r>
      <w:r w:rsidR="00D76A3B" w:rsidRPr="00F754EF">
        <w:rPr>
          <w:rFonts w:ascii="Aptos Display" w:hAnsi="Aptos Display"/>
        </w:rPr>
        <w:t>Descripción</w:t>
      </w:r>
      <w:r w:rsidRPr="00F754EF">
        <w:rPr>
          <w:rFonts w:ascii="Aptos Display" w:hAnsi="Aptos Display"/>
        </w:rPr>
        <w:t xml:space="preserve"> de la Cartera programática</w:t>
      </w:r>
    </w:p>
    <w:p w14:paraId="64D38E84" w14:textId="1190CFE0" w:rsidR="007D2944" w:rsidRPr="00F754EF" w:rsidRDefault="007D2944" w:rsidP="005831BD">
      <w:pPr>
        <w:spacing w:line="240" w:lineRule="auto"/>
        <w:rPr>
          <w:rFonts w:ascii="Aptos Display" w:hAnsi="Aptos Display"/>
        </w:rPr>
      </w:pPr>
      <w:r w:rsidRPr="00F754EF">
        <w:rPr>
          <w:rFonts w:ascii="Aptos Display" w:hAnsi="Aptos Display"/>
        </w:rPr>
        <w:t>Anexo 6: Matriz de evaluación</w:t>
      </w:r>
      <w:r w:rsidRPr="00F754EF">
        <w:rPr>
          <w:rFonts w:ascii="Aptos Display" w:hAnsi="Aptos Display"/>
        </w:rPr>
        <w:tab/>
      </w:r>
    </w:p>
    <w:p w14:paraId="230F4D13" w14:textId="0A4CE62F" w:rsidR="007D2944" w:rsidRPr="00F754EF" w:rsidRDefault="007D2944" w:rsidP="005831BD">
      <w:pPr>
        <w:spacing w:line="240" w:lineRule="auto"/>
        <w:rPr>
          <w:rFonts w:ascii="Aptos Display" w:hAnsi="Aptos Display"/>
        </w:rPr>
      </w:pPr>
      <w:r w:rsidRPr="00F754EF">
        <w:rPr>
          <w:rFonts w:ascii="Aptos Display" w:hAnsi="Aptos Display"/>
        </w:rPr>
        <w:t>Anexo 7: Plan de gestión de datos</w:t>
      </w:r>
      <w:r w:rsidRPr="00F754EF">
        <w:rPr>
          <w:rFonts w:ascii="Aptos Display" w:hAnsi="Aptos Display"/>
        </w:rPr>
        <w:tab/>
      </w:r>
    </w:p>
    <w:p w14:paraId="1D0C93B1" w14:textId="1135CF35" w:rsidR="007D2944" w:rsidRPr="00F754EF" w:rsidRDefault="007D2944" w:rsidP="005831BD">
      <w:pPr>
        <w:spacing w:line="240" w:lineRule="auto"/>
        <w:rPr>
          <w:rFonts w:ascii="Aptos Display" w:hAnsi="Aptos Display"/>
        </w:rPr>
      </w:pPr>
      <w:r w:rsidRPr="00F754EF">
        <w:rPr>
          <w:rFonts w:ascii="Aptos Display" w:hAnsi="Aptos Display"/>
        </w:rPr>
        <w:t>Anexo 8: Instrumentos de recolección de información</w:t>
      </w:r>
    </w:p>
    <w:p w14:paraId="068AB336" w14:textId="7E59B435" w:rsidR="007D2944" w:rsidRPr="00F754EF" w:rsidRDefault="007D2944" w:rsidP="005831BD">
      <w:pPr>
        <w:spacing w:line="240" w:lineRule="auto"/>
        <w:rPr>
          <w:rFonts w:ascii="Aptos Display" w:hAnsi="Aptos Display"/>
        </w:rPr>
      </w:pPr>
      <w:r w:rsidRPr="00F754EF">
        <w:rPr>
          <w:rFonts w:ascii="Aptos Display" w:hAnsi="Aptos Display"/>
        </w:rPr>
        <w:t xml:space="preserve">Anexo 9: </w:t>
      </w:r>
      <w:r w:rsidR="00D76A3B" w:rsidRPr="00F754EF">
        <w:rPr>
          <w:rFonts w:ascii="Aptos Display" w:hAnsi="Aptos Display"/>
        </w:rPr>
        <w:t>Términos</w:t>
      </w:r>
      <w:r w:rsidRPr="00F754EF">
        <w:rPr>
          <w:rFonts w:ascii="Aptos Display" w:hAnsi="Aptos Display"/>
        </w:rPr>
        <w:t xml:space="preserve"> de Referencia</w:t>
      </w:r>
    </w:p>
    <w:p w14:paraId="1209E427" w14:textId="34868D87" w:rsidR="007D2944" w:rsidRPr="00F754EF" w:rsidRDefault="007D2944" w:rsidP="005831BD">
      <w:pPr>
        <w:spacing w:line="240" w:lineRule="auto"/>
        <w:rPr>
          <w:rFonts w:ascii="Aptos Display" w:hAnsi="Aptos Display"/>
        </w:rPr>
      </w:pPr>
      <w:r w:rsidRPr="00F754EF">
        <w:rPr>
          <w:rFonts w:ascii="Aptos Display" w:hAnsi="Aptos Display"/>
        </w:rPr>
        <w:t xml:space="preserve">Anexo 10: </w:t>
      </w:r>
      <w:r w:rsidR="00D76A3B" w:rsidRPr="00F754EF">
        <w:rPr>
          <w:rFonts w:ascii="Aptos Display" w:hAnsi="Aptos Display"/>
        </w:rPr>
        <w:t>Resumen de vista de observación</w:t>
      </w:r>
    </w:p>
    <w:p w14:paraId="78DEF622" w14:textId="77777777" w:rsidR="000910E6" w:rsidRPr="00F754EF" w:rsidRDefault="000910E6" w:rsidP="005831BD">
      <w:pPr>
        <w:autoSpaceDE/>
        <w:spacing w:line="240" w:lineRule="auto"/>
      </w:pPr>
    </w:p>
    <w:p w14:paraId="6579B573" w14:textId="77777777" w:rsidR="00BD279C" w:rsidRPr="00D76A3B" w:rsidRDefault="00BD279C" w:rsidP="005831BD">
      <w:pPr>
        <w:autoSpaceDE/>
        <w:spacing w:line="240" w:lineRule="auto"/>
        <w:rPr>
          <w:lang w:val="es-MX"/>
        </w:rPr>
      </w:pPr>
    </w:p>
    <w:sectPr w:rsidR="00BD279C" w:rsidRPr="00D76A3B" w:rsidSect="005E7595">
      <w:type w:val="continuous"/>
      <w:pgSz w:w="12240" w:h="15840"/>
      <w:pgMar w:top="1440" w:right="1080" w:bottom="1440" w:left="1080" w:header="720" w:footer="49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90CC6" w14:textId="77777777" w:rsidR="009E44EC" w:rsidRPr="00F754EF" w:rsidRDefault="009E44EC" w:rsidP="00BD1B95">
      <w:r w:rsidRPr="00F754EF">
        <w:separator/>
      </w:r>
    </w:p>
    <w:p w14:paraId="29ABF687" w14:textId="77777777" w:rsidR="009E44EC" w:rsidRPr="00F754EF" w:rsidRDefault="009E44EC"/>
  </w:endnote>
  <w:endnote w:type="continuationSeparator" w:id="0">
    <w:p w14:paraId="10A2D544" w14:textId="77777777" w:rsidR="009E44EC" w:rsidRPr="00F754EF" w:rsidRDefault="009E44EC" w:rsidP="00BD1B95">
      <w:r w:rsidRPr="00F754EF">
        <w:continuationSeparator/>
      </w:r>
    </w:p>
    <w:p w14:paraId="51DC549D" w14:textId="77777777" w:rsidR="009E44EC" w:rsidRPr="00F754EF" w:rsidRDefault="009E44EC"/>
  </w:endnote>
  <w:endnote w:type="continuationNotice" w:id="1">
    <w:p w14:paraId="7AD50977" w14:textId="77777777" w:rsidR="009E44EC" w:rsidRPr="00F754EF" w:rsidRDefault="009E44EC" w:rsidP="00BD1B95"/>
    <w:p w14:paraId="59D90F44" w14:textId="77777777" w:rsidR="009E44EC" w:rsidRPr="00F754EF" w:rsidRDefault="009E44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he Sans Light-">
    <w:altName w:val="Calibri"/>
    <w:charset w:val="00"/>
    <w:family w:val="swiss"/>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ptos Display">
    <w:charset w:val="00"/>
    <w:family w:val="swiss"/>
    <w:pitch w:val="variable"/>
    <w:sig w:usb0="20000287" w:usb1="00000003" w:usb2="00000000" w:usb3="00000000" w:csb0="0000019F" w:csb1="00000000"/>
  </w:font>
  <w:font w:name="Gotham-Book">
    <w:altName w:val="Calibri"/>
    <w:charset w:val="00"/>
    <w:family w:val="auto"/>
    <w:pitch w:val="variable"/>
    <w:sig w:usb0="A100007F" w:usb1="4000005B" w:usb2="00000000" w:usb3="00000000" w:csb0="0000009B" w:csb1="00000000"/>
  </w:font>
  <w:font w:name="Yu Mincho">
    <w:altName w:val="游明朝"/>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Gotham-Bold">
    <w:altName w:val="Calibri"/>
    <w:charset w:val="00"/>
    <w:family w:val="auto"/>
    <w:pitch w:val="variable"/>
    <w:sig w:usb0="A100007F" w:usb1="4000005B" w:usb2="00000000" w:usb3="00000000" w:csb0="0000009B" w:csb1="00000000"/>
  </w:font>
  <w:font w:name="Segoe UI">
    <w:panose1 w:val="020B0502040204020203"/>
    <w:charset w:val="00"/>
    <w:family w:val="swiss"/>
    <w:pitch w:val="variable"/>
    <w:sig w:usb0="E4002EFF" w:usb1="C000E47F" w:usb2="00000009" w:usb3="00000000" w:csb0="000001FF" w:csb1="00000000"/>
  </w:font>
  <w:font w:name="Gotham-Medium">
    <w:altName w:val="Calibri"/>
    <w:charset w:val="00"/>
    <w:family w:val="auto"/>
    <w:pitch w:val="variable"/>
    <w:sig w:usb0="00000003" w:usb1="00000000" w:usb2="00000000" w:usb3="00000000" w:csb0="00000001" w:csb1="00000000"/>
  </w:font>
  <w:font w:name="TheSansBold-Plain">
    <w:altName w:val="Calibri"/>
    <w:panose1 w:val="00000000000000000000"/>
    <w:charset w:val="4D"/>
    <w:family w:val="auto"/>
    <w:notTrueType/>
    <w:pitch w:val="default"/>
    <w:sig w:usb0="00000003" w:usb1="00000000" w:usb2="00000000" w:usb3="00000000" w:csb0="00000001" w:csb1="00000000"/>
  </w:font>
  <w:font w:name="TheSans-Caps">
    <w:altName w:val="Calibri"/>
    <w:panose1 w:val="00000000000000000000"/>
    <w:charset w:val="4D"/>
    <w:family w:val="auto"/>
    <w:notTrueType/>
    <w:pitch w:val="default"/>
    <w:sig w:usb0="00000003" w:usb1="00000000" w:usb2="00000000" w:usb3="00000000" w:csb0="00000001" w:csb1="00000000"/>
  </w:font>
  <w:font w:name="TheSansLight-Plain">
    <w:altName w:val="Cambria"/>
    <w:panose1 w:val="00000000000000000000"/>
    <w:charset w:val="4D"/>
    <w:family w:val="auto"/>
    <w:notTrueType/>
    <w:pitch w:val="default"/>
    <w:sig w:usb0="00000003" w:usb1="00000000" w:usb2="00000000" w:usb3="00000000" w:csb0="00000001" w:csb1="00000000"/>
  </w:font>
  <w:font w:name="TheSans-Plain">
    <w:altName w:val="Calibri"/>
    <w:charset w:val="4D"/>
    <w:family w:val="auto"/>
    <w:pitch w:val="default"/>
    <w:sig w:usb0="00000003" w:usb1="00000000" w:usb2="00000000" w:usb3="00000000" w:csb0="00000001" w:csb1="00000000"/>
  </w:font>
  <w:font w:name="TheSansBold-Caps">
    <w:altName w:val="Calibri"/>
    <w:panose1 w:val="00000000000000000000"/>
    <w:charset w:val="4D"/>
    <w:family w:val="auto"/>
    <w:notTrueType/>
    <w:pitch w:val="default"/>
    <w:sig w:usb0="00000003" w:usb1="00000000" w:usb2="00000000" w:usb3="00000000" w:csb0="00000001" w:csb1="00000000"/>
  </w:font>
  <w:font w:name="The Sans Bold-">
    <w:altName w:val="Calibri"/>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45"/>
      <w:gridCol w:w="3245"/>
      <w:gridCol w:w="3245"/>
    </w:tblGrid>
    <w:tr w:rsidR="4B3C2E01" w:rsidRPr="00F754EF" w14:paraId="1D9EDC9E" w14:textId="77777777" w:rsidTr="00733748">
      <w:trPr>
        <w:trHeight w:val="300"/>
      </w:trPr>
      <w:tc>
        <w:tcPr>
          <w:tcW w:w="3245" w:type="dxa"/>
        </w:tcPr>
        <w:p w14:paraId="0D1D4B9A" w14:textId="18375012" w:rsidR="4B3C2E01" w:rsidRPr="00F754EF" w:rsidRDefault="4B3C2E01" w:rsidP="00733748">
          <w:pPr>
            <w:pStyle w:val="Header"/>
            <w:ind w:left="-115"/>
            <w:jc w:val="left"/>
          </w:pPr>
        </w:p>
      </w:tc>
      <w:tc>
        <w:tcPr>
          <w:tcW w:w="3245" w:type="dxa"/>
        </w:tcPr>
        <w:p w14:paraId="361AFA99" w14:textId="5D8A3813" w:rsidR="4B3C2E01" w:rsidRPr="00F754EF" w:rsidRDefault="4B3C2E01" w:rsidP="00733748">
          <w:pPr>
            <w:pStyle w:val="Header"/>
            <w:jc w:val="center"/>
          </w:pPr>
        </w:p>
      </w:tc>
      <w:tc>
        <w:tcPr>
          <w:tcW w:w="3245" w:type="dxa"/>
        </w:tcPr>
        <w:p w14:paraId="046CB22C" w14:textId="622B3554" w:rsidR="4B3C2E01" w:rsidRPr="00F754EF" w:rsidRDefault="4B3C2E01" w:rsidP="00733748">
          <w:pPr>
            <w:pStyle w:val="Header"/>
            <w:ind w:right="-115"/>
            <w:jc w:val="right"/>
          </w:pPr>
        </w:p>
      </w:tc>
    </w:tr>
  </w:tbl>
  <w:p w14:paraId="379C5A2C" w14:textId="149B8BC6" w:rsidR="4B3C2E01" w:rsidRPr="00F754EF" w:rsidRDefault="4B3C2E01" w:rsidP="007337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F058D" w14:textId="77777777" w:rsidR="006504F6" w:rsidRPr="00F754EF" w:rsidRDefault="006504F6" w:rsidP="00BD1B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37287" w14:textId="77777777" w:rsidR="006504F6" w:rsidRPr="00F754EF" w:rsidRDefault="006504F6" w:rsidP="00BD1B9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C3E74" w14:textId="77777777" w:rsidR="006504F6" w:rsidRPr="00F754EF" w:rsidRDefault="006504F6" w:rsidP="00BD1B9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64EE6" w14:textId="77777777" w:rsidR="00B443A9" w:rsidRPr="00F754EF" w:rsidRDefault="00B443A9" w:rsidP="00BD1B95">
    <w:pPr>
      <w:pStyle w:val="Footer"/>
    </w:pPr>
  </w:p>
  <w:p w14:paraId="38DDC55E" w14:textId="77777777" w:rsidR="00B443A9" w:rsidRPr="00F754EF" w:rsidRDefault="00B443A9" w:rsidP="00BD1B95"/>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3622172"/>
      <w:docPartObj>
        <w:docPartGallery w:val="Page Numbers (Bottom of Page)"/>
        <w:docPartUnique/>
      </w:docPartObj>
    </w:sdtPr>
    <w:sdtEndPr>
      <w:rPr>
        <w:rFonts w:ascii="Aptos Display" w:hAnsi="Aptos Display"/>
      </w:rPr>
    </w:sdtEndPr>
    <w:sdtContent>
      <w:p w14:paraId="4BD5E04F" w14:textId="77777777" w:rsidR="00B443A9" w:rsidRPr="00F754EF" w:rsidRDefault="00B443A9" w:rsidP="00EF4F3C">
        <w:pPr>
          <w:pStyle w:val="Footer"/>
          <w:rPr>
            <w:rFonts w:ascii="Aptos Display" w:hAnsi="Aptos Display"/>
          </w:rPr>
        </w:pPr>
        <w:r w:rsidRPr="00F754EF">
          <w:rPr>
            <w:rFonts w:ascii="Aptos Display" w:hAnsi="Aptos Display"/>
          </w:rPr>
          <w:fldChar w:fldCharType="begin"/>
        </w:r>
        <w:r w:rsidRPr="00F754EF">
          <w:rPr>
            <w:rFonts w:ascii="Aptos Display" w:hAnsi="Aptos Display"/>
          </w:rPr>
          <w:instrText xml:space="preserve"> PAGE   \* MERGEFORMAT </w:instrText>
        </w:r>
        <w:r w:rsidRPr="00F754EF">
          <w:rPr>
            <w:rFonts w:ascii="Aptos Display" w:hAnsi="Aptos Display"/>
          </w:rPr>
          <w:fldChar w:fldCharType="separate"/>
        </w:r>
        <w:r w:rsidRPr="00F754EF">
          <w:rPr>
            <w:rFonts w:ascii="Aptos Display" w:hAnsi="Aptos Display"/>
          </w:rPr>
          <w:t>2</w:t>
        </w:r>
        <w:r w:rsidRPr="00F754EF">
          <w:rPr>
            <w:rFonts w:ascii="Aptos Display" w:hAnsi="Aptos Display"/>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5F1CC" w14:textId="77777777" w:rsidR="00B443A9" w:rsidRPr="00F754EF" w:rsidRDefault="00B443A9" w:rsidP="00BD1B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DA913" w14:textId="77777777" w:rsidR="009E44EC" w:rsidRPr="00F754EF" w:rsidRDefault="009E44EC" w:rsidP="00315215">
      <w:pPr>
        <w:spacing w:after="60" w:line="240" w:lineRule="auto"/>
      </w:pPr>
      <w:r w:rsidRPr="00F754EF">
        <w:separator/>
      </w:r>
    </w:p>
  </w:footnote>
  <w:footnote w:type="continuationSeparator" w:id="0">
    <w:p w14:paraId="7EE571F6" w14:textId="77777777" w:rsidR="009E44EC" w:rsidRPr="00F754EF" w:rsidRDefault="009E44EC" w:rsidP="00315215">
      <w:pPr>
        <w:spacing w:after="0"/>
      </w:pPr>
      <w:r w:rsidRPr="00F754EF">
        <w:continuationSeparator/>
      </w:r>
    </w:p>
  </w:footnote>
  <w:footnote w:type="continuationNotice" w:id="1">
    <w:p w14:paraId="38C3333C" w14:textId="77777777" w:rsidR="009E44EC" w:rsidRPr="00F754EF" w:rsidRDefault="009E44EC"/>
  </w:footnote>
  <w:footnote w:id="2">
    <w:p w14:paraId="1FEC7844" w14:textId="242CDF68" w:rsidR="00995FB2" w:rsidRPr="003A3913" w:rsidRDefault="00995FB2">
      <w:pPr>
        <w:pStyle w:val="FootnoteText"/>
        <w:rPr>
          <w:rFonts w:ascii="Aptos Display" w:hAnsi="Aptos Display"/>
          <w:lang w:val="es-MX"/>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lang w:val="es-MX"/>
        </w:rPr>
        <w:t xml:space="preserve"> </w:t>
      </w:r>
      <w:r w:rsidR="002B001B" w:rsidRPr="003A3913">
        <w:rPr>
          <w:rFonts w:ascii="Aptos Display" w:eastAsia="Arial" w:hAnsi="Aptos Display"/>
          <w:b/>
          <w:bCs/>
          <w:color w:val="808080" w:themeColor="background1" w:themeShade="80"/>
          <w:sz w:val="16"/>
          <w:szCs w:val="16"/>
          <w:lang w:eastAsia="ja-JP"/>
        </w:rPr>
        <w:t>Nota sobre siglas:</w:t>
      </w:r>
      <w:r w:rsidR="002B001B" w:rsidRPr="003A3913">
        <w:rPr>
          <w:rFonts w:ascii="Aptos Display" w:eastAsia="Arial" w:hAnsi="Aptos Display"/>
          <w:color w:val="808080" w:themeColor="background1" w:themeShade="80"/>
          <w:sz w:val="16"/>
          <w:szCs w:val="16"/>
          <w:lang w:eastAsia="ja-JP"/>
        </w:rPr>
        <w:t xml:space="preserve"> A lo largo de este informe se utilizan algunas siglas en inglés cuando estas son de uso extendido en el ámbito de la cooperación internacional y la evaluación, incluso en contextos hispanohablantes. En cada caso se ofrece la expansión completa en español en el glosario de siglas.</w:t>
      </w:r>
    </w:p>
  </w:footnote>
  <w:footnote w:id="3">
    <w:p w14:paraId="153EF1C4" w14:textId="779C1A97" w:rsidR="005D236E" w:rsidRPr="003A3913" w:rsidRDefault="005D236E" w:rsidP="007D57D6">
      <w:pPr>
        <w:spacing w:after="0" w:line="240" w:lineRule="auto"/>
        <w:rPr>
          <w:rFonts w:ascii="Aptos Display" w:hAnsi="Aptos Display"/>
          <w:color w:val="808080" w:themeColor="background1" w:themeShade="80"/>
          <w:sz w:val="16"/>
          <w:szCs w:val="16"/>
          <w:lang w:val="es-MX"/>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lang w:val="es-MX"/>
        </w:rPr>
        <w:t xml:space="preserve"> </w:t>
      </w:r>
      <w:r w:rsidR="00F100F3" w:rsidRPr="003A3913">
        <w:rPr>
          <w:rFonts w:ascii="Aptos Display" w:eastAsia="Arial" w:hAnsi="Aptos Display"/>
          <w:color w:val="808080" w:themeColor="background1" w:themeShade="80"/>
          <w:sz w:val="16"/>
          <w:szCs w:val="16"/>
          <w:lang w:val="es-MX"/>
        </w:rPr>
        <w:t>UNDP,</w:t>
      </w:r>
      <w:r w:rsidR="002B001B" w:rsidRPr="003A3913">
        <w:rPr>
          <w:rFonts w:ascii="Aptos Display" w:eastAsia="Arial" w:hAnsi="Aptos Display"/>
          <w:color w:val="808080" w:themeColor="background1" w:themeShade="80"/>
          <w:sz w:val="16"/>
          <w:szCs w:val="16"/>
          <w:lang w:val="es-MX"/>
        </w:rPr>
        <w:t xml:space="preserve"> Reporte de Desarrollo Humano</w:t>
      </w:r>
      <w:r w:rsidR="00F100F3" w:rsidRPr="003A3913">
        <w:rPr>
          <w:rFonts w:ascii="Aptos Display" w:eastAsia="Arial" w:hAnsi="Aptos Display"/>
          <w:color w:val="808080" w:themeColor="background1" w:themeShade="80"/>
          <w:sz w:val="16"/>
          <w:szCs w:val="16"/>
          <w:lang w:val="es-MX"/>
        </w:rPr>
        <w:t>, 2022</w:t>
      </w:r>
    </w:p>
  </w:footnote>
  <w:footnote w:id="4">
    <w:p w14:paraId="1B322184" w14:textId="4C0CCC48" w:rsidR="00F100F3" w:rsidRPr="003A3913" w:rsidRDefault="00F100F3" w:rsidP="003D2883">
      <w:pPr>
        <w:spacing w:after="0" w:line="240" w:lineRule="auto"/>
        <w:rPr>
          <w:rFonts w:ascii="Aptos Display" w:hAnsi="Aptos Display"/>
          <w:color w:val="808080" w:themeColor="background1" w:themeShade="80"/>
          <w:sz w:val="16"/>
          <w:szCs w:val="16"/>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rPr>
        <w:t xml:space="preserve"> </w:t>
      </w:r>
      <w:r w:rsidR="007D57D6" w:rsidRPr="003A3913">
        <w:rPr>
          <w:rFonts w:ascii="Aptos Display" w:eastAsia="Arial" w:hAnsi="Aptos Display"/>
          <w:color w:val="808080" w:themeColor="background1" w:themeShade="80"/>
          <w:sz w:val="16"/>
          <w:szCs w:val="16"/>
        </w:rPr>
        <w:t>INEC, Encuesta Nacional de Empleo, Desempleo y Subempleo (ENEMDU), 2023.</w:t>
      </w:r>
    </w:p>
  </w:footnote>
  <w:footnote w:id="5">
    <w:p w14:paraId="543E4431" w14:textId="5862EE8D" w:rsidR="007D57D6" w:rsidRPr="003A3913" w:rsidRDefault="007D57D6" w:rsidP="003D2883">
      <w:pPr>
        <w:spacing w:after="0" w:line="240" w:lineRule="auto"/>
        <w:rPr>
          <w:rFonts w:ascii="Aptos Display" w:hAnsi="Aptos Display"/>
          <w:color w:val="808080" w:themeColor="background1" w:themeShade="80"/>
          <w:sz w:val="16"/>
          <w:szCs w:val="16"/>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rPr>
        <w:t xml:space="preserve"> </w:t>
      </w:r>
      <w:r w:rsidR="00CC5DF3" w:rsidRPr="003A3913">
        <w:rPr>
          <w:rFonts w:ascii="Aptos Display" w:eastAsia="Arial" w:hAnsi="Aptos Display"/>
          <w:color w:val="808080" w:themeColor="background1" w:themeShade="80"/>
          <w:sz w:val="16"/>
          <w:szCs w:val="16"/>
        </w:rPr>
        <w:t>INEC, ENEMDU, 2023; SENPLADES, Informe de Pobreza Multidimensional, 2022.</w:t>
      </w:r>
    </w:p>
  </w:footnote>
  <w:footnote w:id="6">
    <w:p w14:paraId="326F76C4" w14:textId="40593B4B" w:rsidR="00362890" w:rsidRPr="003A3913" w:rsidRDefault="00362890">
      <w:pPr>
        <w:pStyle w:val="FootnoteText"/>
        <w:rPr>
          <w:rFonts w:ascii="Aptos Display" w:hAnsi="Aptos Display"/>
          <w:color w:val="808080" w:themeColor="background1" w:themeShade="80"/>
          <w:sz w:val="16"/>
          <w:szCs w:val="16"/>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rPr>
        <w:t xml:space="preserve"> </w:t>
      </w:r>
      <w:r w:rsidR="003D2883" w:rsidRPr="003A3913">
        <w:rPr>
          <w:rFonts w:ascii="Aptos Display" w:eastAsia="Arial" w:hAnsi="Aptos Display"/>
          <w:color w:val="808080" w:themeColor="background1" w:themeShade="80"/>
          <w:sz w:val="16"/>
          <w:szCs w:val="16"/>
        </w:rPr>
        <w:t xml:space="preserve">INEC, Encuesta Nacional de Uso del Tiempo, 2012 </w:t>
      </w:r>
    </w:p>
  </w:footnote>
  <w:footnote w:id="7">
    <w:p w14:paraId="4B4F6044" w14:textId="46393878" w:rsidR="002635F5" w:rsidRPr="003A3913" w:rsidRDefault="002635F5">
      <w:pPr>
        <w:pStyle w:val="FootnoteText"/>
        <w:rPr>
          <w:rFonts w:ascii="Aptos Display" w:hAnsi="Aptos Display"/>
          <w:color w:val="808080" w:themeColor="background1" w:themeShade="80"/>
          <w:sz w:val="16"/>
          <w:szCs w:val="16"/>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rPr>
        <w:t xml:space="preserve"> </w:t>
      </w:r>
      <w:r w:rsidRPr="003A3913">
        <w:rPr>
          <w:rFonts w:ascii="Aptos Display" w:eastAsia="Arial" w:hAnsi="Aptos Display"/>
          <w:color w:val="808080" w:themeColor="background1" w:themeShade="80"/>
          <w:sz w:val="16"/>
          <w:szCs w:val="16"/>
        </w:rPr>
        <w:t xml:space="preserve">INEC, ENEMDU, 2024; </w:t>
      </w:r>
      <w:r w:rsidR="005214A1" w:rsidRPr="003A3913">
        <w:rPr>
          <w:rFonts w:ascii="Aptos Display" w:eastAsia="Arial" w:hAnsi="Aptos Display"/>
          <w:color w:val="808080" w:themeColor="background1" w:themeShade="80"/>
          <w:sz w:val="16"/>
          <w:szCs w:val="16"/>
        </w:rPr>
        <w:t>ONU Mujeres Ecuador</w:t>
      </w:r>
      <w:r w:rsidRPr="003A3913">
        <w:rPr>
          <w:rFonts w:ascii="Aptos Display" w:eastAsia="Arial" w:hAnsi="Aptos Display"/>
          <w:color w:val="808080" w:themeColor="background1" w:themeShade="80"/>
          <w:sz w:val="16"/>
          <w:szCs w:val="16"/>
        </w:rPr>
        <w:t xml:space="preserve">, </w:t>
      </w:r>
      <w:r w:rsidR="005214A1" w:rsidRPr="003A3913">
        <w:rPr>
          <w:rFonts w:ascii="Aptos Display" w:eastAsia="Arial" w:hAnsi="Aptos Display"/>
          <w:color w:val="808080" w:themeColor="background1" w:themeShade="80"/>
          <w:sz w:val="16"/>
          <w:szCs w:val="16"/>
        </w:rPr>
        <w:t xml:space="preserve">Nota Estratégica </w:t>
      </w:r>
      <w:r w:rsidRPr="003A3913">
        <w:rPr>
          <w:rFonts w:ascii="Aptos Display" w:eastAsia="Arial" w:hAnsi="Aptos Display"/>
          <w:color w:val="808080" w:themeColor="background1" w:themeShade="80"/>
          <w:sz w:val="16"/>
          <w:szCs w:val="16"/>
        </w:rPr>
        <w:t>2023–2026, p. 6.</w:t>
      </w:r>
    </w:p>
  </w:footnote>
  <w:footnote w:id="8">
    <w:p w14:paraId="4B3C75A4" w14:textId="48E382D3" w:rsidR="002635F5" w:rsidRPr="003A3913" w:rsidRDefault="002635F5">
      <w:pPr>
        <w:pStyle w:val="FootnoteText"/>
        <w:rPr>
          <w:rFonts w:ascii="Aptos Display" w:hAnsi="Aptos Display"/>
          <w:color w:val="808080" w:themeColor="background1" w:themeShade="80"/>
          <w:sz w:val="16"/>
          <w:szCs w:val="16"/>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rPr>
        <w:t xml:space="preserve"> </w:t>
      </w:r>
      <w:r w:rsidR="003B17A1" w:rsidRPr="003A3913">
        <w:rPr>
          <w:rFonts w:ascii="Aptos Display" w:eastAsia="Arial" w:hAnsi="Aptos Display"/>
          <w:color w:val="808080" w:themeColor="background1" w:themeShade="80"/>
          <w:sz w:val="16"/>
          <w:szCs w:val="16"/>
        </w:rPr>
        <w:t>INEC, Encuesta Nacional sobre Relaciones Familiares y Violencia de Género contra las Mujeres (ENVIGMU), 2019.</w:t>
      </w:r>
    </w:p>
  </w:footnote>
  <w:footnote w:id="9">
    <w:p w14:paraId="33B01620" w14:textId="5C159846" w:rsidR="003B17A1" w:rsidRPr="003A3913" w:rsidRDefault="003B17A1">
      <w:pPr>
        <w:pStyle w:val="FootnoteText"/>
        <w:rPr>
          <w:rFonts w:ascii="Aptos Display" w:hAnsi="Aptos Display"/>
          <w:color w:val="808080" w:themeColor="background1" w:themeShade="80"/>
          <w:sz w:val="16"/>
          <w:szCs w:val="16"/>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rPr>
        <w:t xml:space="preserve"> </w:t>
      </w:r>
      <w:r w:rsidR="00C10BA3" w:rsidRPr="003A3913">
        <w:rPr>
          <w:rFonts w:ascii="Aptos Display" w:eastAsia="Arial" w:hAnsi="Aptos Display"/>
          <w:color w:val="808080" w:themeColor="background1" w:themeShade="80"/>
          <w:sz w:val="16"/>
          <w:szCs w:val="16"/>
          <w:lang w:eastAsia="ja-JP"/>
        </w:rPr>
        <w:t>Entrevistas con organizaciones de la sociedad civil</w:t>
      </w:r>
    </w:p>
  </w:footnote>
  <w:footnote w:id="10">
    <w:p w14:paraId="455F71E7" w14:textId="1C3827E4" w:rsidR="00C10BA3" w:rsidRPr="003A3913" w:rsidRDefault="00C10BA3">
      <w:pPr>
        <w:pStyle w:val="FootnoteText"/>
        <w:rPr>
          <w:rFonts w:ascii="Aptos Display" w:hAnsi="Aptos Display"/>
          <w:color w:val="808080" w:themeColor="background1" w:themeShade="80"/>
          <w:sz w:val="16"/>
          <w:szCs w:val="16"/>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rPr>
        <w:t xml:space="preserve"> </w:t>
      </w:r>
      <w:r w:rsidR="00B72132" w:rsidRPr="003A3913">
        <w:rPr>
          <w:rFonts w:ascii="Aptos Display" w:eastAsia="Arial" w:hAnsi="Aptos Display"/>
          <w:color w:val="808080" w:themeColor="background1" w:themeShade="80"/>
          <w:sz w:val="16"/>
          <w:szCs w:val="16"/>
        </w:rPr>
        <w:t>ALDEA, Femicidios en Ecuador 2024, 2025</w:t>
      </w:r>
    </w:p>
  </w:footnote>
  <w:footnote w:id="11">
    <w:p w14:paraId="37A07825" w14:textId="54500C7F" w:rsidR="00DF0761" w:rsidRPr="003A3913" w:rsidRDefault="00DF0761">
      <w:pPr>
        <w:pStyle w:val="FootnoteText"/>
        <w:rPr>
          <w:rFonts w:ascii="Aptos Display" w:hAnsi="Aptos Display"/>
          <w:color w:val="808080" w:themeColor="background1" w:themeShade="80"/>
          <w:sz w:val="16"/>
          <w:szCs w:val="16"/>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rPr>
        <w:t xml:space="preserve"> </w:t>
      </w:r>
      <w:r w:rsidRPr="003A3913">
        <w:rPr>
          <w:rFonts w:ascii="Aptos Display" w:eastAsia="Arial" w:hAnsi="Aptos Display"/>
          <w:color w:val="808080" w:themeColor="background1" w:themeShade="80"/>
          <w:sz w:val="16"/>
          <w:szCs w:val="16"/>
          <w:lang w:eastAsia="ja-JP"/>
        </w:rPr>
        <w:t xml:space="preserve">Entrevistas con representantes de </w:t>
      </w:r>
      <w:proofErr w:type="spellStart"/>
      <w:r w:rsidR="00FA5ED5" w:rsidRPr="003A3913">
        <w:rPr>
          <w:rFonts w:ascii="Aptos Display" w:eastAsia="Arial" w:hAnsi="Aptos Display"/>
          <w:color w:val="808080" w:themeColor="background1" w:themeShade="80"/>
          <w:sz w:val="16"/>
          <w:szCs w:val="16"/>
          <w:lang w:eastAsia="ja-JP"/>
        </w:rPr>
        <w:t>OSCs</w:t>
      </w:r>
      <w:proofErr w:type="spellEnd"/>
      <w:r w:rsidR="00FA5ED5" w:rsidRPr="003A3913">
        <w:rPr>
          <w:rFonts w:ascii="Aptos Display" w:eastAsia="Arial" w:hAnsi="Aptos Display"/>
          <w:color w:val="808080" w:themeColor="background1" w:themeShade="80"/>
          <w:sz w:val="16"/>
          <w:szCs w:val="16"/>
          <w:lang w:eastAsia="ja-JP"/>
        </w:rPr>
        <w:t>.</w:t>
      </w:r>
    </w:p>
  </w:footnote>
  <w:footnote w:id="12">
    <w:p w14:paraId="2C1FBE4B" w14:textId="315F1691" w:rsidR="00E416E3" w:rsidRPr="003A3913" w:rsidRDefault="00E416E3" w:rsidP="00E416E3">
      <w:pPr>
        <w:spacing w:after="0" w:line="240" w:lineRule="auto"/>
        <w:rPr>
          <w:rFonts w:ascii="Aptos Display" w:hAnsi="Aptos Display"/>
          <w:color w:val="808080" w:themeColor="background1" w:themeShade="80"/>
          <w:sz w:val="18"/>
          <w:szCs w:val="18"/>
          <w:lang w:val="en-US"/>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lang w:val="en-US"/>
        </w:rPr>
        <w:t xml:space="preserve"> </w:t>
      </w:r>
      <w:r w:rsidRPr="003A3913">
        <w:rPr>
          <w:rFonts w:ascii="Aptos Display" w:eastAsia="Arial" w:hAnsi="Aptos Display"/>
          <w:color w:val="808080" w:themeColor="background1" w:themeShade="80"/>
          <w:sz w:val="16"/>
          <w:szCs w:val="16"/>
          <w:lang w:val="en-US"/>
        </w:rPr>
        <w:t xml:space="preserve">Human Rights Watch. (2024). </w:t>
      </w:r>
      <w:r w:rsidR="00FB37EA" w:rsidRPr="003A3913">
        <w:rPr>
          <w:rFonts w:ascii="Aptos Display" w:eastAsia="Arial" w:hAnsi="Aptos Display"/>
          <w:color w:val="808080" w:themeColor="background1" w:themeShade="80"/>
          <w:sz w:val="16"/>
          <w:szCs w:val="16"/>
          <w:lang w:val="en-US"/>
        </w:rPr>
        <w:t>Reporte Global</w:t>
      </w:r>
      <w:r w:rsidRPr="003A3913">
        <w:rPr>
          <w:rFonts w:ascii="Aptos Display" w:eastAsia="Arial" w:hAnsi="Aptos Display"/>
          <w:color w:val="808080" w:themeColor="background1" w:themeShade="80"/>
          <w:sz w:val="16"/>
          <w:szCs w:val="16"/>
          <w:lang w:val="en-US"/>
        </w:rPr>
        <w:t xml:space="preserve"> 2024: Ecuador.</w:t>
      </w:r>
    </w:p>
  </w:footnote>
  <w:footnote w:id="13">
    <w:p w14:paraId="3DB81419" w14:textId="6576F3AC" w:rsidR="007F1ED1" w:rsidRPr="00F754EF" w:rsidRDefault="007F1ED1">
      <w:pPr>
        <w:pStyle w:val="FootnoteText"/>
        <w:rPr>
          <w:sz w:val="16"/>
          <w:szCs w:val="16"/>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rPr>
        <w:t xml:space="preserve"> </w:t>
      </w:r>
      <w:r w:rsidRPr="003A3913">
        <w:rPr>
          <w:rFonts w:ascii="Aptos Display" w:eastAsia="Arial" w:hAnsi="Aptos Display"/>
          <w:color w:val="808080" w:themeColor="background1" w:themeShade="80"/>
          <w:sz w:val="16"/>
          <w:szCs w:val="16"/>
        </w:rPr>
        <w:t>Consejo Nacional Electoral (CNE) &amp; Instituto Nacional de Estadística y Censos (INEC). (2024). Indicadores de participación política y género.</w:t>
      </w:r>
    </w:p>
  </w:footnote>
  <w:footnote w:id="14">
    <w:p w14:paraId="7479CD2E" w14:textId="27F1901E" w:rsidR="0093050A" w:rsidRPr="003A3913" w:rsidRDefault="0093050A">
      <w:pPr>
        <w:pStyle w:val="FootnoteText"/>
        <w:rPr>
          <w:rFonts w:ascii="Aptos Display" w:eastAsia="Arial" w:hAnsi="Aptos Display"/>
          <w:color w:val="808080" w:themeColor="background1" w:themeShade="80"/>
          <w:sz w:val="16"/>
          <w:szCs w:val="16"/>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lang w:val="es-MX"/>
        </w:rPr>
        <w:t xml:space="preserve"> </w:t>
      </w:r>
      <w:r w:rsidR="00566E83" w:rsidRPr="003A3913">
        <w:rPr>
          <w:rFonts w:ascii="Aptos Display" w:eastAsia="Arial" w:hAnsi="Aptos Display"/>
          <w:color w:val="808080" w:themeColor="background1" w:themeShade="80"/>
          <w:sz w:val="16"/>
          <w:szCs w:val="16"/>
        </w:rPr>
        <w:t>ONU Mujeres Ecuador. (2024). Violencia política contra las mujeres en Ecuador: Análisis situacional.</w:t>
      </w:r>
    </w:p>
  </w:footnote>
  <w:footnote w:id="15">
    <w:p w14:paraId="797E9557" w14:textId="7932A7C3" w:rsidR="0093050A" w:rsidRPr="003A3913" w:rsidRDefault="0093050A" w:rsidP="00532218">
      <w:pPr>
        <w:spacing w:after="0" w:line="240" w:lineRule="auto"/>
        <w:rPr>
          <w:rFonts w:ascii="Aptos Display" w:hAnsi="Aptos Display"/>
          <w:color w:val="808080" w:themeColor="background1" w:themeShade="80"/>
          <w:sz w:val="16"/>
          <w:szCs w:val="16"/>
          <w:lang w:val="es-MX"/>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lang w:val="es-MX"/>
        </w:rPr>
        <w:t xml:space="preserve"> </w:t>
      </w:r>
      <w:r w:rsidR="00DA2626" w:rsidRPr="003A3913">
        <w:rPr>
          <w:rFonts w:ascii="Aptos Display" w:eastAsia="Arial" w:hAnsi="Aptos Display"/>
          <w:color w:val="808080" w:themeColor="background1" w:themeShade="80"/>
          <w:sz w:val="16"/>
          <w:szCs w:val="16"/>
          <w:lang w:eastAsia="ko-KR"/>
        </w:rPr>
        <w:t>ACNUR/OIM. Ecuador: Informe sobre la situación de migración mixta, 2024.</w:t>
      </w:r>
    </w:p>
  </w:footnote>
  <w:footnote w:id="16">
    <w:p w14:paraId="0E13C9AD" w14:textId="0CE7FC88" w:rsidR="00650A70" w:rsidRPr="003A3913" w:rsidRDefault="00650A70" w:rsidP="0058400D">
      <w:pPr>
        <w:spacing w:after="0" w:line="240" w:lineRule="auto"/>
        <w:rPr>
          <w:rFonts w:ascii="Aptos Display" w:hAnsi="Aptos Display"/>
          <w:color w:val="808080" w:themeColor="background1" w:themeShade="80"/>
          <w:sz w:val="16"/>
          <w:szCs w:val="16"/>
          <w:lang w:val="es-MX"/>
        </w:rPr>
      </w:pPr>
      <w:r w:rsidRPr="003A3913">
        <w:rPr>
          <w:rStyle w:val="FootnoteReference"/>
          <w:rFonts w:ascii="Aptos Display" w:hAnsi="Aptos Display"/>
          <w:color w:val="808080" w:themeColor="background1" w:themeShade="80"/>
          <w:sz w:val="16"/>
          <w:szCs w:val="16"/>
        </w:rPr>
        <w:footnoteRef/>
      </w:r>
      <w:r w:rsidR="00DA2626" w:rsidRPr="003A3913">
        <w:rPr>
          <w:rFonts w:ascii="Aptos Display" w:eastAsia="Arial" w:hAnsi="Aptos Display"/>
          <w:color w:val="808080" w:themeColor="background1" w:themeShade="80"/>
          <w:sz w:val="16"/>
          <w:szCs w:val="16"/>
        </w:rPr>
        <w:t xml:space="preserve"> Entrevistas con representantes de OSC conducidas para esta evaluación e informes anuales de Proteger a las Caminantes.</w:t>
      </w:r>
    </w:p>
  </w:footnote>
  <w:footnote w:id="17">
    <w:p w14:paraId="556B1F0E" w14:textId="3ACF9618" w:rsidR="00532218" w:rsidRPr="003A3913" w:rsidRDefault="00532218" w:rsidP="0058400D">
      <w:pPr>
        <w:spacing w:after="0" w:line="240" w:lineRule="auto"/>
        <w:rPr>
          <w:rFonts w:ascii="Aptos Display" w:eastAsia="Arial" w:hAnsi="Aptos Display"/>
          <w:color w:val="808080" w:themeColor="background1" w:themeShade="80"/>
          <w:sz w:val="16"/>
          <w:szCs w:val="16"/>
          <w:lang w:eastAsia="ko-KR"/>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lang w:val="es-MX"/>
        </w:rPr>
        <w:t xml:space="preserve"> </w:t>
      </w:r>
      <w:r w:rsidR="00DA2626" w:rsidRPr="003A3913">
        <w:rPr>
          <w:rFonts w:ascii="Aptos Display" w:eastAsia="Arial" w:hAnsi="Aptos Display"/>
          <w:color w:val="808080" w:themeColor="background1" w:themeShade="80"/>
          <w:sz w:val="16"/>
          <w:szCs w:val="16"/>
          <w:lang w:eastAsia="ko-KR"/>
        </w:rPr>
        <w:t xml:space="preserve">Constitución de la República del Ecuador, Art. 148; International Crisis </w:t>
      </w:r>
      <w:proofErr w:type="spellStart"/>
      <w:r w:rsidR="00DA2626" w:rsidRPr="003A3913">
        <w:rPr>
          <w:rFonts w:ascii="Aptos Display" w:eastAsia="Arial" w:hAnsi="Aptos Display"/>
          <w:color w:val="808080" w:themeColor="background1" w:themeShade="80"/>
          <w:sz w:val="16"/>
          <w:szCs w:val="16"/>
          <w:lang w:eastAsia="ko-KR"/>
        </w:rPr>
        <w:t>Group</w:t>
      </w:r>
      <w:proofErr w:type="spellEnd"/>
      <w:r w:rsidR="00DA2626" w:rsidRPr="003A3913">
        <w:rPr>
          <w:rFonts w:ascii="Aptos Display" w:eastAsia="Arial" w:hAnsi="Aptos Display"/>
          <w:color w:val="808080" w:themeColor="background1" w:themeShade="80"/>
          <w:sz w:val="16"/>
          <w:szCs w:val="16"/>
          <w:lang w:eastAsia="ko-KR"/>
        </w:rPr>
        <w:t>. (2023). La crisis política de Ecuador y el uso de la muerte cruzada.</w:t>
      </w:r>
    </w:p>
  </w:footnote>
  <w:footnote w:id="18">
    <w:p w14:paraId="5F0D29D0" w14:textId="48BDE265" w:rsidR="00810CE2" w:rsidRPr="003A3913" w:rsidRDefault="00810CE2">
      <w:pPr>
        <w:pStyle w:val="FootnoteText"/>
        <w:rPr>
          <w:rFonts w:ascii="Aptos Display" w:hAnsi="Aptos Display"/>
          <w:color w:val="808080" w:themeColor="background1" w:themeShade="80"/>
          <w:sz w:val="16"/>
          <w:szCs w:val="16"/>
          <w:lang w:val="es-MX"/>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lang w:val="es-MX"/>
        </w:rPr>
        <w:t xml:space="preserve"> </w:t>
      </w:r>
      <w:r w:rsidR="00DA2626" w:rsidRPr="003A3913">
        <w:rPr>
          <w:rFonts w:ascii="Aptos Display" w:eastAsia="Arial" w:hAnsi="Aptos Display"/>
          <w:color w:val="808080" w:themeColor="background1" w:themeShade="80"/>
          <w:sz w:val="16"/>
          <w:szCs w:val="16"/>
        </w:rPr>
        <w:t xml:space="preserve">PNUD. (2023). Gobernanza y estabilidad democrática en Ecuador: Análisis </w:t>
      </w:r>
      <w:proofErr w:type="spellStart"/>
      <w:proofErr w:type="gramStart"/>
      <w:r w:rsidR="00DA2626" w:rsidRPr="003A3913">
        <w:rPr>
          <w:rFonts w:ascii="Aptos Display" w:eastAsia="Arial" w:hAnsi="Aptos Display"/>
          <w:color w:val="808080" w:themeColor="background1" w:themeShade="80"/>
          <w:sz w:val="16"/>
          <w:szCs w:val="16"/>
        </w:rPr>
        <w:t>post-electoral</w:t>
      </w:r>
      <w:proofErr w:type="spellEnd"/>
      <w:proofErr w:type="gramEnd"/>
      <w:r w:rsidR="00DA2626" w:rsidRPr="003A3913">
        <w:rPr>
          <w:rFonts w:ascii="Aptos Display" w:eastAsia="Arial" w:hAnsi="Aptos Display"/>
          <w:color w:val="808080" w:themeColor="background1" w:themeShade="80"/>
          <w:sz w:val="16"/>
          <w:szCs w:val="16"/>
        </w:rPr>
        <w:t>.</w:t>
      </w:r>
    </w:p>
  </w:footnote>
  <w:footnote w:id="19">
    <w:p w14:paraId="049B82FB" w14:textId="5B95D142" w:rsidR="007C54F2" w:rsidRPr="003A3913" w:rsidRDefault="007C54F2" w:rsidP="0058400D">
      <w:pPr>
        <w:spacing w:after="0" w:line="240" w:lineRule="auto"/>
        <w:rPr>
          <w:rFonts w:ascii="Aptos Display" w:hAnsi="Aptos Display"/>
          <w:color w:val="808080" w:themeColor="background1" w:themeShade="80"/>
          <w:sz w:val="16"/>
          <w:szCs w:val="16"/>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rPr>
        <w:t xml:space="preserve"> </w:t>
      </w:r>
      <w:r w:rsidRPr="003A3913">
        <w:rPr>
          <w:rFonts w:ascii="Aptos Display" w:eastAsia="Arial" w:hAnsi="Aptos Display"/>
          <w:color w:val="808080" w:themeColor="background1" w:themeShade="80"/>
          <w:sz w:val="16"/>
          <w:szCs w:val="16"/>
        </w:rPr>
        <w:t>Ministerio de Energía y Minas. (2024). Comunicados oficiales sobre el sistema eléctrico nacional.</w:t>
      </w:r>
    </w:p>
  </w:footnote>
  <w:footnote w:id="20">
    <w:p w14:paraId="1386F078" w14:textId="6D694841" w:rsidR="00150143" w:rsidRPr="003A3913" w:rsidRDefault="00150143">
      <w:pPr>
        <w:pStyle w:val="FootnoteText"/>
        <w:rPr>
          <w:rFonts w:ascii="Aptos Display" w:hAnsi="Aptos Display"/>
          <w:color w:val="808080" w:themeColor="background1" w:themeShade="80"/>
          <w:sz w:val="16"/>
          <w:szCs w:val="16"/>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rPr>
        <w:t xml:space="preserve"> </w:t>
      </w:r>
      <w:r w:rsidR="001B0E2C" w:rsidRPr="003A3913">
        <w:rPr>
          <w:rFonts w:ascii="Aptos Display" w:eastAsia="Arial" w:hAnsi="Aptos Display"/>
          <w:color w:val="808080" w:themeColor="background1" w:themeShade="80"/>
          <w:sz w:val="16"/>
          <w:szCs w:val="16"/>
        </w:rPr>
        <w:t xml:space="preserve">Entrevistas conducidas </w:t>
      </w:r>
      <w:r w:rsidR="00187BA7" w:rsidRPr="003A3913">
        <w:rPr>
          <w:rFonts w:ascii="Aptos Display" w:eastAsia="Arial" w:hAnsi="Aptos Display"/>
          <w:color w:val="808080" w:themeColor="background1" w:themeShade="80"/>
          <w:sz w:val="16"/>
          <w:szCs w:val="16"/>
        </w:rPr>
        <w:t xml:space="preserve">para esta evaluación con Staff de ONU Mujeres Ecuador, </w:t>
      </w:r>
      <w:proofErr w:type="spellStart"/>
      <w:r w:rsidR="00187BA7" w:rsidRPr="003A3913">
        <w:rPr>
          <w:rFonts w:ascii="Aptos Display" w:eastAsia="Arial" w:hAnsi="Aptos Display"/>
          <w:color w:val="808080" w:themeColor="background1" w:themeShade="80"/>
          <w:sz w:val="16"/>
          <w:szCs w:val="16"/>
        </w:rPr>
        <w:t>OSCs</w:t>
      </w:r>
      <w:proofErr w:type="spellEnd"/>
      <w:r w:rsidR="00187BA7" w:rsidRPr="003A3913">
        <w:rPr>
          <w:rFonts w:ascii="Aptos Display" w:eastAsia="Arial" w:hAnsi="Aptos Display"/>
          <w:color w:val="808080" w:themeColor="background1" w:themeShade="80"/>
          <w:sz w:val="16"/>
          <w:szCs w:val="16"/>
        </w:rPr>
        <w:t>, y donantes.</w:t>
      </w:r>
    </w:p>
  </w:footnote>
  <w:footnote w:id="21">
    <w:p w14:paraId="1AD78661" w14:textId="5C9E09A6" w:rsidR="00187BA7" w:rsidRPr="003A3913" w:rsidRDefault="00187BA7">
      <w:pPr>
        <w:pStyle w:val="FootnoteText"/>
        <w:rPr>
          <w:rFonts w:ascii="Aptos Display" w:hAnsi="Aptos Display"/>
          <w:color w:val="808080" w:themeColor="background1" w:themeShade="80"/>
          <w:sz w:val="16"/>
          <w:szCs w:val="16"/>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rPr>
        <w:t xml:space="preserve"> </w:t>
      </w:r>
      <w:r w:rsidRPr="003A3913">
        <w:rPr>
          <w:rFonts w:ascii="Aptos Display" w:eastAsia="Arial" w:hAnsi="Aptos Display"/>
          <w:color w:val="808080" w:themeColor="background1" w:themeShade="80"/>
          <w:sz w:val="16"/>
          <w:szCs w:val="16"/>
        </w:rPr>
        <w:t>Ibid.</w:t>
      </w:r>
    </w:p>
  </w:footnote>
  <w:footnote w:id="22">
    <w:p w14:paraId="1434B608" w14:textId="6B19B648" w:rsidR="00F10824" w:rsidRPr="00F754EF" w:rsidRDefault="00F10824">
      <w:pPr>
        <w:pStyle w:val="FootnoteText"/>
        <w:rPr>
          <w:sz w:val="16"/>
          <w:szCs w:val="16"/>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rPr>
        <w:t xml:space="preserve"> </w:t>
      </w:r>
      <w:r w:rsidRPr="003A3913">
        <w:rPr>
          <w:rFonts w:ascii="Aptos Display" w:eastAsia="Arial" w:hAnsi="Aptos Display"/>
          <w:color w:val="808080" w:themeColor="background1" w:themeShade="80"/>
          <w:sz w:val="16"/>
          <w:szCs w:val="16"/>
        </w:rPr>
        <w:t>Ibid.</w:t>
      </w:r>
    </w:p>
  </w:footnote>
  <w:footnote w:id="23">
    <w:p w14:paraId="2ACFAF8F" w14:textId="14A2E8FC" w:rsidR="00187BA7" w:rsidRPr="003A3913" w:rsidRDefault="00187BA7">
      <w:pPr>
        <w:pStyle w:val="FootnoteText"/>
        <w:rPr>
          <w:rFonts w:ascii="Aptos Display" w:hAnsi="Aptos Display"/>
          <w:color w:val="808080" w:themeColor="background1" w:themeShade="80"/>
          <w:sz w:val="16"/>
          <w:szCs w:val="16"/>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rPr>
        <w:t xml:space="preserve"> </w:t>
      </w:r>
      <w:r w:rsidRPr="003A3913">
        <w:rPr>
          <w:rFonts w:ascii="Aptos Display" w:eastAsia="Arial" w:hAnsi="Aptos Display"/>
          <w:color w:val="808080" w:themeColor="background1" w:themeShade="80"/>
          <w:sz w:val="16"/>
          <w:szCs w:val="16"/>
        </w:rPr>
        <w:t>Ibid.</w:t>
      </w:r>
    </w:p>
  </w:footnote>
  <w:footnote w:id="24">
    <w:p w14:paraId="0A613D1B" w14:textId="69BBCAE5" w:rsidR="00187BA7" w:rsidRPr="003A3913" w:rsidRDefault="00187BA7">
      <w:pPr>
        <w:pStyle w:val="FootnoteText"/>
        <w:rPr>
          <w:rFonts w:ascii="Aptos Display" w:hAnsi="Aptos Display"/>
          <w:color w:val="808080" w:themeColor="background1" w:themeShade="80"/>
          <w:sz w:val="16"/>
          <w:szCs w:val="16"/>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rPr>
        <w:t xml:space="preserve"> </w:t>
      </w:r>
      <w:r w:rsidR="00237A44" w:rsidRPr="003A3913">
        <w:rPr>
          <w:rFonts w:ascii="Aptos Display" w:eastAsia="Arial" w:hAnsi="Aptos Display"/>
          <w:color w:val="808080" w:themeColor="background1" w:themeShade="80"/>
          <w:sz w:val="16"/>
          <w:szCs w:val="16"/>
        </w:rPr>
        <w:t>Entrevistas conducidas para esta evaluación con Staff de ONU Mujeres Ecuador y donantes.</w:t>
      </w:r>
    </w:p>
  </w:footnote>
  <w:footnote w:id="25">
    <w:p w14:paraId="0A36CE68" w14:textId="548BEC6A" w:rsidR="00187BA7" w:rsidRPr="003A3913" w:rsidRDefault="00187BA7">
      <w:pPr>
        <w:pStyle w:val="FootnoteText"/>
        <w:rPr>
          <w:rFonts w:ascii="Aptos Display" w:hAnsi="Aptos Display"/>
          <w:color w:val="808080" w:themeColor="background1" w:themeShade="80"/>
          <w:lang w:val="en-US"/>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lang w:val="en-US"/>
        </w:rPr>
        <w:t xml:space="preserve"> </w:t>
      </w:r>
      <w:r w:rsidRPr="003A3913">
        <w:rPr>
          <w:rFonts w:ascii="Aptos Display" w:eastAsia="Arial" w:hAnsi="Aptos Display"/>
          <w:color w:val="808080" w:themeColor="background1" w:themeShade="80"/>
          <w:sz w:val="16"/>
          <w:szCs w:val="16"/>
          <w:lang w:val="en-US"/>
        </w:rPr>
        <w:t>Ibid.</w:t>
      </w:r>
    </w:p>
  </w:footnote>
  <w:footnote w:id="26">
    <w:p w14:paraId="773EF058" w14:textId="0C51B26C" w:rsidR="00237A44" w:rsidRPr="003A3913" w:rsidRDefault="00237A44">
      <w:pPr>
        <w:pStyle w:val="FootnoteText"/>
        <w:rPr>
          <w:sz w:val="16"/>
          <w:szCs w:val="16"/>
          <w:lang w:val="en-US"/>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lang w:val="en-US"/>
        </w:rPr>
        <w:t xml:space="preserve"> </w:t>
      </w:r>
      <w:r w:rsidR="0058400D" w:rsidRPr="003A3913">
        <w:rPr>
          <w:rFonts w:ascii="Aptos Display" w:eastAsia="Arial" w:hAnsi="Aptos Display"/>
          <w:color w:val="808080" w:themeColor="background1" w:themeShade="80"/>
          <w:sz w:val="16"/>
          <w:szCs w:val="16"/>
          <w:lang w:val="en-US"/>
        </w:rPr>
        <w:t>Ibid.</w:t>
      </w:r>
    </w:p>
  </w:footnote>
  <w:footnote w:id="27">
    <w:p w14:paraId="1860ED18" w14:textId="4BD03BB4" w:rsidR="00AF12B5" w:rsidRPr="003A3913" w:rsidRDefault="00AF12B5">
      <w:pPr>
        <w:pStyle w:val="FootnoteText"/>
        <w:rPr>
          <w:rFonts w:ascii="Aptos Display" w:hAnsi="Aptos Display"/>
          <w:color w:val="808080" w:themeColor="background1" w:themeShade="80"/>
          <w:sz w:val="16"/>
          <w:szCs w:val="16"/>
          <w:lang w:val="es-MX"/>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lang w:val="es-MX"/>
        </w:rPr>
        <w:t xml:space="preserve"> </w:t>
      </w:r>
      <w:r w:rsidR="00342190" w:rsidRPr="003A3913">
        <w:rPr>
          <w:rFonts w:ascii="Aptos Display" w:hAnsi="Aptos Display"/>
          <w:color w:val="808080" w:themeColor="background1" w:themeShade="80"/>
          <w:sz w:val="16"/>
          <w:szCs w:val="16"/>
        </w:rPr>
        <w:t xml:space="preserve">Grupo de Evaluación de las Naciones Unidas (UNEG). (2016). </w:t>
      </w:r>
      <w:r w:rsidR="00342190" w:rsidRPr="003A3913">
        <w:rPr>
          <w:rFonts w:ascii="Aptos Display" w:hAnsi="Aptos Display"/>
          <w:i/>
          <w:iCs/>
          <w:color w:val="808080" w:themeColor="background1" w:themeShade="80"/>
          <w:sz w:val="16"/>
          <w:szCs w:val="16"/>
        </w:rPr>
        <w:t>Normas y Estándares para la Evaluación</w:t>
      </w:r>
      <w:r w:rsidR="00342190" w:rsidRPr="003A3913">
        <w:rPr>
          <w:rFonts w:ascii="Aptos Display" w:hAnsi="Aptos Display"/>
          <w:color w:val="808080" w:themeColor="background1" w:themeShade="80"/>
          <w:sz w:val="16"/>
          <w:szCs w:val="16"/>
        </w:rPr>
        <w:t xml:space="preserve">. UNEG. </w:t>
      </w:r>
      <w:r w:rsidR="00342190" w:rsidRPr="003A3913">
        <w:rPr>
          <w:rFonts w:ascii="Aptos Display" w:hAnsi="Aptos Display"/>
          <w:color w:val="808080" w:themeColor="background1" w:themeShade="80"/>
          <w:sz w:val="16"/>
          <w:szCs w:val="16"/>
        </w:rPr>
        <w:fldChar w:fldCharType="begin"/>
      </w:r>
      <w:r w:rsidR="00342190" w:rsidRPr="003A3913">
        <w:rPr>
          <w:rFonts w:ascii="Aptos Display" w:hAnsi="Aptos Display"/>
          <w:color w:val="808080" w:themeColor="background1" w:themeShade="80"/>
          <w:sz w:val="16"/>
          <w:szCs w:val="16"/>
        </w:rPr>
        <w:instrText>HYPERLINK "http://www.uneval.org/document/detail/1914"</w:instrText>
      </w:r>
      <w:r w:rsidR="00342190" w:rsidRPr="00797F30">
        <w:rPr>
          <w:rFonts w:ascii="Aptos Display" w:hAnsi="Aptos Display"/>
          <w:color w:val="808080" w:themeColor="background1" w:themeShade="80"/>
          <w:sz w:val="16"/>
          <w:szCs w:val="16"/>
        </w:rPr>
      </w:r>
      <w:r w:rsidR="00342190" w:rsidRPr="003A3913">
        <w:rPr>
          <w:rFonts w:ascii="Aptos Display" w:hAnsi="Aptos Display"/>
          <w:color w:val="808080" w:themeColor="background1" w:themeShade="80"/>
          <w:sz w:val="16"/>
          <w:szCs w:val="16"/>
        </w:rPr>
        <w:fldChar w:fldCharType="separate"/>
      </w:r>
      <w:r w:rsidR="00342190" w:rsidRPr="003A3913">
        <w:rPr>
          <w:rStyle w:val="Hyperlink"/>
          <w:rFonts w:ascii="Aptos Display" w:hAnsi="Aptos Display"/>
          <w:color w:val="808080" w:themeColor="background1" w:themeShade="80"/>
          <w:sz w:val="16"/>
          <w:szCs w:val="16"/>
        </w:rPr>
        <w:t>http://www.uneval.org/document/detail/1914</w:t>
      </w:r>
      <w:r w:rsidR="00342190" w:rsidRPr="003A3913">
        <w:rPr>
          <w:rFonts w:ascii="Aptos Display" w:hAnsi="Aptos Display"/>
          <w:color w:val="808080" w:themeColor="background1" w:themeShade="80"/>
          <w:sz w:val="16"/>
          <w:szCs w:val="16"/>
          <w:lang w:val="en-US"/>
        </w:rPr>
        <w:fldChar w:fldCharType="end"/>
      </w:r>
    </w:p>
  </w:footnote>
  <w:footnote w:id="28">
    <w:p w14:paraId="6E320A30" w14:textId="66990E91" w:rsidR="00AB3FDE" w:rsidRPr="003A3913" w:rsidRDefault="00AB3FDE" w:rsidP="00396CD2">
      <w:pPr>
        <w:pStyle w:val="FootnoteText"/>
        <w:jc w:val="left"/>
        <w:rPr>
          <w:rFonts w:ascii="Aptos Display" w:hAnsi="Aptos Display"/>
          <w:color w:val="808080" w:themeColor="background1" w:themeShade="80"/>
          <w:sz w:val="16"/>
          <w:szCs w:val="16"/>
          <w:lang w:val="es-MX"/>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lang w:val="es-MX"/>
        </w:rPr>
        <w:t xml:space="preserve"> </w:t>
      </w:r>
      <w:r w:rsidR="00342190" w:rsidRPr="003A3913">
        <w:rPr>
          <w:rFonts w:ascii="Aptos Display" w:hAnsi="Aptos Display"/>
          <w:color w:val="808080" w:themeColor="background1" w:themeShade="80"/>
          <w:sz w:val="16"/>
          <w:szCs w:val="16"/>
        </w:rPr>
        <w:t xml:space="preserve">Grupo de Evaluación de las Naciones Unidas (UNEG). (2020). </w:t>
      </w:r>
      <w:r w:rsidR="00342190" w:rsidRPr="003A3913">
        <w:rPr>
          <w:rFonts w:ascii="Aptos Display" w:hAnsi="Aptos Display"/>
          <w:i/>
          <w:iCs/>
          <w:color w:val="808080" w:themeColor="background1" w:themeShade="80"/>
          <w:sz w:val="16"/>
          <w:szCs w:val="16"/>
        </w:rPr>
        <w:t>Directrices Éticas para la Evaluación</w:t>
      </w:r>
      <w:r w:rsidR="00342190" w:rsidRPr="003A3913">
        <w:rPr>
          <w:rFonts w:ascii="Aptos Display" w:hAnsi="Aptos Display"/>
          <w:color w:val="808080" w:themeColor="background1" w:themeShade="80"/>
          <w:sz w:val="16"/>
          <w:szCs w:val="16"/>
        </w:rPr>
        <w:t xml:space="preserve">. UNEG. </w:t>
      </w:r>
      <w:r w:rsidR="00342190" w:rsidRPr="003A3913">
        <w:rPr>
          <w:rFonts w:ascii="Aptos Display" w:hAnsi="Aptos Display"/>
          <w:color w:val="808080" w:themeColor="background1" w:themeShade="80"/>
          <w:sz w:val="16"/>
          <w:szCs w:val="16"/>
        </w:rPr>
        <w:fldChar w:fldCharType="begin"/>
      </w:r>
      <w:r w:rsidR="00342190" w:rsidRPr="003A3913">
        <w:rPr>
          <w:rFonts w:ascii="Aptos Display" w:hAnsi="Aptos Display"/>
          <w:color w:val="808080" w:themeColor="background1" w:themeShade="80"/>
          <w:sz w:val="16"/>
          <w:szCs w:val="16"/>
        </w:rPr>
        <w:instrText>HYPERLINK "http://www.uneval.org/document/detail/2866"</w:instrText>
      </w:r>
      <w:r w:rsidR="00342190" w:rsidRPr="00797F30">
        <w:rPr>
          <w:rFonts w:ascii="Aptos Display" w:hAnsi="Aptos Display"/>
          <w:color w:val="808080" w:themeColor="background1" w:themeShade="80"/>
          <w:sz w:val="16"/>
          <w:szCs w:val="16"/>
        </w:rPr>
      </w:r>
      <w:r w:rsidR="00342190" w:rsidRPr="003A3913">
        <w:rPr>
          <w:rFonts w:ascii="Aptos Display" w:hAnsi="Aptos Display"/>
          <w:color w:val="808080" w:themeColor="background1" w:themeShade="80"/>
          <w:sz w:val="16"/>
          <w:szCs w:val="16"/>
        </w:rPr>
        <w:fldChar w:fldCharType="separate"/>
      </w:r>
      <w:r w:rsidR="00342190" w:rsidRPr="003A3913">
        <w:rPr>
          <w:rStyle w:val="Hyperlink"/>
          <w:rFonts w:ascii="Aptos Display" w:hAnsi="Aptos Display"/>
          <w:color w:val="808080" w:themeColor="background1" w:themeShade="80"/>
          <w:sz w:val="16"/>
          <w:szCs w:val="16"/>
        </w:rPr>
        <w:t>http://www.uneval.org/document/detail/2866</w:t>
      </w:r>
      <w:r w:rsidR="00342190" w:rsidRPr="003A3913">
        <w:rPr>
          <w:rFonts w:ascii="Aptos Display" w:hAnsi="Aptos Display"/>
          <w:color w:val="808080" w:themeColor="background1" w:themeShade="80"/>
          <w:sz w:val="16"/>
          <w:szCs w:val="16"/>
          <w:lang w:val="en-US"/>
        </w:rPr>
        <w:fldChar w:fldCharType="end"/>
      </w:r>
    </w:p>
  </w:footnote>
  <w:footnote w:id="29">
    <w:p w14:paraId="4FC7254A" w14:textId="227E5DB4" w:rsidR="000935C8" w:rsidRPr="003A3913" w:rsidRDefault="000935C8">
      <w:pPr>
        <w:pStyle w:val="FootnoteText"/>
        <w:rPr>
          <w:rFonts w:ascii="Aptos Display" w:hAnsi="Aptos Display"/>
          <w:color w:val="808080" w:themeColor="background1" w:themeShade="80"/>
          <w:lang w:val="es-MX"/>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lang w:val="es-MX"/>
        </w:rPr>
        <w:t xml:space="preserve"> </w:t>
      </w:r>
      <w:r w:rsidR="004314E2" w:rsidRPr="003A3913">
        <w:rPr>
          <w:rFonts w:ascii="Aptos Display" w:hAnsi="Aptos Display"/>
          <w:color w:val="808080" w:themeColor="background1" w:themeShade="80"/>
          <w:sz w:val="16"/>
          <w:szCs w:val="16"/>
        </w:rPr>
        <w:t xml:space="preserve">ONU Mujeres. (2022). </w:t>
      </w:r>
      <w:r w:rsidR="004314E2" w:rsidRPr="003A3913">
        <w:rPr>
          <w:rFonts w:ascii="Aptos Display" w:hAnsi="Aptos Display"/>
          <w:i/>
          <w:iCs/>
          <w:color w:val="808080" w:themeColor="background1" w:themeShade="80"/>
          <w:sz w:val="16"/>
          <w:szCs w:val="16"/>
        </w:rPr>
        <w:t>Política de Evaluación de ONU Mujeres</w:t>
      </w:r>
      <w:r w:rsidR="004314E2" w:rsidRPr="003A3913">
        <w:rPr>
          <w:rFonts w:ascii="Aptos Display" w:hAnsi="Aptos Display"/>
          <w:color w:val="808080" w:themeColor="background1" w:themeShade="80"/>
          <w:sz w:val="16"/>
          <w:szCs w:val="16"/>
        </w:rPr>
        <w:t xml:space="preserve">. Servicio Independiente de Evaluación de ONU Mujeres. </w:t>
      </w:r>
      <w:r w:rsidR="004314E2" w:rsidRPr="003A3913">
        <w:rPr>
          <w:rFonts w:ascii="Aptos Display" w:hAnsi="Aptos Display"/>
          <w:color w:val="808080" w:themeColor="background1" w:themeShade="80"/>
          <w:sz w:val="16"/>
          <w:szCs w:val="16"/>
        </w:rPr>
        <w:fldChar w:fldCharType="begin"/>
      </w:r>
      <w:r w:rsidR="004314E2" w:rsidRPr="003A3913">
        <w:rPr>
          <w:rFonts w:ascii="Aptos Display" w:hAnsi="Aptos Display"/>
          <w:color w:val="808080" w:themeColor="background1" w:themeShade="80"/>
          <w:sz w:val="16"/>
          <w:szCs w:val="16"/>
        </w:rPr>
        <w:instrText>HYPERLINK "https://www.unwomen.org/sites/default/files/2022-11/UN-Women-Evaluation-Policy-en.pdf"</w:instrText>
      </w:r>
      <w:r w:rsidR="004314E2" w:rsidRPr="00797F30">
        <w:rPr>
          <w:rFonts w:ascii="Aptos Display" w:hAnsi="Aptos Display"/>
          <w:color w:val="808080" w:themeColor="background1" w:themeShade="80"/>
          <w:sz w:val="16"/>
          <w:szCs w:val="16"/>
        </w:rPr>
      </w:r>
      <w:r w:rsidR="004314E2" w:rsidRPr="003A3913">
        <w:rPr>
          <w:rFonts w:ascii="Aptos Display" w:hAnsi="Aptos Display"/>
          <w:color w:val="808080" w:themeColor="background1" w:themeShade="80"/>
          <w:sz w:val="16"/>
          <w:szCs w:val="16"/>
        </w:rPr>
        <w:fldChar w:fldCharType="separate"/>
      </w:r>
      <w:r w:rsidR="004314E2" w:rsidRPr="003A3913">
        <w:rPr>
          <w:rStyle w:val="Hyperlink"/>
          <w:rFonts w:ascii="Aptos Display" w:hAnsi="Aptos Display"/>
          <w:color w:val="808080" w:themeColor="background1" w:themeShade="80"/>
          <w:sz w:val="16"/>
          <w:szCs w:val="16"/>
        </w:rPr>
        <w:t>https://www.unwomen.org/sites/default/files/2022-11/UN-Women-Evaluation-Policy-en.pdf</w:t>
      </w:r>
      <w:r w:rsidR="004314E2" w:rsidRPr="003A3913">
        <w:rPr>
          <w:rFonts w:ascii="Aptos Display" w:hAnsi="Aptos Display"/>
          <w:color w:val="808080" w:themeColor="background1" w:themeShade="80"/>
          <w:sz w:val="16"/>
          <w:szCs w:val="16"/>
          <w:lang w:val="en-US"/>
        </w:rPr>
        <w:fldChar w:fldCharType="end"/>
      </w:r>
      <w:r w:rsidR="004314E2" w:rsidRPr="003A3913">
        <w:rPr>
          <w:rFonts w:ascii="Aptos Display" w:hAnsi="Aptos Display"/>
          <w:color w:val="808080" w:themeColor="background1" w:themeShade="80"/>
          <w:sz w:val="16"/>
          <w:szCs w:val="16"/>
        </w:rPr>
        <w:t xml:space="preserve">; ONU Mujeres. (2015). </w:t>
      </w:r>
      <w:r w:rsidR="004314E2" w:rsidRPr="003A3913">
        <w:rPr>
          <w:rFonts w:ascii="Aptos Display" w:hAnsi="Aptos Display"/>
          <w:i/>
          <w:iCs/>
          <w:color w:val="808080" w:themeColor="background1" w:themeShade="80"/>
          <w:sz w:val="16"/>
          <w:szCs w:val="16"/>
        </w:rPr>
        <w:t>Manual de Evaluación de ONU Mujeres: Cómo gestionar una evaluación con respuesta de género</w:t>
      </w:r>
      <w:r w:rsidR="004314E2" w:rsidRPr="003A3913">
        <w:rPr>
          <w:rFonts w:ascii="Aptos Display" w:hAnsi="Aptos Display"/>
          <w:color w:val="808080" w:themeColor="background1" w:themeShade="80"/>
          <w:sz w:val="16"/>
          <w:szCs w:val="16"/>
        </w:rPr>
        <w:t xml:space="preserve">. Servicio Independiente de Evaluación de ONU Mujeres. </w:t>
      </w:r>
      <w:r w:rsidR="004314E2" w:rsidRPr="003A3913">
        <w:rPr>
          <w:rFonts w:ascii="Aptos Display" w:hAnsi="Aptos Display"/>
          <w:color w:val="808080" w:themeColor="background1" w:themeShade="80"/>
          <w:sz w:val="16"/>
          <w:szCs w:val="16"/>
        </w:rPr>
        <w:fldChar w:fldCharType="begin"/>
      </w:r>
      <w:r w:rsidR="004314E2" w:rsidRPr="003A3913">
        <w:rPr>
          <w:rFonts w:ascii="Aptos Display" w:hAnsi="Aptos Display"/>
          <w:color w:val="808080" w:themeColor="background1" w:themeShade="80"/>
          <w:sz w:val="16"/>
          <w:szCs w:val="16"/>
        </w:rPr>
        <w:instrText>HYPERLINK "https://www.unwomen.org/sites/default/files/Headquarters/Attachments/Sections/Library/Publications/2015/UNWomen-Evaluation-Handbook-en.pdf"</w:instrText>
      </w:r>
      <w:r w:rsidR="004314E2" w:rsidRPr="00797F30">
        <w:rPr>
          <w:rFonts w:ascii="Aptos Display" w:hAnsi="Aptos Display"/>
          <w:color w:val="808080" w:themeColor="background1" w:themeShade="80"/>
          <w:sz w:val="16"/>
          <w:szCs w:val="16"/>
        </w:rPr>
      </w:r>
      <w:r w:rsidR="004314E2" w:rsidRPr="003A3913">
        <w:rPr>
          <w:rFonts w:ascii="Aptos Display" w:hAnsi="Aptos Display"/>
          <w:color w:val="808080" w:themeColor="background1" w:themeShade="80"/>
          <w:sz w:val="16"/>
          <w:szCs w:val="16"/>
        </w:rPr>
        <w:fldChar w:fldCharType="separate"/>
      </w:r>
      <w:r w:rsidR="004314E2" w:rsidRPr="003A3913">
        <w:rPr>
          <w:rStyle w:val="Hyperlink"/>
          <w:rFonts w:ascii="Aptos Display" w:hAnsi="Aptos Display"/>
          <w:color w:val="808080" w:themeColor="background1" w:themeShade="80"/>
          <w:sz w:val="16"/>
          <w:szCs w:val="16"/>
        </w:rPr>
        <w:t>https://www.unwomen.org/sites/default/files/Headquarters/Attachments/Sections/Library/Publications/2015/UNWomen-Evaluation-Handbook-en.pdf</w:t>
      </w:r>
      <w:r w:rsidR="004314E2" w:rsidRPr="003A3913">
        <w:rPr>
          <w:rFonts w:ascii="Aptos Display" w:hAnsi="Aptos Display"/>
          <w:color w:val="808080" w:themeColor="background1" w:themeShade="80"/>
          <w:sz w:val="16"/>
          <w:szCs w:val="16"/>
          <w:lang w:val="en-US"/>
        </w:rPr>
        <w:fldChar w:fldCharType="end"/>
      </w:r>
    </w:p>
  </w:footnote>
  <w:footnote w:id="30">
    <w:p w14:paraId="692AE996" w14:textId="6DA0F81A" w:rsidR="0096615D" w:rsidRPr="003A3913" w:rsidRDefault="0096615D">
      <w:pPr>
        <w:pStyle w:val="FootnoteText"/>
        <w:rPr>
          <w:sz w:val="16"/>
          <w:szCs w:val="16"/>
          <w:lang w:val="es-MX"/>
        </w:rPr>
      </w:pPr>
      <w:r w:rsidRPr="00F754EF">
        <w:rPr>
          <w:rStyle w:val="FootnoteReference"/>
          <w:sz w:val="16"/>
          <w:szCs w:val="16"/>
        </w:rPr>
        <w:footnoteRef/>
      </w:r>
      <w:r w:rsidRPr="003A3913">
        <w:rPr>
          <w:sz w:val="16"/>
          <w:szCs w:val="16"/>
          <w:lang w:val="es-MX"/>
        </w:rPr>
        <w:t xml:space="preserve"> </w:t>
      </w:r>
      <w:r w:rsidR="004A2D95" w:rsidRPr="003A3913">
        <w:rPr>
          <w:rFonts w:ascii="Aptos Display" w:hAnsi="Aptos Display"/>
          <w:color w:val="808080" w:themeColor="background1" w:themeShade="80"/>
          <w:sz w:val="16"/>
          <w:szCs w:val="16"/>
        </w:rPr>
        <w:t xml:space="preserve">ONU Mujeres Ecuador, </w:t>
      </w:r>
      <w:r w:rsidR="004A2D95" w:rsidRPr="003A3913">
        <w:rPr>
          <w:rFonts w:ascii="Aptos Display" w:hAnsi="Aptos Display"/>
          <w:i/>
          <w:iCs/>
          <w:color w:val="808080" w:themeColor="background1" w:themeShade="80"/>
          <w:sz w:val="16"/>
          <w:szCs w:val="16"/>
        </w:rPr>
        <w:t>Nota Estratégica 2023-2026</w:t>
      </w:r>
      <w:r w:rsidR="004A2D95" w:rsidRPr="003A3913">
        <w:rPr>
          <w:rFonts w:ascii="Aptos Display" w:hAnsi="Aptos Display"/>
          <w:color w:val="808080" w:themeColor="background1" w:themeShade="80"/>
          <w:sz w:val="16"/>
          <w:szCs w:val="16"/>
        </w:rPr>
        <w:t xml:space="preserve">; ONU Mujeres, </w:t>
      </w:r>
      <w:r w:rsidR="004A2D95" w:rsidRPr="003A3913">
        <w:rPr>
          <w:rFonts w:ascii="Aptos Display" w:hAnsi="Aptos Display"/>
          <w:i/>
          <w:iCs/>
          <w:color w:val="808080" w:themeColor="background1" w:themeShade="80"/>
          <w:sz w:val="16"/>
          <w:szCs w:val="16"/>
        </w:rPr>
        <w:t>Plan Estratégico 2022-2025</w:t>
      </w:r>
      <w:r w:rsidR="004A2D95" w:rsidRPr="003A3913">
        <w:rPr>
          <w:rFonts w:ascii="Aptos Display" w:hAnsi="Aptos Display"/>
          <w:color w:val="808080" w:themeColor="background1" w:themeShade="80"/>
          <w:sz w:val="16"/>
          <w:szCs w:val="16"/>
        </w:rPr>
        <w:t xml:space="preserve">; Naciones Unidas Ecuador, </w:t>
      </w:r>
      <w:r w:rsidR="004A2D95" w:rsidRPr="003A3913">
        <w:rPr>
          <w:rFonts w:ascii="Aptos Display" w:hAnsi="Aptos Display"/>
          <w:i/>
          <w:iCs/>
          <w:color w:val="808080" w:themeColor="background1" w:themeShade="80"/>
          <w:sz w:val="16"/>
          <w:szCs w:val="16"/>
        </w:rPr>
        <w:t>Marco de Cooperación para el Desarrollo Sostenible (UNSDCF) 2022-2026</w:t>
      </w:r>
      <w:r w:rsidR="004A2D95" w:rsidRPr="003A3913">
        <w:rPr>
          <w:rFonts w:ascii="Aptos Display" w:hAnsi="Aptos Display"/>
          <w:color w:val="808080" w:themeColor="background1" w:themeShade="80"/>
          <w:sz w:val="16"/>
          <w:szCs w:val="16"/>
        </w:rPr>
        <w:t>.</w:t>
      </w:r>
    </w:p>
  </w:footnote>
  <w:footnote w:id="31">
    <w:p w14:paraId="7663642F" w14:textId="2944FD80" w:rsidR="001F0B28" w:rsidRPr="00F754EF" w:rsidRDefault="001F0B28">
      <w:pPr>
        <w:pStyle w:val="FootnoteText"/>
        <w:rPr>
          <w:sz w:val="16"/>
          <w:szCs w:val="16"/>
        </w:rPr>
      </w:pPr>
      <w:r w:rsidRPr="00F754EF">
        <w:rPr>
          <w:rStyle w:val="FootnoteReference"/>
          <w:sz w:val="16"/>
          <w:szCs w:val="16"/>
        </w:rPr>
        <w:footnoteRef/>
      </w:r>
      <w:r w:rsidRPr="00F754EF">
        <w:rPr>
          <w:sz w:val="16"/>
          <w:szCs w:val="16"/>
        </w:rPr>
        <w:t xml:space="preserve"> </w:t>
      </w:r>
      <w:r w:rsidR="00176913" w:rsidRPr="00F754EF">
        <w:rPr>
          <w:rFonts w:ascii="Aptos Display" w:hAnsi="Aptos Display"/>
          <w:color w:val="808080" w:themeColor="background1" w:themeShade="80"/>
          <w:sz w:val="16"/>
          <w:szCs w:val="16"/>
        </w:rPr>
        <w:t>Rep</w:t>
      </w:r>
      <w:r w:rsidR="00142069" w:rsidRPr="00F754EF">
        <w:rPr>
          <w:rFonts w:ascii="Aptos Display" w:hAnsi="Aptos Display"/>
          <w:color w:val="808080" w:themeColor="background1" w:themeShade="80"/>
          <w:sz w:val="16"/>
          <w:szCs w:val="16"/>
        </w:rPr>
        <w:t>ú</w:t>
      </w:r>
      <w:r w:rsidR="00176913" w:rsidRPr="00F754EF">
        <w:rPr>
          <w:rFonts w:ascii="Aptos Display" w:hAnsi="Aptos Display"/>
          <w:color w:val="808080" w:themeColor="background1" w:themeShade="80"/>
          <w:sz w:val="16"/>
          <w:szCs w:val="16"/>
        </w:rPr>
        <w:t xml:space="preserve">blica de Ecuador, </w:t>
      </w:r>
      <w:r w:rsidR="00176913" w:rsidRPr="00F754EF">
        <w:rPr>
          <w:rFonts w:ascii="Aptos Display" w:hAnsi="Aptos Display"/>
          <w:i/>
          <w:iCs/>
          <w:color w:val="808080" w:themeColor="background1" w:themeShade="80"/>
          <w:sz w:val="16"/>
          <w:szCs w:val="16"/>
        </w:rPr>
        <w:t>Ley Orgánica Integral para Prevenir y Erradicar la Violencia contra las Mujeres</w:t>
      </w:r>
      <w:r w:rsidR="00176913" w:rsidRPr="00F754EF">
        <w:rPr>
          <w:rFonts w:ascii="Aptos Display" w:hAnsi="Aptos Display"/>
          <w:color w:val="808080" w:themeColor="background1" w:themeShade="80"/>
          <w:sz w:val="16"/>
          <w:szCs w:val="16"/>
        </w:rPr>
        <w:t>, 2018</w:t>
      </w:r>
      <w:r w:rsidR="00142069" w:rsidRPr="00F754EF">
        <w:rPr>
          <w:rFonts w:ascii="Aptos Display" w:hAnsi="Aptos Display"/>
          <w:color w:val="808080" w:themeColor="background1" w:themeShade="80"/>
          <w:sz w:val="16"/>
          <w:szCs w:val="16"/>
        </w:rPr>
        <w:t>.</w:t>
      </w:r>
    </w:p>
  </w:footnote>
  <w:footnote w:id="32">
    <w:p w14:paraId="5EABD2C3" w14:textId="00FA9C26" w:rsidR="00352543" w:rsidRPr="00F754EF" w:rsidRDefault="00352543">
      <w:pPr>
        <w:pStyle w:val="FootnoteText"/>
        <w:rPr>
          <w:sz w:val="16"/>
          <w:szCs w:val="16"/>
        </w:rPr>
      </w:pPr>
      <w:r w:rsidRPr="00F754EF">
        <w:rPr>
          <w:rStyle w:val="FootnoteReference"/>
          <w:sz w:val="16"/>
          <w:szCs w:val="16"/>
        </w:rPr>
        <w:footnoteRef/>
      </w:r>
      <w:r w:rsidRPr="00F754EF">
        <w:rPr>
          <w:sz w:val="16"/>
          <w:szCs w:val="16"/>
        </w:rPr>
        <w:t xml:space="preserve"> </w:t>
      </w:r>
      <w:r w:rsidR="00142069" w:rsidRPr="00F754EF">
        <w:rPr>
          <w:rFonts w:ascii="Aptos Display" w:hAnsi="Aptos Display"/>
          <w:color w:val="808080" w:themeColor="background1" w:themeShade="80"/>
          <w:sz w:val="16"/>
          <w:szCs w:val="16"/>
        </w:rPr>
        <w:t xml:space="preserve">República de Ecuador, </w:t>
      </w:r>
      <w:r w:rsidR="00142069" w:rsidRPr="00F754EF">
        <w:rPr>
          <w:rFonts w:ascii="Aptos Display" w:hAnsi="Aptos Display"/>
          <w:i/>
          <w:iCs/>
          <w:color w:val="808080" w:themeColor="background1" w:themeShade="80"/>
          <w:sz w:val="16"/>
          <w:szCs w:val="16"/>
        </w:rPr>
        <w:t>Ley Orgánica de Cuidado Humano</w:t>
      </w:r>
      <w:r w:rsidR="00142069" w:rsidRPr="00F754EF">
        <w:rPr>
          <w:rFonts w:ascii="Aptos Display" w:hAnsi="Aptos Display"/>
          <w:color w:val="808080" w:themeColor="background1" w:themeShade="80"/>
          <w:sz w:val="16"/>
          <w:szCs w:val="16"/>
        </w:rPr>
        <w:t>, 2023.</w:t>
      </w:r>
    </w:p>
  </w:footnote>
  <w:footnote w:id="33">
    <w:p w14:paraId="0336AB88" w14:textId="6ACA91D3" w:rsidR="00B70F62" w:rsidRPr="003A3913" w:rsidRDefault="00B70F62">
      <w:pPr>
        <w:pStyle w:val="FootnoteText"/>
        <w:rPr>
          <w:sz w:val="16"/>
          <w:szCs w:val="16"/>
          <w:lang w:val="es-MX"/>
        </w:rPr>
      </w:pPr>
      <w:r w:rsidRPr="00F754EF">
        <w:rPr>
          <w:rStyle w:val="FootnoteReference"/>
          <w:sz w:val="16"/>
          <w:szCs w:val="16"/>
        </w:rPr>
        <w:footnoteRef/>
      </w:r>
      <w:r w:rsidRPr="003A3913">
        <w:rPr>
          <w:sz w:val="16"/>
          <w:szCs w:val="16"/>
          <w:lang w:val="es-MX"/>
        </w:rPr>
        <w:t xml:space="preserve"> </w:t>
      </w:r>
      <w:r w:rsidR="004A2D95" w:rsidRPr="003A3913">
        <w:rPr>
          <w:rFonts w:ascii="Aptos Display" w:hAnsi="Aptos Display"/>
          <w:color w:val="808080" w:themeColor="background1" w:themeShade="80"/>
          <w:sz w:val="16"/>
          <w:szCs w:val="16"/>
        </w:rPr>
        <w:t xml:space="preserve">Naciones Unidas Ecuador, </w:t>
      </w:r>
      <w:r w:rsidR="004A2D95" w:rsidRPr="003A3913">
        <w:rPr>
          <w:rFonts w:ascii="Aptos Display" w:hAnsi="Aptos Display"/>
          <w:i/>
          <w:iCs/>
          <w:color w:val="808080" w:themeColor="background1" w:themeShade="80"/>
          <w:sz w:val="16"/>
          <w:szCs w:val="16"/>
        </w:rPr>
        <w:t>Marco de Cooperación para el Desarrollo Sostenible (UNSDCF) 2022-2026</w:t>
      </w:r>
      <w:r w:rsidR="004A2D95" w:rsidRPr="003A3913">
        <w:rPr>
          <w:rFonts w:ascii="Aptos Display" w:hAnsi="Aptos Display"/>
          <w:color w:val="808080" w:themeColor="background1" w:themeShade="80"/>
          <w:sz w:val="16"/>
          <w:szCs w:val="16"/>
        </w:rPr>
        <w:t>.</w:t>
      </w:r>
    </w:p>
  </w:footnote>
  <w:footnote w:id="34">
    <w:p w14:paraId="68F6CA16" w14:textId="34D0C479" w:rsidR="00E163A4" w:rsidRPr="003A3913" w:rsidRDefault="00E163A4">
      <w:pPr>
        <w:pStyle w:val="FootnoteText"/>
        <w:rPr>
          <w:lang w:val="es-MX"/>
        </w:rPr>
      </w:pPr>
      <w:r w:rsidRPr="00F754EF">
        <w:rPr>
          <w:rStyle w:val="FootnoteReference"/>
          <w:sz w:val="16"/>
          <w:szCs w:val="16"/>
        </w:rPr>
        <w:footnoteRef/>
      </w:r>
      <w:r w:rsidRPr="003A3913">
        <w:rPr>
          <w:sz w:val="16"/>
          <w:szCs w:val="16"/>
          <w:lang w:val="es-MX"/>
        </w:rPr>
        <w:t xml:space="preserve"> </w:t>
      </w:r>
      <w:r w:rsidR="008D3062" w:rsidRPr="003A3913">
        <w:rPr>
          <w:rFonts w:ascii="Aptos Display" w:hAnsi="Aptos Display"/>
          <w:color w:val="808080" w:themeColor="background1" w:themeShade="80"/>
          <w:sz w:val="16"/>
          <w:szCs w:val="16"/>
        </w:rPr>
        <w:t xml:space="preserve">ONU Mujeres Ecuador, </w:t>
      </w:r>
      <w:r w:rsidR="008D3062" w:rsidRPr="003A3913">
        <w:rPr>
          <w:rFonts w:ascii="Aptos Display" w:hAnsi="Aptos Display"/>
          <w:i/>
          <w:iCs/>
          <w:color w:val="808080" w:themeColor="background1" w:themeShade="80"/>
          <w:sz w:val="16"/>
          <w:szCs w:val="16"/>
        </w:rPr>
        <w:t>Perfil de Género del Ecuador, 2023</w:t>
      </w:r>
      <w:r w:rsidR="008D3062" w:rsidRPr="003A3913">
        <w:rPr>
          <w:rFonts w:ascii="Aptos Display" w:hAnsi="Aptos Display"/>
          <w:color w:val="808080" w:themeColor="background1" w:themeShade="80"/>
          <w:sz w:val="16"/>
          <w:szCs w:val="16"/>
        </w:rPr>
        <w:t>; Entrevista con personal del sistema de Naciones Unidas, Oficina del Coordinador Residente.</w:t>
      </w:r>
    </w:p>
  </w:footnote>
  <w:footnote w:id="35">
    <w:p w14:paraId="5D5BDC83" w14:textId="3C89BA58" w:rsidR="004C1B5A" w:rsidRPr="00F754EF" w:rsidRDefault="004C1B5A">
      <w:pPr>
        <w:pStyle w:val="FootnoteText"/>
        <w:rPr>
          <w:sz w:val="16"/>
          <w:szCs w:val="16"/>
        </w:rPr>
      </w:pPr>
      <w:r w:rsidRPr="00F754EF">
        <w:rPr>
          <w:rStyle w:val="FootnoteReference"/>
          <w:sz w:val="16"/>
          <w:szCs w:val="16"/>
        </w:rPr>
        <w:footnoteRef/>
      </w:r>
      <w:r w:rsidRPr="003A3913">
        <w:rPr>
          <w:sz w:val="16"/>
          <w:szCs w:val="16"/>
          <w:lang w:val="es-MX"/>
        </w:rPr>
        <w:t xml:space="preserve"> </w:t>
      </w:r>
      <w:r w:rsidR="003B4C1B" w:rsidRPr="003A3913">
        <w:rPr>
          <w:rFonts w:ascii="Aptos Display" w:hAnsi="Aptos Display"/>
          <w:color w:val="808080" w:themeColor="background1" w:themeShade="80"/>
          <w:sz w:val="16"/>
          <w:szCs w:val="16"/>
        </w:rPr>
        <w:t xml:space="preserve">ONU Mujeres. (2023). </w:t>
      </w:r>
      <w:r w:rsidR="003B4C1B" w:rsidRPr="003A3913">
        <w:rPr>
          <w:rFonts w:ascii="Aptos Display" w:hAnsi="Aptos Display"/>
          <w:i/>
          <w:iCs/>
          <w:color w:val="808080" w:themeColor="background1" w:themeShade="80"/>
          <w:sz w:val="16"/>
          <w:szCs w:val="16"/>
        </w:rPr>
        <w:t>Evaluación del Portafolio País de ONU Mujeres Ecuador 2019-2022</w:t>
      </w:r>
      <w:r w:rsidR="003B4C1B" w:rsidRPr="003A3913">
        <w:rPr>
          <w:rFonts w:ascii="Aptos Display" w:hAnsi="Aptos Display"/>
          <w:color w:val="808080" w:themeColor="background1" w:themeShade="80"/>
          <w:sz w:val="16"/>
          <w:szCs w:val="16"/>
        </w:rPr>
        <w:t xml:space="preserve">. Entidad de las Naciones Unidas para la Igualdad de Género y el Empoderamiento de las Mujeres. </w:t>
      </w:r>
      <w:r w:rsidR="003B4C1B" w:rsidRPr="003A3913">
        <w:rPr>
          <w:rFonts w:ascii="Aptos Display" w:hAnsi="Aptos Display"/>
          <w:color w:val="808080" w:themeColor="background1" w:themeShade="80"/>
          <w:sz w:val="16"/>
          <w:szCs w:val="16"/>
        </w:rPr>
        <w:fldChar w:fldCharType="begin"/>
      </w:r>
      <w:r w:rsidR="003B4C1B" w:rsidRPr="003A3913">
        <w:rPr>
          <w:rFonts w:ascii="Aptos Display" w:hAnsi="Aptos Display"/>
          <w:color w:val="808080" w:themeColor="background1" w:themeShade="80"/>
          <w:sz w:val="16"/>
          <w:szCs w:val="16"/>
        </w:rPr>
        <w:instrText>HYPERLINK "https://lac.unwomen.org/en/digital-library/publications/2023/06/evaluacion-de-portafolio-pais-de-onu-mujeres-ecuador"</w:instrText>
      </w:r>
      <w:r w:rsidR="003B4C1B" w:rsidRPr="00797F30">
        <w:rPr>
          <w:rFonts w:ascii="Aptos Display" w:hAnsi="Aptos Display"/>
          <w:color w:val="808080" w:themeColor="background1" w:themeShade="80"/>
          <w:sz w:val="16"/>
          <w:szCs w:val="16"/>
        </w:rPr>
      </w:r>
      <w:r w:rsidR="003B4C1B" w:rsidRPr="003A3913">
        <w:rPr>
          <w:rFonts w:ascii="Aptos Display" w:hAnsi="Aptos Display"/>
          <w:color w:val="808080" w:themeColor="background1" w:themeShade="80"/>
          <w:sz w:val="16"/>
          <w:szCs w:val="16"/>
        </w:rPr>
        <w:fldChar w:fldCharType="separate"/>
      </w:r>
      <w:r w:rsidR="003B4C1B" w:rsidRPr="003A3913">
        <w:rPr>
          <w:rStyle w:val="Hyperlink"/>
          <w:rFonts w:ascii="Aptos Display" w:hAnsi="Aptos Display"/>
          <w:color w:val="808080" w:themeColor="background1" w:themeShade="80"/>
          <w:sz w:val="16"/>
          <w:szCs w:val="16"/>
        </w:rPr>
        <w:t>https://lac.unwomen.org/en/digital-library/publications/2023/06/evaluacion-de-portafolio-pais-de-onu-mujeres-ecuador</w:t>
      </w:r>
      <w:r w:rsidR="003B4C1B" w:rsidRPr="003A3913">
        <w:rPr>
          <w:rFonts w:ascii="Aptos Display" w:hAnsi="Aptos Display"/>
          <w:color w:val="808080" w:themeColor="background1" w:themeShade="80"/>
          <w:sz w:val="16"/>
          <w:szCs w:val="16"/>
          <w:lang w:val="en-US"/>
        </w:rPr>
        <w:fldChar w:fldCharType="end"/>
      </w:r>
    </w:p>
  </w:footnote>
  <w:footnote w:id="36">
    <w:p w14:paraId="236DD8BC" w14:textId="0ABEA494" w:rsidR="00155D86" w:rsidRPr="003A3913" w:rsidRDefault="00155D86">
      <w:pPr>
        <w:pStyle w:val="FootnoteText"/>
        <w:rPr>
          <w:lang w:val="es-MX"/>
        </w:rPr>
      </w:pPr>
      <w:r w:rsidRPr="00F754EF">
        <w:rPr>
          <w:rStyle w:val="FootnoteReference"/>
        </w:rPr>
        <w:footnoteRef/>
      </w:r>
      <w:r w:rsidRPr="003A3913">
        <w:rPr>
          <w:lang w:val="es-MX"/>
        </w:rPr>
        <w:t xml:space="preserve"> </w:t>
      </w:r>
      <w:r w:rsidR="008144A6" w:rsidRPr="003A3913">
        <w:rPr>
          <w:rFonts w:ascii="Aptos Display" w:hAnsi="Aptos Display"/>
          <w:color w:val="808080" w:themeColor="background1" w:themeShade="80"/>
          <w:sz w:val="16"/>
          <w:szCs w:val="16"/>
          <w:lang w:val="es-MX"/>
        </w:rPr>
        <w:t>El Sello de Igualdad de Género es un programa de certificación del PNUD que reconoce a instituciones públicas y empresas privadas que cumplen con estándares establecidos de igualdad de género en política organizacional, prestación de servicios y prácticas laborales.</w:t>
      </w:r>
    </w:p>
  </w:footnote>
  <w:footnote w:id="37">
    <w:p w14:paraId="10C2C4DE" w14:textId="171DA65F" w:rsidR="00437711" w:rsidRPr="00F754EF" w:rsidRDefault="00437711">
      <w:pPr>
        <w:pStyle w:val="FootnoteText"/>
        <w:rPr>
          <w:sz w:val="16"/>
          <w:szCs w:val="16"/>
        </w:rPr>
      </w:pPr>
      <w:r w:rsidRPr="00F754EF">
        <w:rPr>
          <w:rStyle w:val="FootnoteReference"/>
          <w:sz w:val="16"/>
          <w:szCs w:val="16"/>
        </w:rPr>
        <w:footnoteRef/>
      </w:r>
      <w:r w:rsidRPr="003A3913">
        <w:rPr>
          <w:sz w:val="16"/>
          <w:szCs w:val="16"/>
          <w:lang w:val="es-MX"/>
        </w:rPr>
        <w:t xml:space="preserve"> </w:t>
      </w:r>
      <w:r w:rsidR="0096246B" w:rsidRPr="003A3913">
        <w:rPr>
          <w:rFonts w:ascii="Aptos Display" w:hAnsi="Aptos Display"/>
          <w:color w:val="808080" w:themeColor="background1" w:themeShade="80"/>
          <w:sz w:val="16"/>
          <w:szCs w:val="16"/>
        </w:rPr>
        <w:t>Los Principios para el Empoderamiento de las Mujeres (</w:t>
      </w:r>
      <w:proofErr w:type="spellStart"/>
      <w:r w:rsidR="0096246B" w:rsidRPr="003A3913">
        <w:rPr>
          <w:rFonts w:ascii="Aptos Display" w:hAnsi="Aptos Display"/>
          <w:color w:val="808080" w:themeColor="background1" w:themeShade="80"/>
          <w:sz w:val="16"/>
          <w:szCs w:val="16"/>
        </w:rPr>
        <w:t>WEPs</w:t>
      </w:r>
      <w:proofErr w:type="spellEnd"/>
      <w:r w:rsidR="0096246B" w:rsidRPr="003A3913">
        <w:rPr>
          <w:rFonts w:ascii="Aptos Display" w:hAnsi="Aptos Display"/>
          <w:color w:val="808080" w:themeColor="background1" w:themeShade="80"/>
          <w:sz w:val="16"/>
          <w:szCs w:val="16"/>
        </w:rPr>
        <w:t xml:space="preserve">, por sus siglas en inglés) son siete principios establecidos conjuntamente por ONU Mujeres y el Pacto Mundial de las Naciones Unidas en 2010, que orientan a las empresas en la promoción de la igualdad de género en el lugar de trabajo, el mercado y la comunidad. Véase: </w:t>
      </w:r>
      <w:hyperlink r:id="rId1" w:history="1">
        <w:r w:rsidR="0096246B" w:rsidRPr="003A3913">
          <w:rPr>
            <w:rStyle w:val="Hyperlink"/>
            <w:rFonts w:ascii="Aptos Display" w:hAnsi="Aptos Display"/>
            <w:color w:val="808080" w:themeColor="background1" w:themeShade="80"/>
            <w:sz w:val="16"/>
            <w:szCs w:val="16"/>
          </w:rPr>
          <w:t>https://www.weps.org</w:t>
        </w:r>
      </w:hyperlink>
    </w:p>
  </w:footnote>
  <w:footnote w:id="38">
    <w:p w14:paraId="70EB83C9" w14:textId="55A7F547" w:rsidR="00043EC1" w:rsidRPr="003A3913" w:rsidRDefault="00043EC1">
      <w:pPr>
        <w:pStyle w:val="FootnoteText"/>
        <w:rPr>
          <w:sz w:val="16"/>
          <w:szCs w:val="16"/>
          <w:lang w:val="es-MX"/>
        </w:rPr>
      </w:pPr>
      <w:r w:rsidRPr="003A3913">
        <w:rPr>
          <w:rStyle w:val="FootnoteReference"/>
          <w:sz w:val="16"/>
          <w:szCs w:val="16"/>
        </w:rPr>
        <w:footnoteRef/>
      </w:r>
      <w:r w:rsidRPr="003A3913">
        <w:rPr>
          <w:rStyle w:val="FootnoteReference"/>
          <w:sz w:val="16"/>
          <w:szCs w:val="16"/>
          <w:vertAlign w:val="baseline"/>
        </w:rPr>
        <w:t xml:space="preserve"> </w:t>
      </w:r>
      <w:r w:rsidR="00B27FCB" w:rsidRPr="003A3913">
        <w:rPr>
          <w:rStyle w:val="FootnoteReference"/>
          <w:rFonts w:ascii="Aptos Display" w:hAnsi="Aptos Display"/>
          <w:color w:val="808080" w:themeColor="background1" w:themeShade="80"/>
          <w:sz w:val="16"/>
          <w:szCs w:val="16"/>
          <w:vertAlign w:val="baseline"/>
        </w:rPr>
        <w:t>Organización Internacional del Trabajo (OIT). (2024). Panorama Laboral 2024: América Latina y el Caribe. OIT.</w:t>
      </w:r>
    </w:p>
  </w:footnote>
  <w:footnote w:id="39">
    <w:p w14:paraId="0E034AA6" w14:textId="3D91A40E" w:rsidR="00B12F97" w:rsidRPr="003A3913" w:rsidRDefault="00B12F97">
      <w:pPr>
        <w:pStyle w:val="FootnoteText"/>
        <w:rPr>
          <w:rFonts w:ascii="Aptos Display" w:hAnsi="Aptos Display"/>
          <w:color w:val="808080" w:themeColor="background1" w:themeShade="80"/>
          <w:lang w:val="es-MX"/>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rPr>
        <w:t xml:space="preserve"> </w:t>
      </w:r>
      <w:r w:rsidR="00905B1F" w:rsidRPr="003A3913">
        <w:rPr>
          <w:rFonts w:ascii="Aptos Display" w:hAnsi="Aptos Display"/>
          <w:color w:val="808080" w:themeColor="background1" w:themeShade="80"/>
          <w:sz w:val="16"/>
          <w:szCs w:val="16"/>
        </w:rPr>
        <w:t>ONU Mujeres Ecuador. (2024). Fortalecimiento de identidades de mujeres rurales en el Distrito Metropolitano de Quito: Informe Final. Quito: ONU Mujeres Ecuador.</w:t>
      </w:r>
    </w:p>
  </w:footnote>
  <w:footnote w:id="40">
    <w:p w14:paraId="7818BEF1" w14:textId="66E577E7" w:rsidR="00497EB2" w:rsidRPr="003A3913" w:rsidRDefault="00497EB2">
      <w:pPr>
        <w:pStyle w:val="FootnoteText"/>
        <w:rPr>
          <w:rFonts w:ascii="Aptos Display" w:hAnsi="Aptos Display"/>
          <w:color w:val="808080" w:themeColor="background1" w:themeShade="80"/>
          <w:lang w:val="es-MX"/>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rPr>
        <w:t xml:space="preserve"> Instituto</w:t>
      </w:r>
      <w:r w:rsidRPr="003A3913">
        <w:rPr>
          <w:rFonts w:ascii="Aptos Display" w:hAnsi="Aptos Display"/>
          <w:color w:val="808080" w:themeColor="background1" w:themeShade="80"/>
          <w:sz w:val="14"/>
          <w:szCs w:val="14"/>
        </w:rPr>
        <w:t xml:space="preserve"> </w:t>
      </w:r>
      <w:r w:rsidRPr="003A3913">
        <w:rPr>
          <w:rFonts w:ascii="Aptos Display" w:hAnsi="Aptos Display"/>
          <w:color w:val="808080" w:themeColor="background1" w:themeShade="80"/>
          <w:sz w:val="16"/>
          <w:szCs w:val="16"/>
        </w:rPr>
        <w:t>Nacional de Estadística y Censos (INEC). (2024). Registro Estadístico de Empleo en la Seguridad Social (REESS), febrero 2024. Quito: INEC.</w:t>
      </w:r>
    </w:p>
  </w:footnote>
  <w:footnote w:id="41">
    <w:p w14:paraId="1D539022" w14:textId="342A3F73" w:rsidR="00497EB2" w:rsidRPr="003A3913" w:rsidRDefault="00497EB2">
      <w:pPr>
        <w:pStyle w:val="FootnoteText"/>
        <w:rPr>
          <w:lang w:val="en-US"/>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rPr>
        <w:t xml:space="preserve"> </w:t>
      </w:r>
      <w:r w:rsidR="00786C58" w:rsidRPr="003A3913">
        <w:rPr>
          <w:rFonts w:ascii="Aptos Display" w:hAnsi="Aptos Display"/>
          <w:color w:val="808080" w:themeColor="background1" w:themeShade="80"/>
          <w:sz w:val="16"/>
          <w:szCs w:val="16"/>
        </w:rPr>
        <w:t xml:space="preserve">Instituto Nacional de Estadística y Censos (INEC). (2024). Encuesta Nacional de Empleo, Desempleo y Subempleo (ENEMDU), diciembre 2023. </w:t>
      </w:r>
      <w:r w:rsidR="00786C58" w:rsidRPr="003A3913">
        <w:rPr>
          <w:rFonts w:ascii="Aptos Display" w:hAnsi="Aptos Display"/>
          <w:color w:val="808080" w:themeColor="background1" w:themeShade="80"/>
          <w:sz w:val="16"/>
          <w:szCs w:val="16"/>
          <w:lang w:val="en-US"/>
        </w:rPr>
        <w:t>Quito: INEC.</w:t>
      </w:r>
    </w:p>
  </w:footnote>
  <w:footnote w:id="42">
    <w:p w14:paraId="00AEC282" w14:textId="678439DD" w:rsidR="005158B4" w:rsidRPr="003A3913" w:rsidRDefault="005158B4">
      <w:pPr>
        <w:pStyle w:val="FootnoteText"/>
        <w:rPr>
          <w:rFonts w:ascii="Aptos Display" w:hAnsi="Aptos Display"/>
          <w:color w:val="808080" w:themeColor="background1" w:themeShade="80"/>
          <w:sz w:val="16"/>
          <w:szCs w:val="16"/>
          <w:lang w:val="es-MX"/>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lang w:val="es-MX"/>
        </w:rPr>
        <w:t xml:space="preserve"> </w:t>
      </w:r>
      <w:r w:rsidR="00D262CD" w:rsidRPr="003A3913">
        <w:rPr>
          <w:rFonts w:ascii="Aptos Display" w:hAnsi="Aptos Display"/>
          <w:color w:val="808080" w:themeColor="background1" w:themeShade="80"/>
          <w:sz w:val="16"/>
          <w:szCs w:val="16"/>
        </w:rPr>
        <w:t xml:space="preserve">ONU Mujeres Ecuador, </w:t>
      </w:r>
      <w:r w:rsidR="00D262CD" w:rsidRPr="003A3913">
        <w:rPr>
          <w:rFonts w:ascii="Aptos Display" w:hAnsi="Aptos Display"/>
          <w:i/>
          <w:iCs/>
          <w:color w:val="808080" w:themeColor="background1" w:themeShade="80"/>
          <w:sz w:val="16"/>
          <w:szCs w:val="16"/>
        </w:rPr>
        <w:t>Reporte del Plan de Trabajo 2024</w:t>
      </w:r>
      <w:r w:rsidR="00D262CD" w:rsidRPr="003A3913">
        <w:rPr>
          <w:rFonts w:ascii="Aptos Display" w:hAnsi="Aptos Display"/>
          <w:color w:val="808080" w:themeColor="background1" w:themeShade="80"/>
          <w:sz w:val="16"/>
          <w:szCs w:val="16"/>
        </w:rPr>
        <w:t>, indicador SP_O_4G.</w:t>
      </w:r>
    </w:p>
  </w:footnote>
  <w:footnote w:id="43">
    <w:p w14:paraId="31F6CBFB" w14:textId="56ACCBB2" w:rsidR="00711460" w:rsidRPr="003A3913" w:rsidRDefault="00711460">
      <w:pPr>
        <w:pStyle w:val="FootnoteText"/>
        <w:rPr>
          <w:lang w:val="es-MX"/>
        </w:rPr>
      </w:pPr>
      <w:r w:rsidRPr="003A3913">
        <w:rPr>
          <w:rStyle w:val="FootnoteReference"/>
          <w:rFonts w:ascii="Aptos Display" w:hAnsi="Aptos Display"/>
          <w:color w:val="808080" w:themeColor="background1" w:themeShade="80"/>
          <w:sz w:val="16"/>
          <w:szCs w:val="16"/>
        </w:rPr>
        <w:footnoteRef/>
      </w:r>
      <w:r w:rsidRPr="003A3913">
        <w:rPr>
          <w:rFonts w:ascii="Aptos Display" w:hAnsi="Aptos Display"/>
          <w:color w:val="808080" w:themeColor="background1" w:themeShade="80"/>
          <w:sz w:val="16"/>
          <w:szCs w:val="16"/>
          <w:lang w:val="es-MX"/>
        </w:rPr>
        <w:t xml:space="preserve"> </w:t>
      </w:r>
      <w:r w:rsidR="00D262CD" w:rsidRPr="003A3913">
        <w:rPr>
          <w:rFonts w:ascii="Aptos Display" w:hAnsi="Aptos Display"/>
          <w:color w:val="808080" w:themeColor="background1" w:themeShade="80"/>
          <w:sz w:val="16"/>
          <w:szCs w:val="16"/>
        </w:rPr>
        <w:t xml:space="preserve">ONU Mujeres Ecuador, </w:t>
      </w:r>
      <w:r w:rsidR="00D262CD" w:rsidRPr="003A3913">
        <w:rPr>
          <w:rFonts w:ascii="Aptos Display" w:hAnsi="Aptos Display"/>
          <w:i/>
          <w:iCs/>
          <w:color w:val="808080" w:themeColor="background1" w:themeShade="80"/>
          <w:sz w:val="16"/>
          <w:szCs w:val="16"/>
        </w:rPr>
        <w:t>Reporte del Plan de Trabajo 2025, proyecto Fortalecimiento de la Gestión Pública Estatal para Garantizar los Derechos Económicos y una Vida Libre de Violencia</w:t>
      </w:r>
      <w:r w:rsidR="00D262CD" w:rsidRPr="003A3913">
        <w:rPr>
          <w:rFonts w:ascii="Aptos Display" w:hAnsi="Aptos Display"/>
          <w:color w:val="808080" w:themeColor="background1" w:themeShade="80"/>
          <w:sz w:val="16"/>
          <w:szCs w:val="16"/>
        </w:rPr>
        <w:t>; Producto 10, Informe Final PUCE.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0580E" w14:textId="11DE1226" w:rsidR="006504F6" w:rsidRPr="00F754EF" w:rsidRDefault="006504F6" w:rsidP="00BD1B95">
    <w:pPr>
      <w:pStyle w:val="Header"/>
    </w:pPr>
    <w:r w:rsidRPr="00F754EF">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C7187" w14:textId="6F4FC64B" w:rsidR="006504F6" w:rsidRPr="00F754EF" w:rsidRDefault="006504F6" w:rsidP="00BD1B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68D82" w14:textId="32594D54" w:rsidR="006504F6" w:rsidRPr="00F754EF" w:rsidRDefault="006504F6" w:rsidP="00BD1B9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6873F" w14:textId="09071225" w:rsidR="006504F6" w:rsidRPr="00F754EF" w:rsidRDefault="006504F6" w:rsidP="00BD1B9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6F168" w14:textId="77777777" w:rsidR="00B443A9" w:rsidRPr="00F754EF" w:rsidRDefault="00B443A9" w:rsidP="00BD1B95">
    <w:pPr>
      <w:pStyle w:val="Header"/>
    </w:pPr>
  </w:p>
  <w:p w14:paraId="40580CE1" w14:textId="77777777" w:rsidR="00B443A9" w:rsidRPr="00F754EF" w:rsidRDefault="00B443A9" w:rsidP="00BD1B95"/>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C0AFC" w14:textId="77777777" w:rsidR="00B443A9" w:rsidRPr="00F754EF" w:rsidRDefault="00B443A9" w:rsidP="00BD1B95">
    <w:pPr>
      <w:pStyle w:val="Header"/>
    </w:pPr>
    <w:r w:rsidRPr="00F754EF">
      <w:rPr>
        <w:noProof/>
      </w:rPr>
      <mc:AlternateContent>
        <mc:Choice Requires="wps">
          <w:drawing>
            <wp:anchor distT="0" distB="0" distL="114300" distR="114300" simplePos="0" relativeHeight="251658240" behindDoc="0" locked="0" layoutInCell="1" allowOverlap="1" wp14:anchorId="0001FF01" wp14:editId="67A06CF4">
              <wp:simplePos x="0" y="0"/>
              <wp:positionH relativeFrom="column">
                <wp:posOffset>-943604</wp:posOffset>
              </wp:positionH>
              <wp:positionV relativeFrom="paragraph">
                <wp:posOffset>-481369</wp:posOffset>
              </wp:positionV>
              <wp:extent cx="10533888" cy="500061"/>
              <wp:effectExtent l="0" t="0" r="1270" b="0"/>
              <wp:wrapNone/>
              <wp:docPr id="1313393436" name="Text Box 1313393436"/>
              <wp:cNvGraphicFramePr/>
              <a:graphic xmlns:a="http://schemas.openxmlformats.org/drawingml/2006/main">
                <a:graphicData uri="http://schemas.microsoft.com/office/word/2010/wordprocessingShape">
                  <wps:wsp>
                    <wps:cNvSpPr txBox="1"/>
                    <wps:spPr>
                      <a:xfrm>
                        <a:off x="0" y="0"/>
                        <a:ext cx="10533888" cy="500061"/>
                      </a:xfrm>
                      <a:prstGeom prst="rect">
                        <a:avLst/>
                      </a:prstGeom>
                      <a:solidFill>
                        <a:srgbClr val="D31145"/>
                      </a:solidFill>
                      <a:ln w="6350">
                        <a:noFill/>
                      </a:ln>
                    </wps:spPr>
                    <wps:txbx>
                      <w:txbxContent>
                        <w:p w14:paraId="07C35A27" w14:textId="77777777" w:rsidR="00B443A9" w:rsidRPr="00F754EF" w:rsidRDefault="00B443A9" w:rsidP="006B0587">
                          <w:pPr>
                            <w:spacing w:after="0"/>
                            <w:ind w:left="1354"/>
                            <w:rPr>
                              <w:color w:val="FFFFFF" w:themeColor="background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01FF01" id="_x0000_t202" coordsize="21600,21600" o:spt="202" path="m,l,21600r21600,l21600,xe">
              <v:stroke joinstyle="miter"/>
              <v:path gradientshapeok="t" o:connecttype="rect"/>
            </v:shapetype>
            <v:shape id="Text Box 1313393436" o:spid="_x0000_s1030" type="#_x0000_t202" style="position:absolute;left:0;text-align:left;margin-left:-74.3pt;margin-top:-37.9pt;width:829.45pt;height:39.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" fillcolor="#d31145" stroked="f" strokeweight=".5pt">
              <v:textbox>
                <w:txbxContent>
                  <w:p w14:paraId="07C35A27" w14:textId="77777777" w:rsidR="00B443A9" w:rsidRPr="00F754EF" w:rsidRDefault="00B443A9" w:rsidP="006B0587">
                    <w:pPr>
                      <w:spacing w:after="0"/>
                      <w:ind w:left="1354"/>
                      <w:rPr>
                        <w:color w:val="FFFFFF" w:themeColor="background1"/>
                        <w:sz w:val="20"/>
                        <w:szCs w:val="20"/>
                      </w:rPr>
                    </w:pPr>
                  </w:p>
                </w:txbxContent>
              </v:textbox>
            </v:shape>
          </w:pict>
        </mc:Fallback>
      </mc:AlternateContent>
    </w:r>
  </w:p>
  <w:p w14:paraId="4BFE5EB5" w14:textId="77777777" w:rsidR="00B443A9" w:rsidRPr="00F754EF" w:rsidRDefault="00B443A9" w:rsidP="00BD1B95"/>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06EF5" w14:textId="77777777" w:rsidR="00B443A9" w:rsidRPr="00F754EF" w:rsidRDefault="00B443A9" w:rsidP="00BD1B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426D8"/>
    <w:multiLevelType w:val="hybridMultilevel"/>
    <w:tmpl w:val="EB7A2B88"/>
    <w:lvl w:ilvl="0" w:tplc="82DA6FBE">
      <w:start w:val="1"/>
      <w:numFmt w:val="bullet"/>
      <w:pStyle w:val="ListParagraph"/>
      <w:lvlText w:val=""/>
      <w:lvlJc w:val="left"/>
      <w:pPr>
        <w:ind w:left="360" w:hanging="360"/>
      </w:pPr>
      <w:rPr>
        <w:rFonts w:ascii="Symbol" w:hAnsi="Symbol" w:hint="default"/>
        <w:color w:val="009DD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01B1F76"/>
    <w:multiLevelType w:val="multilevel"/>
    <w:tmpl w:val="96D01FD4"/>
    <w:styleLink w:val="Listaactual1"/>
    <w:lvl w:ilvl="0">
      <w:numFmt w:val="bullet"/>
      <w:lvlText w:val="•"/>
      <w:lvlJc w:val="left"/>
      <w:pPr>
        <w:ind w:left="720" w:hanging="360"/>
      </w:pPr>
      <w:rPr>
        <w:rFonts w:ascii="The Sans Light-" w:eastAsia="Tahoma" w:hAnsi="The Sans Light-" w:cs="Tahoma"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05B2F48"/>
    <w:multiLevelType w:val="multilevel"/>
    <w:tmpl w:val="223A9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7A04AB"/>
    <w:multiLevelType w:val="multilevel"/>
    <w:tmpl w:val="A7C8205A"/>
    <w:styleLink w:val="CurrentList1"/>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B5E6165"/>
    <w:multiLevelType w:val="hybridMultilevel"/>
    <w:tmpl w:val="41CA3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F976C9"/>
    <w:multiLevelType w:val="hybridMultilevel"/>
    <w:tmpl w:val="B5B8DD0E"/>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6325DC7"/>
    <w:multiLevelType w:val="multilevel"/>
    <w:tmpl w:val="E9AC1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EB59BB"/>
    <w:multiLevelType w:val="multilevel"/>
    <w:tmpl w:val="5462B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B77BF6"/>
    <w:multiLevelType w:val="multilevel"/>
    <w:tmpl w:val="A9464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0"/>
        </w:tabs>
        <w:ind w:left="0" w:hanging="360"/>
      </w:pPr>
      <w:rPr>
        <w:rFonts w:ascii="Courier New" w:hAnsi="Courier New" w:hint="default"/>
        <w:sz w:val="20"/>
      </w:rPr>
    </w:lvl>
    <w:lvl w:ilvl="2" w:tentative="1">
      <w:start w:val="1"/>
      <w:numFmt w:val="bullet"/>
      <w:lvlText w:val=""/>
      <w:lvlJc w:val="left"/>
      <w:pPr>
        <w:tabs>
          <w:tab w:val="num" w:pos="720"/>
        </w:tabs>
        <w:ind w:left="720" w:hanging="360"/>
      </w:pPr>
      <w:rPr>
        <w:rFonts w:ascii="Wingdings" w:hAnsi="Wingdings" w:hint="default"/>
        <w:sz w:val="20"/>
      </w:rPr>
    </w:lvl>
    <w:lvl w:ilvl="3" w:tentative="1">
      <w:start w:val="1"/>
      <w:numFmt w:val="bullet"/>
      <w:lvlText w:val=""/>
      <w:lvlJc w:val="left"/>
      <w:pPr>
        <w:tabs>
          <w:tab w:val="num" w:pos="1440"/>
        </w:tabs>
        <w:ind w:left="1440" w:hanging="360"/>
      </w:pPr>
      <w:rPr>
        <w:rFonts w:ascii="Wingdings" w:hAnsi="Wingdings" w:hint="default"/>
        <w:sz w:val="20"/>
      </w:rPr>
    </w:lvl>
    <w:lvl w:ilvl="4" w:tentative="1">
      <w:start w:val="1"/>
      <w:numFmt w:val="bullet"/>
      <w:lvlText w:val=""/>
      <w:lvlJc w:val="left"/>
      <w:pPr>
        <w:tabs>
          <w:tab w:val="num" w:pos="2160"/>
        </w:tabs>
        <w:ind w:left="2160" w:hanging="360"/>
      </w:pPr>
      <w:rPr>
        <w:rFonts w:ascii="Wingdings" w:hAnsi="Wingdings" w:hint="default"/>
        <w:sz w:val="20"/>
      </w:rPr>
    </w:lvl>
    <w:lvl w:ilvl="5" w:tentative="1">
      <w:start w:val="1"/>
      <w:numFmt w:val="bullet"/>
      <w:lvlText w:val=""/>
      <w:lvlJc w:val="left"/>
      <w:pPr>
        <w:tabs>
          <w:tab w:val="num" w:pos="2880"/>
        </w:tabs>
        <w:ind w:left="2880" w:hanging="360"/>
      </w:pPr>
      <w:rPr>
        <w:rFonts w:ascii="Wingdings" w:hAnsi="Wingdings" w:hint="default"/>
        <w:sz w:val="20"/>
      </w:rPr>
    </w:lvl>
    <w:lvl w:ilvl="6" w:tentative="1">
      <w:start w:val="1"/>
      <w:numFmt w:val="bullet"/>
      <w:lvlText w:val=""/>
      <w:lvlJc w:val="left"/>
      <w:pPr>
        <w:tabs>
          <w:tab w:val="num" w:pos="3600"/>
        </w:tabs>
        <w:ind w:left="3600" w:hanging="360"/>
      </w:pPr>
      <w:rPr>
        <w:rFonts w:ascii="Wingdings" w:hAnsi="Wingdings" w:hint="default"/>
        <w:sz w:val="20"/>
      </w:rPr>
    </w:lvl>
    <w:lvl w:ilvl="7" w:tentative="1">
      <w:start w:val="1"/>
      <w:numFmt w:val="bullet"/>
      <w:lvlText w:val=""/>
      <w:lvlJc w:val="left"/>
      <w:pPr>
        <w:tabs>
          <w:tab w:val="num" w:pos="4320"/>
        </w:tabs>
        <w:ind w:left="4320" w:hanging="360"/>
      </w:pPr>
      <w:rPr>
        <w:rFonts w:ascii="Wingdings" w:hAnsi="Wingdings" w:hint="default"/>
        <w:sz w:val="20"/>
      </w:rPr>
    </w:lvl>
    <w:lvl w:ilvl="8" w:tentative="1">
      <w:start w:val="1"/>
      <w:numFmt w:val="bullet"/>
      <w:lvlText w:val=""/>
      <w:lvlJc w:val="left"/>
      <w:pPr>
        <w:tabs>
          <w:tab w:val="num" w:pos="5040"/>
        </w:tabs>
        <w:ind w:left="5040" w:hanging="360"/>
      </w:pPr>
      <w:rPr>
        <w:rFonts w:ascii="Wingdings" w:hAnsi="Wingdings" w:hint="default"/>
        <w:sz w:val="20"/>
      </w:rPr>
    </w:lvl>
  </w:abstractNum>
  <w:abstractNum w:abstractNumId="9" w15:restartNumberingAfterBreak="0">
    <w:nsid w:val="4F7D3355"/>
    <w:multiLevelType w:val="multilevel"/>
    <w:tmpl w:val="BEA0B512"/>
    <w:styleLink w:val="CurrentList2"/>
    <w:lvl w:ilvl="0">
      <w:start w:val="1"/>
      <w:numFmt w:val="bullet"/>
      <w:lvlText w:val="o"/>
      <w:lvlJc w:val="left"/>
      <w:pPr>
        <w:ind w:left="720" w:hanging="360"/>
      </w:pPr>
      <w:rPr>
        <w:rFonts w:ascii="Courier New" w:hAnsi="Courier New"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5ACE6896"/>
    <w:multiLevelType w:val="multilevel"/>
    <w:tmpl w:val="13949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053C60"/>
    <w:multiLevelType w:val="multilevel"/>
    <w:tmpl w:val="AADAD866"/>
    <w:styleLink w:val="CurrentList8"/>
    <w:lvl w:ilvl="0">
      <w:start w:val="1"/>
      <w:numFmt w:val="decimal"/>
      <w:lvlText w:val="%1."/>
      <w:lvlJc w:val="left"/>
      <w:pPr>
        <w:ind w:left="360" w:hanging="360"/>
      </w:pPr>
      <w:rPr>
        <w:b/>
        <w:bCs/>
        <w:i w:val="0"/>
        <w:iCs w:val="0"/>
      </w:rPr>
    </w:lvl>
    <w:lvl w:ilvl="1">
      <w:start w:val="2"/>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num w:numId="1" w16cid:durableId="179861728">
    <w:abstractNumId w:val="0"/>
  </w:num>
  <w:num w:numId="2" w16cid:durableId="1056199189">
    <w:abstractNumId w:val="3"/>
  </w:num>
  <w:num w:numId="3" w16cid:durableId="1936476853">
    <w:abstractNumId w:val="9"/>
  </w:num>
  <w:num w:numId="4" w16cid:durableId="962006570">
    <w:abstractNumId w:val="1"/>
  </w:num>
  <w:num w:numId="5" w16cid:durableId="1627078821">
    <w:abstractNumId w:val="11"/>
  </w:num>
  <w:num w:numId="6" w16cid:durableId="25638898">
    <w:abstractNumId w:val="10"/>
  </w:num>
  <w:num w:numId="7" w16cid:durableId="1279483746">
    <w:abstractNumId w:val="2"/>
  </w:num>
  <w:num w:numId="8" w16cid:durableId="1815751399">
    <w:abstractNumId w:val="6"/>
  </w:num>
  <w:num w:numId="9" w16cid:durableId="868253573">
    <w:abstractNumId w:val="8"/>
  </w:num>
  <w:num w:numId="10" w16cid:durableId="1104619739">
    <w:abstractNumId w:val="7"/>
  </w:num>
  <w:num w:numId="11" w16cid:durableId="1040008922">
    <w:abstractNumId w:val="5"/>
  </w:num>
  <w:num w:numId="12" w16cid:durableId="979074637">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IwMDI1NDI2MDQ2NDJV0lEKTi0uzszPAykwNKwFAPi7m74tAAAA"/>
  </w:docVars>
  <w:rsids>
    <w:rsidRoot w:val="00AB60C3"/>
    <w:rsid w:val="00000070"/>
    <w:rsid w:val="000003C0"/>
    <w:rsid w:val="00000411"/>
    <w:rsid w:val="0000043E"/>
    <w:rsid w:val="000006DA"/>
    <w:rsid w:val="0000072C"/>
    <w:rsid w:val="00000A30"/>
    <w:rsid w:val="00000B85"/>
    <w:rsid w:val="00000BD6"/>
    <w:rsid w:val="00000C1A"/>
    <w:rsid w:val="00000DD3"/>
    <w:rsid w:val="00000E08"/>
    <w:rsid w:val="00000E72"/>
    <w:rsid w:val="000011BB"/>
    <w:rsid w:val="00001210"/>
    <w:rsid w:val="000013E3"/>
    <w:rsid w:val="00001460"/>
    <w:rsid w:val="0000146D"/>
    <w:rsid w:val="000017EF"/>
    <w:rsid w:val="00001854"/>
    <w:rsid w:val="00001A74"/>
    <w:rsid w:val="00001A7D"/>
    <w:rsid w:val="00001CCB"/>
    <w:rsid w:val="00001FA0"/>
    <w:rsid w:val="00002060"/>
    <w:rsid w:val="00002203"/>
    <w:rsid w:val="00002349"/>
    <w:rsid w:val="00002563"/>
    <w:rsid w:val="000025A9"/>
    <w:rsid w:val="0000291C"/>
    <w:rsid w:val="0000296A"/>
    <w:rsid w:val="00002AC2"/>
    <w:rsid w:val="00002AE1"/>
    <w:rsid w:val="00002D42"/>
    <w:rsid w:val="00002D56"/>
    <w:rsid w:val="00003101"/>
    <w:rsid w:val="000032C6"/>
    <w:rsid w:val="00003443"/>
    <w:rsid w:val="0000351C"/>
    <w:rsid w:val="00003609"/>
    <w:rsid w:val="00003786"/>
    <w:rsid w:val="000039A0"/>
    <w:rsid w:val="00003B66"/>
    <w:rsid w:val="00003C07"/>
    <w:rsid w:val="00003D1D"/>
    <w:rsid w:val="00003DC7"/>
    <w:rsid w:val="00003DE5"/>
    <w:rsid w:val="00003F33"/>
    <w:rsid w:val="00004184"/>
    <w:rsid w:val="0000422E"/>
    <w:rsid w:val="0000444D"/>
    <w:rsid w:val="00004587"/>
    <w:rsid w:val="00004613"/>
    <w:rsid w:val="00004615"/>
    <w:rsid w:val="00004624"/>
    <w:rsid w:val="00004827"/>
    <w:rsid w:val="00004AA1"/>
    <w:rsid w:val="00004F2E"/>
    <w:rsid w:val="00004F4D"/>
    <w:rsid w:val="00004FBD"/>
    <w:rsid w:val="0000515D"/>
    <w:rsid w:val="00005708"/>
    <w:rsid w:val="00005853"/>
    <w:rsid w:val="00005962"/>
    <w:rsid w:val="00005AD0"/>
    <w:rsid w:val="00005B55"/>
    <w:rsid w:val="00005EB0"/>
    <w:rsid w:val="000061A1"/>
    <w:rsid w:val="000063B3"/>
    <w:rsid w:val="00006483"/>
    <w:rsid w:val="00006609"/>
    <w:rsid w:val="0000679D"/>
    <w:rsid w:val="000069C5"/>
    <w:rsid w:val="00006ABE"/>
    <w:rsid w:val="00006AE3"/>
    <w:rsid w:val="00006F4A"/>
    <w:rsid w:val="00007096"/>
    <w:rsid w:val="00007101"/>
    <w:rsid w:val="00007457"/>
    <w:rsid w:val="00007479"/>
    <w:rsid w:val="0000755F"/>
    <w:rsid w:val="000076D9"/>
    <w:rsid w:val="00007725"/>
    <w:rsid w:val="000077E9"/>
    <w:rsid w:val="00007A29"/>
    <w:rsid w:val="00007EB6"/>
    <w:rsid w:val="00007EDC"/>
    <w:rsid w:val="00007FC6"/>
    <w:rsid w:val="00010071"/>
    <w:rsid w:val="000100DD"/>
    <w:rsid w:val="00010104"/>
    <w:rsid w:val="000101D7"/>
    <w:rsid w:val="0001094B"/>
    <w:rsid w:val="00010B19"/>
    <w:rsid w:val="00010BD8"/>
    <w:rsid w:val="00010DC3"/>
    <w:rsid w:val="00011024"/>
    <w:rsid w:val="00011076"/>
    <w:rsid w:val="00011200"/>
    <w:rsid w:val="00011545"/>
    <w:rsid w:val="00011585"/>
    <w:rsid w:val="00011600"/>
    <w:rsid w:val="0001172C"/>
    <w:rsid w:val="000117F9"/>
    <w:rsid w:val="00011855"/>
    <w:rsid w:val="0001190D"/>
    <w:rsid w:val="00011AB0"/>
    <w:rsid w:val="00011CB1"/>
    <w:rsid w:val="00011D2E"/>
    <w:rsid w:val="00011ECA"/>
    <w:rsid w:val="0001224C"/>
    <w:rsid w:val="0001228F"/>
    <w:rsid w:val="00012299"/>
    <w:rsid w:val="0001246E"/>
    <w:rsid w:val="0001298F"/>
    <w:rsid w:val="00012A0E"/>
    <w:rsid w:val="00012B0D"/>
    <w:rsid w:val="00012CA6"/>
    <w:rsid w:val="00012CF2"/>
    <w:rsid w:val="000134FB"/>
    <w:rsid w:val="000135AB"/>
    <w:rsid w:val="0001368B"/>
    <w:rsid w:val="00013873"/>
    <w:rsid w:val="000138F6"/>
    <w:rsid w:val="00013944"/>
    <w:rsid w:val="000139F2"/>
    <w:rsid w:val="00013AFB"/>
    <w:rsid w:val="00013B53"/>
    <w:rsid w:val="00013E47"/>
    <w:rsid w:val="00013FDB"/>
    <w:rsid w:val="00014011"/>
    <w:rsid w:val="0001418B"/>
    <w:rsid w:val="000141F0"/>
    <w:rsid w:val="000143A6"/>
    <w:rsid w:val="00014435"/>
    <w:rsid w:val="00014512"/>
    <w:rsid w:val="00014738"/>
    <w:rsid w:val="0001483D"/>
    <w:rsid w:val="0001486F"/>
    <w:rsid w:val="000149E7"/>
    <w:rsid w:val="00014B3E"/>
    <w:rsid w:val="00014BB0"/>
    <w:rsid w:val="00014C9D"/>
    <w:rsid w:val="00014DAE"/>
    <w:rsid w:val="000150DD"/>
    <w:rsid w:val="00015385"/>
    <w:rsid w:val="000153AA"/>
    <w:rsid w:val="00015420"/>
    <w:rsid w:val="00015756"/>
    <w:rsid w:val="000157D0"/>
    <w:rsid w:val="00015C11"/>
    <w:rsid w:val="00015CC3"/>
    <w:rsid w:val="00015DD1"/>
    <w:rsid w:val="00015E1F"/>
    <w:rsid w:val="0001619B"/>
    <w:rsid w:val="00016456"/>
    <w:rsid w:val="000167E7"/>
    <w:rsid w:val="00016A18"/>
    <w:rsid w:val="00016CEE"/>
    <w:rsid w:val="00016ED9"/>
    <w:rsid w:val="00017059"/>
    <w:rsid w:val="000171B8"/>
    <w:rsid w:val="0001722D"/>
    <w:rsid w:val="0001741D"/>
    <w:rsid w:val="0001754C"/>
    <w:rsid w:val="00017751"/>
    <w:rsid w:val="00017853"/>
    <w:rsid w:val="000179C0"/>
    <w:rsid w:val="000179E4"/>
    <w:rsid w:val="00017C8C"/>
    <w:rsid w:val="00017E22"/>
    <w:rsid w:val="00017E68"/>
    <w:rsid w:val="00017EA0"/>
    <w:rsid w:val="000200E1"/>
    <w:rsid w:val="00020364"/>
    <w:rsid w:val="00020577"/>
    <w:rsid w:val="000208C0"/>
    <w:rsid w:val="0002098A"/>
    <w:rsid w:val="00020A03"/>
    <w:rsid w:val="00020CA6"/>
    <w:rsid w:val="00021047"/>
    <w:rsid w:val="00021236"/>
    <w:rsid w:val="00021419"/>
    <w:rsid w:val="00021527"/>
    <w:rsid w:val="000215E8"/>
    <w:rsid w:val="00021654"/>
    <w:rsid w:val="000219D6"/>
    <w:rsid w:val="00021A69"/>
    <w:rsid w:val="00021BC7"/>
    <w:rsid w:val="00021D29"/>
    <w:rsid w:val="00021D90"/>
    <w:rsid w:val="00021D9D"/>
    <w:rsid w:val="0002206B"/>
    <w:rsid w:val="00022387"/>
    <w:rsid w:val="00022595"/>
    <w:rsid w:val="000225EA"/>
    <w:rsid w:val="00022A4E"/>
    <w:rsid w:val="00022CCC"/>
    <w:rsid w:val="00022E4D"/>
    <w:rsid w:val="0002363F"/>
    <w:rsid w:val="0002364A"/>
    <w:rsid w:val="000237D5"/>
    <w:rsid w:val="00023BBB"/>
    <w:rsid w:val="00023C1E"/>
    <w:rsid w:val="00023E32"/>
    <w:rsid w:val="00023E94"/>
    <w:rsid w:val="00023F0A"/>
    <w:rsid w:val="00023FE3"/>
    <w:rsid w:val="0002401D"/>
    <w:rsid w:val="00024241"/>
    <w:rsid w:val="00024638"/>
    <w:rsid w:val="000246B5"/>
    <w:rsid w:val="00024A33"/>
    <w:rsid w:val="00024A8E"/>
    <w:rsid w:val="00024DF4"/>
    <w:rsid w:val="00025235"/>
    <w:rsid w:val="00025651"/>
    <w:rsid w:val="00025D68"/>
    <w:rsid w:val="00025D85"/>
    <w:rsid w:val="00025E59"/>
    <w:rsid w:val="00025E74"/>
    <w:rsid w:val="00025EAC"/>
    <w:rsid w:val="00025EDE"/>
    <w:rsid w:val="0002604A"/>
    <w:rsid w:val="00026159"/>
    <w:rsid w:val="0002615F"/>
    <w:rsid w:val="00026437"/>
    <w:rsid w:val="0002645E"/>
    <w:rsid w:val="000264EC"/>
    <w:rsid w:val="0002650F"/>
    <w:rsid w:val="000265B8"/>
    <w:rsid w:val="0002664F"/>
    <w:rsid w:val="000267F6"/>
    <w:rsid w:val="00026822"/>
    <w:rsid w:val="0002691F"/>
    <w:rsid w:val="00026A0C"/>
    <w:rsid w:val="00026CF4"/>
    <w:rsid w:val="00026D60"/>
    <w:rsid w:val="00026FAF"/>
    <w:rsid w:val="000270E9"/>
    <w:rsid w:val="00027251"/>
    <w:rsid w:val="000272AC"/>
    <w:rsid w:val="00027422"/>
    <w:rsid w:val="000275B1"/>
    <w:rsid w:val="00027736"/>
    <w:rsid w:val="000277AD"/>
    <w:rsid w:val="00027883"/>
    <w:rsid w:val="00027A03"/>
    <w:rsid w:val="00027B7B"/>
    <w:rsid w:val="00027E8D"/>
    <w:rsid w:val="00027F20"/>
    <w:rsid w:val="00030500"/>
    <w:rsid w:val="00030615"/>
    <w:rsid w:val="00030859"/>
    <w:rsid w:val="00030A75"/>
    <w:rsid w:val="00030B48"/>
    <w:rsid w:val="00030DE0"/>
    <w:rsid w:val="00030F5A"/>
    <w:rsid w:val="0003118C"/>
    <w:rsid w:val="0003131A"/>
    <w:rsid w:val="000313AC"/>
    <w:rsid w:val="0003151B"/>
    <w:rsid w:val="00031717"/>
    <w:rsid w:val="000318B1"/>
    <w:rsid w:val="000318FB"/>
    <w:rsid w:val="00031A6E"/>
    <w:rsid w:val="00031AA6"/>
    <w:rsid w:val="00031BC7"/>
    <w:rsid w:val="00031C07"/>
    <w:rsid w:val="00031C9A"/>
    <w:rsid w:val="00031D78"/>
    <w:rsid w:val="000321B4"/>
    <w:rsid w:val="0003225A"/>
    <w:rsid w:val="0003225C"/>
    <w:rsid w:val="00032486"/>
    <w:rsid w:val="0003280B"/>
    <w:rsid w:val="0003287A"/>
    <w:rsid w:val="000328D1"/>
    <w:rsid w:val="000328DF"/>
    <w:rsid w:val="00032BE1"/>
    <w:rsid w:val="00032DF5"/>
    <w:rsid w:val="00032E4C"/>
    <w:rsid w:val="00032EFA"/>
    <w:rsid w:val="00032F62"/>
    <w:rsid w:val="0003319F"/>
    <w:rsid w:val="0003372A"/>
    <w:rsid w:val="000338B6"/>
    <w:rsid w:val="00033D74"/>
    <w:rsid w:val="00033DB0"/>
    <w:rsid w:val="0003402B"/>
    <w:rsid w:val="0003403B"/>
    <w:rsid w:val="00034115"/>
    <w:rsid w:val="000341E3"/>
    <w:rsid w:val="000343D7"/>
    <w:rsid w:val="000345C7"/>
    <w:rsid w:val="00034709"/>
    <w:rsid w:val="0003473F"/>
    <w:rsid w:val="0003487B"/>
    <w:rsid w:val="00034991"/>
    <w:rsid w:val="000349E8"/>
    <w:rsid w:val="00034A96"/>
    <w:rsid w:val="00034BC8"/>
    <w:rsid w:val="00034C7A"/>
    <w:rsid w:val="00034CBF"/>
    <w:rsid w:val="00034E85"/>
    <w:rsid w:val="00034F74"/>
    <w:rsid w:val="00034FBF"/>
    <w:rsid w:val="00035315"/>
    <w:rsid w:val="000353EF"/>
    <w:rsid w:val="000355E9"/>
    <w:rsid w:val="000358ED"/>
    <w:rsid w:val="00035914"/>
    <w:rsid w:val="00035928"/>
    <w:rsid w:val="00035957"/>
    <w:rsid w:val="000359C9"/>
    <w:rsid w:val="00035CDD"/>
    <w:rsid w:val="00035D88"/>
    <w:rsid w:val="00035DE2"/>
    <w:rsid w:val="00035EA5"/>
    <w:rsid w:val="0003604C"/>
    <w:rsid w:val="00036105"/>
    <w:rsid w:val="000361CB"/>
    <w:rsid w:val="00036292"/>
    <w:rsid w:val="0003640D"/>
    <w:rsid w:val="00036723"/>
    <w:rsid w:val="0003680F"/>
    <w:rsid w:val="00036C16"/>
    <w:rsid w:val="00036CFC"/>
    <w:rsid w:val="000370AF"/>
    <w:rsid w:val="000372C3"/>
    <w:rsid w:val="000373F8"/>
    <w:rsid w:val="00037605"/>
    <w:rsid w:val="00037636"/>
    <w:rsid w:val="00037674"/>
    <w:rsid w:val="0003791B"/>
    <w:rsid w:val="000379BF"/>
    <w:rsid w:val="00037AF7"/>
    <w:rsid w:val="00037C91"/>
    <w:rsid w:val="00037D63"/>
    <w:rsid w:val="00037E7A"/>
    <w:rsid w:val="00037EFE"/>
    <w:rsid w:val="000400F9"/>
    <w:rsid w:val="000402DA"/>
    <w:rsid w:val="00040651"/>
    <w:rsid w:val="00040CFE"/>
    <w:rsid w:val="00040D97"/>
    <w:rsid w:val="00040E8D"/>
    <w:rsid w:val="00040F47"/>
    <w:rsid w:val="0004172E"/>
    <w:rsid w:val="0004186F"/>
    <w:rsid w:val="00041908"/>
    <w:rsid w:val="00041B7F"/>
    <w:rsid w:val="00041BC1"/>
    <w:rsid w:val="00041D14"/>
    <w:rsid w:val="000420EC"/>
    <w:rsid w:val="0004240A"/>
    <w:rsid w:val="00042884"/>
    <w:rsid w:val="00042B33"/>
    <w:rsid w:val="00042D2D"/>
    <w:rsid w:val="00043008"/>
    <w:rsid w:val="00043355"/>
    <w:rsid w:val="00043364"/>
    <w:rsid w:val="00043388"/>
    <w:rsid w:val="00043435"/>
    <w:rsid w:val="00043454"/>
    <w:rsid w:val="00043551"/>
    <w:rsid w:val="00043566"/>
    <w:rsid w:val="00043788"/>
    <w:rsid w:val="00043855"/>
    <w:rsid w:val="0004386B"/>
    <w:rsid w:val="00043982"/>
    <w:rsid w:val="000439C7"/>
    <w:rsid w:val="00043AA2"/>
    <w:rsid w:val="00043CB7"/>
    <w:rsid w:val="00043E54"/>
    <w:rsid w:val="00043EC1"/>
    <w:rsid w:val="000441BA"/>
    <w:rsid w:val="0004430F"/>
    <w:rsid w:val="00044475"/>
    <w:rsid w:val="000445A0"/>
    <w:rsid w:val="00044C20"/>
    <w:rsid w:val="00044CE5"/>
    <w:rsid w:val="00044FDF"/>
    <w:rsid w:val="00044FFA"/>
    <w:rsid w:val="0004515D"/>
    <w:rsid w:val="00045211"/>
    <w:rsid w:val="0004525F"/>
    <w:rsid w:val="0004547A"/>
    <w:rsid w:val="0004557D"/>
    <w:rsid w:val="0004572B"/>
    <w:rsid w:val="0004577D"/>
    <w:rsid w:val="000457E0"/>
    <w:rsid w:val="00045835"/>
    <w:rsid w:val="0004590F"/>
    <w:rsid w:val="00045A0B"/>
    <w:rsid w:val="0004638D"/>
    <w:rsid w:val="00046577"/>
    <w:rsid w:val="00046585"/>
    <w:rsid w:val="000465EE"/>
    <w:rsid w:val="00046910"/>
    <w:rsid w:val="00046C7E"/>
    <w:rsid w:val="00046D25"/>
    <w:rsid w:val="00046DBC"/>
    <w:rsid w:val="00046F6B"/>
    <w:rsid w:val="00047115"/>
    <w:rsid w:val="00047137"/>
    <w:rsid w:val="000471AE"/>
    <w:rsid w:val="0004729E"/>
    <w:rsid w:val="00047607"/>
    <w:rsid w:val="000478FC"/>
    <w:rsid w:val="000479DD"/>
    <w:rsid w:val="000479FD"/>
    <w:rsid w:val="00047A5A"/>
    <w:rsid w:val="00047BD7"/>
    <w:rsid w:val="00047DD2"/>
    <w:rsid w:val="00047DDC"/>
    <w:rsid w:val="00047DF1"/>
    <w:rsid w:val="0005068F"/>
    <w:rsid w:val="000506D9"/>
    <w:rsid w:val="000507D7"/>
    <w:rsid w:val="00050A26"/>
    <w:rsid w:val="00050AD5"/>
    <w:rsid w:val="00050B97"/>
    <w:rsid w:val="00050D3C"/>
    <w:rsid w:val="00050DA1"/>
    <w:rsid w:val="00050E40"/>
    <w:rsid w:val="00050E4B"/>
    <w:rsid w:val="00050F06"/>
    <w:rsid w:val="000512A0"/>
    <w:rsid w:val="00051528"/>
    <w:rsid w:val="00051694"/>
    <w:rsid w:val="000516EE"/>
    <w:rsid w:val="00051765"/>
    <w:rsid w:val="000517C2"/>
    <w:rsid w:val="00051A6F"/>
    <w:rsid w:val="00051C0D"/>
    <w:rsid w:val="0005235F"/>
    <w:rsid w:val="000528CE"/>
    <w:rsid w:val="00052A81"/>
    <w:rsid w:val="00052B46"/>
    <w:rsid w:val="00052C3B"/>
    <w:rsid w:val="00052C6D"/>
    <w:rsid w:val="00052CBB"/>
    <w:rsid w:val="00052F9D"/>
    <w:rsid w:val="00052FCD"/>
    <w:rsid w:val="0005344F"/>
    <w:rsid w:val="000537E7"/>
    <w:rsid w:val="000538CE"/>
    <w:rsid w:val="00053B6E"/>
    <w:rsid w:val="00053BA6"/>
    <w:rsid w:val="00053DAD"/>
    <w:rsid w:val="000543DE"/>
    <w:rsid w:val="000543F3"/>
    <w:rsid w:val="0005498F"/>
    <w:rsid w:val="00054A4C"/>
    <w:rsid w:val="00054A84"/>
    <w:rsid w:val="00054B2D"/>
    <w:rsid w:val="00054BD9"/>
    <w:rsid w:val="00054E1D"/>
    <w:rsid w:val="00055056"/>
    <w:rsid w:val="000550D3"/>
    <w:rsid w:val="0005525B"/>
    <w:rsid w:val="00055415"/>
    <w:rsid w:val="000557CE"/>
    <w:rsid w:val="00055971"/>
    <w:rsid w:val="000559EF"/>
    <w:rsid w:val="00055CCF"/>
    <w:rsid w:val="00055CF2"/>
    <w:rsid w:val="00055DBB"/>
    <w:rsid w:val="00055FF2"/>
    <w:rsid w:val="0005604B"/>
    <w:rsid w:val="000561F4"/>
    <w:rsid w:val="000562EA"/>
    <w:rsid w:val="000564BB"/>
    <w:rsid w:val="000564D6"/>
    <w:rsid w:val="00056521"/>
    <w:rsid w:val="000568EE"/>
    <w:rsid w:val="00056A8C"/>
    <w:rsid w:val="00056C68"/>
    <w:rsid w:val="00056F70"/>
    <w:rsid w:val="000571AB"/>
    <w:rsid w:val="0005729D"/>
    <w:rsid w:val="0005745E"/>
    <w:rsid w:val="0005769E"/>
    <w:rsid w:val="00057723"/>
    <w:rsid w:val="0005790A"/>
    <w:rsid w:val="0005790B"/>
    <w:rsid w:val="00057A4A"/>
    <w:rsid w:val="00057A5F"/>
    <w:rsid w:val="00057B64"/>
    <w:rsid w:val="00057B9B"/>
    <w:rsid w:val="00057BB5"/>
    <w:rsid w:val="00057C43"/>
    <w:rsid w:val="00057DFE"/>
    <w:rsid w:val="00057EDC"/>
    <w:rsid w:val="000602DE"/>
    <w:rsid w:val="00060447"/>
    <w:rsid w:val="00060636"/>
    <w:rsid w:val="000608B8"/>
    <w:rsid w:val="00060A90"/>
    <w:rsid w:val="00060DFE"/>
    <w:rsid w:val="00060E98"/>
    <w:rsid w:val="00060F57"/>
    <w:rsid w:val="00061091"/>
    <w:rsid w:val="00061138"/>
    <w:rsid w:val="000611CC"/>
    <w:rsid w:val="00061358"/>
    <w:rsid w:val="000614BE"/>
    <w:rsid w:val="00061681"/>
    <w:rsid w:val="000617BC"/>
    <w:rsid w:val="00061A6A"/>
    <w:rsid w:val="00061AE5"/>
    <w:rsid w:val="00061B7E"/>
    <w:rsid w:val="00061F64"/>
    <w:rsid w:val="000623A6"/>
    <w:rsid w:val="0006245B"/>
    <w:rsid w:val="000626BF"/>
    <w:rsid w:val="0006291A"/>
    <w:rsid w:val="00062CB0"/>
    <w:rsid w:val="00062CC3"/>
    <w:rsid w:val="00062D49"/>
    <w:rsid w:val="00062E2E"/>
    <w:rsid w:val="0006302A"/>
    <w:rsid w:val="000631CC"/>
    <w:rsid w:val="000632BC"/>
    <w:rsid w:val="000634AF"/>
    <w:rsid w:val="000639F3"/>
    <w:rsid w:val="00063A33"/>
    <w:rsid w:val="00063B1C"/>
    <w:rsid w:val="00063CF7"/>
    <w:rsid w:val="00063D05"/>
    <w:rsid w:val="00063D31"/>
    <w:rsid w:val="00063D6D"/>
    <w:rsid w:val="00063E4D"/>
    <w:rsid w:val="00063E82"/>
    <w:rsid w:val="00063F81"/>
    <w:rsid w:val="00063FB8"/>
    <w:rsid w:val="00064065"/>
    <w:rsid w:val="000640D8"/>
    <w:rsid w:val="00064142"/>
    <w:rsid w:val="00064233"/>
    <w:rsid w:val="000642B8"/>
    <w:rsid w:val="00064367"/>
    <w:rsid w:val="000643BB"/>
    <w:rsid w:val="0006471F"/>
    <w:rsid w:val="000648A3"/>
    <w:rsid w:val="0006495E"/>
    <w:rsid w:val="00064AB2"/>
    <w:rsid w:val="00064AB5"/>
    <w:rsid w:val="00064E1E"/>
    <w:rsid w:val="00064FF2"/>
    <w:rsid w:val="00065174"/>
    <w:rsid w:val="0006518A"/>
    <w:rsid w:val="000651B5"/>
    <w:rsid w:val="0006529E"/>
    <w:rsid w:val="0006553E"/>
    <w:rsid w:val="00065572"/>
    <w:rsid w:val="000656E6"/>
    <w:rsid w:val="0006594C"/>
    <w:rsid w:val="00065971"/>
    <w:rsid w:val="00065C07"/>
    <w:rsid w:val="00065CB8"/>
    <w:rsid w:val="00065E50"/>
    <w:rsid w:val="00065E61"/>
    <w:rsid w:val="00065E67"/>
    <w:rsid w:val="00066030"/>
    <w:rsid w:val="000661C9"/>
    <w:rsid w:val="0006624B"/>
    <w:rsid w:val="000663A2"/>
    <w:rsid w:val="000664CD"/>
    <w:rsid w:val="00066744"/>
    <w:rsid w:val="00066B94"/>
    <w:rsid w:val="00066D30"/>
    <w:rsid w:val="00067095"/>
    <w:rsid w:val="000672A0"/>
    <w:rsid w:val="0006744B"/>
    <w:rsid w:val="000679DB"/>
    <w:rsid w:val="00067DC2"/>
    <w:rsid w:val="0007053C"/>
    <w:rsid w:val="00070545"/>
    <w:rsid w:val="000705B3"/>
    <w:rsid w:val="000705CE"/>
    <w:rsid w:val="00070816"/>
    <w:rsid w:val="000708E1"/>
    <w:rsid w:val="00070906"/>
    <w:rsid w:val="0007090C"/>
    <w:rsid w:val="0007099A"/>
    <w:rsid w:val="00070A2F"/>
    <w:rsid w:val="00070B8C"/>
    <w:rsid w:val="00070C11"/>
    <w:rsid w:val="00070E5B"/>
    <w:rsid w:val="00070E99"/>
    <w:rsid w:val="00070F5F"/>
    <w:rsid w:val="00070F73"/>
    <w:rsid w:val="000710B0"/>
    <w:rsid w:val="00071303"/>
    <w:rsid w:val="00071546"/>
    <w:rsid w:val="0007162D"/>
    <w:rsid w:val="000717D8"/>
    <w:rsid w:val="00071827"/>
    <w:rsid w:val="00071CE5"/>
    <w:rsid w:val="00071F2C"/>
    <w:rsid w:val="00071F96"/>
    <w:rsid w:val="000723E3"/>
    <w:rsid w:val="000724F7"/>
    <w:rsid w:val="00072894"/>
    <w:rsid w:val="00072989"/>
    <w:rsid w:val="000729BD"/>
    <w:rsid w:val="00072A2A"/>
    <w:rsid w:val="00072AC4"/>
    <w:rsid w:val="00072B48"/>
    <w:rsid w:val="00072CB9"/>
    <w:rsid w:val="00072E1C"/>
    <w:rsid w:val="00072F1C"/>
    <w:rsid w:val="00072F7E"/>
    <w:rsid w:val="0007318B"/>
    <w:rsid w:val="000731EF"/>
    <w:rsid w:val="000739CE"/>
    <w:rsid w:val="00073BF3"/>
    <w:rsid w:val="00073D44"/>
    <w:rsid w:val="00073ED1"/>
    <w:rsid w:val="00074085"/>
    <w:rsid w:val="00074148"/>
    <w:rsid w:val="00074373"/>
    <w:rsid w:val="0007446F"/>
    <w:rsid w:val="00074481"/>
    <w:rsid w:val="000744C9"/>
    <w:rsid w:val="0007461E"/>
    <w:rsid w:val="00074648"/>
    <w:rsid w:val="00074749"/>
    <w:rsid w:val="00074A78"/>
    <w:rsid w:val="00074AF2"/>
    <w:rsid w:val="00074E2C"/>
    <w:rsid w:val="00074E6C"/>
    <w:rsid w:val="00074FBB"/>
    <w:rsid w:val="00075643"/>
    <w:rsid w:val="00075DCE"/>
    <w:rsid w:val="00075F5E"/>
    <w:rsid w:val="00076256"/>
    <w:rsid w:val="00076279"/>
    <w:rsid w:val="00076380"/>
    <w:rsid w:val="000765B2"/>
    <w:rsid w:val="000765DD"/>
    <w:rsid w:val="00076649"/>
    <w:rsid w:val="00076B2D"/>
    <w:rsid w:val="00076B44"/>
    <w:rsid w:val="00076D41"/>
    <w:rsid w:val="00076F04"/>
    <w:rsid w:val="00076FB3"/>
    <w:rsid w:val="00077080"/>
    <w:rsid w:val="00077155"/>
    <w:rsid w:val="0007717D"/>
    <w:rsid w:val="000772BA"/>
    <w:rsid w:val="000773D8"/>
    <w:rsid w:val="00077715"/>
    <w:rsid w:val="00077861"/>
    <w:rsid w:val="00077A04"/>
    <w:rsid w:val="00077C5E"/>
    <w:rsid w:val="00077CC7"/>
    <w:rsid w:val="00077D3E"/>
    <w:rsid w:val="00077DC8"/>
    <w:rsid w:val="00077E1C"/>
    <w:rsid w:val="00077E92"/>
    <w:rsid w:val="000800DF"/>
    <w:rsid w:val="000801EF"/>
    <w:rsid w:val="00080375"/>
    <w:rsid w:val="000803AC"/>
    <w:rsid w:val="000804DE"/>
    <w:rsid w:val="00080635"/>
    <w:rsid w:val="00080766"/>
    <w:rsid w:val="00080823"/>
    <w:rsid w:val="00080845"/>
    <w:rsid w:val="000808C2"/>
    <w:rsid w:val="00080A54"/>
    <w:rsid w:val="00080A6A"/>
    <w:rsid w:val="00080B3A"/>
    <w:rsid w:val="00080E71"/>
    <w:rsid w:val="00080F12"/>
    <w:rsid w:val="00081008"/>
    <w:rsid w:val="000810F8"/>
    <w:rsid w:val="0008144F"/>
    <w:rsid w:val="000816BD"/>
    <w:rsid w:val="00081770"/>
    <w:rsid w:val="000818A9"/>
    <w:rsid w:val="00081952"/>
    <w:rsid w:val="00081BA8"/>
    <w:rsid w:val="00081E1D"/>
    <w:rsid w:val="000821C7"/>
    <w:rsid w:val="000822F2"/>
    <w:rsid w:val="000823CB"/>
    <w:rsid w:val="00082582"/>
    <w:rsid w:val="0008262C"/>
    <w:rsid w:val="000827F9"/>
    <w:rsid w:val="0008295D"/>
    <w:rsid w:val="00082AAC"/>
    <w:rsid w:val="00083151"/>
    <w:rsid w:val="000832DA"/>
    <w:rsid w:val="000833AF"/>
    <w:rsid w:val="00083502"/>
    <w:rsid w:val="000837D1"/>
    <w:rsid w:val="000837EB"/>
    <w:rsid w:val="00083B1A"/>
    <w:rsid w:val="00083C15"/>
    <w:rsid w:val="00083CD8"/>
    <w:rsid w:val="00083DE3"/>
    <w:rsid w:val="00084061"/>
    <w:rsid w:val="00084080"/>
    <w:rsid w:val="000842DD"/>
    <w:rsid w:val="0008460E"/>
    <w:rsid w:val="0008460F"/>
    <w:rsid w:val="00084766"/>
    <w:rsid w:val="000847DE"/>
    <w:rsid w:val="00084811"/>
    <w:rsid w:val="00084846"/>
    <w:rsid w:val="00084881"/>
    <w:rsid w:val="00084899"/>
    <w:rsid w:val="000848CF"/>
    <w:rsid w:val="00084B86"/>
    <w:rsid w:val="00084CF4"/>
    <w:rsid w:val="00084D01"/>
    <w:rsid w:val="00084F93"/>
    <w:rsid w:val="00084FD5"/>
    <w:rsid w:val="0008508E"/>
    <w:rsid w:val="000850E8"/>
    <w:rsid w:val="000850F3"/>
    <w:rsid w:val="0008524B"/>
    <w:rsid w:val="0008535F"/>
    <w:rsid w:val="000855B5"/>
    <w:rsid w:val="000857E4"/>
    <w:rsid w:val="00085833"/>
    <w:rsid w:val="0008592D"/>
    <w:rsid w:val="00085ADB"/>
    <w:rsid w:val="00085BF7"/>
    <w:rsid w:val="00085D43"/>
    <w:rsid w:val="00085D6C"/>
    <w:rsid w:val="00085DDE"/>
    <w:rsid w:val="00085F63"/>
    <w:rsid w:val="00085F9D"/>
    <w:rsid w:val="00086014"/>
    <w:rsid w:val="00086098"/>
    <w:rsid w:val="000860C6"/>
    <w:rsid w:val="0008615D"/>
    <w:rsid w:val="0008615E"/>
    <w:rsid w:val="0008656D"/>
    <w:rsid w:val="00086663"/>
    <w:rsid w:val="00086733"/>
    <w:rsid w:val="00086778"/>
    <w:rsid w:val="00086CCF"/>
    <w:rsid w:val="00086F22"/>
    <w:rsid w:val="000870F2"/>
    <w:rsid w:val="000872EC"/>
    <w:rsid w:val="0008731B"/>
    <w:rsid w:val="0008740E"/>
    <w:rsid w:val="000875FE"/>
    <w:rsid w:val="00087826"/>
    <w:rsid w:val="000878C3"/>
    <w:rsid w:val="00087AF7"/>
    <w:rsid w:val="00087F06"/>
    <w:rsid w:val="000904BD"/>
    <w:rsid w:val="000905AE"/>
    <w:rsid w:val="0009086B"/>
    <w:rsid w:val="000909D0"/>
    <w:rsid w:val="00090A2F"/>
    <w:rsid w:val="00090B22"/>
    <w:rsid w:val="000910E6"/>
    <w:rsid w:val="0009112C"/>
    <w:rsid w:val="000913E6"/>
    <w:rsid w:val="00091556"/>
    <w:rsid w:val="00091700"/>
    <w:rsid w:val="0009178D"/>
    <w:rsid w:val="00091A32"/>
    <w:rsid w:val="00091ACE"/>
    <w:rsid w:val="00091BDF"/>
    <w:rsid w:val="00091CD2"/>
    <w:rsid w:val="00091D7C"/>
    <w:rsid w:val="00091E27"/>
    <w:rsid w:val="000921C2"/>
    <w:rsid w:val="00092354"/>
    <w:rsid w:val="000924B0"/>
    <w:rsid w:val="00092526"/>
    <w:rsid w:val="000926EA"/>
    <w:rsid w:val="0009288D"/>
    <w:rsid w:val="00092940"/>
    <w:rsid w:val="00092981"/>
    <w:rsid w:val="000929BE"/>
    <w:rsid w:val="00092C0A"/>
    <w:rsid w:val="00092CA0"/>
    <w:rsid w:val="00092D78"/>
    <w:rsid w:val="00092D8D"/>
    <w:rsid w:val="00092F41"/>
    <w:rsid w:val="0009311C"/>
    <w:rsid w:val="00093244"/>
    <w:rsid w:val="0009328F"/>
    <w:rsid w:val="00093403"/>
    <w:rsid w:val="0009343E"/>
    <w:rsid w:val="00093449"/>
    <w:rsid w:val="0009354B"/>
    <w:rsid w:val="000935C8"/>
    <w:rsid w:val="000935D0"/>
    <w:rsid w:val="0009367A"/>
    <w:rsid w:val="00093D3A"/>
    <w:rsid w:val="00093D4A"/>
    <w:rsid w:val="00093F16"/>
    <w:rsid w:val="00093F6D"/>
    <w:rsid w:val="0009400F"/>
    <w:rsid w:val="000942C0"/>
    <w:rsid w:val="000943CA"/>
    <w:rsid w:val="00094435"/>
    <w:rsid w:val="00094802"/>
    <w:rsid w:val="0009481E"/>
    <w:rsid w:val="00094833"/>
    <w:rsid w:val="00094853"/>
    <w:rsid w:val="00094886"/>
    <w:rsid w:val="00094AF0"/>
    <w:rsid w:val="00094C95"/>
    <w:rsid w:val="00094CC2"/>
    <w:rsid w:val="00094D49"/>
    <w:rsid w:val="00094D86"/>
    <w:rsid w:val="00094DD6"/>
    <w:rsid w:val="00094E01"/>
    <w:rsid w:val="00094E9C"/>
    <w:rsid w:val="00094FBE"/>
    <w:rsid w:val="00095038"/>
    <w:rsid w:val="00095103"/>
    <w:rsid w:val="00095229"/>
    <w:rsid w:val="00095383"/>
    <w:rsid w:val="0009544C"/>
    <w:rsid w:val="00095466"/>
    <w:rsid w:val="00095521"/>
    <w:rsid w:val="00095901"/>
    <w:rsid w:val="00095953"/>
    <w:rsid w:val="00095D00"/>
    <w:rsid w:val="00095D0E"/>
    <w:rsid w:val="00095E15"/>
    <w:rsid w:val="00095E33"/>
    <w:rsid w:val="00095F84"/>
    <w:rsid w:val="000963E6"/>
    <w:rsid w:val="000964F1"/>
    <w:rsid w:val="0009666F"/>
    <w:rsid w:val="00096935"/>
    <w:rsid w:val="00096A9C"/>
    <w:rsid w:val="00096CAF"/>
    <w:rsid w:val="00096D65"/>
    <w:rsid w:val="00096FB1"/>
    <w:rsid w:val="000972DE"/>
    <w:rsid w:val="000974D2"/>
    <w:rsid w:val="0009758B"/>
    <w:rsid w:val="00097606"/>
    <w:rsid w:val="000978C0"/>
    <w:rsid w:val="00097ADF"/>
    <w:rsid w:val="00097E40"/>
    <w:rsid w:val="000A0125"/>
    <w:rsid w:val="000A0135"/>
    <w:rsid w:val="000A01B7"/>
    <w:rsid w:val="000A0638"/>
    <w:rsid w:val="000A09FA"/>
    <w:rsid w:val="000A0B6B"/>
    <w:rsid w:val="000A0C78"/>
    <w:rsid w:val="000A0D9C"/>
    <w:rsid w:val="000A0FAE"/>
    <w:rsid w:val="000A10C9"/>
    <w:rsid w:val="000A11F3"/>
    <w:rsid w:val="000A125F"/>
    <w:rsid w:val="000A12D0"/>
    <w:rsid w:val="000A134C"/>
    <w:rsid w:val="000A18A4"/>
    <w:rsid w:val="000A18B0"/>
    <w:rsid w:val="000A1B86"/>
    <w:rsid w:val="000A1B92"/>
    <w:rsid w:val="000A2487"/>
    <w:rsid w:val="000A24F1"/>
    <w:rsid w:val="000A26C5"/>
    <w:rsid w:val="000A2BD6"/>
    <w:rsid w:val="000A2C26"/>
    <w:rsid w:val="000A2CD4"/>
    <w:rsid w:val="000A31DD"/>
    <w:rsid w:val="000A31FF"/>
    <w:rsid w:val="000A3524"/>
    <w:rsid w:val="000A3770"/>
    <w:rsid w:val="000A3772"/>
    <w:rsid w:val="000A37A8"/>
    <w:rsid w:val="000A37E6"/>
    <w:rsid w:val="000A3AF2"/>
    <w:rsid w:val="000A3E27"/>
    <w:rsid w:val="000A42C7"/>
    <w:rsid w:val="000A4473"/>
    <w:rsid w:val="000A4D55"/>
    <w:rsid w:val="000A4E8F"/>
    <w:rsid w:val="000A4EC6"/>
    <w:rsid w:val="000A4F39"/>
    <w:rsid w:val="000A502F"/>
    <w:rsid w:val="000A51F9"/>
    <w:rsid w:val="000A535A"/>
    <w:rsid w:val="000A54DF"/>
    <w:rsid w:val="000A563B"/>
    <w:rsid w:val="000A5B75"/>
    <w:rsid w:val="000A5DC9"/>
    <w:rsid w:val="000A5F21"/>
    <w:rsid w:val="000A60BD"/>
    <w:rsid w:val="000A6232"/>
    <w:rsid w:val="000A646E"/>
    <w:rsid w:val="000A6751"/>
    <w:rsid w:val="000A6753"/>
    <w:rsid w:val="000A6D51"/>
    <w:rsid w:val="000A6E1A"/>
    <w:rsid w:val="000A6E79"/>
    <w:rsid w:val="000A70B7"/>
    <w:rsid w:val="000A7139"/>
    <w:rsid w:val="000A7299"/>
    <w:rsid w:val="000A72C3"/>
    <w:rsid w:val="000A7A95"/>
    <w:rsid w:val="000A7AC1"/>
    <w:rsid w:val="000A7DC0"/>
    <w:rsid w:val="000A7E89"/>
    <w:rsid w:val="000A7F9B"/>
    <w:rsid w:val="000A7F9C"/>
    <w:rsid w:val="000B01A6"/>
    <w:rsid w:val="000B03E0"/>
    <w:rsid w:val="000B05FF"/>
    <w:rsid w:val="000B0B99"/>
    <w:rsid w:val="000B0D60"/>
    <w:rsid w:val="000B0D65"/>
    <w:rsid w:val="000B0F63"/>
    <w:rsid w:val="000B0FB2"/>
    <w:rsid w:val="000B1103"/>
    <w:rsid w:val="000B12E4"/>
    <w:rsid w:val="000B1401"/>
    <w:rsid w:val="000B1404"/>
    <w:rsid w:val="000B14A1"/>
    <w:rsid w:val="000B1598"/>
    <w:rsid w:val="000B174D"/>
    <w:rsid w:val="000B1B80"/>
    <w:rsid w:val="000B1D05"/>
    <w:rsid w:val="000B1D99"/>
    <w:rsid w:val="000B1E6A"/>
    <w:rsid w:val="000B208B"/>
    <w:rsid w:val="000B2198"/>
    <w:rsid w:val="000B21F5"/>
    <w:rsid w:val="000B2399"/>
    <w:rsid w:val="000B24A2"/>
    <w:rsid w:val="000B299F"/>
    <w:rsid w:val="000B2B65"/>
    <w:rsid w:val="000B2BB5"/>
    <w:rsid w:val="000B2BC1"/>
    <w:rsid w:val="000B2F2E"/>
    <w:rsid w:val="000B3028"/>
    <w:rsid w:val="000B3187"/>
    <w:rsid w:val="000B3560"/>
    <w:rsid w:val="000B38BF"/>
    <w:rsid w:val="000B3A7A"/>
    <w:rsid w:val="000B4004"/>
    <w:rsid w:val="000B4064"/>
    <w:rsid w:val="000B449E"/>
    <w:rsid w:val="000B45CE"/>
    <w:rsid w:val="000B4792"/>
    <w:rsid w:val="000B481B"/>
    <w:rsid w:val="000B4833"/>
    <w:rsid w:val="000B49A2"/>
    <w:rsid w:val="000B4A46"/>
    <w:rsid w:val="000B4C08"/>
    <w:rsid w:val="000B4ED1"/>
    <w:rsid w:val="000B527E"/>
    <w:rsid w:val="000B52F7"/>
    <w:rsid w:val="000B589A"/>
    <w:rsid w:val="000B58DC"/>
    <w:rsid w:val="000B5C49"/>
    <w:rsid w:val="000B5C7D"/>
    <w:rsid w:val="000B5E9F"/>
    <w:rsid w:val="000B5EA9"/>
    <w:rsid w:val="000B6060"/>
    <w:rsid w:val="000B6249"/>
    <w:rsid w:val="000B657B"/>
    <w:rsid w:val="000B661B"/>
    <w:rsid w:val="000B665C"/>
    <w:rsid w:val="000B68E3"/>
    <w:rsid w:val="000B6A7F"/>
    <w:rsid w:val="000B6B3E"/>
    <w:rsid w:val="000B6CA0"/>
    <w:rsid w:val="000B7019"/>
    <w:rsid w:val="000B72C0"/>
    <w:rsid w:val="000B72D8"/>
    <w:rsid w:val="000B72F4"/>
    <w:rsid w:val="000B73B9"/>
    <w:rsid w:val="000B755E"/>
    <w:rsid w:val="000B7590"/>
    <w:rsid w:val="000B784F"/>
    <w:rsid w:val="000B7985"/>
    <w:rsid w:val="000B7CE5"/>
    <w:rsid w:val="000B7E14"/>
    <w:rsid w:val="000C00F4"/>
    <w:rsid w:val="000C0401"/>
    <w:rsid w:val="000C05FB"/>
    <w:rsid w:val="000C064F"/>
    <w:rsid w:val="000C06B2"/>
    <w:rsid w:val="000C0769"/>
    <w:rsid w:val="000C0ACA"/>
    <w:rsid w:val="000C0AF8"/>
    <w:rsid w:val="000C0CBF"/>
    <w:rsid w:val="000C0F41"/>
    <w:rsid w:val="000C101A"/>
    <w:rsid w:val="000C111C"/>
    <w:rsid w:val="000C1130"/>
    <w:rsid w:val="000C113C"/>
    <w:rsid w:val="000C11E0"/>
    <w:rsid w:val="000C140A"/>
    <w:rsid w:val="000C1659"/>
    <w:rsid w:val="000C16E2"/>
    <w:rsid w:val="000C1798"/>
    <w:rsid w:val="000C17A8"/>
    <w:rsid w:val="000C1934"/>
    <w:rsid w:val="000C1A3D"/>
    <w:rsid w:val="000C1FB8"/>
    <w:rsid w:val="000C266F"/>
    <w:rsid w:val="000C281B"/>
    <w:rsid w:val="000C287B"/>
    <w:rsid w:val="000C2911"/>
    <w:rsid w:val="000C2941"/>
    <w:rsid w:val="000C29BF"/>
    <w:rsid w:val="000C2AF7"/>
    <w:rsid w:val="000C2B7B"/>
    <w:rsid w:val="000C2BC4"/>
    <w:rsid w:val="000C2E9F"/>
    <w:rsid w:val="000C2FF8"/>
    <w:rsid w:val="000C312E"/>
    <w:rsid w:val="000C3157"/>
    <w:rsid w:val="000C3536"/>
    <w:rsid w:val="000C374F"/>
    <w:rsid w:val="000C39BB"/>
    <w:rsid w:val="000C3B60"/>
    <w:rsid w:val="000C3BDA"/>
    <w:rsid w:val="000C400D"/>
    <w:rsid w:val="000C4354"/>
    <w:rsid w:val="000C4497"/>
    <w:rsid w:val="000C44A7"/>
    <w:rsid w:val="000C44EE"/>
    <w:rsid w:val="000C4697"/>
    <w:rsid w:val="000C46C9"/>
    <w:rsid w:val="000C471B"/>
    <w:rsid w:val="000C4803"/>
    <w:rsid w:val="000C4846"/>
    <w:rsid w:val="000C4A3F"/>
    <w:rsid w:val="000C4AA5"/>
    <w:rsid w:val="000C4C01"/>
    <w:rsid w:val="000C4F91"/>
    <w:rsid w:val="000C510F"/>
    <w:rsid w:val="000C56B2"/>
    <w:rsid w:val="000C56D0"/>
    <w:rsid w:val="000C573C"/>
    <w:rsid w:val="000C587D"/>
    <w:rsid w:val="000C5A2B"/>
    <w:rsid w:val="000C5B4E"/>
    <w:rsid w:val="000C5D97"/>
    <w:rsid w:val="000C5EE9"/>
    <w:rsid w:val="000C61B4"/>
    <w:rsid w:val="000C64CD"/>
    <w:rsid w:val="000C67BD"/>
    <w:rsid w:val="000C681D"/>
    <w:rsid w:val="000C68FF"/>
    <w:rsid w:val="000C69F3"/>
    <w:rsid w:val="000C6B30"/>
    <w:rsid w:val="000C6FC8"/>
    <w:rsid w:val="000C72EA"/>
    <w:rsid w:val="000C75DC"/>
    <w:rsid w:val="000C7665"/>
    <w:rsid w:val="000C781E"/>
    <w:rsid w:val="000C7823"/>
    <w:rsid w:val="000C7842"/>
    <w:rsid w:val="000C7A5C"/>
    <w:rsid w:val="000C7BF2"/>
    <w:rsid w:val="000C7C9C"/>
    <w:rsid w:val="000C7D0E"/>
    <w:rsid w:val="000D011E"/>
    <w:rsid w:val="000D012F"/>
    <w:rsid w:val="000D036E"/>
    <w:rsid w:val="000D058B"/>
    <w:rsid w:val="000D0611"/>
    <w:rsid w:val="000D091C"/>
    <w:rsid w:val="000D0AFE"/>
    <w:rsid w:val="000D0BBF"/>
    <w:rsid w:val="000D0C3C"/>
    <w:rsid w:val="000D0CB1"/>
    <w:rsid w:val="000D1237"/>
    <w:rsid w:val="000D169C"/>
    <w:rsid w:val="000D171F"/>
    <w:rsid w:val="000D194E"/>
    <w:rsid w:val="000D1A46"/>
    <w:rsid w:val="000D1AB6"/>
    <w:rsid w:val="000D1BB2"/>
    <w:rsid w:val="000D1C82"/>
    <w:rsid w:val="000D1D79"/>
    <w:rsid w:val="000D1E28"/>
    <w:rsid w:val="000D20FC"/>
    <w:rsid w:val="000D2201"/>
    <w:rsid w:val="000D238B"/>
    <w:rsid w:val="000D2423"/>
    <w:rsid w:val="000D2496"/>
    <w:rsid w:val="000D2606"/>
    <w:rsid w:val="000D2661"/>
    <w:rsid w:val="000D2714"/>
    <w:rsid w:val="000D28E3"/>
    <w:rsid w:val="000D2BA4"/>
    <w:rsid w:val="000D2BCD"/>
    <w:rsid w:val="000D2C18"/>
    <w:rsid w:val="000D2E08"/>
    <w:rsid w:val="000D2FC0"/>
    <w:rsid w:val="000D3233"/>
    <w:rsid w:val="000D32C0"/>
    <w:rsid w:val="000D352F"/>
    <w:rsid w:val="000D373A"/>
    <w:rsid w:val="000D3868"/>
    <w:rsid w:val="000D3920"/>
    <w:rsid w:val="000D3CE4"/>
    <w:rsid w:val="000D411B"/>
    <w:rsid w:val="000D41A1"/>
    <w:rsid w:val="000D436B"/>
    <w:rsid w:val="000D43FD"/>
    <w:rsid w:val="000D4585"/>
    <w:rsid w:val="000D46EF"/>
    <w:rsid w:val="000D47DD"/>
    <w:rsid w:val="000D494F"/>
    <w:rsid w:val="000D4BAE"/>
    <w:rsid w:val="000D4DEB"/>
    <w:rsid w:val="000D4F11"/>
    <w:rsid w:val="000D4FA3"/>
    <w:rsid w:val="000D502F"/>
    <w:rsid w:val="000D51D7"/>
    <w:rsid w:val="000D538A"/>
    <w:rsid w:val="000D5400"/>
    <w:rsid w:val="000D5408"/>
    <w:rsid w:val="000D542E"/>
    <w:rsid w:val="000D551D"/>
    <w:rsid w:val="000D5694"/>
    <w:rsid w:val="000D57AC"/>
    <w:rsid w:val="000D5A1F"/>
    <w:rsid w:val="000D5A5A"/>
    <w:rsid w:val="000D5B21"/>
    <w:rsid w:val="000D5EC6"/>
    <w:rsid w:val="000D643E"/>
    <w:rsid w:val="000D652E"/>
    <w:rsid w:val="000D6666"/>
    <w:rsid w:val="000D668E"/>
    <w:rsid w:val="000D67F5"/>
    <w:rsid w:val="000D680A"/>
    <w:rsid w:val="000D68D4"/>
    <w:rsid w:val="000D6D95"/>
    <w:rsid w:val="000D6EA2"/>
    <w:rsid w:val="000D700E"/>
    <w:rsid w:val="000D71FF"/>
    <w:rsid w:val="000D7224"/>
    <w:rsid w:val="000D72E9"/>
    <w:rsid w:val="000D752E"/>
    <w:rsid w:val="000D7727"/>
    <w:rsid w:val="000D7A53"/>
    <w:rsid w:val="000D7B01"/>
    <w:rsid w:val="000D7B04"/>
    <w:rsid w:val="000D7DB5"/>
    <w:rsid w:val="000D7EFF"/>
    <w:rsid w:val="000D7FD8"/>
    <w:rsid w:val="000E017B"/>
    <w:rsid w:val="000E0239"/>
    <w:rsid w:val="000E0264"/>
    <w:rsid w:val="000E0392"/>
    <w:rsid w:val="000E06CC"/>
    <w:rsid w:val="000E07C1"/>
    <w:rsid w:val="000E07CD"/>
    <w:rsid w:val="000E082C"/>
    <w:rsid w:val="000E0C5F"/>
    <w:rsid w:val="000E0CF2"/>
    <w:rsid w:val="000E0FA1"/>
    <w:rsid w:val="000E1005"/>
    <w:rsid w:val="000E11D2"/>
    <w:rsid w:val="000E121B"/>
    <w:rsid w:val="000E1354"/>
    <w:rsid w:val="000E1364"/>
    <w:rsid w:val="000E17D7"/>
    <w:rsid w:val="000E181D"/>
    <w:rsid w:val="000E184D"/>
    <w:rsid w:val="000E1962"/>
    <w:rsid w:val="000E1C47"/>
    <w:rsid w:val="000E1D4C"/>
    <w:rsid w:val="000E1D7B"/>
    <w:rsid w:val="000E1DDA"/>
    <w:rsid w:val="000E1F8C"/>
    <w:rsid w:val="000E1FB2"/>
    <w:rsid w:val="000E205E"/>
    <w:rsid w:val="000E2097"/>
    <w:rsid w:val="000E23A4"/>
    <w:rsid w:val="000E2497"/>
    <w:rsid w:val="000E249A"/>
    <w:rsid w:val="000E24D3"/>
    <w:rsid w:val="000E25B0"/>
    <w:rsid w:val="000E2B91"/>
    <w:rsid w:val="000E2C5C"/>
    <w:rsid w:val="000E311E"/>
    <w:rsid w:val="000E31F1"/>
    <w:rsid w:val="000E31FE"/>
    <w:rsid w:val="000E3313"/>
    <w:rsid w:val="000E3706"/>
    <w:rsid w:val="000E3912"/>
    <w:rsid w:val="000E3AC0"/>
    <w:rsid w:val="000E3BB5"/>
    <w:rsid w:val="000E4075"/>
    <w:rsid w:val="000E41FC"/>
    <w:rsid w:val="000E43BE"/>
    <w:rsid w:val="000E4704"/>
    <w:rsid w:val="000E4983"/>
    <w:rsid w:val="000E4A85"/>
    <w:rsid w:val="000E4BCF"/>
    <w:rsid w:val="000E4C02"/>
    <w:rsid w:val="000E4C85"/>
    <w:rsid w:val="000E4CE0"/>
    <w:rsid w:val="000E4FC4"/>
    <w:rsid w:val="000E50B5"/>
    <w:rsid w:val="000E5122"/>
    <w:rsid w:val="000E52DD"/>
    <w:rsid w:val="000E5488"/>
    <w:rsid w:val="000E5615"/>
    <w:rsid w:val="000E569D"/>
    <w:rsid w:val="000E5745"/>
    <w:rsid w:val="000E5890"/>
    <w:rsid w:val="000E58F2"/>
    <w:rsid w:val="000E5BF9"/>
    <w:rsid w:val="000E5D54"/>
    <w:rsid w:val="000E5ED0"/>
    <w:rsid w:val="000E5F33"/>
    <w:rsid w:val="000E5F4B"/>
    <w:rsid w:val="000E5FDB"/>
    <w:rsid w:val="000E6076"/>
    <w:rsid w:val="000E60BD"/>
    <w:rsid w:val="000E6176"/>
    <w:rsid w:val="000E63E0"/>
    <w:rsid w:val="000E6420"/>
    <w:rsid w:val="000E64F0"/>
    <w:rsid w:val="000E66CD"/>
    <w:rsid w:val="000E67B9"/>
    <w:rsid w:val="000E6D72"/>
    <w:rsid w:val="000E6ED3"/>
    <w:rsid w:val="000E6F03"/>
    <w:rsid w:val="000E71CE"/>
    <w:rsid w:val="000E7248"/>
    <w:rsid w:val="000E72D0"/>
    <w:rsid w:val="000E731C"/>
    <w:rsid w:val="000E780F"/>
    <w:rsid w:val="000E7A2E"/>
    <w:rsid w:val="000E7B18"/>
    <w:rsid w:val="000E7DF3"/>
    <w:rsid w:val="000E7E28"/>
    <w:rsid w:val="000E7FB2"/>
    <w:rsid w:val="000F0089"/>
    <w:rsid w:val="000F00F4"/>
    <w:rsid w:val="000F016F"/>
    <w:rsid w:val="000F0286"/>
    <w:rsid w:val="000F0313"/>
    <w:rsid w:val="000F0570"/>
    <w:rsid w:val="000F0575"/>
    <w:rsid w:val="000F0595"/>
    <w:rsid w:val="000F090A"/>
    <w:rsid w:val="000F0A71"/>
    <w:rsid w:val="000F0B40"/>
    <w:rsid w:val="000F0C0A"/>
    <w:rsid w:val="000F0DA4"/>
    <w:rsid w:val="000F0DE3"/>
    <w:rsid w:val="000F0E04"/>
    <w:rsid w:val="000F0F1B"/>
    <w:rsid w:val="000F10D9"/>
    <w:rsid w:val="000F124B"/>
    <w:rsid w:val="000F13CA"/>
    <w:rsid w:val="000F1462"/>
    <w:rsid w:val="000F150A"/>
    <w:rsid w:val="000F1525"/>
    <w:rsid w:val="000F15E0"/>
    <w:rsid w:val="000F1807"/>
    <w:rsid w:val="000F18E8"/>
    <w:rsid w:val="000F1923"/>
    <w:rsid w:val="000F1C3C"/>
    <w:rsid w:val="000F1CEF"/>
    <w:rsid w:val="000F1D5C"/>
    <w:rsid w:val="000F1FF1"/>
    <w:rsid w:val="000F22A2"/>
    <w:rsid w:val="000F2391"/>
    <w:rsid w:val="000F24F2"/>
    <w:rsid w:val="000F2C2D"/>
    <w:rsid w:val="000F2C32"/>
    <w:rsid w:val="000F2D5A"/>
    <w:rsid w:val="000F2D5D"/>
    <w:rsid w:val="000F2E69"/>
    <w:rsid w:val="000F2F5A"/>
    <w:rsid w:val="000F3019"/>
    <w:rsid w:val="000F320E"/>
    <w:rsid w:val="000F3251"/>
    <w:rsid w:val="000F3440"/>
    <w:rsid w:val="000F3741"/>
    <w:rsid w:val="000F391F"/>
    <w:rsid w:val="000F3936"/>
    <w:rsid w:val="000F3BD3"/>
    <w:rsid w:val="000F3C1B"/>
    <w:rsid w:val="000F3C1E"/>
    <w:rsid w:val="000F3E81"/>
    <w:rsid w:val="000F4128"/>
    <w:rsid w:val="000F421F"/>
    <w:rsid w:val="000F432A"/>
    <w:rsid w:val="000F4340"/>
    <w:rsid w:val="000F4359"/>
    <w:rsid w:val="000F4392"/>
    <w:rsid w:val="000F457D"/>
    <w:rsid w:val="000F45C8"/>
    <w:rsid w:val="000F46DC"/>
    <w:rsid w:val="000F4EB8"/>
    <w:rsid w:val="000F525E"/>
    <w:rsid w:val="000F53AA"/>
    <w:rsid w:val="000F5781"/>
    <w:rsid w:val="000F5AE4"/>
    <w:rsid w:val="000F5B74"/>
    <w:rsid w:val="000F5BAF"/>
    <w:rsid w:val="000F5BF4"/>
    <w:rsid w:val="000F614E"/>
    <w:rsid w:val="000F61A6"/>
    <w:rsid w:val="000F64B3"/>
    <w:rsid w:val="000F660E"/>
    <w:rsid w:val="000F6754"/>
    <w:rsid w:val="000F6C3E"/>
    <w:rsid w:val="000F6E75"/>
    <w:rsid w:val="000F6EF5"/>
    <w:rsid w:val="000F6FE0"/>
    <w:rsid w:val="000F729A"/>
    <w:rsid w:val="000F7411"/>
    <w:rsid w:val="000F7471"/>
    <w:rsid w:val="000F7477"/>
    <w:rsid w:val="000F7559"/>
    <w:rsid w:val="000F75F0"/>
    <w:rsid w:val="000F78B8"/>
    <w:rsid w:val="000F7A7B"/>
    <w:rsid w:val="000F7BDF"/>
    <w:rsid w:val="000F7E19"/>
    <w:rsid w:val="000F7E33"/>
    <w:rsid w:val="000F7E86"/>
    <w:rsid w:val="00100332"/>
    <w:rsid w:val="001007EC"/>
    <w:rsid w:val="00100888"/>
    <w:rsid w:val="001008B1"/>
    <w:rsid w:val="0010099D"/>
    <w:rsid w:val="001009E4"/>
    <w:rsid w:val="00100C0C"/>
    <w:rsid w:val="00100CEA"/>
    <w:rsid w:val="00100D9F"/>
    <w:rsid w:val="00100EE8"/>
    <w:rsid w:val="00100F83"/>
    <w:rsid w:val="00101187"/>
    <w:rsid w:val="001011C0"/>
    <w:rsid w:val="001011F3"/>
    <w:rsid w:val="001013DF"/>
    <w:rsid w:val="00101687"/>
    <w:rsid w:val="00101828"/>
    <w:rsid w:val="0010193E"/>
    <w:rsid w:val="00101AD5"/>
    <w:rsid w:val="00101DAE"/>
    <w:rsid w:val="00101DEE"/>
    <w:rsid w:val="00101FF7"/>
    <w:rsid w:val="00102057"/>
    <w:rsid w:val="0010213D"/>
    <w:rsid w:val="00102359"/>
    <w:rsid w:val="00102398"/>
    <w:rsid w:val="00102775"/>
    <w:rsid w:val="001027BD"/>
    <w:rsid w:val="001027E4"/>
    <w:rsid w:val="0010284E"/>
    <w:rsid w:val="00102880"/>
    <w:rsid w:val="00102885"/>
    <w:rsid w:val="00102969"/>
    <w:rsid w:val="00102B84"/>
    <w:rsid w:val="00102C79"/>
    <w:rsid w:val="00102DFF"/>
    <w:rsid w:val="00102FAC"/>
    <w:rsid w:val="00102FF2"/>
    <w:rsid w:val="00103426"/>
    <w:rsid w:val="00103577"/>
    <w:rsid w:val="001035B9"/>
    <w:rsid w:val="001037AB"/>
    <w:rsid w:val="00103AFF"/>
    <w:rsid w:val="00103B15"/>
    <w:rsid w:val="00103B5A"/>
    <w:rsid w:val="00103D53"/>
    <w:rsid w:val="00103E9A"/>
    <w:rsid w:val="00104091"/>
    <w:rsid w:val="0010420A"/>
    <w:rsid w:val="00104275"/>
    <w:rsid w:val="001042A2"/>
    <w:rsid w:val="00104326"/>
    <w:rsid w:val="001043FF"/>
    <w:rsid w:val="001044EE"/>
    <w:rsid w:val="0010468E"/>
    <w:rsid w:val="001047A1"/>
    <w:rsid w:val="00104BA1"/>
    <w:rsid w:val="00105329"/>
    <w:rsid w:val="00105432"/>
    <w:rsid w:val="0010556E"/>
    <w:rsid w:val="001057FF"/>
    <w:rsid w:val="00105910"/>
    <w:rsid w:val="00105CAA"/>
    <w:rsid w:val="00105CBA"/>
    <w:rsid w:val="00105D2F"/>
    <w:rsid w:val="00106155"/>
    <w:rsid w:val="0010628A"/>
    <w:rsid w:val="00106379"/>
    <w:rsid w:val="00106474"/>
    <w:rsid w:val="00106619"/>
    <w:rsid w:val="00106787"/>
    <w:rsid w:val="00106D90"/>
    <w:rsid w:val="00106F12"/>
    <w:rsid w:val="00106F48"/>
    <w:rsid w:val="0010704E"/>
    <w:rsid w:val="0010748E"/>
    <w:rsid w:val="00107506"/>
    <w:rsid w:val="001076DB"/>
    <w:rsid w:val="00107B9B"/>
    <w:rsid w:val="00107C93"/>
    <w:rsid w:val="00107EAC"/>
    <w:rsid w:val="0011019A"/>
    <w:rsid w:val="00110308"/>
    <w:rsid w:val="0011093C"/>
    <w:rsid w:val="00110A8E"/>
    <w:rsid w:val="00110AAA"/>
    <w:rsid w:val="00110B4E"/>
    <w:rsid w:val="00110BFD"/>
    <w:rsid w:val="00110E0A"/>
    <w:rsid w:val="00110EA4"/>
    <w:rsid w:val="001114D0"/>
    <w:rsid w:val="001114DC"/>
    <w:rsid w:val="00111502"/>
    <w:rsid w:val="00111509"/>
    <w:rsid w:val="0011157C"/>
    <w:rsid w:val="0011160B"/>
    <w:rsid w:val="001116AA"/>
    <w:rsid w:val="0011172B"/>
    <w:rsid w:val="001119B2"/>
    <w:rsid w:val="00111E06"/>
    <w:rsid w:val="00112011"/>
    <w:rsid w:val="0011228B"/>
    <w:rsid w:val="00112332"/>
    <w:rsid w:val="0011241A"/>
    <w:rsid w:val="0011248A"/>
    <w:rsid w:val="001124E5"/>
    <w:rsid w:val="001124F1"/>
    <w:rsid w:val="0011264D"/>
    <w:rsid w:val="00112795"/>
    <w:rsid w:val="00112C52"/>
    <w:rsid w:val="00112CBE"/>
    <w:rsid w:val="00112D1D"/>
    <w:rsid w:val="00112E42"/>
    <w:rsid w:val="00112F2F"/>
    <w:rsid w:val="00113083"/>
    <w:rsid w:val="001132EB"/>
    <w:rsid w:val="00113492"/>
    <w:rsid w:val="001134F5"/>
    <w:rsid w:val="00113550"/>
    <w:rsid w:val="00113611"/>
    <w:rsid w:val="001136DB"/>
    <w:rsid w:val="001137A9"/>
    <w:rsid w:val="001138ED"/>
    <w:rsid w:val="00113A22"/>
    <w:rsid w:val="00113B1B"/>
    <w:rsid w:val="00113C98"/>
    <w:rsid w:val="00113D38"/>
    <w:rsid w:val="00113DB2"/>
    <w:rsid w:val="00114107"/>
    <w:rsid w:val="0011411F"/>
    <w:rsid w:val="0011414D"/>
    <w:rsid w:val="00114230"/>
    <w:rsid w:val="0011423C"/>
    <w:rsid w:val="001146AB"/>
    <w:rsid w:val="00114704"/>
    <w:rsid w:val="0011477C"/>
    <w:rsid w:val="0011482B"/>
    <w:rsid w:val="00114845"/>
    <w:rsid w:val="00114866"/>
    <w:rsid w:val="00114A64"/>
    <w:rsid w:val="00114C44"/>
    <w:rsid w:val="001150F8"/>
    <w:rsid w:val="00115511"/>
    <w:rsid w:val="00115545"/>
    <w:rsid w:val="00115584"/>
    <w:rsid w:val="00115689"/>
    <w:rsid w:val="00115887"/>
    <w:rsid w:val="001159A4"/>
    <w:rsid w:val="00115DB6"/>
    <w:rsid w:val="00115E64"/>
    <w:rsid w:val="001160BD"/>
    <w:rsid w:val="00116123"/>
    <w:rsid w:val="0011623F"/>
    <w:rsid w:val="00116294"/>
    <w:rsid w:val="001162E4"/>
    <w:rsid w:val="00116351"/>
    <w:rsid w:val="0011638A"/>
    <w:rsid w:val="0011659A"/>
    <w:rsid w:val="001165AD"/>
    <w:rsid w:val="00116734"/>
    <w:rsid w:val="00116923"/>
    <w:rsid w:val="00116BA0"/>
    <w:rsid w:val="00116BD2"/>
    <w:rsid w:val="00116C52"/>
    <w:rsid w:val="00116D11"/>
    <w:rsid w:val="00116D40"/>
    <w:rsid w:val="00116DDD"/>
    <w:rsid w:val="00116EFC"/>
    <w:rsid w:val="0011707B"/>
    <w:rsid w:val="0011726E"/>
    <w:rsid w:val="001172AF"/>
    <w:rsid w:val="001172ED"/>
    <w:rsid w:val="00117434"/>
    <w:rsid w:val="00117604"/>
    <w:rsid w:val="0011792A"/>
    <w:rsid w:val="00117C2E"/>
    <w:rsid w:val="00117C7C"/>
    <w:rsid w:val="001203E2"/>
    <w:rsid w:val="00120485"/>
    <w:rsid w:val="001204C8"/>
    <w:rsid w:val="00120694"/>
    <w:rsid w:val="0012072F"/>
    <w:rsid w:val="00120927"/>
    <w:rsid w:val="001209E4"/>
    <w:rsid w:val="00120A6B"/>
    <w:rsid w:val="00120A93"/>
    <w:rsid w:val="00120D5C"/>
    <w:rsid w:val="00120D80"/>
    <w:rsid w:val="00120D86"/>
    <w:rsid w:val="00120EB7"/>
    <w:rsid w:val="001211DA"/>
    <w:rsid w:val="00121382"/>
    <w:rsid w:val="0012148F"/>
    <w:rsid w:val="00121699"/>
    <w:rsid w:val="001217B6"/>
    <w:rsid w:val="0012180A"/>
    <w:rsid w:val="001219FD"/>
    <w:rsid w:val="00121A7B"/>
    <w:rsid w:val="00121BF8"/>
    <w:rsid w:val="00121C3C"/>
    <w:rsid w:val="00121CAD"/>
    <w:rsid w:val="00121D71"/>
    <w:rsid w:val="0012207F"/>
    <w:rsid w:val="00122204"/>
    <w:rsid w:val="00122434"/>
    <w:rsid w:val="001224AF"/>
    <w:rsid w:val="00122536"/>
    <w:rsid w:val="00122561"/>
    <w:rsid w:val="001225A3"/>
    <w:rsid w:val="00122678"/>
    <w:rsid w:val="00122941"/>
    <w:rsid w:val="00122A07"/>
    <w:rsid w:val="00122CD9"/>
    <w:rsid w:val="00122D84"/>
    <w:rsid w:val="001234C1"/>
    <w:rsid w:val="00123633"/>
    <w:rsid w:val="001237AE"/>
    <w:rsid w:val="0012381B"/>
    <w:rsid w:val="00123876"/>
    <w:rsid w:val="001238DE"/>
    <w:rsid w:val="00123A27"/>
    <w:rsid w:val="00123CFA"/>
    <w:rsid w:val="00123E75"/>
    <w:rsid w:val="00123F2A"/>
    <w:rsid w:val="0012418F"/>
    <w:rsid w:val="0012429D"/>
    <w:rsid w:val="00124673"/>
    <w:rsid w:val="00124727"/>
    <w:rsid w:val="0012477C"/>
    <w:rsid w:val="0012481A"/>
    <w:rsid w:val="0012486E"/>
    <w:rsid w:val="001248DB"/>
    <w:rsid w:val="00124992"/>
    <w:rsid w:val="00124A24"/>
    <w:rsid w:val="00124C60"/>
    <w:rsid w:val="00124CFB"/>
    <w:rsid w:val="00124DA8"/>
    <w:rsid w:val="00124E22"/>
    <w:rsid w:val="00124E3C"/>
    <w:rsid w:val="001251BA"/>
    <w:rsid w:val="00125352"/>
    <w:rsid w:val="001253CD"/>
    <w:rsid w:val="001253F2"/>
    <w:rsid w:val="00125562"/>
    <w:rsid w:val="001256E5"/>
    <w:rsid w:val="00125814"/>
    <w:rsid w:val="001259AA"/>
    <w:rsid w:val="001259B1"/>
    <w:rsid w:val="00125A77"/>
    <w:rsid w:val="00125B24"/>
    <w:rsid w:val="0012619E"/>
    <w:rsid w:val="001261FD"/>
    <w:rsid w:val="00126441"/>
    <w:rsid w:val="00126726"/>
    <w:rsid w:val="00126941"/>
    <w:rsid w:val="00126A87"/>
    <w:rsid w:val="00126B4D"/>
    <w:rsid w:val="00126C04"/>
    <w:rsid w:val="00126D45"/>
    <w:rsid w:val="00126DA0"/>
    <w:rsid w:val="00127326"/>
    <w:rsid w:val="001273AC"/>
    <w:rsid w:val="00127570"/>
    <w:rsid w:val="00127635"/>
    <w:rsid w:val="001276C0"/>
    <w:rsid w:val="00127808"/>
    <w:rsid w:val="0012787C"/>
    <w:rsid w:val="00127B46"/>
    <w:rsid w:val="00127D58"/>
    <w:rsid w:val="00127D6B"/>
    <w:rsid w:val="00127D94"/>
    <w:rsid w:val="00127DBF"/>
    <w:rsid w:val="00130317"/>
    <w:rsid w:val="00130633"/>
    <w:rsid w:val="00130647"/>
    <w:rsid w:val="001306DF"/>
    <w:rsid w:val="00130984"/>
    <w:rsid w:val="001309CF"/>
    <w:rsid w:val="001309F8"/>
    <w:rsid w:val="00130AF6"/>
    <w:rsid w:val="00130F4D"/>
    <w:rsid w:val="00130FFC"/>
    <w:rsid w:val="00131006"/>
    <w:rsid w:val="0013106C"/>
    <w:rsid w:val="001311C9"/>
    <w:rsid w:val="0013125A"/>
    <w:rsid w:val="00131478"/>
    <w:rsid w:val="001315A1"/>
    <w:rsid w:val="001315D0"/>
    <w:rsid w:val="00131651"/>
    <w:rsid w:val="001316B3"/>
    <w:rsid w:val="00131778"/>
    <w:rsid w:val="001317A0"/>
    <w:rsid w:val="00131815"/>
    <w:rsid w:val="00131C1E"/>
    <w:rsid w:val="00131DEE"/>
    <w:rsid w:val="00132073"/>
    <w:rsid w:val="00132093"/>
    <w:rsid w:val="0013211D"/>
    <w:rsid w:val="00132196"/>
    <w:rsid w:val="001327C5"/>
    <w:rsid w:val="001327C8"/>
    <w:rsid w:val="0013296E"/>
    <w:rsid w:val="00132C19"/>
    <w:rsid w:val="00133162"/>
    <w:rsid w:val="00133359"/>
    <w:rsid w:val="00133916"/>
    <w:rsid w:val="00133A74"/>
    <w:rsid w:val="00133C24"/>
    <w:rsid w:val="00133E3E"/>
    <w:rsid w:val="00133FB4"/>
    <w:rsid w:val="00134166"/>
    <w:rsid w:val="001342BA"/>
    <w:rsid w:val="0013439E"/>
    <w:rsid w:val="001343BF"/>
    <w:rsid w:val="00134410"/>
    <w:rsid w:val="00134691"/>
    <w:rsid w:val="001347BB"/>
    <w:rsid w:val="0013491A"/>
    <w:rsid w:val="00134C99"/>
    <w:rsid w:val="00134EA9"/>
    <w:rsid w:val="00134EDC"/>
    <w:rsid w:val="001353AE"/>
    <w:rsid w:val="00135684"/>
    <w:rsid w:val="001359B2"/>
    <w:rsid w:val="00135B03"/>
    <w:rsid w:val="00135C36"/>
    <w:rsid w:val="00135DCD"/>
    <w:rsid w:val="00135EA4"/>
    <w:rsid w:val="00136324"/>
    <w:rsid w:val="001366B6"/>
    <w:rsid w:val="001369B9"/>
    <w:rsid w:val="00136EA7"/>
    <w:rsid w:val="00136EDE"/>
    <w:rsid w:val="0013718D"/>
    <w:rsid w:val="00137255"/>
    <w:rsid w:val="0013725B"/>
    <w:rsid w:val="001373A3"/>
    <w:rsid w:val="00137570"/>
    <w:rsid w:val="0013774A"/>
    <w:rsid w:val="001377C2"/>
    <w:rsid w:val="00137987"/>
    <w:rsid w:val="00137B6C"/>
    <w:rsid w:val="00137CCA"/>
    <w:rsid w:val="00137CFF"/>
    <w:rsid w:val="00140041"/>
    <w:rsid w:val="001401A1"/>
    <w:rsid w:val="001401A7"/>
    <w:rsid w:val="0014026A"/>
    <w:rsid w:val="00140354"/>
    <w:rsid w:val="0014042A"/>
    <w:rsid w:val="0014062E"/>
    <w:rsid w:val="0014065D"/>
    <w:rsid w:val="00140671"/>
    <w:rsid w:val="001406FB"/>
    <w:rsid w:val="00140B51"/>
    <w:rsid w:val="00140C74"/>
    <w:rsid w:val="00140CF4"/>
    <w:rsid w:val="00140D3B"/>
    <w:rsid w:val="00140DE4"/>
    <w:rsid w:val="0014102C"/>
    <w:rsid w:val="0014108E"/>
    <w:rsid w:val="001411A1"/>
    <w:rsid w:val="0014146B"/>
    <w:rsid w:val="0014156C"/>
    <w:rsid w:val="00141696"/>
    <w:rsid w:val="0014183E"/>
    <w:rsid w:val="001418BE"/>
    <w:rsid w:val="001418FB"/>
    <w:rsid w:val="00141998"/>
    <w:rsid w:val="00141A0C"/>
    <w:rsid w:val="00141B46"/>
    <w:rsid w:val="00141BFA"/>
    <w:rsid w:val="00141DB4"/>
    <w:rsid w:val="00142023"/>
    <w:rsid w:val="00142069"/>
    <w:rsid w:val="00142148"/>
    <w:rsid w:val="001421A1"/>
    <w:rsid w:val="0014252F"/>
    <w:rsid w:val="001426E7"/>
    <w:rsid w:val="001426FF"/>
    <w:rsid w:val="00142764"/>
    <w:rsid w:val="00142810"/>
    <w:rsid w:val="00142A3D"/>
    <w:rsid w:val="00142B4F"/>
    <w:rsid w:val="00142C7D"/>
    <w:rsid w:val="00142E26"/>
    <w:rsid w:val="00142E62"/>
    <w:rsid w:val="00142F6A"/>
    <w:rsid w:val="00142FC1"/>
    <w:rsid w:val="00142FDB"/>
    <w:rsid w:val="001430CC"/>
    <w:rsid w:val="00143306"/>
    <w:rsid w:val="00143637"/>
    <w:rsid w:val="00143820"/>
    <w:rsid w:val="00143B28"/>
    <w:rsid w:val="00143B46"/>
    <w:rsid w:val="00143B84"/>
    <w:rsid w:val="00143BAE"/>
    <w:rsid w:val="00143D6B"/>
    <w:rsid w:val="00143EC6"/>
    <w:rsid w:val="00143F6C"/>
    <w:rsid w:val="001442FE"/>
    <w:rsid w:val="001445C4"/>
    <w:rsid w:val="0014461B"/>
    <w:rsid w:val="00144922"/>
    <w:rsid w:val="00144A8B"/>
    <w:rsid w:val="00144E66"/>
    <w:rsid w:val="00145093"/>
    <w:rsid w:val="00145195"/>
    <w:rsid w:val="00145391"/>
    <w:rsid w:val="001453CB"/>
    <w:rsid w:val="001453D9"/>
    <w:rsid w:val="001453F8"/>
    <w:rsid w:val="00145491"/>
    <w:rsid w:val="001455DC"/>
    <w:rsid w:val="001457DA"/>
    <w:rsid w:val="001458D6"/>
    <w:rsid w:val="0014598A"/>
    <w:rsid w:val="00145B9F"/>
    <w:rsid w:val="00145D34"/>
    <w:rsid w:val="00145DE0"/>
    <w:rsid w:val="00145E55"/>
    <w:rsid w:val="00145E90"/>
    <w:rsid w:val="00145EE3"/>
    <w:rsid w:val="0014617E"/>
    <w:rsid w:val="00146273"/>
    <w:rsid w:val="00146318"/>
    <w:rsid w:val="0014641F"/>
    <w:rsid w:val="0014657C"/>
    <w:rsid w:val="00146814"/>
    <w:rsid w:val="00146883"/>
    <w:rsid w:val="001469FF"/>
    <w:rsid w:val="00146ED6"/>
    <w:rsid w:val="001472F4"/>
    <w:rsid w:val="00147588"/>
    <w:rsid w:val="00147598"/>
    <w:rsid w:val="001475C0"/>
    <w:rsid w:val="00147C91"/>
    <w:rsid w:val="00147FF0"/>
    <w:rsid w:val="00150143"/>
    <w:rsid w:val="001505F4"/>
    <w:rsid w:val="00150734"/>
    <w:rsid w:val="0015090F"/>
    <w:rsid w:val="00150949"/>
    <w:rsid w:val="00150967"/>
    <w:rsid w:val="00150A30"/>
    <w:rsid w:val="00150AD4"/>
    <w:rsid w:val="00150AD9"/>
    <w:rsid w:val="00150B88"/>
    <w:rsid w:val="00150BD7"/>
    <w:rsid w:val="00150C63"/>
    <w:rsid w:val="0015112C"/>
    <w:rsid w:val="001514D9"/>
    <w:rsid w:val="0015157B"/>
    <w:rsid w:val="0015161E"/>
    <w:rsid w:val="0015174F"/>
    <w:rsid w:val="001518C4"/>
    <w:rsid w:val="00151D35"/>
    <w:rsid w:val="00152284"/>
    <w:rsid w:val="001522D2"/>
    <w:rsid w:val="001523FD"/>
    <w:rsid w:val="0015243A"/>
    <w:rsid w:val="0015250E"/>
    <w:rsid w:val="001525A8"/>
    <w:rsid w:val="00152678"/>
    <w:rsid w:val="001526AE"/>
    <w:rsid w:val="00152821"/>
    <w:rsid w:val="00152894"/>
    <w:rsid w:val="00152A42"/>
    <w:rsid w:val="00152C4C"/>
    <w:rsid w:val="00152CDC"/>
    <w:rsid w:val="00152CE3"/>
    <w:rsid w:val="00152CF6"/>
    <w:rsid w:val="00152F8A"/>
    <w:rsid w:val="00153637"/>
    <w:rsid w:val="00153660"/>
    <w:rsid w:val="00153886"/>
    <w:rsid w:val="00153A67"/>
    <w:rsid w:val="00153B86"/>
    <w:rsid w:val="00153DFD"/>
    <w:rsid w:val="00154445"/>
    <w:rsid w:val="001544B7"/>
    <w:rsid w:val="00154557"/>
    <w:rsid w:val="00154626"/>
    <w:rsid w:val="001547C8"/>
    <w:rsid w:val="00154803"/>
    <w:rsid w:val="00154ABA"/>
    <w:rsid w:val="00155085"/>
    <w:rsid w:val="001551CE"/>
    <w:rsid w:val="001551E5"/>
    <w:rsid w:val="001552AB"/>
    <w:rsid w:val="0015545B"/>
    <w:rsid w:val="0015571E"/>
    <w:rsid w:val="00155786"/>
    <w:rsid w:val="00155854"/>
    <w:rsid w:val="0015587D"/>
    <w:rsid w:val="00155959"/>
    <w:rsid w:val="00155A8D"/>
    <w:rsid w:val="00155AF2"/>
    <w:rsid w:val="00155BD1"/>
    <w:rsid w:val="00155C06"/>
    <w:rsid w:val="00155C2B"/>
    <w:rsid w:val="00155D24"/>
    <w:rsid w:val="00155D86"/>
    <w:rsid w:val="00155F33"/>
    <w:rsid w:val="00155F51"/>
    <w:rsid w:val="00156081"/>
    <w:rsid w:val="0015624B"/>
    <w:rsid w:val="00156541"/>
    <w:rsid w:val="001565F5"/>
    <w:rsid w:val="001566E0"/>
    <w:rsid w:val="00156D2A"/>
    <w:rsid w:val="00156DEE"/>
    <w:rsid w:val="00156EA9"/>
    <w:rsid w:val="00157196"/>
    <w:rsid w:val="0015740A"/>
    <w:rsid w:val="00157479"/>
    <w:rsid w:val="00157556"/>
    <w:rsid w:val="00157758"/>
    <w:rsid w:val="001577B7"/>
    <w:rsid w:val="00157907"/>
    <w:rsid w:val="001579B5"/>
    <w:rsid w:val="00157A95"/>
    <w:rsid w:val="00157B41"/>
    <w:rsid w:val="00157B71"/>
    <w:rsid w:val="00157BA1"/>
    <w:rsid w:val="00157BC2"/>
    <w:rsid w:val="00157C29"/>
    <w:rsid w:val="00157E0F"/>
    <w:rsid w:val="00157EE1"/>
    <w:rsid w:val="0016000E"/>
    <w:rsid w:val="001604D2"/>
    <w:rsid w:val="001606D3"/>
    <w:rsid w:val="00160A3E"/>
    <w:rsid w:val="00160B45"/>
    <w:rsid w:val="00160BC6"/>
    <w:rsid w:val="00160EF8"/>
    <w:rsid w:val="00160FF1"/>
    <w:rsid w:val="0016120A"/>
    <w:rsid w:val="00161477"/>
    <w:rsid w:val="001614B1"/>
    <w:rsid w:val="001614DB"/>
    <w:rsid w:val="00161500"/>
    <w:rsid w:val="00161593"/>
    <w:rsid w:val="00161605"/>
    <w:rsid w:val="00161677"/>
    <w:rsid w:val="001616B2"/>
    <w:rsid w:val="001616E2"/>
    <w:rsid w:val="00161709"/>
    <w:rsid w:val="00161946"/>
    <w:rsid w:val="001619DD"/>
    <w:rsid w:val="00161BE4"/>
    <w:rsid w:val="00161D2F"/>
    <w:rsid w:val="00161D3A"/>
    <w:rsid w:val="00161E9B"/>
    <w:rsid w:val="00161F38"/>
    <w:rsid w:val="001621E1"/>
    <w:rsid w:val="00162221"/>
    <w:rsid w:val="001623DB"/>
    <w:rsid w:val="001627AF"/>
    <w:rsid w:val="001627D4"/>
    <w:rsid w:val="00162DB6"/>
    <w:rsid w:val="00162F22"/>
    <w:rsid w:val="00163007"/>
    <w:rsid w:val="0016311C"/>
    <w:rsid w:val="00163222"/>
    <w:rsid w:val="00163246"/>
    <w:rsid w:val="0016328F"/>
    <w:rsid w:val="001632BC"/>
    <w:rsid w:val="00163669"/>
    <w:rsid w:val="00163747"/>
    <w:rsid w:val="0016384E"/>
    <w:rsid w:val="00163868"/>
    <w:rsid w:val="001638F2"/>
    <w:rsid w:val="00163B94"/>
    <w:rsid w:val="00163DF7"/>
    <w:rsid w:val="00163ED5"/>
    <w:rsid w:val="00163F34"/>
    <w:rsid w:val="00163F54"/>
    <w:rsid w:val="00163FD4"/>
    <w:rsid w:val="001642CA"/>
    <w:rsid w:val="001643D1"/>
    <w:rsid w:val="0016449D"/>
    <w:rsid w:val="001645DB"/>
    <w:rsid w:val="00164621"/>
    <w:rsid w:val="00164B5D"/>
    <w:rsid w:val="00164DC2"/>
    <w:rsid w:val="00164F91"/>
    <w:rsid w:val="001652D5"/>
    <w:rsid w:val="00165BA1"/>
    <w:rsid w:val="00165FBB"/>
    <w:rsid w:val="0016657F"/>
    <w:rsid w:val="001667E4"/>
    <w:rsid w:val="00166CE8"/>
    <w:rsid w:val="00166DA1"/>
    <w:rsid w:val="00166F31"/>
    <w:rsid w:val="00166FE5"/>
    <w:rsid w:val="001672B1"/>
    <w:rsid w:val="00167328"/>
    <w:rsid w:val="0016739C"/>
    <w:rsid w:val="00167692"/>
    <w:rsid w:val="001677C4"/>
    <w:rsid w:val="001679B6"/>
    <w:rsid w:val="00167C90"/>
    <w:rsid w:val="00167F67"/>
    <w:rsid w:val="001701A9"/>
    <w:rsid w:val="0017066C"/>
    <w:rsid w:val="001706B6"/>
    <w:rsid w:val="00170C88"/>
    <w:rsid w:val="001710BF"/>
    <w:rsid w:val="00171242"/>
    <w:rsid w:val="0017142E"/>
    <w:rsid w:val="00171511"/>
    <w:rsid w:val="00171745"/>
    <w:rsid w:val="00171987"/>
    <w:rsid w:val="0017198C"/>
    <w:rsid w:val="00171ACA"/>
    <w:rsid w:val="00171C87"/>
    <w:rsid w:val="00171F05"/>
    <w:rsid w:val="00171FDA"/>
    <w:rsid w:val="00172199"/>
    <w:rsid w:val="00172474"/>
    <w:rsid w:val="0017275D"/>
    <w:rsid w:val="00172A7C"/>
    <w:rsid w:val="00172AD0"/>
    <w:rsid w:val="00172D65"/>
    <w:rsid w:val="00172E6E"/>
    <w:rsid w:val="00173293"/>
    <w:rsid w:val="001732E3"/>
    <w:rsid w:val="00173360"/>
    <w:rsid w:val="00173689"/>
    <w:rsid w:val="0017385B"/>
    <w:rsid w:val="001738CE"/>
    <w:rsid w:val="0017394A"/>
    <w:rsid w:val="00173A4A"/>
    <w:rsid w:val="00173AAA"/>
    <w:rsid w:val="00173AEB"/>
    <w:rsid w:val="00173B83"/>
    <w:rsid w:val="001740FD"/>
    <w:rsid w:val="00174201"/>
    <w:rsid w:val="0017425C"/>
    <w:rsid w:val="001742F1"/>
    <w:rsid w:val="00174477"/>
    <w:rsid w:val="001745FC"/>
    <w:rsid w:val="00174798"/>
    <w:rsid w:val="001747E5"/>
    <w:rsid w:val="00174809"/>
    <w:rsid w:val="00174825"/>
    <w:rsid w:val="001749E5"/>
    <w:rsid w:val="00174CE9"/>
    <w:rsid w:val="00174CFF"/>
    <w:rsid w:val="0017527E"/>
    <w:rsid w:val="00175493"/>
    <w:rsid w:val="00175695"/>
    <w:rsid w:val="001756B2"/>
    <w:rsid w:val="001756E1"/>
    <w:rsid w:val="001757F3"/>
    <w:rsid w:val="001759F4"/>
    <w:rsid w:val="00175BA9"/>
    <w:rsid w:val="00175D2A"/>
    <w:rsid w:val="00175D43"/>
    <w:rsid w:val="00175DD1"/>
    <w:rsid w:val="00175E01"/>
    <w:rsid w:val="00175FEA"/>
    <w:rsid w:val="0017625F"/>
    <w:rsid w:val="00176276"/>
    <w:rsid w:val="00176358"/>
    <w:rsid w:val="0017639D"/>
    <w:rsid w:val="0017659F"/>
    <w:rsid w:val="001766AD"/>
    <w:rsid w:val="001768AD"/>
    <w:rsid w:val="001768C1"/>
    <w:rsid w:val="00176913"/>
    <w:rsid w:val="00176BBD"/>
    <w:rsid w:val="00176BFF"/>
    <w:rsid w:val="00176C4C"/>
    <w:rsid w:val="00176C5D"/>
    <w:rsid w:val="00176CC8"/>
    <w:rsid w:val="00176DE9"/>
    <w:rsid w:val="00176DFB"/>
    <w:rsid w:val="00177070"/>
    <w:rsid w:val="00177071"/>
    <w:rsid w:val="001770D8"/>
    <w:rsid w:val="001772D3"/>
    <w:rsid w:val="00177355"/>
    <w:rsid w:val="0017736D"/>
    <w:rsid w:val="00177420"/>
    <w:rsid w:val="0017751E"/>
    <w:rsid w:val="001776DF"/>
    <w:rsid w:val="001779C5"/>
    <w:rsid w:val="00177AC6"/>
    <w:rsid w:val="00177C4F"/>
    <w:rsid w:val="00177DF6"/>
    <w:rsid w:val="00177EDE"/>
    <w:rsid w:val="00177F32"/>
    <w:rsid w:val="00180284"/>
    <w:rsid w:val="001802A6"/>
    <w:rsid w:val="001803C7"/>
    <w:rsid w:val="00180400"/>
    <w:rsid w:val="001805B3"/>
    <w:rsid w:val="00180618"/>
    <w:rsid w:val="00180696"/>
    <w:rsid w:val="001806E3"/>
    <w:rsid w:val="001808BC"/>
    <w:rsid w:val="00180B7E"/>
    <w:rsid w:val="00180CBD"/>
    <w:rsid w:val="00180DCC"/>
    <w:rsid w:val="00181303"/>
    <w:rsid w:val="001817A8"/>
    <w:rsid w:val="001818AD"/>
    <w:rsid w:val="001818F0"/>
    <w:rsid w:val="00181AF0"/>
    <w:rsid w:val="00181F02"/>
    <w:rsid w:val="00181F3F"/>
    <w:rsid w:val="001820BB"/>
    <w:rsid w:val="0018215B"/>
    <w:rsid w:val="00182505"/>
    <w:rsid w:val="001827E8"/>
    <w:rsid w:val="00182831"/>
    <w:rsid w:val="00182BC7"/>
    <w:rsid w:val="00182CBE"/>
    <w:rsid w:val="00182F86"/>
    <w:rsid w:val="001831E9"/>
    <w:rsid w:val="001833BB"/>
    <w:rsid w:val="0018341D"/>
    <w:rsid w:val="00183658"/>
    <w:rsid w:val="00183800"/>
    <w:rsid w:val="00183879"/>
    <w:rsid w:val="00183925"/>
    <w:rsid w:val="00183A81"/>
    <w:rsid w:val="00183B1B"/>
    <w:rsid w:val="00183B4C"/>
    <w:rsid w:val="00183BEC"/>
    <w:rsid w:val="00183EDB"/>
    <w:rsid w:val="00183FEB"/>
    <w:rsid w:val="0018433A"/>
    <w:rsid w:val="0018439A"/>
    <w:rsid w:val="001843D4"/>
    <w:rsid w:val="00184644"/>
    <w:rsid w:val="0018471E"/>
    <w:rsid w:val="00184727"/>
    <w:rsid w:val="00184768"/>
    <w:rsid w:val="00184795"/>
    <w:rsid w:val="00184811"/>
    <w:rsid w:val="001851FB"/>
    <w:rsid w:val="00185303"/>
    <w:rsid w:val="00185449"/>
    <w:rsid w:val="00185486"/>
    <w:rsid w:val="00185547"/>
    <w:rsid w:val="00185682"/>
    <w:rsid w:val="001858E2"/>
    <w:rsid w:val="00186021"/>
    <w:rsid w:val="001862C9"/>
    <w:rsid w:val="0018636D"/>
    <w:rsid w:val="0018646D"/>
    <w:rsid w:val="001864EC"/>
    <w:rsid w:val="00186806"/>
    <w:rsid w:val="00186845"/>
    <w:rsid w:val="001868D2"/>
    <w:rsid w:val="00186C5F"/>
    <w:rsid w:val="00186EB7"/>
    <w:rsid w:val="00186ECF"/>
    <w:rsid w:val="001870FF"/>
    <w:rsid w:val="001871A5"/>
    <w:rsid w:val="001874CC"/>
    <w:rsid w:val="001877C2"/>
    <w:rsid w:val="001877E8"/>
    <w:rsid w:val="001878AD"/>
    <w:rsid w:val="001878BE"/>
    <w:rsid w:val="00187916"/>
    <w:rsid w:val="00187984"/>
    <w:rsid w:val="00187A32"/>
    <w:rsid w:val="00187BA7"/>
    <w:rsid w:val="00187CDA"/>
    <w:rsid w:val="00187DC5"/>
    <w:rsid w:val="00187FCC"/>
    <w:rsid w:val="001901FB"/>
    <w:rsid w:val="0019049D"/>
    <w:rsid w:val="0019058D"/>
    <w:rsid w:val="001908EA"/>
    <w:rsid w:val="00190946"/>
    <w:rsid w:val="00190A36"/>
    <w:rsid w:val="00190AE0"/>
    <w:rsid w:val="00190D22"/>
    <w:rsid w:val="00190D56"/>
    <w:rsid w:val="00190DA9"/>
    <w:rsid w:val="00190DF0"/>
    <w:rsid w:val="00190DFE"/>
    <w:rsid w:val="001916DF"/>
    <w:rsid w:val="00191798"/>
    <w:rsid w:val="001917E9"/>
    <w:rsid w:val="00191929"/>
    <w:rsid w:val="0019195F"/>
    <w:rsid w:val="00191AF3"/>
    <w:rsid w:val="00191BA0"/>
    <w:rsid w:val="00191C1F"/>
    <w:rsid w:val="00191CF4"/>
    <w:rsid w:val="00191EDC"/>
    <w:rsid w:val="001921FD"/>
    <w:rsid w:val="00192336"/>
    <w:rsid w:val="00192553"/>
    <w:rsid w:val="00192722"/>
    <w:rsid w:val="0019276E"/>
    <w:rsid w:val="00192975"/>
    <w:rsid w:val="00192D2B"/>
    <w:rsid w:val="00192DA9"/>
    <w:rsid w:val="00193314"/>
    <w:rsid w:val="00193439"/>
    <w:rsid w:val="001937C9"/>
    <w:rsid w:val="001937ED"/>
    <w:rsid w:val="00193856"/>
    <w:rsid w:val="001938BB"/>
    <w:rsid w:val="0019394D"/>
    <w:rsid w:val="0019397A"/>
    <w:rsid w:val="00193991"/>
    <w:rsid w:val="00193C44"/>
    <w:rsid w:val="00193D29"/>
    <w:rsid w:val="00193EA3"/>
    <w:rsid w:val="001941FD"/>
    <w:rsid w:val="00194259"/>
    <w:rsid w:val="0019433B"/>
    <w:rsid w:val="00194347"/>
    <w:rsid w:val="001944EB"/>
    <w:rsid w:val="00194515"/>
    <w:rsid w:val="001946D8"/>
    <w:rsid w:val="00194930"/>
    <w:rsid w:val="00194AD1"/>
    <w:rsid w:val="00194B29"/>
    <w:rsid w:val="00194BEA"/>
    <w:rsid w:val="00194C3C"/>
    <w:rsid w:val="00194DFF"/>
    <w:rsid w:val="00194F4D"/>
    <w:rsid w:val="001950CC"/>
    <w:rsid w:val="001951C4"/>
    <w:rsid w:val="0019528D"/>
    <w:rsid w:val="001952E3"/>
    <w:rsid w:val="00195324"/>
    <w:rsid w:val="001953D5"/>
    <w:rsid w:val="001953F0"/>
    <w:rsid w:val="0019544B"/>
    <w:rsid w:val="001955A3"/>
    <w:rsid w:val="00195849"/>
    <w:rsid w:val="00195A6E"/>
    <w:rsid w:val="00195B27"/>
    <w:rsid w:val="00195C9E"/>
    <w:rsid w:val="00195CCA"/>
    <w:rsid w:val="001962AC"/>
    <w:rsid w:val="00196347"/>
    <w:rsid w:val="00196523"/>
    <w:rsid w:val="0019669B"/>
    <w:rsid w:val="001966C9"/>
    <w:rsid w:val="00196771"/>
    <w:rsid w:val="00196801"/>
    <w:rsid w:val="0019695D"/>
    <w:rsid w:val="001969FC"/>
    <w:rsid w:val="00196A43"/>
    <w:rsid w:val="00196AE7"/>
    <w:rsid w:val="00196DCB"/>
    <w:rsid w:val="00196F6D"/>
    <w:rsid w:val="00196FB4"/>
    <w:rsid w:val="00196FD0"/>
    <w:rsid w:val="00197014"/>
    <w:rsid w:val="0019708F"/>
    <w:rsid w:val="001972F9"/>
    <w:rsid w:val="001973FB"/>
    <w:rsid w:val="00197507"/>
    <w:rsid w:val="001975BA"/>
    <w:rsid w:val="00197735"/>
    <w:rsid w:val="00197855"/>
    <w:rsid w:val="001979CB"/>
    <w:rsid w:val="00197DAC"/>
    <w:rsid w:val="001A00AF"/>
    <w:rsid w:val="001A01E2"/>
    <w:rsid w:val="001A02E9"/>
    <w:rsid w:val="001A064A"/>
    <w:rsid w:val="001A064C"/>
    <w:rsid w:val="001A06CD"/>
    <w:rsid w:val="001A0C7B"/>
    <w:rsid w:val="001A0CE4"/>
    <w:rsid w:val="001A1077"/>
    <w:rsid w:val="001A1157"/>
    <w:rsid w:val="001A1317"/>
    <w:rsid w:val="001A138A"/>
    <w:rsid w:val="001A16FB"/>
    <w:rsid w:val="001A1749"/>
    <w:rsid w:val="001A185E"/>
    <w:rsid w:val="001A1A69"/>
    <w:rsid w:val="001A1AC3"/>
    <w:rsid w:val="001A1CAC"/>
    <w:rsid w:val="001A1CB8"/>
    <w:rsid w:val="001A1D66"/>
    <w:rsid w:val="001A2258"/>
    <w:rsid w:val="001A22E8"/>
    <w:rsid w:val="001A23BF"/>
    <w:rsid w:val="001A24E4"/>
    <w:rsid w:val="001A2946"/>
    <w:rsid w:val="001A29D8"/>
    <w:rsid w:val="001A2A08"/>
    <w:rsid w:val="001A2D7B"/>
    <w:rsid w:val="001A2E98"/>
    <w:rsid w:val="001A2F3A"/>
    <w:rsid w:val="001A32AE"/>
    <w:rsid w:val="001A332F"/>
    <w:rsid w:val="001A35D6"/>
    <w:rsid w:val="001A365A"/>
    <w:rsid w:val="001A36FF"/>
    <w:rsid w:val="001A3840"/>
    <w:rsid w:val="001A40FC"/>
    <w:rsid w:val="001A417E"/>
    <w:rsid w:val="001A488E"/>
    <w:rsid w:val="001A4B33"/>
    <w:rsid w:val="001A4BF9"/>
    <w:rsid w:val="001A4E6A"/>
    <w:rsid w:val="001A4FA2"/>
    <w:rsid w:val="001A50D1"/>
    <w:rsid w:val="001A51E8"/>
    <w:rsid w:val="001A537A"/>
    <w:rsid w:val="001A546D"/>
    <w:rsid w:val="001A558E"/>
    <w:rsid w:val="001A55FD"/>
    <w:rsid w:val="001A564C"/>
    <w:rsid w:val="001A58CE"/>
    <w:rsid w:val="001A5903"/>
    <w:rsid w:val="001A59BD"/>
    <w:rsid w:val="001A5B2E"/>
    <w:rsid w:val="001A5F70"/>
    <w:rsid w:val="001A6032"/>
    <w:rsid w:val="001A6062"/>
    <w:rsid w:val="001A61CF"/>
    <w:rsid w:val="001A62D2"/>
    <w:rsid w:val="001A6787"/>
    <w:rsid w:val="001A6938"/>
    <w:rsid w:val="001A69B5"/>
    <w:rsid w:val="001A6A28"/>
    <w:rsid w:val="001A6B7B"/>
    <w:rsid w:val="001A6C67"/>
    <w:rsid w:val="001A6E27"/>
    <w:rsid w:val="001A7250"/>
    <w:rsid w:val="001A7491"/>
    <w:rsid w:val="001A74C1"/>
    <w:rsid w:val="001A762F"/>
    <w:rsid w:val="001A76FC"/>
    <w:rsid w:val="001A7770"/>
    <w:rsid w:val="001A7782"/>
    <w:rsid w:val="001A779C"/>
    <w:rsid w:val="001A77F1"/>
    <w:rsid w:val="001A7872"/>
    <w:rsid w:val="001A788A"/>
    <w:rsid w:val="001A7912"/>
    <w:rsid w:val="001A7B07"/>
    <w:rsid w:val="001A7F76"/>
    <w:rsid w:val="001B019C"/>
    <w:rsid w:val="001B03DA"/>
    <w:rsid w:val="001B03F3"/>
    <w:rsid w:val="001B056F"/>
    <w:rsid w:val="001B0672"/>
    <w:rsid w:val="001B06C8"/>
    <w:rsid w:val="001B07E0"/>
    <w:rsid w:val="001B0BED"/>
    <w:rsid w:val="001B0E2C"/>
    <w:rsid w:val="001B0E75"/>
    <w:rsid w:val="001B0EDB"/>
    <w:rsid w:val="001B0F8E"/>
    <w:rsid w:val="001B1200"/>
    <w:rsid w:val="001B1516"/>
    <w:rsid w:val="001B166E"/>
    <w:rsid w:val="001B19E2"/>
    <w:rsid w:val="001B1A73"/>
    <w:rsid w:val="001B1B65"/>
    <w:rsid w:val="001B1D0E"/>
    <w:rsid w:val="001B1E48"/>
    <w:rsid w:val="001B1E6F"/>
    <w:rsid w:val="001B1F5C"/>
    <w:rsid w:val="001B23B6"/>
    <w:rsid w:val="001B25DE"/>
    <w:rsid w:val="001B2A61"/>
    <w:rsid w:val="001B2A80"/>
    <w:rsid w:val="001B2ABB"/>
    <w:rsid w:val="001B2CA1"/>
    <w:rsid w:val="001B2DA6"/>
    <w:rsid w:val="001B2FF9"/>
    <w:rsid w:val="001B308B"/>
    <w:rsid w:val="001B33A2"/>
    <w:rsid w:val="001B350C"/>
    <w:rsid w:val="001B37C0"/>
    <w:rsid w:val="001B3803"/>
    <w:rsid w:val="001B3843"/>
    <w:rsid w:val="001B396C"/>
    <w:rsid w:val="001B3B95"/>
    <w:rsid w:val="001B3BDA"/>
    <w:rsid w:val="001B3C86"/>
    <w:rsid w:val="001B3CFD"/>
    <w:rsid w:val="001B3D1C"/>
    <w:rsid w:val="001B4042"/>
    <w:rsid w:val="001B4056"/>
    <w:rsid w:val="001B40C0"/>
    <w:rsid w:val="001B4433"/>
    <w:rsid w:val="001B46FA"/>
    <w:rsid w:val="001B4C06"/>
    <w:rsid w:val="001B4C6F"/>
    <w:rsid w:val="001B4EFB"/>
    <w:rsid w:val="001B52BC"/>
    <w:rsid w:val="001B5466"/>
    <w:rsid w:val="001B56C8"/>
    <w:rsid w:val="001B5759"/>
    <w:rsid w:val="001B59E2"/>
    <w:rsid w:val="001B5E34"/>
    <w:rsid w:val="001B5E5B"/>
    <w:rsid w:val="001B60F3"/>
    <w:rsid w:val="001B61C7"/>
    <w:rsid w:val="001B6369"/>
    <w:rsid w:val="001B6449"/>
    <w:rsid w:val="001B645E"/>
    <w:rsid w:val="001B68A7"/>
    <w:rsid w:val="001B6AA9"/>
    <w:rsid w:val="001B6BDE"/>
    <w:rsid w:val="001B6C24"/>
    <w:rsid w:val="001B6C43"/>
    <w:rsid w:val="001B6D87"/>
    <w:rsid w:val="001B6E6B"/>
    <w:rsid w:val="001B6EAA"/>
    <w:rsid w:val="001B6FF2"/>
    <w:rsid w:val="001B70C8"/>
    <w:rsid w:val="001B737C"/>
    <w:rsid w:val="001B7410"/>
    <w:rsid w:val="001B74F4"/>
    <w:rsid w:val="001B75D0"/>
    <w:rsid w:val="001B776A"/>
    <w:rsid w:val="001B79F3"/>
    <w:rsid w:val="001B7B08"/>
    <w:rsid w:val="001B7B22"/>
    <w:rsid w:val="001C01B3"/>
    <w:rsid w:val="001C0592"/>
    <w:rsid w:val="001C0678"/>
    <w:rsid w:val="001C0687"/>
    <w:rsid w:val="001C06C8"/>
    <w:rsid w:val="001C08CC"/>
    <w:rsid w:val="001C09C5"/>
    <w:rsid w:val="001C0A0C"/>
    <w:rsid w:val="001C0BF3"/>
    <w:rsid w:val="001C0DBD"/>
    <w:rsid w:val="001C0F0E"/>
    <w:rsid w:val="001C1113"/>
    <w:rsid w:val="001C1286"/>
    <w:rsid w:val="001C13A0"/>
    <w:rsid w:val="001C13B3"/>
    <w:rsid w:val="001C141C"/>
    <w:rsid w:val="001C1421"/>
    <w:rsid w:val="001C1457"/>
    <w:rsid w:val="001C147D"/>
    <w:rsid w:val="001C1521"/>
    <w:rsid w:val="001C153A"/>
    <w:rsid w:val="001C176E"/>
    <w:rsid w:val="001C179B"/>
    <w:rsid w:val="001C17A1"/>
    <w:rsid w:val="001C17ED"/>
    <w:rsid w:val="001C195C"/>
    <w:rsid w:val="001C1D51"/>
    <w:rsid w:val="001C2259"/>
    <w:rsid w:val="001C25EF"/>
    <w:rsid w:val="001C2614"/>
    <w:rsid w:val="001C28FD"/>
    <w:rsid w:val="001C290A"/>
    <w:rsid w:val="001C29FD"/>
    <w:rsid w:val="001C2B49"/>
    <w:rsid w:val="001C2C29"/>
    <w:rsid w:val="001C2FDE"/>
    <w:rsid w:val="001C301E"/>
    <w:rsid w:val="001C30A0"/>
    <w:rsid w:val="001C30EA"/>
    <w:rsid w:val="001C3173"/>
    <w:rsid w:val="001C349A"/>
    <w:rsid w:val="001C34E6"/>
    <w:rsid w:val="001C37C1"/>
    <w:rsid w:val="001C3C89"/>
    <w:rsid w:val="001C3E91"/>
    <w:rsid w:val="001C3EDD"/>
    <w:rsid w:val="001C42AF"/>
    <w:rsid w:val="001C44B8"/>
    <w:rsid w:val="001C45F6"/>
    <w:rsid w:val="001C46AC"/>
    <w:rsid w:val="001C4748"/>
    <w:rsid w:val="001C48E1"/>
    <w:rsid w:val="001C49C9"/>
    <w:rsid w:val="001C4CD1"/>
    <w:rsid w:val="001C4EC6"/>
    <w:rsid w:val="001C4F40"/>
    <w:rsid w:val="001C4F9A"/>
    <w:rsid w:val="001C54A1"/>
    <w:rsid w:val="001C55E9"/>
    <w:rsid w:val="001C5850"/>
    <w:rsid w:val="001C5851"/>
    <w:rsid w:val="001C5A10"/>
    <w:rsid w:val="001C5B76"/>
    <w:rsid w:val="001C5CC2"/>
    <w:rsid w:val="001C5F71"/>
    <w:rsid w:val="001C601B"/>
    <w:rsid w:val="001C6158"/>
    <w:rsid w:val="001C6453"/>
    <w:rsid w:val="001C64EF"/>
    <w:rsid w:val="001C6790"/>
    <w:rsid w:val="001C6AE0"/>
    <w:rsid w:val="001C6BB2"/>
    <w:rsid w:val="001C6CF6"/>
    <w:rsid w:val="001C6DB2"/>
    <w:rsid w:val="001C6E32"/>
    <w:rsid w:val="001C70CD"/>
    <w:rsid w:val="001C7194"/>
    <w:rsid w:val="001C71BA"/>
    <w:rsid w:val="001C72C0"/>
    <w:rsid w:val="001C7666"/>
    <w:rsid w:val="001C7D48"/>
    <w:rsid w:val="001C7EC9"/>
    <w:rsid w:val="001C7ECF"/>
    <w:rsid w:val="001C7F71"/>
    <w:rsid w:val="001D0042"/>
    <w:rsid w:val="001D007A"/>
    <w:rsid w:val="001D00D6"/>
    <w:rsid w:val="001D0354"/>
    <w:rsid w:val="001D03D7"/>
    <w:rsid w:val="001D09B4"/>
    <w:rsid w:val="001D0BB9"/>
    <w:rsid w:val="001D104D"/>
    <w:rsid w:val="001D117B"/>
    <w:rsid w:val="001D142D"/>
    <w:rsid w:val="001D1648"/>
    <w:rsid w:val="001D18BE"/>
    <w:rsid w:val="001D1A3E"/>
    <w:rsid w:val="001D1A61"/>
    <w:rsid w:val="001D1AE9"/>
    <w:rsid w:val="001D1B0B"/>
    <w:rsid w:val="001D1DAA"/>
    <w:rsid w:val="001D1E96"/>
    <w:rsid w:val="001D2023"/>
    <w:rsid w:val="001D2089"/>
    <w:rsid w:val="001D2262"/>
    <w:rsid w:val="001D2267"/>
    <w:rsid w:val="001D22EF"/>
    <w:rsid w:val="001D22F9"/>
    <w:rsid w:val="001D2549"/>
    <w:rsid w:val="001D258D"/>
    <w:rsid w:val="001D259F"/>
    <w:rsid w:val="001D26E4"/>
    <w:rsid w:val="001D2774"/>
    <w:rsid w:val="001D281B"/>
    <w:rsid w:val="001D2A67"/>
    <w:rsid w:val="001D2B94"/>
    <w:rsid w:val="001D2BBB"/>
    <w:rsid w:val="001D2EDF"/>
    <w:rsid w:val="001D2FBF"/>
    <w:rsid w:val="001D322C"/>
    <w:rsid w:val="001D32E3"/>
    <w:rsid w:val="001D33C7"/>
    <w:rsid w:val="001D351C"/>
    <w:rsid w:val="001D361D"/>
    <w:rsid w:val="001D36E5"/>
    <w:rsid w:val="001D39FC"/>
    <w:rsid w:val="001D3A3A"/>
    <w:rsid w:val="001D3A62"/>
    <w:rsid w:val="001D3B4C"/>
    <w:rsid w:val="001D3F6F"/>
    <w:rsid w:val="001D4066"/>
    <w:rsid w:val="001D40CC"/>
    <w:rsid w:val="001D429B"/>
    <w:rsid w:val="001D42D8"/>
    <w:rsid w:val="001D431F"/>
    <w:rsid w:val="001D44F4"/>
    <w:rsid w:val="001D455C"/>
    <w:rsid w:val="001D48DC"/>
    <w:rsid w:val="001D4AEE"/>
    <w:rsid w:val="001D4B89"/>
    <w:rsid w:val="001D5031"/>
    <w:rsid w:val="001D5159"/>
    <w:rsid w:val="001D5191"/>
    <w:rsid w:val="001D51A5"/>
    <w:rsid w:val="001D531A"/>
    <w:rsid w:val="001D53A8"/>
    <w:rsid w:val="001D5636"/>
    <w:rsid w:val="001D57CD"/>
    <w:rsid w:val="001D5879"/>
    <w:rsid w:val="001D58C4"/>
    <w:rsid w:val="001D5930"/>
    <w:rsid w:val="001D5972"/>
    <w:rsid w:val="001D59CE"/>
    <w:rsid w:val="001D5C04"/>
    <w:rsid w:val="001D5C3F"/>
    <w:rsid w:val="001D5DB1"/>
    <w:rsid w:val="001D5EC7"/>
    <w:rsid w:val="001D5FAD"/>
    <w:rsid w:val="001D602F"/>
    <w:rsid w:val="001D631B"/>
    <w:rsid w:val="001D653D"/>
    <w:rsid w:val="001D6593"/>
    <w:rsid w:val="001D6608"/>
    <w:rsid w:val="001D664B"/>
    <w:rsid w:val="001D696C"/>
    <w:rsid w:val="001D6987"/>
    <w:rsid w:val="001D6AB9"/>
    <w:rsid w:val="001D6BC9"/>
    <w:rsid w:val="001D744E"/>
    <w:rsid w:val="001D767C"/>
    <w:rsid w:val="001D7C30"/>
    <w:rsid w:val="001D7F30"/>
    <w:rsid w:val="001D7F53"/>
    <w:rsid w:val="001D7FC3"/>
    <w:rsid w:val="001E007E"/>
    <w:rsid w:val="001E008B"/>
    <w:rsid w:val="001E0126"/>
    <w:rsid w:val="001E01EE"/>
    <w:rsid w:val="001E0240"/>
    <w:rsid w:val="001E0245"/>
    <w:rsid w:val="001E0650"/>
    <w:rsid w:val="001E074E"/>
    <w:rsid w:val="001E0780"/>
    <w:rsid w:val="001E0AC5"/>
    <w:rsid w:val="001E0B14"/>
    <w:rsid w:val="001E0E14"/>
    <w:rsid w:val="001E0E6F"/>
    <w:rsid w:val="001E132B"/>
    <w:rsid w:val="001E1509"/>
    <w:rsid w:val="001E186C"/>
    <w:rsid w:val="001E1976"/>
    <w:rsid w:val="001E19EA"/>
    <w:rsid w:val="001E1A85"/>
    <w:rsid w:val="001E1AF3"/>
    <w:rsid w:val="001E1CEE"/>
    <w:rsid w:val="001E222E"/>
    <w:rsid w:val="001E224F"/>
    <w:rsid w:val="001E23CE"/>
    <w:rsid w:val="001E2468"/>
    <w:rsid w:val="001E24D6"/>
    <w:rsid w:val="001E2508"/>
    <w:rsid w:val="001E262A"/>
    <w:rsid w:val="001E279B"/>
    <w:rsid w:val="001E2CE3"/>
    <w:rsid w:val="001E2D1F"/>
    <w:rsid w:val="001E2EE1"/>
    <w:rsid w:val="001E34AD"/>
    <w:rsid w:val="001E35FD"/>
    <w:rsid w:val="001E3721"/>
    <w:rsid w:val="001E3AAF"/>
    <w:rsid w:val="001E3D81"/>
    <w:rsid w:val="001E3D95"/>
    <w:rsid w:val="001E3D99"/>
    <w:rsid w:val="001E3E43"/>
    <w:rsid w:val="001E418B"/>
    <w:rsid w:val="001E41B9"/>
    <w:rsid w:val="001E44E8"/>
    <w:rsid w:val="001E454F"/>
    <w:rsid w:val="001E4652"/>
    <w:rsid w:val="001E48C1"/>
    <w:rsid w:val="001E4DB8"/>
    <w:rsid w:val="001E4E05"/>
    <w:rsid w:val="001E4ECF"/>
    <w:rsid w:val="001E4FA2"/>
    <w:rsid w:val="001E52DB"/>
    <w:rsid w:val="001E53A8"/>
    <w:rsid w:val="001E55EC"/>
    <w:rsid w:val="001E56EE"/>
    <w:rsid w:val="001E5E46"/>
    <w:rsid w:val="001E5F21"/>
    <w:rsid w:val="001E6146"/>
    <w:rsid w:val="001E616A"/>
    <w:rsid w:val="001E61AD"/>
    <w:rsid w:val="001E6233"/>
    <w:rsid w:val="001E6431"/>
    <w:rsid w:val="001E657E"/>
    <w:rsid w:val="001E665B"/>
    <w:rsid w:val="001E6A2A"/>
    <w:rsid w:val="001E6CA2"/>
    <w:rsid w:val="001E6CE9"/>
    <w:rsid w:val="001E6DAA"/>
    <w:rsid w:val="001E6E7C"/>
    <w:rsid w:val="001E71CF"/>
    <w:rsid w:val="001E75F1"/>
    <w:rsid w:val="001E76AF"/>
    <w:rsid w:val="001E784A"/>
    <w:rsid w:val="001E7953"/>
    <w:rsid w:val="001E7C8C"/>
    <w:rsid w:val="001E7E18"/>
    <w:rsid w:val="001E7E32"/>
    <w:rsid w:val="001E7FBA"/>
    <w:rsid w:val="001F005A"/>
    <w:rsid w:val="001F03FE"/>
    <w:rsid w:val="001F05BF"/>
    <w:rsid w:val="001F089E"/>
    <w:rsid w:val="001F08D2"/>
    <w:rsid w:val="001F0933"/>
    <w:rsid w:val="001F0B28"/>
    <w:rsid w:val="001F0C5A"/>
    <w:rsid w:val="001F0D7B"/>
    <w:rsid w:val="001F0DC5"/>
    <w:rsid w:val="001F0F63"/>
    <w:rsid w:val="001F11E4"/>
    <w:rsid w:val="001F11F6"/>
    <w:rsid w:val="001F1568"/>
    <w:rsid w:val="001F19B2"/>
    <w:rsid w:val="001F1E0E"/>
    <w:rsid w:val="001F1E24"/>
    <w:rsid w:val="001F22DE"/>
    <w:rsid w:val="001F246B"/>
    <w:rsid w:val="001F2563"/>
    <w:rsid w:val="001F25FF"/>
    <w:rsid w:val="001F2716"/>
    <w:rsid w:val="001F27AF"/>
    <w:rsid w:val="001F284F"/>
    <w:rsid w:val="001F2A6F"/>
    <w:rsid w:val="001F2D70"/>
    <w:rsid w:val="001F32EA"/>
    <w:rsid w:val="001F33E3"/>
    <w:rsid w:val="001F34E5"/>
    <w:rsid w:val="001F3667"/>
    <w:rsid w:val="001F36D9"/>
    <w:rsid w:val="001F381E"/>
    <w:rsid w:val="001F384B"/>
    <w:rsid w:val="001F3948"/>
    <w:rsid w:val="001F3EC6"/>
    <w:rsid w:val="001F3FCB"/>
    <w:rsid w:val="001F407B"/>
    <w:rsid w:val="001F408D"/>
    <w:rsid w:val="001F41AA"/>
    <w:rsid w:val="001F41B4"/>
    <w:rsid w:val="001F49A6"/>
    <w:rsid w:val="001F4A78"/>
    <w:rsid w:val="001F4B36"/>
    <w:rsid w:val="001F4CA7"/>
    <w:rsid w:val="001F4CC7"/>
    <w:rsid w:val="001F4DCF"/>
    <w:rsid w:val="001F5113"/>
    <w:rsid w:val="001F53A7"/>
    <w:rsid w:val="001F57A7"/>
    <w:rsid w:val="001F57F3"/>
    <w:rsid w:val="001F5B1C"/>
    <w:rsid w:val="001F6060"/>
    <w:rsid w:val="001F60AB"/>
    <w:rsid w:val="001F613F"/>
    <w:rsid w:val="001F61BF"/>
    <w:rsid w:val="001F63DC"/>
    <w:rsid w:val="001F644F"/>
    <w:rsid w:val="001F64DF"/>
    <w:rsid w:val="001F659F"/>
    <w:rsid w:val="001F6792"/>
    <w:rsid w:val="001F69DC"/>
    <w:rsid w:val="001F6ADD"/>
    <w:rsid w:val="001F6B02"/>
    <w:rsid w:val="001F6E1C"/>
    <w:rsid w:val="001F6F54"/>
    <w:rsid w:val="001F708E"/>
    <w:rsid w:val="001F711C"/>
    <w:rsid w:val="001F7247"/>
    <w:rsid w:val="001F7352"/>
    <w:rsid w:val="001F74B7"/>
    <w:rsid w:val="001F7524"/>
    <w:rsid w:val="001F7713"/>
    <w:rsid w:val="001F7E22"/>
    <w:rsid w:val="001F7F9C"/>
    <w:rsid w:val="0020042B"/>
    <w:rsid w:val="00200572"/>
    <w:rsid w:val="002005A9"/>
    <w:rsid w:val="00200854"/>
    <w:rsid w:val="00200884"/>
    <w:rsid w:val="002008BD"/>
    <w:rsid w:val="002008EF"/>
    <w:rsid w:val="00200926"/>
    <w:rsid w:val="0020098E"/>
    <w:rsid w:val="00200EE9"/>
    <w:rsid w:val="00201072"/>
    <w:rsid w:val="002010D9"/>
    <w:rsid w:val="002014F2"/>
    <w:rsid w:val="00201625"/>
    <w:rsid w:val="00201741"/>
    <w:rsid w:val="0020175B"/>
    <w:rsid w:val="0020177C"/>
    <w:rsid w:val="002018E4"/>
    <w:rsid w:val="002019E8"/>
    <w:rsid w:val="002019E9"/>
    <w:rsid w:val="002023A1"/>
    <w:rsid w:val="002024BB"/>
    <w:rsid w:val="002024F0"/>
    <w:rsid w:val="0020286C"/>
    <w:rsid w:val="002028C1"/>
    <w:rsid w:val="0020299A"/>
    <w:rsid w:val="00202B68"/>
    <w:rsid w:val="00202C7C"/>
    <w:rsid w:val="00202CD9"/>
    <w:rsid w:val="00202CFF"/>
    <w:rsid w:val="00202DDC"/>
    <w:rsid w:val="00202FE0"/>
    <w:rsid w:val="0020305E"/>
    <w:rsid w:val="002031CB"/>
    <w:rsid w:val="002033D3"/>
    <w:rsid w:val="002033E8"/>
    <w:rsid w:val="00203401"/>
    <w:rsid w:val="002035DE"/>
    <w:rsid w:val="002035E0"/>
    <w:rsid w:val="002036C8"/>
    <w:rsid w:val="0020371B"/>
    <w:rsid w:val="00203797"/>
    <w:rsid w:val="002038D8"/>
    <w:rsid w:val="00203AAD"/>
    <w:rsid w:val="00203B0C"/>
    <w:rsid w:val="00203B7B"/>
    <w:rsid w:val="00203BDD"/>
    <w:rsid w:val="00203C61"/>
    <w:rsid w:val="00203D25"/>
    <w:rsid w:val="00203E35"/>
    <w:rsid w:val="00203EA9"/>
    <w:rsid w:val="00203FED"/>
    <w:rsid w:val="002040FE"/>
    <w:rsid w:val="0020415E"/>
    <w:rsid w:val="0020448B"/>
    <w:rsid w:val="002044C4"/>
    <w:rsid w:val="002044D8"/>
    <w:rsid w:val="0020457B"/>
    <w:rsid w:val="002048CF"/>
    <w:rsid w:val="0020498B"/>
    <w:rsid w:val="00204B2D"/>
    <w:rsid w:val="00204BEF"/>
    <w:rsid w:val="00204D39"/>
    <w:rsid w:val="00204D9F"/>
    <w:rsid w:val="00204F21"/>
    <w:rsid w:val="00205131"/>
    <w:rsid w:val="0020522F"/>
    <w:rsid w:val="002052A4"/>
    <w:rsid w:val="0020546F"/>
    <w:rsid w:val="0020567D"/>
    <w:rsid w:val="002056FF"/>
    <w:rsid w:val="002057C7"/>
    <w:rsid w:val="002057E9"/>
    <w:rsid w:val="00205AC5"/>
    <w:rsid w:val="00205B06"/>
    <w:rsid w:val="00205BC4"/>
    <w:rsid w:val="00205DDC"/>
    <w:rsid w:val="00205FAF"/>
    <w:rsid w:val="0020645A"/>
    <w:rsid w:val="002065C5"/>
    <w:rsid w:val="002065E7"/>
    <w:rsid w:val="00206604"/>
    <w:rsid w:val="0020661B"/>
    <w:rsid w:val="00206620"/>
    <w:rsid w:val="00206743"/>
    <w:rsid w:val="002067A0"/>
    <w:rsid w:val="00206836"/>
    <w:rsid w:val="00206883"/>
    <w:rsid w:val="002068D8"/>
    <w:rsid w:val="002068E9"/>
    <w:rsid w:val="002069D2"/>
    <w:rsid w:val="00206B7D"/>
    <w:rsid w:val="00206F0C"/>
    <w:rsid w:val="0020707C"/>
    <w:rsid w:val="00207233"/>
    <w:rsid w:val="002073D8"/>
    <w:rsid w:val="00207583"/>
    <w:rsid w:val="0020759C"/>
    <w:rsid w:val="00207697"/>
    <w:rsid w:val="00207858"/>
    <w:rsid w:val="00207BA5"/>
    <w:rsid w:val="00207E4F"/>
    <w:rsid w:val="00207EA8"/>
    <w:rsid w:val="00207EAB"/>
    <w:rsid w:val="00207EB6"/>
    <w:rsid w:val="00207FA9"/>
    <w:rsid w:val="00207FDA"/>
    <w:rsid w:val="00210321"/>
    <w:rsid w:val="0021055E"/>
    <w:rsid w:val="00210751"/>
    <w:rsid w:val="002107D6"/>
    <w:rsid w:val="00210886"/>
    <w:rsid w:val="00210AF6"/>
    <w:rsid w:val="00210B0E"/>
    <w:rsid w:val="00210C4B"/>
    <w:rsid w:val="00210DE0"/>
    <w:rsid w:val="00211049"/>
    <w:rsid w:val="00211235"/>
    <w:rsid w:val="002113E1"/>
    <w:rsid w:val="00211416"/>
    <w:rsid w:val="00211449"/>
    <w:rsid w:val="0021146A"/>
    <w:rsid w:val="002114D9"/>
    <w:rsid w:val="0021157D"/>
    <w:rsid w:val="002115BA"/>
    <w:rsid w:val="0021176A"/>
    <w:rsid w:val="002117C4"/>
    <w:rsid w:val="002117DA"/>
    <w:rsid w:val="00211C3A"/>
    <w:rsid w:val="00211D77"/>
    <w:rsid w:val="00211DAE"/>
    <w:rsid w:val="00211E12"/>
    <w:rsid w:val="00211E97"/>
    <w:rsid w:val="00211EB1"/>
    <w:rsid w:val="00211F32"/>
    <w:rsid w:val="00211FAB"/>
    <w:rsid w:val="00212003"/>
    <w:rsid w:val="0021206A"/>
    <w:rsid w:val="002122F7"/>
    <w:rsid w:val="002123C5"/>
    <w:rsid w:val="00212582"/>
    <w:rsid w:val="00212774"/>
    <w:rsid w:val="0021284D"/>
    <w:rsid w:val="002129BC"/>
    <w:rsid w:val="00212B5D"/>
    <w:rsid w:val="00212BBD"/>
    <w:rsid w:val="00212E2F"/>
    <w:rsid w:val="0021332A"/>
    <w:rsid w:val="002137C8"/>
    <w:rsid w:val="00213803"/>
    <w:rsid w:val="0021380F"/>
    <w:rsid w:val="0021388E"/>
    <w:rsid w:val="00213AD5"/>
    <w:rsid w:val="00213B2C"/>
    <w:rsid w:val="00213BAA"/>
    <w:rsid w:val="00213BD4"/>
    <w:rsid w:val="00213D2E"/>
    <w:rsid w:val="00213F4B"/>
    <w:rsid w:val="00213FD3"/>
    <w:rsid w:val="00214103"/>
    <w:rsid w:val="00214112"/>
    <w:rsid w:val="002142B0"/>
    <w:rsid w:val="002142DD"/>
    <w:rsid w:val="00214414"/>
    <w:rsid w:val="0021453F"/>
    <w:rsid w:val="002149A5"/>
    <w:rsid w:val="002149AA"/>
    <w:rsid w:val="002149F1"/>
    <w:rsid w:val="00214E08"/>
    <w:rsid w:val="00215095"/>
    <w:rsid w:val="00215196"/>
    <w:rsid w:val="002153CE"/>
    <w:rsid w:val="0021565E"/>
    <w:rsid w:val="002156E9"/>
    <w:rsid w:val="00215785"/>
    <w:rsid w:val="00215807"/>
    <w:rsid w:val="00216548"/>
    <w:rsid w:val="002168DE"/>
    <w:rsid w:val="00216A63"/>
    <w:rsid w:val="00216D4F"/>
    <w:rsid w:val="00216ECB"/>
    <w:rsid w:val="00216F40"/>
    <w:rsid w:val="002174CF"/>
    <w:rsid w:val="002174E9"/>
    <w:rsid w:val="002175FC"/>
    <w:rsid w:val="002178A2"/>
    <w:rsid w:val="002178AF"/>
    <w:rsid w:val="00217D5E"/>
    <w:rsid w:val="00217E8D"/>
    <w:rsid w:val="00217F50"/>
    <w:rsid w:val="002202A4"/>
    <w:rsid w:val="002202CA"/>
    <w:rsid w:val="00220369"/>
    <w:rsid w:val="0022044B"/>
    <w:rsid w:val="00220538"/>
    <w:rsid w:val="0022074E"/>
    <w:rsid w:val="00220828"/>
    <w:rsid w:val="00220834"/>
    <w:rsid w:val="00220857"/>
    <w:rsid w:val="0022097B"/>
    <w:rsid w:val="002209F0"/>
    <w:rsid w:val="00220A96"/>
    <w:rsid w:val="00220D78"/>
    <w:rsid w:val="00221093"/>
    <w:rsid w:val="0022120D"/>
    <w:rsid w:val="0022128F"/>
    <w:rsid w:val="00221560"/>
    <w:rsid w:val="002216BD"/>
    <w:rsid w:val="00221A8F"/>
    <w:rsid w:val="00221D81"/>
    <w:rsid w:val="00221D8E"/>
    <w:rsid w:val="002220E0"/>
    <w:rsid w:val="00222132"/>
    <w:rsid w:val="00222303"/>
    <w:rsid w:val="00222326"/>
    <w:rsid w:val="002223D0"/>
    <w:rsid w:val="002225AA"/>
    <w:rsid w:val="002229B5"/>
    <w:rsid w:val="00222B20"/>
    <w:rsid w:val="00222C24"/>
    <w:rsid w:val="00222E0A"/>
    <w:rsid w:val="00222E3F"/>
    <w:rsid w:val="00222EAF"/>
    <w:rsid w:val="00222F8C"/>
    <w:rsid w:val="00222FEE"/>
    <w:rsid w:val="0022300B"/>
    <w:rsid w:val="0022309D"/>
    <w:rsid w:val="0022321A"/>
    <w:rsid w:val="0022324A"/>
    <w:rsid w:val="0022349C"/>
    <w:rsid w:val="002234D1"/>
    <w:rsid w:val="002236AC"/>
    <w:rsid w:val="002238C4"/>
    <w:rsid w:val="00223AEE"/>
    <w:rsid w:val="00223D19"/>
    <w:rsid w:val="00223F43"/>
    <w:rsid w:val="00223F74"/>
    <w:rsid w:val="0022426E"/>
    <w:rsid w:val="00224337"/>
    <w:rsid w:val="002244B2"/>
    <w:rsid w:val="002245DD"/>
    <w:rsid w:val="002247FE"/>
    <w:rsid w:val="00224864"/>
    <w:rsid w:val="002249AA"/>
    <w:rsid w:val="00224BFC"/>
    <w:rsid w:val="00224D01"/>
    <w:rsid w:val="00224D1F"/>
    <w:rsid w:val="00224DCB"/>
    <w:rsid w:val="00224EAC"/>
    <w:rsid w:val="00224FF0"/>
    <w:rsid w:val="002252CE"/>
    <w:rsid w:val="002253D3"/>
    <w:rsid w:val="002256FF"/>
    <w:rsid w:val="0022591B"/>
    <w:rsid w:val="00225B00"/>
    <w:rsid w:val="00225CA5"/>
    <w:rsid w:val="00225DDB"/>
    <w:rsid w:val="00225F80"/>
    <w:rsid w:val="00225FBE"/>
    <w:rsid w:val="002262FF"/>
    <w:rsid w:val="00226342"/>
    <w:rsid w:val="0022644A"/>
    <w:rsid w:val="00226822"/>
    <w:rsid w:val="00226935"/>
    <w:rsid w:val="00226B50"/>
    <w:rsid w:val="00226D2F"/>
    <w:rsid w:val="00226DE3"/>
    <w:rsid w:val="00226EFC"/>
    <w:rsid w:val="00226F88"/>
    <w:rsid w:val="0022753C"/>
    <w:rsid w:val="002275E6"/>
    <w:rsid w:val="002277C7"/>
    <w:rsid w:val="00227A4B"/>
    <w:rsid w:val="00227B22"/>
    <w:rsid w:val="00230263"/>
    <w:rsid w:val="0023058B"/>
    <w:rsid w:val="002305F4"/>
    <w:rsid w:val="00230772"/>
    <w:rsid w:val="0023083F"/>
    <w:rsid w:val="00230BA6"/>
    <w:rsid w:val="00230CCE"/>
    <w:rsid w:val="00230D9A"/>
    <w:rsid w:val="00230F7D"/>
    <w:rsid w:val="0023106D"/>
    <w:rsid w:val="00231214"/>
    <w:rsid w:val="0023142C"/>
    <w:rsid w:val="00231492"/>
    <w:rsid w:val="0023158E"/>
    <w:rsid w:val="00231955"/>
    <w:rsid w:val="002319DC"/>
    <w:rsid w:val="00231C3B"/>
    <w:rsid w:val="00231CFD"/>
    <w:rsid w:val="00231D9B"/>
    <w:rsid w:val="00231FF0"/>
    <w:rsid w:val="002320BF"/>
    <w:rsid w:val="00232260"/>
    <w:rsid w:val="00232A48"/>
    <w:rsid w:val="00232C04"/>
    <w:rsid w:val="00232C8E"/>
    <w:rsid w:val="00232D36"/>
    <w:rsid w:val="00232DC5"/>
    <w:rsid w:val="00232DEE"/>
    <w:rsid w:val="00232F0A"/>
    <w:rsid w:val="00232F7C"/>
    <w:rsid w:val="00233062"/>
    <w:rsid w:val="002333DB"/>
    <w:rsid w:val="00233D54"/>
    <w:rsid w:val="00233DA6"/>
    <w:rsid w:val="00233DC1"/>
    <w:rsid w:val="00233E1B"/>
    <w:rsid w:val="00234106"/>
    <w:rsid w:val="0023411A"/>
    <w:rsid w:val="0023451A"/>
    <w:rsid w:val="0023455A"/>
    <w:rsid w:val="002346EA"/>
    <w:rsid w:val="0023486B"/>
    <w:rsid w:val="002348A5"/>
    <w:rsid w:val="002348B8"/>
    <w:rsid w:val="0023496F"/>
    <w:rsid w:val="00234A36"/>
    <w:rsid w:val="00234B4C"/>
    <w:rsid w:val="00234BAE"/>
    <w:rsid w:val="00234BBE"/>
    <w:rsid w:val="00234C6E"/>
    <w:rsid w:val="00234ECC"/>
    <w:rsid w:val="002350B7"/>
    <w:rsid w:val="002352AD"/>
    <w:rsid w:val="002355ED"/>
    <w:rsid w:val="002356E0"/>
    <w:rsid w:val="002358B8"/>
    <w:rsid w:val="002359D8"/>
    <w:rsid w:val="00235A7D"/>
    <w:rsid w:val="00235B45"/>
    <w:rsid w:val="00235D66"/>
    <w:rsid w:val="00235E23"/>
    <w:rsid w:val="00235E90"/>
    <w:rsid w:val="00236013"/>
    <w:rsid w:val="00236317"/>
    <w:rsid w:val="0023640A"/>
    <w:rsid w:val="0023644B"/>
    <w:rsid w:val="0023680A"/>
    <w:rsid w:val="002369A1"/>
    <w:rsid w:val="00236A01"/>
    <w:rsid w:val="00236A6D"/>
    <w:rsid w:val="00236A93"/>
    <w:rsid w:val="00236BD9"/>
    <w:rsid w:val="00236C4C"/>
    <w:rsid w:val="00236F3A"/>
    <w:rsid w:val="0023720D"/>
    <w:rsid w:val="00237589"/>
    <w:rsid w:val="002375D6"/>
    <w:rsid w:val="0023762A"/>
    <w:rsid w:val="00237787"/>
    <w:rsid w:val="00237986"/>
    <w:rsid w:val="00237A44"/>
    <w:rsid w:val="00237A9E"/>
    <w:rsid w:val="00237B4B"/>
    <w:rsid w:val="00237BFE"/>
    <w:rsid w:val="00237E16"/>
    <w:rsid w:val="00237FDC"/>
    <w:rsid w:val="002400B2"/>
    <w:rsid w:val="00240106"/>
    <w:rsid w:val="002401A3"/>
    <w:rsid w:val="002404B2"/>
    <w:rsid w:val="00240517"/>
    <w:rsid w:val="00240580"/>
    <w:rsid w:val="00240639"/>
    <w:rsid w:val="0024081D"/>
    <w:rsid w:val="00240A6C"/>
    <w:rsid w:val="00240D44"/>
    <w:rsid w:val="00240E71"/>
    <w:rsid w:val="00240F8D"/>
    <w:rsid w:val="00241107"/>
    <w:rsid w:val="00241115"/>
    <w:rsid w:val="0024141D"/>
    <w:rsid w:val="0024177B"/>
    <w:rsid w:val="002418FE"/>
    <w:rsid w:val="00241975"/>
    <w:rsid w:val="00241A18"/>
    <w:rsid w:val="00241B3B"/>
    <w:rsid w:val="00241C7F"/>
    <w:rsid w:val="00241E25"/>
    <w:rsid w:val="00241E51"/>
    <w:rsid w:val="00241FAE"/>
    <w:rsid w:val="00241FFF"/>
    <w:rsid w:val="00242257"/>
    <w:rsid w:val="0024225E"/>
    <w:rsid w:val="0024232A"/>
    <w:rsid w:val="002424AE"/>
    <w:rsid w:val="002424E5"/>
    <w:rsid w:val="00242679"/>
    <w:rsid w:val="0024272F"/>
    <w:rsid w:val="00242830"/>
    <w:rsid w:val="0024292B"/>
    <w:rsid w:val="00242B23"/>
    <w:rsid w:val="00242BB3"/>
    <w:rsid w:val="00242CC9"/>
    <w:rsid w:val="00242D67"/>
    <w:rsid w:val="00242D72"/>
    <w:rsid w:val="002431A0"/>
    <w:rsid w:val="00243223"/>
    <w:rsid w:val="002433CD"/>
    <w:rsid w:val="002434DF"/>
    <w:rsid w:val="002434F6"/>
    <w:rsid w:val="002438B7"/>
    <w:rsid w:val="002438C8"/>
    <w:rsid w:val="00243BF2"/>
    <w:rsid w:val="00243DBE"/>
    <w:rsid w:val="00243F7A"/>
    <w:rsid w:val="00244096"/>
    <w:rsid w:val="00244100"/>
    <w:rsid w:val="0024457B"/>
    <w:rsid w:val="002445A0"/>
    <w:rsid w:val="00244926"/>
    <w:rsid w:val="00244966"/>
    <w:rsid w:val="00244B2F"/>
    <w:rsid w:val="00244DA1"/>
    <w:rsid w:val="00244E33"/>
    <w:rsid w:val="00244FCF"/>
    <w:rsid w:val="002452AE"/>
    <w:rsid w:val="002457BB"/>
    <w:rsid w:val="0024594C"/>
    <w:rsid w:val="002459D9"/>
    <w:rsid w:val="00245B00"/>
    <w:rsid w:val="00245D02"/>
    <w:rsid w:val="00245F6C"/>
    <w:rsid w:val="00245FCB"/>
    <w:rsid w:val="00246139"/>
    <w:rsid w:val="00246439"/>
    <w:rsid w:val="002466E8"/>
    <w:rsid w:val="002467C1"/>
    <w:rsid w:val="002468C9"/>
    <w:rsid w:val="00246C61"/>
    <w:rsid w:val="00246DEE"/>
    <w:rsid w:val="00246F7A"/>
    <w:rsid w:val="0024747D"/>
    <w:rsid w:val="002474D3"/>
    <w:rsid w:val="0024752D"/>
    <w:rsid w:val="0024752E"/>
    <w:rsid w:val="002475B2"/>
    <w:rsid w:val="002475F5"/>
    <w:rsid w:val="00247602"/>
    <w:rsid w:val="0024776E"/>
    <w:rsid w:val="00247C0B"/>
    <w:rsid w:val="00247FEF"/>
    <w:rsid w:val="002500E1"/>
    <w:rsid w:val="002501C8"/>
    <w:rsid w:val="00250304"/>
    <w:rsid w:val="00250386"/>
    <w:rsid w:val="00250451"/>
    <w:rsid w:val="002504B6"/>
    <w:rsid w:val="00250604"/>
    <w:rsid w:val="00250668"/>
    <w:rsid w:val="002506DC"/>
    <w:rsid w:val="00250A99"/>
    <w:rsid w:val="00250B9B"/>
    <w:rsid w:val="00250E7F"/>
    <w:rsid w:val="002510F1"/>
    <w:rsid w:val="00251299"/>
    <w:rsid w:val="00251441"/>
    <w:rsid w:val="0025148F"/>
    <w:rsid w:val="002515B5"/>
    <w:rsid w:val="0025167B"/>
    <w:rsid w:val="002516A5"/>
    <w:rsid w:val="002517B4"/>
    <w:rsid w:val="002517CA"/>
    <w:rsid w:val="0025198F"/>
    <w:rsid w:val="00251A29"/>
    <w:rsid w:val="00251C0E"/>
    <w:rsid w:val="00251DE8"/>
    <w:rsid w:val="00252112"/>
    <w:rsid w:val="0025216F"/>
    <w:rsid w:val="002524E0"/>
    <w:rsid w:val="00252726"/>
    <w:rsid w:val="00252BED"/>
    <w:rsid w:val="002530E3"/>
    <w:rsid w:val="00253125"/>
    <w:rsid w:val="00253161"/>
    <w:rsid w:val="00253172"/>
    <w:rsid w:val="00253389"/>
    <w:rsid w:val="0025385D"/>
    <w:rsid w:val="002538A0"/>
    <w:rsid w:val="00253A28"/>
    <w:rsid w:val="00253A9B"/>
    <w:rsid w:val="00253B64"/>
    <w:rsid w:val="00253C6E"/>
    <w:rsid w:val="002541CF"/>
    <w:rsid w:val="00254229"/>
    <w:rsid w:val="0025433F"/>
    <w:rsid w:val="00254352"/>
    <w:rsid w:val="002546A5"/>
    <w:rsid w:val="002547F5"/>
    <w:rsid w:val="002547FC"/>
    <w:rsid w:val="00254A48"/>
    <w:rsid w:val="00254AFF"/>
    <w:rsid w:val="00254B2A"/>
    <w:rsid w:val="00254C25"/>
    <w:rsid w:val="00254D29"/>
    <w:rsid w:val="00254D47"/>
    <w:rsid w:val="00255313"/>
    <w:rsid w:val="00255392"/>
    <w:rsid w:val="00255430"/>
    <w:rsid w:val="00255628"/>
    <w:rsid w:val="002556CB"/>
    <w:rsid w:val="00255783"/>
    <w:rsid w:val="0025588F"/>
    <w:rsid w:val="00255A04"/>
    <w:rsid w:val="00255A17"/>
    <w:rsid w:val="00255B3E"/>
    <w:rsid w:val="00255E9E"/>
    <w:rsid w:val="00255F0B"/>
    <w:rsid w:val="00255F95"/>
    <w:rsid w:val="002560B8"/>
    <w:rsid w:val="00256538"/>
    <w:rsid w:val="00256575"/>
    <w:rsid w:val="00256798"/>
    <w:rsid w:val="00256820"/>
    <w:rsid w:val="00256862"/>
    <w:rsid w:val="00256DDC"/>
    <w:rsid w:val="00256E45"/>
    <w:rsid w:val="00256E6C"/>
    <w:rsid w:val="00256FF2"/>
    <w:rsid w:val="00257162"/>
    <w:rsid w:val="002571CA"/>
    <w:rsid w:val="002573B5"/>
    <w:rsid w:val="002575CA"/>
    <w:rsid w:val="00257685"/>
    <w:rsid w:val="002576C9"/>
    <w:rsid w:val="00257893"/>
    <w:rsid w:val="002579B4"/>
    <w:rsid w:val="00257ABA"/>
    <w:rsid w:val="00257BF4"/>
    <w:rsid w:val="00260319"/>
    <w:rsid w:val="0026036E"/>
    <w:rsid w:val="002603D2"/>
    <w:rsid w:val="00260A3C"/>
    <w:rsid w:val="00260EE0"/>
    <w:rsid w:val="0026111A"/>
    <w:rsid w:val="00261298"/>
    <w:rsid w:val="00261327"/>
    <w:rsid w:val="00261367"/>
    <w:rsid w:val="002613D9"/>
    <w:rsid w:val="0026144F"/>
    <w:rsid w:val="0026161C"/>
    <w:rsid w:val="00261673"/>
    <w:rsid w:val="00261849"/>
    <w:rsid w:val="002619D9"/>
    <w:rsid w:val="00261B8E"/>
    <w:rsid w:val="00261E68"/>
    <w:rsid w:val="00261ECC"/>
    <w:rsid w:val="002621A9"/>
    <w:rsid w:val="002621D5"/>
    <w:rsid w:val="0026231B"/>
    <w:rsid w:val="0026262C"/>
    <w:rsid w:val="0026263C"/>
    <w:rsid w:val="00262703"/>
    <w:rsid w:val="002629AB"/>
    <w:rsid w:val="00262BAB"/>
    <w:rsid w:val="00262C48"/>
    <w:rsid w:val="00263434"/>
    <w:rsid w:val="002635F5"/>
    <w:rsid w:val="002636AE"/>
    <w:rsid w:val="002636FF"/>
    <w:rsid w:val="00263727"/>
    <w:rsid w:val="0026399A"/>
    <w:rsid w:val="00263C33"/>
    <w:rsid w:val="00263C6D"/>
    <w:rsid w:val="00263D01"/>
    <w:rsid w:val="00263DF2"/>
    <w:rsid w:val="00263FC3"/>
    <w:rsid w:val="00264217"/>
    <w:rsid w:val="00264647"/>
    <w:rsid w:val="00264871"/>
    <w:rsid w:val="002648DD"/>
    <w:rsid w:val="00264A09"/>
    <w:rsid w:val="00264AC3"/>
    <w:rsid w:val="00264CD3"/>
    <w:rsid w:val="00264D73"/>
    <w:rsid w:val="00264E91"/>
    <w:rsid w:val="00264FF4"/>
    <w:rsid w:val="00265049"/>
    <w:rsid w:val="0026504D"/>
    <w:rsid w:val="00265460"/>
    <w:rsid w:val="00265723"/>
    <w:rsid w:val="00265907"/>
    <w:rsid w:val="00265AFA"/>
    <w:rsid w:val="00265B1A"/>
    <w:rsid w:val="00265C8F"/>
    <w:rsid w:val="00265D38"/>
    <w:rsid w:val="00265D39"/>
    <w:rsid w:val="00265DC5"/>
    <w:rsid w:val="00265E99"/>
    <w:rsid w:val="0026609E"/>
    <w:rsid w:val="0026620C"/>
    <w:rsid w:val="0026620F"/>
    <w:rsid w:val="00266266"/>
    <w:rsid w:val="00266321"/>
    <w:rsid w:val="002663F2"/>
    <w:rsid w:val="00266436"/>
    <w:rsid w:val="00266461"/>
    <w:rsid w:val="00266531"/>
    <w:rsid w:val="0026670F"/>
    <w:rsid w:val="0026676C"/>
    <w:rsid w:val="00266794"/>
    <w:rsid w:val="00266868"/>
    <w:rsid w:val="002668A9"/>
    <w:rsid w:val="00266916"/>
    <w:rsid w:val="002669A8"/>
    <w:rsid w:val="00266B17"/>
    <w:rsid w:val="00266BDC"/>
    <w:rsid w:val="00266C12"/>
    <w:rsid w:val="00267470"/>
    <w:rsid w:val="002674FE"/>
    <w:rsid w:val="00267680"/>
    <w:rsid w:val="002676D5"/>
    <w:rsid w:val="00267B36"/>
    <w:rsid w:val="00267E6D"/>
    <w:rsid w:val="00267F70"/>
    <w:rsid w:val="0027059A"/>
    <w:rsid w:val="00270611"/>
    <w:rsid w:val="00270799"/>
    <w:rsid w:val="002708F7"/>
    <w:rsid w:val="00270924"/>
    <w:rsid w:val="00270F48"/>
    <w:rsid w:val="00270F77"/>
    <w:rsid w:val="00271310"/>
    <w:rsid w:val="002713BE"/>
    <w:rsid w:val="00271A27"/>
    <w:rsid w:val="00271BD5"/>
    <w:rsid w:val="00271FD1"/>
    <w:rsid w:val="0027206F"/>
    <w:rsid w:val="002726F9"/>
    <w:rsid w:val="0027275C"/>
    <w:rsid w:val="002727A2"/>
    <w:rsid w:val="0027282B"/>
    <w:rsid w:val="002728C5"/>
    <w:rsid w:val="00272B91"/>
    <w:rsid w:val="00272BC0"/>
    <w:rsid w:val="002730A7"/>
    <w:rsid w:val="002733D0"/>
    <w:rsid w:val="00273571"/>
    <w:rsid w:val="002737CB"/>
    <w:rsid w:val="00273891"/>
    <w:rsid w:val="002738E0"/>
    <w:rsid w:val="0027399C"/>
    <w:rsid w:val="00273A52"/>
    <w:rsid w:val="00273C16"/>
    <w:rsid w:val="00273CBA"/>
    <w:rsid w:val="00274279"/>
    <w:rsid w:val="0027466C"/>
    <w:rsid w:val="00274768"/>
    <w:rsid w:val="00274867"/>
    <w:rsid w:val="00274BC6"/>
    <w:rsid w:val="00274E41"/>
    <w:rsid w:val="002750CA"/>
    <w:rsid w:val="00275139"/>
    <w:rsid w:val="00275665"/>
    <w:rsid w:val="00275723"/>
    <w:rsid w:val="00275782"/>
    <w:rsid w:val="00275A6C"/>
    <w:rsid w:val="00275ADF"/>
    <w:rsid w:val="00275B35"/>
    <w:rsid w:val="00275B53"/>
    <w:rsid w:val="00275DFF"/>
    <w:rsid w:val="00275E3D"/>
    <w:rsid w:val="00275EAA"/>
    <w:rsid w:val="00275F36"/>
    <w:rsid w:val="00276130"/>
    <w:rsid w:val="0027619B"/>
    <w:rsid w:val="002762D1"/>
    <w:rsid w:val="00276304"/>
    <w:rsid w:val="002763B5"/>
    <w:rsid w:val="00276675"/>
    <w:rsid w:val="00276A6F"/>
    <w:rsid w:val="00276D28"/>
    <w:rsid w:val="00276EE8"/>
    <w:rsid w:val="00276FFC"/>
    <w:rsid w:val="002771AD"/>
    <w:rsid w:val="00277206"/>
    <w:rsid w:val="0027735C"/>
    <w:rsid w:val="00277741"/>
    <w:rsid w:val="00277751"/>
    <w:rsid w:val="002777C3"/>
    <w:rsid w:val="00277890"/>
    <w:rsid w:val="002779B5"/>
    <w:rsid w:val="00277A7C"/>
    <w:rsid w:val="00277CB7"/>
    <w:rsid w:val="00277E6D"/>
    <w:rsid w:val="00277EC6"/>
    <w:rsid w:val="0028007B"/>
    <w:rsid w:val="0028022F"/>
    <w:rsid w:val="002803DF"/>
    <w:rsid w:val="00280719"/>
    <w:rsid w:val="0028073D"/>
    <w:rsid w:val="0028089C"/>
    <w:rsid w:val="002809F0"/>
    <w:rsid w:val="00280A3A"/>
    <w:rsid w:val="00280AE6"/>
    <w:rsid w:val="00280C2E"/>
    <w:rsid w:val="00280F38"/>
    <w:rsid w:val="002810DA"/>
    <w:rsid w:val="0028112A"/>
    <w:rsid w:val="00281239"/>
    <w:rsid w:val="002813C5"/>
    <w:rsid w:val="00281533"/>
    <w:rsid w:val="00281546"/>
    <w:rsid w:val="00281702"/>
    <w:rsid w:val="00281793"/>
    <w:rsid w:val="00281C91"/>
    <w:rsid w:val="00281FE6"/>
    <w:rsid w:val="002823BF"/>
    <w:rsid w:val="002823F5"/>
    <w:rsid w:val="002824A3"/>
    <w:rsid w:val="00282515"/>
    <w:rsid w:val="00282542"/>
    <w:rsid w:val="0028263E"/>
    <w:rsid w:val="0028276A"/>
    <w:rsid w:val="002829AF"/>
    <w:rsid w:val="00282AD0"/>
    <w:rsid w:val="00282B31"/>
    <w:rsid w:val="00282D16"/>
    <w:rsid w:val="00282E9D"/>
    <w:rsid w:val="00282F70"/>
    <w:rsid w:val="00283166"/>
    <w:rsid w:val="00283259"/>
    <w:rsid w:val="002836C7"/>
    <w:rsid w:val="002836DA"/>
    <w:rsid w:val="00283939"/>
    <w:rsid w:val="00283B00"/>
    <w:rsid w:val="00283BDB"/>
    <w:rsid w:val="00284146"/>
    <w:rsid w:val="0028416D"/>
    <w:rsid w:val="002841DC"/>
    <w:rsid w:val="002843CB"/>
    <w:rsid w:val="002845A4"/>
    <w:rsid w:val="00284708"/>
    <w:rsid w:val="002847FE"/>
    <w:rsid w:val="00284892"/>
    <w:rsid w:val="00284A8E"/>
    <w:rsid w:val="00284C9F"/>
    <w:rsid w:val="00284DBC"/>
    <w:rsid w:val="00284DFB"/>
    <w:rsid w:val="00284E66"/>
    <w:rsid w:val="00284EB5"/>
    <w:rsid w:val="00284F2F"/>
    <w:rsid w:val="00284FA8"/>
    <w:rsid w:val="002850CF"/>
    <w:rsid w:val="0028518B"/>
    <w:rsid w:val="002851DD"/>
    <w:rsid w:val="00285221"/>
    <w:rsid w:val="0028527B"/>
    <w:rsid w:val="002853B4"/>
    <w:rsid w:val="0028552F"/>
    <w:rsid w:val="002855FD"/>
    <w:rsid w:val="00285A19"/>
    <w:rsid w:val="00285B4D"/>
    <w:rsid w:val="00285BB5"/>
    <w:rsid w:val="00285D33"/>
    <w:rsid w:val="00285D88"/>
    <w:rsid w:val="00285DF9"/>
    <w:rsid w:val="00285E3B"/>
    <w:rsid w:val="0028637E"/>
    <w:rsid w:val="002864EB"/>
    <w:rsid w:val="0028657A"/>
    <w:rsid w:val="00286722"/>
    <w:rsid w:val="00286768"/>
    <w:rsid w:val="002868B6"/>
    <w:rsid w:val="00286976"/>
    <w:rsid w:val="00286B43"/>
    <w:rsid w:val="00286B9D"/>
    <w:rsid w:val="00286C35"/>
    <w:rsid w:val="00286FE0"/>
    <w:rsid w:val="00287163"/>
    <w:rsid w:val="002871A0"/>
    <w:rsid w:val="002871D4"/>
    <w:rsid w:val="0028740D"/>
    <w:rsid w:val="00287669"/>
    <w:rsid w:val="002876D7"/>
    <w:rsid w:val="00287728"/>
    <w:rsid w:val="0028792F"/>
    <w:rsid w:val="00287A75"/>
    <w:rsid w:val="00287B9B"/>
    <w:rsid w:val="00287CBB"/>
    <w:rsid w:val="00290056"/>
    <w:rsid w:val="002900DB"/>
    <w:rsid w:val="00290226"/>
    <w:rsid w:val="002905C9"/>
    <w:rsid w:val="00290667"/>
    <w:rsid w:val="0029069F"/>
    <w:rsid w:val="00290AD9"/>
    <w:rsid w:val="00290B7E"/>
    <w:rsid w:val="00290C6B"/>
    <w:rsid w:val="00290D4A"/>
    <w:rsid w:val="00290F03"/>
    <w:rsid w:val="002910E9"/>
    <w:rsid w:val="002910EF"/>
    <w:rsid w:val="00291113"/>
    <w:rsid w:val="00291443"/>
    <w:rsid w:val="002916D8"/>
    <w:rsid w:val="002917E9"/>
    <w:rsid w:val="002917F9"/>
    <w:rsid w:val="00291882"/>
    <w:rsid w:val="002918C3"/>
    <w:rsid w:val="0029193A"/>
    <w:rsid w:val="00291C37"/>
    <w:rsid w:val="00291DBB"/>
    <w:rsid w:val="00291E4C"/>
    <w:rsid w:val="002920FC"/>
    <w:rsid w:val="00292189"/>
    <w:rsid w:val="0029221A"/>
    <w:rsid w:val="00292350"/>
    <w:rsid w:val="00292384"/>
    <w:rsid w:val="0029241C"/>
    <w:rsid w:val="00292549"/>
    <w:rsid w:val="0029278D"/>
    <w:rsid w:val="002928F2"/>
    <w:rsid w:val="00292A54"/>
    <w:rsid w:val="00292A9D"/>
    <w:rsid w:val="00292ACF"/>
    <w:rsid w:val="00292AE2"/>
    <w:rsid w:val="00292B82"/>
    <w:rsid w:val="00292BCD"/>
    <w:rsid w:val="00293159"/>
    <w:rsid w:val="00293202"/>
    <w:rsid w:val="00293337"/>
    <w:rsid w:val="002936D1"/>
    <w:rsid w:val="00293D92"/>
    <w:rsid w:val="00293F1D"/>
    <w:rsid w:val="00293FA3"/>
    <w:rsid w:val="0029401A"/>
    <w:rsid w:val="0029440C"/>
    <w:rsid w:val="002944E8"/>
    <w:rsid w:val="00294541"/>
    <w:rsid w:val="002945A7"/>
    <w:rsid w:val="00294745"/>
    <w:rsid w:val="0029485A"/>
    <w:rsid w:val="002948BE"/>
    <w:rsid w:val="002949A5"/>
    <w:rsid w:val="002949AD"/>
    <w:rsid w:val="00294A2C"/>
    <w:rsid w:val="00294CAE"/>
    <w:rsid w:val="00294DB6"/>
    <w:rsid w:val="002953F8"/>
    <w:rsid w:val="00295515"/>
    <w:rsid w:val="00295549"/>
    <w:rsid w:val="0029568E"/>
    <w:rsid w:val="002956A2"/>
    <w:rsid w:val="00295AD7"/>
    <w:rsid w:val="00295DD4"/>
    <w:rsid w:val="00295F22"/>
    <w:rsid w:val="00296125"/>
    <w:rsid w:val="00296137"/>
    <w:rsid w:val="0029621E"/>
    <w:rsid w:val="002962A6"/>
    <w:rsid w:val="00296433"/>
    <w:rsid w:val="002966DB"/>
    <w:rsid w:val="00296726"/>
    <w:rsid w:val="00296892"/>
    <w:rsid w:val="002968B8"/>
    <w:rsid w:val="00296BE9"/>
    <w:rsid w:val="00296E4A"/>
    <w:rsid w:val="00296F15"/>
    <w:rsid w:val="00297079"/>
    <w:rsid w:val="002971DE"/>
    <w:rsid w:val="0029735F"/>
    <w:rsid w:val="00297420"/>
    <w:rsid w:val="00297511"/>
    <w:rsid w:val="0029760C"/>
    <w:rsid w:val="00297883"/>
    <w:rsid w:val="002979BD"/>
    <w:rsid w:val="00297C19"/>
    <w:rsid w:val="00297C24"/>
    <w:rsid w:val="00297DDE"/>
    <w:rsid w:val="00297E02"/>
    <w:rsid w:val="002A0231"/>
    <w:rsid w:val="002A04D2"/>
    <w:rsid w:val="002A0B1F"/>
    <w:rsid w:val="002A0B25"/>
    <w:rsid w:val="002A0B96"/>
    <w:rsid w:val="002A0CD4"/>
    <w:rsid w:val="002A0CF4"/>
    <w:rsid w:val="002A0D45"/>
    <w:rsid w:val="002A0D5D"/>
    <w:rsid w:val="002A0E12"/>
    <w:rsid w:val="002A0ECA"/>
    <w:rsid w:val="002A1302"/>
    <w:rsid w:val="002A139C"/>
    <w:rsid w:val="002A1705"/>
    <w:rsid w:val="002A17AE"/>
    <w:rsid w:val="002A1943"/>
    <w:rsid w:val="002A1985"/>
    <w:rsid w:val="002A1BFF"/>
    <w:rsid w:val="002A1C0B"/>
    <w:rsid w:val="002A202F"/>
    <w:rsid w:val="002A267E"/>
    <w:rsid w:val="002A270A"/>
    <w:rsid w:val="002A2721"/>
    <w:rsid w:val="002A2B66"/>
    <w:rsid w:val="002A2C08"/>
    <w:rsid w:val="002A2EDB"/>
    <w:rsid w:val="002A2F41"/>
    <w:rsid w:val="002A31DE"/>
    <w:rsid w:val="002A3260"/>
    <w:rsid w:val="002A3320"/>
    <w:rsid w:val="002A3331"/>
    <w:rsid w:val="002A33E9"/>
    <w:rsid w:val="002A344C"/>
    <w:rsid w:val="002A3481"/>
    <w:rsid w:val="002A36E7"/>
    <w:rsid w:val="002A37E3"/>
    <w:rsid w:val="002A3867"/>
    <w:rsid w:val="002A396A"/>
    <w:rsid w:val="002A39DD"/>
    <w:rsid w:val="002A3A91"/>
    <w:rsid w:val="002A3D23"/>
    <w:rsid w:val="002A3D5E"/>
    <w:rsid w:val="002A3DFF"/>
    <w:rsid w:val="002A3FA8"/>
    <w:rsid w:val="002A417E"/>
    <w:rsid w:val="002A41F3"/>
    <w:rsid w:val="002A431A"/>
    <w:rsid w:val="002A4991"/>
    <w:rsid w:val="002A4BDC"/>
    <w:rsid w:val="002A4C4D"/>
    <w:rsid w:val="002A4E31"/>
    <w:rsid w:val="002A4FFF"/>
    <w:rsid w:val="002A50EB"/>
    <w:rsid w:val="002A593A"/>
    <w:rsid w:val="002A59E5"/>
    <w:rsid w:val="002A5B63"/>
    <w:rsid w:val="002A5EA1"/>
    <w:rsid w:val="002A5FC6"/>
    <w:rsid w:val="002A6039"/>
    <w:rsid w:val="002A62AE"/>
    <w:rsid w:val="002A6331"/>
    <w:rsid w:val="002A664A"/>
    <w:rsid w:val="002A693E"/>
    <w:rsid w:val="002A6B6E"/>
    <w:rsid w:val="002A6BA8"/>
    <w:rsid w:val="002A6BE6"/>
    <w:rsid w:val="002A6C03"/>
    <w:rsid w:val="002A6CF1"/>
    <w:rsid w:val="002A72D2"/>
    <w:rsid w:val="002A76A0"/>
    <w:rsid w:val="002A76F3"/>
    <w:rsid w:val="002A76FD"/>
    <w:rsid w:val="002A78DA"/>
    <w:rsid w:val="002A7BEF"/>
    <w:rsid w:val="002B001B"/>
    <w:rsid w:val="002B0234"/>
    <w:rsid w:val="002B02D5"/>
    <w:rsid w:val="002B03D6"/>
    <w:rsid w:val="002B04FE"/>
    <w:rsid w:val="002B0564"/>
    <w:rsid w:val="002B0753"/>
    <w:rsid w:val="002B07F8"/>
    <w:rsid w:val="002B0986"/>
    <w:rsid w:val="002B0A2F"/>
    <w:rsid w:val="002B0AD7"/>
    <w:rsid w:val="002B0B6A"/>
    <w:rsid w:val="002B0B7D"/>
    <w:rsid w:val="002B0D10"/>
    <w:rsid w:val="002B0DA9"/>
    <w:rsid w:val="002B109E"/>
    <w:rsid w:val="002B10CF"/>
    <w:rsid w:val="002B125C"/>
    <w:rsid w:val="002B14D2"/>
    <w:rsid w:val="002B157C"/>
    <w:rsid w:val="002B1748"/>
    <w:rsid w:val="002B19A3"/>
    <w:rsid w:val="002B1A1B"/>
    <w:rsid w:val="002B1A61"/>
    <w:rsid w:val="002B1A63"/>
    <w:rsid w:val="002B1AAB"/>
    <w:rsid w:val="002B1BC3"/>
    <w:rsid w:val="002B1BF9"/>
    <w:rsid w:val="002B1CA7"/>
    <w:rsid w:val="002B1CD1"/>
    <w:rsid w:val="002B1DBF"/>
    <w:rsid w:val="002B1F5B"/>
    <w:rsid w:val="002B21C6"/>
    <w:rsid w:val="002B22AB"/>
    <w:rsid w:val="002B2397"/>
    <w:rsid w:val="002B23C0"/>
    <w:rsid w:val="002B23E5"/>
    <w:rsid w:val="002B2A5E"/>
    <w:rsid w:val="002B2AFD"/>
    <w:rsid w:val="002B2C14"/>
    <w:rsid w:val="002B2D9E"/>
    <w:rsid w:val="002B2E8D"/>
    <w:rsid w:val="002B2F34"/>
    <w:rsid w:val="002B2FA8"/>
    <w:rsid w:val="002B31D6"/>
    <w:rsid w:val="002B31F5"/>
    <w:rsid w:val="002B3262"/>
    <w:rsid w:val="002B3408"/>
    <w:rsid w:val="002B34A4"/>
    <w:rsid w:val="002B3553"/>
    <w:rsid w:val="002B37E4"/>
    <w:rsid w:val="002B3913"/>
    <w:rsid w:val="002B39F4"/>
    <w:rsid w:val="002B3A47"/>
    <w:rsid w:val="002B3AD7"/>
    <w:rsid w:val="002B3CBE"/>
    <w:rsid w:val="002B3D1E"/>
    <w:rsid w:val="002B3E10"/>
    <w:rsid w:val="002B3F5C"/>
    <w:rsid w:val="002B3FF2"/>
    <w:rsid w:val="002B4236"/>
    <w:rsid w:val="002B42C9"/>
    <w:rsid w:val="002B4418"/>
    <w:rsid w:val="002B46A6"/>
    <w:rsid w:val="002B47CA"/>
    <w:rsid w:val="002B4D50"/>
    <w:rsid w:val="002B4D9C"/>
    <w:rsid w:val="002B4E03"/>
    <w:rsid w:val="002B4EA4"/>
    <w:rsid w:val="002B4F04"/>
    <w:rsid w:val="002B4F8F"/>
    <w:rsid w:val="002B503D"/>
    <w:rsid w:val="002B5047"/>
    <w:rsid w:val="002B51D8"/>
    <w:rsid w:val="002B532B"/>
    <w:rsid w:val="002B5363"/>
    <w:rsid w:val="002B541B"/>
    <w:rsid w:val="002B56E3"/>
    <w:rsid w:val="002B570E"/>
    <w:rsid w:val="002B588D"/>
    <w:rsid w:val="002B5AA0"/>
    <w:rsid w:val="002B5ED1"/>
    <w:rsid w:val="002B6400"/>
    <w:rsid w:val="002B645E"/>
    <w:rsid w:val="002B6495"/>
    <w:rsid w:val="002B64E1"/>
    <w:rsid w:val="002B668D"/>
    <w:rsid w:val="002B66C3"/>
    <w:rsid w:val="002B6E9D"/>
    <w:rsid w:val="002B7002"/>
    <w:rsid w:val="002B725E"/>
    <w:rsid w:val="002B7622"/>
    <w:rsid w:val="002B7791"/>
    <w:rsid w:val="002B797B"/>
    <w:rsid w:val="002B7AA5"/>
    <w:rsid w:val="002B7AA8"/>
    <w:rsid w:val="002B7CE3"/>
    <w:rsid w:val="002B7D0F"/>
    <w:rsid w:val="002B7ED1"/>
    <w:rsid w:val="002B7FB3"/>
    <w:rsid w:val="002B7FD0"/>
    <w:rsid w:val="002C0076"/>
    <w:rsid w:val="002C0189"/>
    <w:rsid w:val="002C02A8"/>
    <w:rsid w:val="002C0333"/>
    <w:rsid w:val="002C0636"/>
    <w:rsid w:val="002C07D0"/>
    <w:rsid w:val="002C09BE"/>
    <w:rsid w:val="002C0C98"/>
    <w:rsid w:val="002C0C9E"/>
    <w:rsid w:val="002C0E5D"/>
    <w:rsid w:val="002C0FF7"/>
    <w:rsid w:val="002C1031"/>
    <w:rsid w:val="002C12E8"/>
    <w:rsid w:val="002C139C"/>
    <w:rsid w:val="002C1617"/>
    <w:rsid w:val="002C1791"/>
    <w:rsid w:val="002C1BE5"/>
    <w:rsid w:val="002C1C20"/>
    <w:rsid w:val="002C1C22"/>
    <w:rsid w:val="002C1E8A"/>
    <w:rsid w:val="002C1EF0"/>
    <w:rsid w:val="002C1F04"/>
    <w:rsid w:val="002C2031"/>
    <w:rsid w:val="002C260E"/>
    <w:rsid w:val="002C2668"/>
    <w:rsid w:val="002C2CB2"/>
    <w:rsid w:val="002C2E4F"/>
    <w:rsid w:val="002C2F01"/>
    <w:rsid w:val="002C2F3F"/>
    <w:rsid w:val="002C2F5C"/>
    <w:rsid w:val="002C3121"/>
    <w:rsid w:val="002C326D"/>
    <w:rsid w:val="002C32D6"/>
    <w:rsid w:val="002C336B"/>
    <w:rsid w:val="002C3712"/>
    <w:rsid w:val="002C3815"/>
    <w:rsid w:val="002C3FC1"/>
    <w:rsid w:val="002C4193"/>
    <w:rsid w:val="002C454E"/>
    <w:rsid w:val="002C4621"/>
    <w:rsid w:val="002C4624"/>
    <w:rsid w:val="002C4736"/>
    <w:rsid w:val="002C49D5"/>
    <w:rsid w:val="002C4B73"/>
    <w:rsid w:val="002C4C8C"/>
    <w:rsid w:val="002C4C9C"/>
    <w:rsid w:val="002C4CD0"/>
    <w:rsid w:val="002C4CF5"/>
    <w:rsid w:val="002C4D7D"/>
    <w:rsid w:val="002C4E5D"/>
    <w:rsid w:val="002C53A9"/>
    <w:rsid w:val="002C56EE"/>
    <w:rsid w:val="002C57FF"/>
    <w:rsid w:val="002C5862"/>
    <w:rsid w:val="002C58ED"/>
    <w:rsid w:val="002C5AA1"/>
    <w:rsid w:val="002C5C57"/>
    <w:rsid w:val="002C61FB"/>
    <w:rsid w:val="002C6745"/>
    <w:rsid w:val="002C683E"/>
    <w:rsid w:val="002C6A7F"/>
    <w:rsid w:val="002C6ABD"/>
    <w:rsid w:val="002C6B99"/>
    <w:rsid w:val="002C7078"/>
    <w:rsid w:val="002C71E7"/>
    <w:rsid w:val="002C7428"/>
    <w:rsid w:val="002C7712"/>
    <w:rsid w:val="002C77D6"/>
    <w:rsid w:val="002C77F2"/>
    <w:rsid w:val="002C7D80"/>
    <w:rsid w:val="002D05A1"/>
    <w:rsid w:val="002D06BC"/>
    <w:rsid w:val="002D0904"/>
    <w:rsid w:val="002D0C78"/>
    <w:rsid w:val="002D13EA"/>
    <w:rsid w:val="002D18B1"/>
    <w:rsid w:val="002D19A0"/>
    <w:rsid w:val="002D19BF"/>
    <w:rsid w:val="002D1A48"/>
    <w:rsid w:val="002D1B17"/>
    <w:rsid w:val="002D1C34"/>
    <w:rsid w:val="002D1C8C"/>
    <w:rsid w:val="002D1F40"/>
    <w:rsid w:val="002D1F7F"/>
    <w:rsid w:val="002D2017"/>
    <w:rsid w:val="002D20E6"/>
    <w:rsid w:val="002D2363"/>
    <w:rsid w:val="002D2400"/>
    <w:rsid w:val="002D2411"/>
    <w:rsid w:val="002D2491"/>
    <w:rsid w:val="002D278C"/>
    <w:rsid w:val="002D28FC"/>
    <w:rsid w:val="002D2ACB"/>
    <w:rsid w:val="002D2D50"/>
    <w:rsid w:val="002D30D7"/>
    <w:rsid w:val="002D32E5"/>
    <w:rsid w:val="002D34E6"/>
    <w:rsid w:val="002D350E"/>
    <w:rsid w:val="002D3A1F"/>
    <w:rsid w:val="002D3A91"/>
    <w:rsid w:val="002D3EC2"/>
    <w:rsid w:val="002D3FBF"/>
    <w:rsid w:val="002D3FDC"/>
    <w:rsid w:val="002D4128"/>
    <w:rsid w:val="002D4307"/>
    <w:rsid w:val="002D471C"/>
    <w:rsid w:val="002D4981"/>
    <w:rsid w:val="002D49B4"/>
    <w:rsid w:val="002D4B61"/>
    <w:rsid w:val="002D4B89"/>
    <w:rsid w:val="002D4BC0"/>
    <w:rsid w:val="002D4C64"/>
    <w:rsid w:val="002D4C86"/>
    <w:rsid w:val="002D4FE3"/>
    <w:rsid w:val="002D5184"/>
    <w:rsid w:val="002D52CC"/>
    <w:rsid w:val="002D54FD"/>
    <w:rsid w:val="002D561A"/>
    <w:rsid w:val="002D575D"/>
    <w:rsid w:val="002D5B65"/>
    <w:rsid w:val="002D5B94"/>
    <w:rsid w:val="002D5C5D"/>
    <w:rsid w:val="002D5D7C"/>
    <w:rsid w:val="002D5D91"/>
    <w:rsid w:val="002D6248"/>
    <w:rsid w:val="002D6250"/>
    <w:rsid w:val="002D63DA"/>
    <w:rsid w:val="002D6526"/>
    <w:rsid w:val="002D657F"/>
    <w:rsid w:val="002D6755"/>
    <w:rsid w:val="002D6957"/>
    <w:rsid w:val="002D6B84"/>
    <w:rsid w:val="002D6C3A"/>
    <w:rsid w:val="002D6D35"/>
    <w:rsid w:val="002D6E41"/>
    <w:rsid w:val="002D7114"/>
    <w:rsid w:val="002D715C"/>
    <w:rsid w:val="002D7237"/>
    <w:rsid w:val="002D729C"/>
    <w:rsid w:val="002D72F7"/>
    <w:rsid w:val="002D7354"/>
    <w:rsid w:val="002D73AC"/>
    <w:rsid w:val="002D740E"/>
    <w:rsid w:val="002D7AC0"/>
    <w:rsid w:val="002D7B43"/>
    <w:rsid w:val="002D7B4D"/>
    <w:rsid w:val="002D7C38"/>
    <w:rsid w:val="002D7DF6"/>
    <w:rsid w:val="002E006E"/>
    <w:rsid w:val="002E0341"/>
    <w:rsid w:val="002E0608"/>
    <w:rsid w:val="002E08D4"/>
    <w:rsid w:val="002E091C"/>
    <w:rsid w:val="002E0A8D"/>
    <w:rsid w:val="002E0F93"/>
    <w:rsid w:val="002E10E6"/>
    <w:rsid w:val="002E14AB"/>
    <w:rsid w:val="002E192D"/>
    <w:rsid w:val="002E19A8"/>
    <w:rsid w:val="002E1AF3"/>
    <w:rsid w:val="002E1B29"/>
    <w:rsid w:val="002E1D71"/>
    <w:rsid w:val="002E20B3"/>
    <w:rsid w:val="002E2386"/>
    <w:rsid w:val="002E239F"/>
    <w:rsid w:val="002E2463"/>
    <w:rsid w:val="002E27A4"/>
    <w:rsid w:val="002E27FD"/>
    <w:rsid w:val="002E2887"/>
    <w:rsid w:val="002E2949"/>
    <w:rsid w:val="002E2B72"/>
    <w:rsid w:val="002E2BF1"/>
    <w:rsid w:val="002E2FB4"/>
    <w:rsid w:val="002E33E0"/>
    <w:rsid w:val="002E3485"/>
    <w:rsid w:val="002E3751"/>
    <w:rsid w:val="002E3814"/>
    <w:rsid w:val="002E3917"/>
    <w:rsid w:val="002E398F"/>
    <w:rsid w:val="002E3A7B"/>
    <w:rsid w:val="002E3B11"/>
    <w:rsid w:val="002E3C11"/>
    <w:rsid w:val="002E3E5E"/>
    <w:rsid w:val="002E3F68"/>
    <w:rsid w:val="002E402B"/>
    <w:rsid w:val="002E413C"/>
    <w:rsid w:val="002E413F"/>
    <w:rsid w:val="002E4243"/>
    <w:rsid w:val="002E43D5"/>
    <w:rsid w:val="002E44F2"/>
    <w:rsid w:val="002E4687"/>
    <w:rsid w:val="002E470C"/>
    <w:rsid w:val="002E4A07"/>
    <w:rsid w:val="002E4A37"/>
    <w:rsid w:val="002E4BBA"/>
    <w:rsid w:val="002E4C0D"/>
    <w:rsid w:val="002E4F14"/>
    <w:rsid w:val="002E50BD"/>
    <w:rsid w:val="002E5600"/>
    <w:rsid w:val="002E58BA"/>
    <w:rsid w:val="002E5A62"/>
    <w:rsid w:val="002E5ACF"/>
    <w:rsid w:val="002E5B61"/>
    <w:rsid w:val="002E5D43"/>
    <w:rsid w:val="002E5DA2"/>
    <w:rsid w:val="002E5DED"/>
    <w:rsid w:val="002E6124"/>
    <w:rsid w:val="002E6159"/>
    <w:rsid w:val="002E617A"/>
    <w:rsid w:val="002E61FD"/>
    <w:rsid w:val="002E64A9"/>
    <w:rsid w:val="002E6507"/>
    <w:rsid w:val="002E65E5"/>
    <w:rsid w:val="002E6825"/>
    <w:rsid w:val="002E68AB"/>
    <w:rsid w:val="002E691E"/>
    <w:rsid w:val="002E6985"/>
    <w:rsid w:val="002E6A3D"/>
    <w:rsid w:val="002E6CB4"/>
    <w:rsid w:val="002E6D2B"/>
    <w:rsid w:val="002E6DD0"/>
    <w:rsid w:val="002E6E30"/>
    <w:rsid w:val="002E6EF2"/>
    <w:rsid w:val="002E71CF"/>
    <w:rsid w:val="002E7280"/>
    <w:rsid w:val="002E7866"/>
    <w:rsid w:val="002E7CCB"/>
    <w:rsid w:val="002E7D05"/>
    <w:rsid w:val="002E7D57"/>
    <w:rsid w:val="002E7E05"/>
    <w:rsid w:val="002E7EB8"/>
    <w:rsid w:val="002F00EF"/>
    <w:rsid w:val="002F01EE"/>
    <w:rsid w:val="002F0248"/>
    <w:rsid w:val="002F0381"/>
    <w:rsid w:val="002F03B9"/>
    <w:rsid w:val="002F0E82"/>
    <w:rsid w:val="002F0EAB"/>
    <w:rsid w:val="002F0F81"/>
    <w:rsid w:val="002F10C7"/>
    <w:rsid w:val="002F1333"/>
    <w:rsid w:val="002F1525"/>
    <w:rsid w:val="002F1558"/>
    <w:rsid w:val="002F18C6"/>
    <w:rsid w:val="002F19A1"/>
    <w:rsid w:val="002F1B00"/>
    <w:rsid w:val="002F1EBB"/>
    <w:rsid w:val="002F1F86"/>
    <w:rsid w:val="002F22D0"/>
    <w:rsid w:val="002F22D6"/>
    <w:rsid w:val="002F27BF"/>
    <w:rsid w:val="002F2880"/>
    <w:rsid w:val="002F28FA"/>
    <w:rsid w:val="002F2A48"/>
    <w:rsid w:val="002F2BA2"/>
    <w:rsid w:val="002F2CEA"/>
    <w:rsid w:val="002F2F8D"/>
    <w:rsid w:val="002F2FBA"/>
    <w:rsid w:val="002F31A9"/>
    <w:rsid w:val="002F3544"/>
    <w:rsid w:val="002F362F"/>
    <w:rsid w:val="002F3870"/>
    <w:rsid w:val="002F3982"/>
    <w:rsid w:val="002F3A1F"/>
    <w:rsid w:val="002F3B73"/>
    <w:rsid w:val="002F3BAF"/>
    <w:rsid w:val="002F3CEC"/>
    <w:rsid w:val="002F3D5E"/>
    <w:rsid w:val="002F3EB2"/>
    <w:rsid w:val="002F4137"/>
    <w:rsid w:val="002F41D5"/>
    <w:rsid w:val="002F4395"/>
    <w:rsid w:val="002F43B6"/>
    <w:rsid w:val="002F467F"/>
    <w:rsid w:val="002F48AF"/>
    <w:rsid w:val="002F495E"/>
    <w:rsid w:val="002F4A74"/>
    <w:rsid w:val="002F4C16"/>
    <w:rsid w:val="002F4D61"/>
    <w:rsid w:val="002F5C72"/>
    <w:rsid w:val="002F5E44"/>
    <w:rsid w:val="002F5EAC"/>
    <w:rsid w:val="002F62E4"/>
    <w:rsid w:val="002F63E2"/>
    <w:rsid w:val="002F63F2"/>
    <w:rsid w:val="002F64A2"/>
    <w:rsid w:val="002F64CC"/>
    <w:rsid w:val="002F675E"/>
    <w:rsid w:val="002F67DA"/>
    <w:rsid w:val="002F67DC"/>
    <w:rsid w:val="002F68F2"/>
    <w:rsid w:val="002F698F"/>
    <w:rsid w:val="002F6AFD"/>
    <w:rsid w:val="002F6E0C"/>
    <w:rsid w:val="002F7114"/>
    <w:rsid w:val="002F7168"/>
    <w:rsid w:val="002F765E"/>
    <w:rsid w:val="002F76B0"/>
    <w:rsid w:val="002F7B6A"/>
    <w:rsid w:val="002F7DF4"/>
    <w:rsid w:val="002F7EA8"/>
    <w:rsid w:val="003000A3"/>
    <w:rsid w:val="003000E0"/>
    <w:rsid w:val="003005F9"/>
    <w:rsid w:val="0030084C"/>
    <w:rsid w:val="0030086C"/>
    <w:rsid w:val="00300965"/>
    <w:rsid w:val="00300B11"/>
    <w:rsid w:val="00300B52"/>
    <w:rsid w:val="00300BF0"/>
    <w:rsid w:val="00300C63"/>
    <w:rsid w:val="00300E37"/>
    <w:rsid w:val="00301180"/>
    <w:rsid w:val="003014A0"/>
    <w:rsid w:val="003014AA"/>
    <w:rsid w:val="003014E5"/>
    <w:rsid w:val="00301586"/>
    <w:rsid w:val="0030168F"/>
    <w:rsid w:val="00301A01"/>
    <w:rsid w:val="00301BDB"/>
    <w:rsid w:val="00301C69"/>
    <w:rsid w:val="00301CC6"/>
    <w:rsid w:val="0030211C"/>
    <w:rsid w:val="003023B4"/>
    <w:rsid w:val="003023D0"/>
    <w:rsid w:val="0030253E"/>
    <w:rsid w:val="0030254C"/>
    <w:rsid w:val="00302624"/>
    <w:rsid w:val="00302A59"/>
    <w:rsid w:val="00302ACA"/>
    <w:rsid w:val="003031B6"/>
    <w:rsid w:val="003032D3"/>
    <w:rsid w:val="003033CF"/>
    <w:rsid w:val="003034EB"/>
    <w:rsid w:val="003036BE"/>
    <w:rsid w:val="003038E8"/>
    <w:rsid w:val="00303AC0"/>
    <w:rsid w:val="00303D14"/>
    <w:rsid w:val="00303D38"/>
    <w:rsid w:val="00304071"/>
    <w:rsid w:val="00304241"/>
    <w:rsid w:val="00304507"/>
    <w:rsid w:val="003046A3"/>
    <w:rsid w:val="003048D9"/>
    <w:rsid w:val="00304BE3"/>
    <w:rsid w:val="00305034"/>
    <w:rsid w:val="00305394"/>
    <w:rsid w:val="00305497"/>
    <w:rsid w:val="0030595E"/>
    <w:rsid w:val="00305B4E"/>
    <w:rsid w:val="00305B7B"/>
    <w:rsid w:val="00305C00"/>
    <w:rsid w:val="00305D3D"/>
    <w:rsid w:val="00305DF5"/>
    <w:rsid w:val="00305F82"/>
    <w:rsid w:val="00306023"/>
    <w:rsid w:val="003060A9"/>
    <w:rsid w:val="0030631E"/>
    <w:rsid w:val="00306437"/>
    <w:rsid w:val="00306547"/>
    <w:rsid w:val="00306A3B"/>
    <w:rsid w:val="00306BA5"/>
    <w:rsid w:val="00306DF8"/>
    <w:rsid w:val="00306EF7"/>
    <w:rsid w:val="00307097"/>
    <w:rsid w:val="003070EA"/>
    <w:rsid w:val="00307267"/>
    <w:rsid w:val="00307407"/>
    <w:rsid w:val="00307560"/>
    <w:rsid w:val="003078BE"/>
    <w:rsid w:val="00307920"/>
    <w:rsid w:val="00307A61"/>
    <w:rsid w:val="00307EBA"/>
    <w:rsid w:val="00310112"/>
    <w:rsid w:val="003102A6"/>
    <w:rsid w:val="003102E3"/>
    <w:rsid w:val="0031036D"/>
    <w:rsid w:val="00310380"/>
    <w:rsid w:val="0031054B"/>
    <w:rsid w:val="003105AF"/>
    <w:rsid w:val="00310A6B"/>
    <w:rsid w:val="00310BA8"/>
    <w:rsid w:val="00310C4C"/>
    <w:rsid w:val="00310D2E"/>
    <w:rsid w:val="00310E0D"/>
    <w:rsid w:val="00310F9C"/>
    <w:rsid w:val="003110F5"/>
    <w:rsid w:val="003111A9"/>
    <w:rsid w:val="00311348"/>
    <w:rsid w:val="00311468"/>
    <w:rsid w:val="00311886"/>
    <w:rsid w:val="00311C34"/>
    <w:rsid w:val="00311CD0"/>
    <w:rsid w:val="00311CEB"/>
    <w:rsid w:val="00311D17"/>
    <w:rsid w:val="00311D92"/>
    <w:rsid w:val="00311E0A"/>
    <w:rsid w:val="0031223F"/>
    <w:rsid w:val="0031228F"/>
    <w:rsid w:val="00312380"/>
    <w:rsid w:val="0031248A"/>
    <w:rsid w:val="0031253E"/>
    <w:rsid w:val="00312690"/>
    <w:rsid w:val="003128BF"/>
    <w:rsid w:val="00312A09"/>
    <w:rsid w:val="00312B7A"/>
    <w:rsid w:val="00312C46"/>
    <w:rsid w:val="00312E41"/>
    <w:rsid w:val="00312EAB"/>
    <w:rsid w:val="0031319F"/>
    <w:rsid w:val="003132FC"/>
    <w:rsid w:val="00313590"/>
    <w:rsid w:val="00313AA8"/>
    <w:rsid w:val="00313AE8"/>
    <w:rsid w:val="00313C3B"/>
    <w:rsid w:val="00313E52"/>
    <w:rsid w:val="0031407A"/>
    <w:rsid w:val="003140CB"/>
    <w:rsid w:val="003140D0"/>
    <w:rsid w:val="00314116"/>
    <w:rsid w:val="003144A0"/>
    <w:rsid w:val="003148AB"/>
    <w:rsid w:val="00314A35"/>
    <w:rsid w:val="00314AB5"/>
    <w:rsid w:val="00314C63"/>
    <w:rsid w:val="00314CA4"/>
    <w:rsid w:val="00314F14"/>
    <w:rsid w:val="00314F99"/>
    <w:rsid w:val="0031501C"/>
    <w:rsid w:val="00315047"/>
    <w:rsid w:val="00315215"/>
    <w:rsid w:val="00315536"/>
    <w:rsid w:val="00315565"/>
    <w:rsid w:val="003157C9"/>
    <w:rsid w:val="00315955"/>
    <w:rsid w:val="003159F3"/>
    <w:rsid w:val="00315ACF"/>
    <w:rsid w:val="00315D09"/>
    <w:rsid w:val="00315DBC"/>
    <w:rsid w:val="00315DCF"/>
    <w:rsid w:val="00315E27"/>
    <w:rsid w:val="00315EA8"/>
    <w:rsid w:val="0031608D"/>
    <w:rsid w:val="003166E4"/>
    <w:rsid w:val="00316974"/>
    <w:rsid w:val="00316E75"/>
    <w:rsid w:val="00316F10"/>
    <w:rsid w:val="00316F99"/>
    <w:rsid w:val="00317016"/>
    <w:rsid w:val="0031738A"/>
    <w:rsid w:val="0031757F"/>
    <w:rsid w:val="003176C0"/>
    <w:rsid w:val="003176F7"/>
    <w:rsid w:val="003176FE"/>
    <w:rsid w:val="003177EA"/>
    <w:rsid w:val="00317803"/>
    <w:rsid w:val="00317837"/>
    <w:rsid w:val="003178DD"/>
    <w:rsid w:val="0031794C"/>
    <w:rsid w:val="00317AF8"/>
    <w:rsid w:val="00317B9C"/>
    <w:rsid w:val="00317EA5"/>
    <w:rsid w:val="00317F92"/>
    <w:rsid w:val="0031B2F7"/>
    <w:rsid w:val="00320044"/>
    <w:rsid w:val="0032017B"/>
    <w:rsid w:val="003202B0"/>
    <w:rsid w:val="003202F8"/>
    <w:rsid w:val="0032045F"/>
    <w:rsid w:val="00320506"/>
    <w:rsid w:val="003205E1"/>
    <w:rsid w:val="0032077A"/>
    <w:rsid w:val="00320937"/>
    <w:rsid w:val="00320A93"/>
    <w:rsid w:val="00320B64"/>
    <w:rsid w:val="00320BAA"/>
    <w:rsid w:val="00320C08"/>
    <w:rsid w:val="00320C63"/>
    <w:rsid w:val="00320C95"/>
    <w:rsid w:val="00320E76"/>
    <w:rsid w:val="003210EB"/>
    <w:rsid w:val="003211B3"/>
    <w:rsid w:val="00321321"/>
    <w:rsid w:val="00321376"/>
    <w:rsid w:val="00321565"/>
    <w:rsid w:val="00321AEF"/>
    <w:rsid w:val="00322258"/>
    <w:rsid w:val="0032229B"/>
    <w:rsid w:val="003222F2"/>
    <w:rsid w:val="00322310"/>
    <w:rsid w:val="00322447"/>
    <w:rsid w:val="003224E7"/>
    <w:rsid w:val="003226BB"/>
    <w:rsid w:val="0032292E"/>
    <w:rsid w:val="00322932"/>
    <w:rsid w:val="00322B3E"/>
    <w:rsid w:val="00322B4B"/>
    <w:rsid w:val="00322B5C"/>
    <w:rsid w:val="00322C31"/>
    <w:rsid w:val="00322C64"/>
    <w:rsid w:val="003230DD"/>
    <w:rsid w:val="00323208"/>
    <w:rsid w:val="00323238"/>
    <w:rsid w:val="00323293"/>
    <w:rsid w:val="0032352B"/>
    <w:rsid w:val="00323656"/>
    <w:rsid w:val="00323687"/>
    <w:rsid w:val="00323C11"/>
    <w:rsid w:val="00323E5F"/>
    <w:rsid w:val="00323EF6"/>
    <w:rsid w:val="003242F2"/>
    <w:rsid w:val="00324355"/>
    <w:rsid w:val="0032450B"/>
    <w:rsid w:val="00324A58"/>
    <w:rsid w:val="00324A8D"/>
    <w:rsid w:val="00324B10"/>
    <w:rsid w:val="00324B7B"/>
    <w:rsid w:val="00324BFA"/>
    <w:rsid w:val="00324C3A"/>
    <w:rsid w:val="00324D09"/>
    <w:rsid w:val="00324FCC"/>
    <w:rsid w:val="00325406"/>
    <w:rsid w:val="003254FD"/>
    <w:rsid w:val="00325620"/>
    <w:rsid w:val="00325630"/>
    <w:rsid w:val="00325772"/>
    <w:rsid w:val="00325A04"/>
    <w:rsid w:val="00325D1F"/>
    <w:rsid w:val="00325E67"/>
    <w:rsid w:val="00325F0A"/>
    <w:rsid w:val="00325FF2"/>
    <w:rsid w:val="003261E2"/>
    <w:rsid w:val="00326469"/>
    <w:rsid w:val="00326578"/>
    <w:rsid w:val="003265A5"/>
    <w:rsid w:val="00326725"/>
    <w:rsid w:val="0032675F"/>
    <w:rsid w:val="00326807"/>
    <w:rsid w:val="003269F2"/>
    <w:rsid w:val="00326AEE"/>
    <w:rsid w:val="00326E3A"/>
    <w:rsid w:val="00326EE1"/>
    <w:rsid w:val="003270C6"/>
    <w:rsid w:val="00327182"/>
    <w:rsid w:val="00327395"/>
    <w:rsid w:val="003274AD"/>
    <w:rsid w:val="003274D3"/>
    <w:rsid w:val="00327577"/>
    <w:rsid w:val="00327614"/>
    <w:rsid w:val="0032798C"/>
    <w:rsid w:val="00327A4E"/>
    <w:rsid w:val="00327AEE"/>
    <w:rsid w:val="00327B1D"/>
    <w:rsid w:val="00327B58"/>
    <w:rsid w:val="00327B8C"/>
    <w:rsid w:val="00327E00"/>
    <w:rsid w:val="00327F5D"/>
    <w:rsid w:val="0033022B"/>
    <w:rsid w:val="00330277"/>
    <w:rsid w:val="003303FE"/>
    <w:rsid w:val="0033048E"/>
    <w:rsid w:val="003304DA"/>
    <w:rsid w:val="003305D7"/>
    <w:rsid w:val="00330841"/>
    <w:rsid w:val="003308B5"/>
    <w:rsid w:val="00330CCD"/>
    <w:rsid w:val="00330D82"/>
    <w:rsid w:val="0033108B"/>
    <w:rsid w:val="00331112"/>
    <w:rsid w:val="003314FA"/>
    <w:rsid w:val="003317EF"/>
    <w:rsid w:val="00331C52"/>
    <w:rsid w:val="00331CA4"/>
    <w:rsid w:val="00332095"/>
    <w:rsid w:val="0033217B"/>
    <w:rsid w:val="003321BE"/>
    <w:rsid w:val="0033251E"/>
    <w:rsid w:val="00332554"/>
    <w:rsid w:val="003328D8"/>
    <w:rsid w:val="003329FB"/>
    <w:rsid w:val="00332BD3"/>
    <w:rsid w:val="00332CDB"/>
    <w:rsid w:val="00332ECB"/>
    <w:rsid w:val="00332F91"/>
    <w:rsid w:val="003330CB"/>
    <w:rsid w:val="0033310E"/>
    <w:rsid w:val="00333144"/>
    <w:rsid w:val="003333EF"/>
    <w:rsid w:val="0033342A"/>
    <w:rsid w:val="00333528"/>
    <w:rsid w:val="003337C4"/>
    <w:rsid w:val="00333857"/>
    <w:rsid w:val="00334003"/>
    <w:rsid w:val="003340EA"/>
    <w:rsid w:val="00334109"/>
    <w:rsid w:val="00334418"/>
    <w:rsid w:val="0033442F"/>
    <w:rsid w:val="0033469D"/>
    <w:rsid w:val="003346F9"/>
    <w:rsid w:val="0033497B"/>
    <w:rsid w:val="00334B45"/>
    <w:rsid w:val="00334D04"/>
    <w:rsid w:val="00334EE2"/>
    <w:rsid w:val="003350A8"/>
    <w:rsid w:val="00335704"/>
    <w:rsid w:val="003357E6"/>
    <w:rsid w:val="00335846"/>
    <w:rsid w:val="0033585E"/>
    <w:rsid w:val="00335911"/>
    <w:rsid w:val="00335A40"/>
    <w:rsid w:val="00335AFD"/>
    <w:rsid w:val="00335C33"/>
    <w:rsid w:val="00335D2C"/>
    <w:rsid w:val="00335DE4"/>
    <w:rsid w:val="00335F23"/>
    <w:rsid w:val="00336096"/>
    <w:rsid w:val="003361D2"/>
    <w:rsid w:val="0033639D"/>
    <w:rsid w:val="003363F3"/>
    <w:rsid w:val="00336654"/>
    <w:rsid w:val="00336668"/>
    <w:rsid w:val="00336BF5"/>
    <w:rsid w:val="00336EEE"/>
    <w:rsid w:val="0033702E"/>
    <w:rsid w:val="00337079"/>
    <w:rsid w:val="003370AC"/>
    <w:rsid w:val="003370AF"/>
    <w:rsid w:val="0033751F"/>
    <w:rsid w:val="003378F5"/>
    <w:rsid w:val="0033794D"/>
    <w:rsid w:val="00337AF2"/>
    <w:rsid w:val="00337D07"/>
    <w:rsid w:val="00337D51"/>
    <w:rsid w:val="00337F70"/>
    <w:rsid w:val="0034018F"/>
    <w:rsid w:val="0034022C"/>
    <w:rsid w:val="003402AB"/>
    <w:rsid w:val="00340646"/>
    <w:rsid w:val="0034086B"/>
    <w:rsid w:val="00340873"/>
    <w:rsid w:val="00340876"/>
    <w:rsid w:val="00340970"/>
    <w:rsid w:val="003409FA"/>
    <w:rsid w:val="00340BCC"/>
    <w:rsid w:val="00340D62"/>
    <w:rsid w:val="00340DE7"/>
    <w:rsid w:val="00341010"/>
    <w:rsid w:val="003411C3"/>
    <w:rsid w:val="0034120C"/>
    <w:rsid w:val="003412C8"/>
    <w:rsid w:val="0034135C"/>
    <w:rsid w:val="00341659"/>
    <w:rsid w:val="00341691"/>
    <w:rsid w:val="00341B31"/>
    <w:rsid w:val="00341F4E"/>
    <w:rsid w:val="00341FD9"/>
    <w:rsid w:val="00342111"/>
    <w:rsid w:val="00342190"/>
    <w:rsid w:val="003421DE"/>
    <w:rsid w:val="0034229F"/>
    <w:rsid w:val="00342424"/>
    <w:rsid w:val="0034245D"/>
    <w:rsid w:val="0034260F"/>
    <w:rsid w:val="003427A9"/>
    <w:rsid w:val="003427F5"/>
    <w:rsid w:val="00342BCE"/>
    <w:rsid w:val="00342BDC"/>
    <w:rsid w:val="00342BF6"/>
    <w:rsid w:val="00342F3A"/>
    <w:rsid w:val="003430C7"/>
    <w:rsid w:val="0034331A"/>
    <w:rsid w:val="00343331"/>
    <w:rsid w:val="003434DC"/>
    <w:rsid w:val="00343598"/>
    <w:rsid w:val="0034367C"/>
    <w:rsid w:val="00343692"/>
    <w:rsid w:val="003436ED"/>
    <w:rsid w:val="003437E6"/>
    <w:rsid w:val="00343923"/>
    <w:rsid w:val="003439A4"/>
    <w:rsid w:val="00343A70"/>
    <w:rsid w:val="00343C4F"/>
    <w:rsid w:val="00343DB5"/>
    <w:rsid w:val="00344139"/>
    <w:rsid w:val="003441BA"/>
    <w:rsid w:val="00344353"/>
    <w:rsid w:val="0034436E"/>
    <w:rsid w:val="003443A8"/>
    <w:rsid w:val="00344408"/>
    <w:rsid w:val="0034457F"/>
    <w:rsid w:val="00344720"/>
    <w:rsid w:val="00344CB6"/>
    <w:rsid w:val="00344DA8"/>
    <w:rsid w:val="00344DB7"/>
    <w:rsid w:val="00344DDE"/>
    <w:rsid w:val="00344E95"/>
    <w:rsid w:val="00344FC2"/>
    <w:rsid w:val="00344FED"/>
    <w:rsid w:val="0034516B"/>
    <w:rsid w:val="003451CD"/>
    <w:rsid w:val="003451FD"/>
    <w:rsid w:val="0034523A"/>
    <w:rsid w:val="003452D5"/>
    <w:rsid w:val="0034539F"/>
    <w:rsid w:val="0034552F"/>
    <w:rsid w:val="00345655"/>
    <w:rsid w:val="0034565E"/>
    <w:rsid w:val="003457E7"/>
    <w:rsid w:val="00345817"/>
    <w:rsid w:val="00345994"/>
    <w:rsid w:val="00345C72"/>
    <w:rsid w:val="00345D7A"/>
    <w:rsid w:val="00345D9D"/>
    <w:rsid w:val="00345DE4"/>
    <w:rsid w:val="00345E28"/>
    <w:rsid w:val="00345F54"/>
    <w:rsid w:val="00345FBD"/>
    <w:rsid w:val="003461AE"/>
    <w:rsid w:val="0034642E"/>
    <w:rsid w:val="003465E6"/>
    <w:rsid w:val="00346608"/>
    <w:rsid w:val="00346790"/>
    <w:rsid w:val="003468C3"/>
    <w:rsid w:val="003469F0"/>
    <w:rsid w:val="00346E57"/>
    <w:rsid w:val="00346FC5"/>
    <w:rsid w:val="00347014"/>
    <w:rsid w:val="00347135"/>
    <w:rsid w:val="00347539"/>
    <w:rsid w:val="00347743"/>
    <w:rsid w:val="00347847"/>
    <w:rsid w:val="00347948"/>
    <w:rsid w:val="00347C8B"/>
    <w:rsid w:val="00347CFE"/>
    <w:rsid w:val="00347E2B"/>
    <w:rsid w:val="00350031"/>
    <w:rsid w:val="0035031A"/>
    <w:rsid w:val="003506C2"/>
    <w:rsid w:val="00350908"/>
    <w:rsid w:val="00350A29"/>
    <w:rsid w:val="00350AD0"/>
    <w:rsid w:val="00350B26"/>
    <w:rsid w:val="00350C6B"/>
    <w:rsid w:val="00350CA4"/>
    <w:rsid w:val="00350DDD"/>
    <w:rsid w:val="00350ECF"/>
    <w:rsid w:val="00350EF4"/>
    <w:rsid w:val="00350F48"/>
    <w:rsid w:val="00351045"/>
    <w:rsid w:val="0035119B"/>
    <w:rsid w:val="003513A8"/>
    <w:rsid w:val="00351541"/>
    <w:rsid w:val="003516A4"/>
    <w:rsid w:val="00351957"/>
    <w:rsid w:val="003519B3"/>
    <w:rsid w:val="00351D6F"/>
    <w:rsid w:val="00352083"/>
    <w:rsid w:val="00352126"/>
    <w:rsid w:val="0035215F"/>
    <w:rsid w:val="003521C5"/>
    <w:rsid w:val="00352230"/>
    <w:rsid w:val="00352259"/>
    <w:rsid w:val="00352384"/>
    <w:rsid w:val="003524B7"/>
    <w:rsid w:val="00352543"/>
    <w:rsid w:val="0035271E"/>
    <w:rsid w:val="0035275E"/>
    <w:rsid w:val="00352768"/>
    <w:rsid w:val="003527B4"/>
    <w:rsid w:val="00352985"/>
    <w:rsid w:val="00352A89"/>
    <w:rsid w:val="00352AD8"/>
    <w:rsid w:val="00352BF6"/>
    <w:rsid w:val="00352C77"/>
    <w:rsid w:val="00352EF9"/>
    <w:rsid w:val="00353056"/>
    <w:rsid w:val="00353484"/>
    <w:rsid w:val="00353514"/>
    <w:rsid w:val="003536C9"/>
    <w:rsid w:val="0035379B"/>
    <w:rsid w:val="00353965"/>
    <w:rsid w:val="00353B67"/>
    <w:rsid w:val="00353D2C"/>
    <w:rsid w:val="00353DC0"/>
    <w:rsid w:val="00354140"/>
    <w:rsid w:val="003542EE"/>
    <w:rsid w:val="00354676"/>
    <w:rsid w:val="00354761"/>
    <w:rsid w:val="00354870"/>
    <w:rsid w:val="0035490B"/>
    <w:rsid w:val="00354BE6"/>
    <w:rsid w:val="00354CBB"/>
    <w:rsid w:val="00354DE7"/>
    <w:rsid w:val="00354E27"/>
    <w:rsid w:val="00354F23"/>
    <w:rsid w:val="00355289"/>
    <w:rsid w:val="0035546A"/>
    <w:rsid w:val="003555E8"/>
    <w:rsid w:val="0035574F"/>
    <w:rsid w:val="0035578B"/>
    <w:rsid w:val="003557CB"/>
    <w:rsid w:val="00355AC6"/>
    <w:rsid w:val="00355B20"/>
    <w:rsid w:val="00355B74"/>
    <w:rsid w:val="00355C09"/>
    <w:rsid w:val="00355EEE"/>
    <w:rsid w:val="00355EF9"/>
    <w:rsid w:val="00356071"/>
    <w:rsid w:val="00356186"/>
    <w:rsid w:val="0035624B"/>
    <w:rsid w:val="003565CB"/>
    <w:rsid w:val="00356968"/>
    <w:rsid w:val="0035697F"/>
    <w:rsid w:val="00356DEF"/>
    <w:rsid w:val="00356ED9"/>
    <w:rsid w:val="00356F6D"/>
    <w:rsid w:val="00356F96"/>
    <w:rsid w:val="0035786B"/>
    <w:rsid w:val="003579F0"/>
    <w:rsid w:val="00357D2A"/>
    <w:rsid w:val="003601CF"/>
    <w:rsid w:val="0036055F"/>
    <w:rsid w:val="0036067D"/>
    <w:rsid w:val="0036080D"/>
    <w:rsid w:val="0036082C"/>
    <w:rsid w:val="003609ED"/>
    <w:rsid w:val="00360A23"/>
    <w:rsid w:val="00360BD6"/>
    <w:rsid w:val="00360C03"/>
    <w:rsid w:val="00360D19"/>
    <w:rsid w:val="00361209"/>
    <w:rsid w:val="0036124D"/>
    <w:rsid w:val="00361289"/>
    <w:rsid w:val="00361350"/>
    <w:rsid w:val="003613CC"/>
    <w:rsid w:val="003614AC"/>
    <w:rsid w:val="003614E5"/>
    <w:rsid w:val="00361618"/>
    <w:rsid w:val="00361685"/>
    <w:rsid w:val="003616E1"/>
    <w:rsid w:val="00361826"/>
    <w:rsid w:val="00361970"/>
    <w:rsid w:val="00361A65"/>
    <w:rsid w:val="00361CA7"/>
    <w:rsid w:val="00361CC7"/>
    <w:rsid w:val="00361DDF"/>
    <w:rsid w:val="00361EBD"/>
    <w:rsid w:val="00361F7B"/>
    <w:rsid w:val="00361FEC"/>
    <w:rsid w:val="003624AB"/>
    <w:rsid w:val="0036258A"/>
    <w:rsid w:val="003625F7"/>
    <w:rsid w:val="00362735"/>
    <w:rsid w:val="00362890"/>
    <w:rsid w:val="00362CA2"/>
    <w:rsid w:val="00362E10"/>
    <w:rsid w:val="00363375"/>
    <w:rsid w:val="0036350B"/>
    <w:rsid w:val="003636B4"/>
    <w:rsid w:val="0036385C"/>
    <w:rsid w:val="00363AA1"/>
    <w:rsid w:val="00363B64"/>
    <w:rsid w:val="00363D16"/>
    <w:rsid w:val="0036418E"/>
    <w:rsid w:val="003641F9"/>
    <w:rsid w:val="0036426F"/>
    <w:rsid w:val="0036430B"/>
    <w:rsid w:val="003643AD"/>
    <w:rsid w:val="00364435"/>
    <w:rsid w:val="00364688"/>
    <w:rsid w:val="003647F7"/>
    <w:rsid w:val="00364CFA"/>
    <w:rsid w:val="00364DBA"/>
    <w:rsid w:val="00364F51"/>
    <w:rsid w:val="00364F9F"/>
    <w:rsid w:val="003650F1"/>
    <w:rsid w:val="00365292"/>
    <w:rsid w:val="003652CB"/>
    <w:rsid w:val="003654DF"/>
    <w:rsid w:val="003658BE"/>
    <w:rsid w:val="0036596B"/>
    <w:rsid w:val="00365B3B"/>
    <w:rsid w:val="00365C1B"/>
    <w:rsid w:val="00366300"/>
    <w:rsid w:val="0036642C"/>
    <w:rsid w:val="00366579"/>
    <w:rsid w:val="00366652"/>
    <w:rsid w:val="00366698"/>
    <w:rsid w:val="0036672D"/>
    <w:rsid w:val="003667B8"/>
    <w:rsid w:val="00366D6C"/>
    <w:rsid w:val="00366F6E"/>
    <w:rsid w:val="00366FCF"/>
    <w:rsid w:val="003672AD"/>
    <w:rsid w:val="003674A0"/>
    <w:rsid w:val="003676AF"/>
    <w:rsid w:val="00367D03"/>
    <w:rsid w:val="00367EC2"/>
    <w:rsid w:val="00370596"/>
    <w:rsid w:val="00370639"/>
    <w:rsid w:val="00370765"/>
    <w:rsid w:val="003708D5"/>
    <w:rsid w:val="003708DB"/>
    <w:rsid w:val="003708E1"/>
    <w:rsid w:val="00370ABE"/>
    <w:rsid w:val="00370B2F"/>
    <w:rsid w:val="00370CB7"/>
    <w:rsid w:val="00370DDB"/>
    <w:rsid w:val="00370E8D"/>
    <w:rsid w:val="0037128F"/>
    <w:rsid w:val="003712AE"/>
    <w:rsid w:val="003712E7"/>
    <w:rsid w:val="003712E8"/>
    <w:rsid w:val="003713A1"/>
    <w:rsid w:val="00371430"/>
    <w:rsid w:val="0037144C"/>
    <w:rsid w:val="003714BA"/>
    <w:rsid w:val="00371537"/>
    <w:rsid w:val="0037159C"/>
    <w:rsid w:val="003715B5"/>
    <w:rsid w:val="00371684"/>
    <w:rsid w:val="00371CA5"/>
    <w:rsid w:val="00371CB2"/>
    <w:rsid w:val="003721A9"/>
    <w:rsid w:val="0037230A"/>
    <w:rsid w:val="0037238C"/>
    <w:rsid w:val="0037247B"/>
    <w:rsid w:val="00372734"/>
    <w:rsid w:val="003727DC"/>
    <w:rsid w:val="0037283A"/>
    <w:rsid w:val="003728E9"/>
    <w:rsid w:val="003729C8"/>
    <w:rsid w:val="00372A35"/>
    <w:rsid w:val="00372C0B"/>
    <w:rsid w:val="00372DFC"/>
    <w:rsid w:val="00372EF2"/>
    <w:rsid w:val="00372F77"/>
    <w:rsid w:val="00373134"/>
    <w:rsid w:val="003731FD"/>
    <w:rsid w:val="00373296"/>
    <w:rsid w:val="003732BB"/>
    <w:rsid w:val="003737DE"/>
    <w:rsid w:val="00373839"/>
    <w:rsid w:val="00373ADC"/>
    <w:rsid w:val="00373BCC"/>
    <w:rsid w:val="00373D4E"/>
    <w:rsid w:val="00373E6F"/>
    <w:rsid w:val="00373F0A"/>
    <w:rsid w:val="00374093"/>
    <w:rsid w:val="00374191"/>
    <w:rsid w:val="00374444"/>
    <w:rsid w:val="003744A1"/>
    <w:rsid w:val="003744A2"/>
    <w:rsid w:val="003744FA"/>
    <w:rsid w:val="00374AB6"/>
    <w:rsid w:val="00374DD9"/>
    <w:rsid w:val="00374E30"/>
    <w:rsid w:val="00374E36"/>
    <w:rsid w:val="0037522F"/>
    <w:rsid w:val="00375237"/>
    <w:rsid w:val="00375280"/>
    <w:rsid w:val="00375389"/>
    <w:rsid w:val="003755E2"/>
    <w:rsid w:val="00375991"/>
    <w:rsid w:val="003759A5"/>
    <w:rsid w:val="00375B83"/>
    <w:rsid w:val="00375BA4"/>
    <w:rsid w:val="00375E30"/>
    <w:rsid w:val="00375FA6"/>
    <w:rsid w:val="0037602A"/>
    <w:rsid w:val="003762D1"/>
    <w:rsid w:val="0037650E"/>
    <w:rsid w:val="00376574"/>
    <w:rsid w:val="00376965"/>
    <w:rsid w:val="00376F4B"/>
    <w:rsid w:val="00376FCE"/>
    <w:rsid w:val="00377008"/>
    <w:rsid w:val="003770D9"/>
    <w:rsid w:val="003774EA"/>
    <w:rsid w:val="0037754E"/>
    <w:rsid w:val="0037765D"/>
    <w:rsid w:val="0037772E"/>
    <w:rsid w:val="0037782F"/>
    <w:rsid w:val="00377880"/>
    <w:rsid w:val="003778D0"/>
    <w:rsid w:val="003778E2"/>
    <w:rsid w:val="0037794C"/>
    <w:rsid w:val="003779C2"/>
    <w:rsid w:val="00377A4D"/>
    <w:rsid w:val="00377A56"/>
    <w:rsid w:val="00377B43"/>
    <w:rsid w:val="00377B9C"/>
    <w:rsid w:val="00377CA2"/>
    <w:rsid w:val="00377CF4"/>
    <w:rsid w:val="00377D28"/>
    <w:rsid w:val="00377E08"/>
    <w:rsid w:val="00377EDA"/>
    <w:rsid w:val="0038029B"/>
    <w:rsid w:val="003802DC"/>
    <w:rsid w:val="003805D7"/>
    <w:rsid w:val="003806BE"/>
    <w:rsid w:val="00380736"/>
    <w:rsid w:val="00380B4C"/>
    <w:rsid w:val="00380C12"/>
    <w:rsid w:val="00380CA0"/>
    <w:rsid w:val="00380E20"/>
    <w:rsid w:val="00380E4C"/>
    <w:rsid w:val="00380E9E"/>
    <w:rsid w:val="00380EF8"/>
    <w:rsid w:val="00380F42"/>
    <w:rsid w:val="00381047"/>
    <w:rsid w:val="003810FE"/>
    <w:rsid w:val="003812C5"/>
    <w:rsid w:val="0038168A"/>
    <w:rsid w:val="0038181F"/>
    <w:rsid w:val="003818E3"/>
    <w:rsid w:val="00381B0C"/>
    <w:rsid w:val="00381C5E"/>
    <w:rsid w:val="00381D58"/>
    <w:rsid w:val="00381DC8"/>
    <w:rsid w:val="00381EA9"/>
    <w:rsid w:val="00381F12"/>
    <w:rsid w:val="003821CB"/>
    <w:rsid w:val="00382204"/>
    <w:rsid w:val="00382489"/>
    <w:rsid w:val="00382869"/>
    <w:rsid w:val="00382903"/>
    <w:rsid w:val="00382A0E"/>
    <w:rsid w:val="00382AD0"/>
    <w:rsid w:val="00382B71"/>
    <w:rsid w:val="00382BBE"/>
    <w:rsid w:val="00382D85"/>
    <w:rsid w:val="00382DE7"/>
    <w:rsid w:val="003830AD"/>
    <w:rsid w:val="003833A6"/>
    <w:rsid w:val="00383BBB"/>
    <w:rsid w:val="00383E1A"/>
    <w:rsid w:val="00383E81"/>
    <w:rsid w:val="00383F62"/>
    <w:rsid w:val="0038414C"/>
    <w:rsid w:val="00384347"/>
    <w:rsid w:val="00384369"/>
    <w:rsid w:val="00384888"/>
    <w:rsid w:val="00384A43"/>
    <w:rsid w:val="00384B25"/>
    <w:rsid w:val="00385236"/>
    <w:rsid w:val="00385372"/>
    <w:rsid w:val="00385495"/>
    <w:rsid w:val="003854DF"/>
    <w:rsid w:val="003855FA"/>
    <w:rsid w:val="003859DF"/>
    <w:rsid w:val="00385A20"/>
    <w:rsid w:val="00385BA3"/>
    <w:rsid w:val="00385BC7"/>
    <w:rsid w:val="00385F7B"/>
    <w:rsid w:val="00386084"/>
    <w:rsid w:val="003860D9"/>
    <w:rsid w:val="003861E7"/>
    <w:rsid w:val="003862ED"/>
    <w:rsid w:val="003863AC"/>
    <w:rsid w:val="00386434"/>
    <w:rsid w:val="00386604"/>
    <w:rsid w:val="003867D5"/>
    <w:rsid w:val="0038683A"/>
    <w:rsid w:val="00386914"/>
    <w:rsid w:val="00386A41"/>
    <w:rsid w:val="00386D5C"/>
    <w:rsid w:val="00386E76"/>
    <w:rsid w:val="00386E8E"/>
    <w:rsid w:val="00387227"/>
    <w:rsid w:val="00387444"/>
    <w:rsid w:val="0038757B"/>
    <w:rsid w:val="003877B3"/>
    <w:rsid w:val="00387861"/>
    <w:rsid w:val="00387D7E"/>
    <w:rsid w:val="00387FB3"/>
    <w:rsid w:val="003900C1"/>
    <w:rsid w:val="003901DC"/>
    <w:rsid w:val="00390497"/>
    <w:rsid w:val="003909C5"/>
    <w:rsid w:val="00390A66"/>
    <w:rsid w:val="00390EA6"/>
    <w:rsid w:val="00391658"/>
    <w:rsid w:val="00391724"/>
    <w:rsid w:val="003918DF"/>
    <w:rsid w:val="00391914"/>
    <w:rsid w:val="00391BF5"/>
    <w:rsid w:val="00391C20"/>
    <w:rsid w:val="00391CE1"/>
    <w:rsid w:val="003921A0"/>
    <w:rsid w:val="003921AD"/>
    <w:rsid w:val="0039234B"/>
    <w:rsid w:val="0039239F"/>
    <w:rsid w:val="0039241A"/>
    <w:rsid w:val="00392440"/>
    <w:rsid w:val="0039269E"/>
    <w:rsid w:val="00392713"/>
    <w:rsid w:val="00392766"/>
    <w:rsid w:val="0039292D"/>
    <w:rsid w:val="00392992"/>
    <w:rsid w:val="00392AE9"/>
    <w:rsid w:val="00392B2A"/>
    <w:rsid w:val="00392E8B"/>
    <w:rsid w:val="00392F00"/>
    <w:rsid w:val="00392FB0"/>
    <w:rsid w:val="003931DF"/>
    <w:rsid w:val="003932B8"/>
    <w:rsid w:val="003933B2"/>
    <w:rsid w:val="003933D4"/>
    <w:rsid w:val="003936E0"/>
    <w:rsid w:val="00393C4C"/>
    <w:rsid w:val="00393E2E"/>
    <w:rsid w:val="00394083"/>
    <w:rsid w:val="003941FA"/>
    <w:rsid w:val="0039420F"/>
    <w:rsid w:val="00394356"/>
    <w:rsid w:val="0039437B"/>
    <w:rsid w:val="003943E9"/>
    <w:rsid w:val="003945F4"/>
    <w:rsid w:val="003946FF"/>
    <w:rsid w:val="00394710"/>
    <w:rsid w:val="0039472B"/>
    <w:rsid w:val="00394787"/>
    <w:rsid w:val="00394B78"/>
    <w:rsid w:val="00394EC5"/>
    <w:rsid w:val="00395020"/>
    <w:rsid w:val="0039504D"/>
    <w:rsid w:val="003951A8"/>
    <w:rsid w:val="003951DF"/>
    <w:rsid w:val="0039538B"/>
    <w:rsid w:val="003954C3"/>
    <w:rsid w:val="003955F3"/>
    <w:rsid w:val="00395667"/>
    <w:rsid w:val="003956DC"/>
    <w:rsid w:val="0039573A"/>
    <w:rsid w:val="00395B25"/>
    <w:rsid w:val="00395BAB"/>
    <w:rsid w:val="00395D80"/>
    <w:rsid w:val="00395F74"/>
    <w:rsid w:val="00396085"/>
    <w:rsid w:val="003962A6"/>
    <w:rsid w:val="00396730"/>
    <w:rsid w:val="003969F0"/>
    <w:rsid w:val="00396CD2"/>
    <w:rsid w:val="00396D3A"/>
    <w:rsid w:val="00396E71"/>
    <w:rsid w:val="00396F47"/>
    <w:rsid w:val="00397339"/>
    <w:rsid w:val="003974BA"/>
    <w:rsid w:val="003974CC"/>
    <w:rsid w:val="003977F1"/>
    <w:rsid w:val="0039789F"/>
    <w:rsid w:val="00397AFD"/>
    <w:rsid w:val="00397B6F"/>
    <w:rsid w:val="00397CE0"/>
    <w:rsid w:val="00397E94"/>
    <w:rsid w:val="003A00DE"/>
    <w:rsid w:val="003A018B"/>
    <w:rsid w:val="003A019A"/>
    <w:rsid w:val="003A0279"/>
    <w:rsid w:val="003A0447"/>
    <w:rsid w:val="003A08E0"/>
    <w:rsid w:val="003A0988"/>
    <w:rsid w:val="003A09B7"/>
    <w:rsid w:val="003A0A06"/>
    <w:rsid w:val="003A0C99"/>
    <w:rsid w:val="003A0E64"/>
    <w:rsid w:val="003A0E7F"/>
    <w:rsid w:val="003A0F04"/>
    <w:rsid w:val="003A0F8C"/>
    <w:rsid w:val="003A1058"/>
    <w:rsid w:val="003A1582"/>
    <w:rsid w:val="003A1588"/>
    <w:rsid w:val="003A1873"/>
    <w:rsid w:val="003A19D1"/>
    <w:rsid w:val="003A1E7A"/>
    <w:rsid w:val="003A1F50"/>
    <w:rsid w:val="003A2030"/>
    <w:rsid w:val="003A20CC"/>
    <w:rsid w:val="003A23D0"/>
    <w:rsid w:val="003A24CA"/>
    <w:rsid w:val="003A2647"/>
    <w:rsid w:val="003A2739"/>
    <w:rsid w:val="003A2A22"/>
    <w:rsid w:val="003A2C14"/>
    <w:rsid w:val="003A2D00"/>
    <w:rsid w:val="003A30E1"/>
    <w:rsid w:val="003A3165"/>
    <w:rsid w:val="003A317A"/>
    <w:rsid w:val="003A319E"/>
    <w:rsid w:val="003A3222"/>
    <w:rsid w:val="003A325F"/>
    <w:rsid w:val="003A3333"/>
    <w:rsid w:val="003A333C"/>
    <w:rsid w:val="003A342C"/>
    <w:rsid w:val="003A3913"/>
    <w:rsid w:val="003A399A"/>
    <w:rsid w:val="003A3A22"/>
    <w:rsid w:val="003A3A3A"/>
    <w:rsid w:val="003A3BA3"/>
    <w:rsid w:val="003A3C7C"/>
    <w:rsid w:val="003A3DB3"/>
    <w:rsid w:val="003A4072"/>
    <w:rsid w:val="003A40DC"/>
    <w:rsid w:val="003A4136"/>
    <w:rsid w:val="003A4162"/>
    <w:rsid w:val="003A43EA"/>
    <w:rsid w:val="003A4471"/>
    <w:rsid w:val="003A46A3"/>
    <w:rsid w:val="003A4792"/>
    <w:rsid w:val="003A4A95"/>
    <w:rsid w:val="003A4BFA"/>
    <w:rsid w:val="003A4DE3"/>
    <w:rsid w:val="003A4EC3"/>
    <w:rsid w:val="003A4FD4"/>
    <w:rsid w:val="003A5072"/>
    <w:rsid w:val="003A51FF"/>
    <w:rsid w:val="003A52B2"/>
    <w:rsid w:val="003A53CA"/>
    <w:rsid w:val="003A541F"/>
    <w:rsid w:val="003A5985"/>
    <w:rsid w:val="003A59C9"/>
    <w:rsid w:val="003A5A3E"/>
    <w:rsid w:val="003A5A7E"/>
    <w:rsid w:val="003A5EFB"/>
    <w:rsid w:val="003A5FAE"/>
    <w:rsid w:val="003A6291"/>
    <w:rsid w:val="003A642A"/>
    <w:rsid w:val="003A659B"/>
    <w:rsid w:val="003A6874"/>
    <w:rsid w:val="003A6B74"/>
    <w:rsid w:val="003A6CC5"/>
    <w:rsid w:val="003A6D01"/>
    <w:rsid w:val="003A6EDC"/>
    <w:rsid w:val="003A6FB0"/>
    <w:rsid w:val="003A746D"/>
    <w:rsid w:val="003A75F5"/>
    <w:rsid w:val="003A765B"/>
    <w:rsid w:val="003A7815"/>
    <w:rsid w:val="003A78DE"/>
    <w:rsid w:val="003A79ED"/>
    <w:rsid w:val="003A7C55"/>
    <w:rsid w:val="003A7E59"/>
    <w:rsid w:val="003B00F5"/>
    <w:rsid w:val="003B011C"/>
    <w:rsid w:val="003B018D"/>
    <w:rsid w:val="003B0357"/>
    <w:rsid w:val="003B035C"/>
    <w:rsid w:val="003B0375"/>
    <w:rsid w:val="003B0562"/>
    <w:rsid w:val="003B05ED"/>
    <w:rsid w:val="003B0691"/>
    <w:rsid w:val="003B09AA"/>
    <w:rsid w:val="003B0D53"/>
    <w:rsid w:val="003B0DF0"/>
    <w:rsid w:val="003B10F0"/>
    <w:rsid w:val="003B1458"/>
    <w:rsid w:val="003B14AC"/>
    <w:rsid w:val="003B17A1"/>
    <w:rsid w:val="003B19CB"/>
    <w:rsid w:val="003B1BF1"/>
    <w:rsid w:val="003B1C26"/>
    <w:rsid w:val="003B2146"/>
    <w:rsid w:val="003B2255"/>
    <w:rsid w:val="003B24A8"/>
    <w:rsid w:val="003B2570"/>
    <w:rsid w:val="003B2743"/>
    <w:rsid w:val="003B2AA3"/>
    <w:rsid w:val="003B2B95"/>
    <w:rsid w:val="003B2DAE"/>
    <w:rsid w:val="003B2EAE"/>
    <w:rsid w:val="003B344F"/>
    <w:rsid w:val="003B3919"/>
    <w:rsid w:val="003B3AB4"/>
    <w:rsid w:val="003B3B2B"/>
    <w:rsid w:val="003B3BBE"/>
    <w:rsid w:val="003B3E8F"/>
    <w:rsid w:val="003B3EAC"/>
    <w:rsid w:val="003B3FA6"/>
    <w:rsid w:val="003B3FD4"/>
    <w:rsid w:val="003B40D6"/>
    <w:rsid w:val="003B422B"/>
    <w:rsid w:val="003B4243"/>
    <w:rsid w:val="003B4597"/>
    <w:rsid w:val="003B487A"/>
    <w:rsid w:val="003B487F"/>
    <w:rsid w:val="003B4C1B"/>
    <w:rsid w:val="003B4CD6"/>
    <w:rsid w:val="003B4CE3"/>
    <w:rsid w:val="003B4CE7"/>
    <w:rsid w:val="003B4F2A"/>
    <w:rsid w:val="003B4F53"/>
    <w:rsid w:val="003B5042"/>
    <w:rsid w:val="003B52A5"/>
    <w:rsid w:val="003B5627"/>
    <w:rsid w:val="003B5729"/>
    <w:rsid w:val="003B57CF"/>
    <w:rsid w:val="003B5807"/>
    <w:rsid w:val="003B5B4F"/>
    <w:rsid w:val="003B5BCE"/>
    <w:rsid w:val="003B5DDB"/>
    <w:rsid w:val="003B5FAA"/>
    <w:rsid w:val="003B60EB"/>
    <w:rsid w:val="003B65A4"/>
    <w:rsid w:val="003B65A9"/>
    <w:rsid w:val="003B65D8"/>
    <w:rsid w:val="003B671E"/>
    <w:rsid w:val="003B68BC"/>
    <w:rsid w:val="003B6B43"/>
    <w:rsid w:val="003B6C38"/>
    <w:rsid w:val="003B6EAF"/>
    <w:rsid w:val="003B7145"/>
    <w:rsid w:val="003B7156"/>
    <w:rsid w:val="003B723C"/>
    <w:rsid w:val="003B73E8"/>
    <w:rsid w:val="003B7607"/>
    <w:rsid w:val="003B76DF"/>
    <w:rsid w:val="003B7744"/>
    <w:rsid w:val="003B77D9"/>
    <w:rsid w:val="003B784A"/>
    <w:rsid w:val="003B789C"/>
    <w:rsid w:val="003B7A19"/>
    <w:rsid w:val="003B7BBF"/>
    <w:rsid w:val="003B7C1C"/>
    <w:rsid w:val="003B7E02"/>
    <w:rsid w:val="003C024B"/>
    <w:rsid w:val="003C0259"/>
    <w:rsid w:val="003C030F"/>
    <w:rsid w:val="003C0319"/>
    <w:rsid w:val="003C08E6"/>
    <w:rsid w:val="003C099C"/>
    <w:rsid w:val="003C0EBB"/>
    <w:rsid w:val="003C1038"/>
    <w:rsid w:val="003C1189"/>
    <w:rsid w:val="003C11E0"/>
    <w:rsid w:val="003C1208"/>
    <w:rsid w:val="003C190C"/>
    <w:rsid w:val="003C1A04"/>
    <w:rsid w:val="003C1A7F"/>
    <w:rsid w:val="003C1C60"/>
    <w:rsid w:val="003C1E05"/>
    <w:rsid w:val="003C1FC5"/>
    <w:rsid w:val="003C2349"/>
    <w:rsid w:val="003C237B"/>
    <w:rsid w:val="003C23EF"/>
    <w:rsid w:val="003C24B5"/>
    <w:rsid w:val="003C279F"/>
    <w:rsid w:val="003C2804"/>
    <w:rsid w:val="003C2902"/>
    <w:rsid w:val="003C2AB6"/>
    <w:rsid w:val="003C2C61"/>
    <w:rsid w:val="003C2CB8"/>
    <w:rsid w:val="003C2DB0"/>
    <w:rsid w:val="003C2EDC"/>
    <w:rsid w:val="003C2EF7"/>
    <w:rsid w:val="003C30E9"/>
    <w:rsid w:val="003C31BA"/>
    <w:rsid w:val="003C3258"/>
    <w:rsid w:val="003C328B"/>
    <w:rsid w:val="003C32E5"/>
    <w:rsid w:val="003C33CA"/>
    <w:rsid w:val="003C33FF"/>
    <w:rsid w:val="003C353F"/>
    <w:rsid w:val="003C3551"/>
    <w:rsid w:val="003C35BD"/>
    <w:rsid w:val="003C3754"/>
    <w:rsid w:val="003C3792"/>
    <w:rsid w:val="003C3801"/>
    <w:rsid w:val="003C391A"/>
    <w:rsid w:val="003C3A05"/>
    <w:rsid w:val="003C3BBB"/>
    <w:rsid w:val="003C3C24"/>
    <w:rsid w:val="003C4346"/>
    <w:rsid w:val="003C45C2"/>
    <w:rsid w:val="003C4601"/>
    <w:rsid w:val="003C482E"/>
    <w:rsid w:val="003C4A22"/>
    <w:rsid w:val="003C4AB2"/>
    <w:rsid w:val="003C4B42"/>
    <w:rsid w:val="003C4C71"/>
    <w:rsid w:val="003C51EF"/>
    <w:rsid w:val="003C52C1"/>
    <w:rsid w:val="003C53CD"/>
    <w:rsid w:val="003C53CF"/>
    <w:rsid w:val="003C56CB"/>
    <w:rsid w:val="003C5741"/>
    <w:rsid w:val="003C5863"/>
    <w:rsid w:val="003C59ED"/>
    <w:rsid w:val="003C5B8F"/>
    <w:rsid w:val="003C5D0F"/>
    <w:rsid w:val="003C5DC7"/>
    <w:rsid w:val="003C5E6F"/>
    <w:rsid w:val="003C5FE9"/>
    <w:rsid w:val="003C60A3"/>
    <w:rsid w:val="003C6434"/>
    <w:rsid w:val="003C653C"/>
    <w:rsid w:val="003C6562"/>
    <w:rsid w:val="003C66EF"/>
    <w:rsid w:val="003C692C"/>
    <w:rsid w:val="003C693D"/>
    <w:rsid w:val="003C6B40"/>
    <w:rsid w:val="003C6DB0"/>
    <w:rsid w:val="003C6FC7"/>
    <w:rsid w:val="003C6FCE"/>
    <w:rsid w:val="003C717F"/>
    <w:rsid w:val="003C71AE"/>
    <w:rsid w:val="003C730A"/>
    <w:rsid w:val="003C740B"/>
    <w:rsid w:val="003C7648"/>
    <w:rsid w:val="003C77F6"/>
    <w:rsid w:val="003C7812"/>
    <w:rsid w:val="003C78E0"/>
    <w:rsid w:val="003C7E95"/>
    <w:rsid w:val="003D033A"/>
    <w:rsid w:val="003D046B"/>
    <w:rsid w:val="003D07A9"/>
    <w:rsid w:val="003D08E1"/>
    <w:rsid w:val="003D0BC8"/>
    <w:rsid w:val="003D0E5B"/>
    <w:rsid w:val="003D0EBA"/>
    <w:rsid w:val="003D0F8C"/>
    <w:rsid w:val="003D114D"/>
    <w:rsid w:val="003D11D5"/>
    <w:rsid w:val="003D1525"/>
    <w:rsid w:val="003D154E"/>
    <w:rsid w:val="003D1556"/>
    <w:rsid w:val="003D15CD"/>
    <w:rsid w:val="003D1AAF"/>
    <w:rsid w:val="003D1C00"/>
    <w:rsid w:val="003D1CEF"/>
    <w:rsid w:val="003D1D2B"/>
    <w:rsid w:val="003D1EEB"/>
    <w:rsid w:val="003D2395"/>
    <w:rsid w:val="003D258E"/>
    <w:rsid w:val="003D259F"/>
    <w:rsid w:val="003D2883"/>
    <w:rsid w:val="003D2A66"/>
    <w:rsid w:val="003D2A67"/>
    <w:rsid w:val="003D2B08"/>
    <w:rsid w:val="003D2D6E"/>
    <w:rsid w:val="003D2DD5"/>
    <w:rsid w:val="003D2DF5"/>
    <w:rsid w:val="003D3047"/>
    <w:rsid w:val="003D30E6"/>
    <w:rsid w:val="003D318B"/>
    <w:rsid w:val="003D319E"/>
    <w:rsid w:val="003D31FD"/>
    <w:rsid w:val="003D32C2"/>
    <w:rsid w:val="003D33A3"/>
    <w:rsid w:val="003D3526"/>
    <w:rsid w:val="003D354A"/>
    <w:rsid w:val="003D359B"/>
    <w:rsid w:val="003D369C"/>
    <w:rsid w:val="003D36E2"/>
    <w:rsid w:val="003D397C"/>
    <w:rsid w:val="003D3A62"/>
    <w:rsid w:val="003D3F24"/>
    <w:rsid w:val="003D3F82"/>
    <w:rsid w:val="003D3FC7"/>
    <w:rsid w:val="003D3FD0"/>
    <w:rsid w:val="003D4017"/>
    <w:rsid w:val="003D4046"/>
    <w:rsid w:val="003D413E"/>
    <w:rsid w:val="003D4417"/>
    <w:rsid w:val="003D4B28"/>
    <w:rsid w:val="003D4DB5"/>
    <w:rsid w:val="003D5126"/>
    <w:rsid w:val="003D52DB"/>
    <w:rsid w:val="003D5745"/>
    <w:rsid w:val="003D5853"/>
    <w:rsid w:val="003D5913"/>
    <w:rsid w:val="003D5B50"/>
    <w:rsid w:val="003D5C51"/>
    <w:rsid w:val="003D5D15"/>
    <w:rsid w:val="003D6544"/>
    <w:rsid w:val="003D65DA"/>
    <w:rsid w:val="003D6A52"/>
    <w:rsid w:val="003D6C4B"/>
    <w:rsid w:val="003D6CE2"/>
    <w:rsid w:val="003D6D52"/>
    <w:rsid w:val="003D6D8E"/>
    <w:rsid w:val="003D6F39"/>
    <w:rsid w:val="003D6FE3"/>
    <w:rsid w:val="003D70F3"/>
    <w:rsid w:val="003D717C"/>
    <w:rsid w:val="003D731B"/>
    <w:rsid w:val="003D7609"/>
    <w:rsid w:val="003D775C"/>
    <w:rsid w:val="003D7775"/>
    <w:rsid w:val="003D77DF"/>
    <w:rsid w:val="003D7861"/>
    <w:rsid w:val="003D7BA7"/>
    <w:rsid w:val="003D7BF1"/>
    <w:rsid w:val="003D7C88"/>
    <w:rsid w:val="003D7EE7"/>
    <w:rsid w:val="003D7F55"/>
    <w:rsid w:val="003E082C"/>
    <w:rsid w:val="003E08AA"/>
    <w:rsid w:val="003E0905"/>
    <w:rsid w:val="003E0943"/>
    <w:rsid w:val="003E09D5"/>
    <w:rsid w:val="003E0A2D"/>
    <w:rsid w:val="003E0A56"/>
    <w:rsid w:val="003E0AC4"/>
    <w:rsid w:val="003E0B58"/>
    <w:rsid w:val="003E0C5C"/>
    <w:rsid w:val="003E0E68"/>
    <w:rsid w:val="003E0E73"/>
    <w:rsid w:val="003E1133"/>
    <w:rsid w:val="003E1397"/>
    <w:rsid w:val="003E1400"/>
    <w:rsid w:val="003E1676"/>
    <w:rsid w:val="003E16AF"/>
    <w:rsid w:val="003E1741"/>
    <w:rsid w:val="003E17E2"/>
    <w:rsid w:val="003E1A94"/>
    <w:rsid w:val="003E1C0F"/>
    <w:rsid w:val="003E1C2D"/>
    <w:rsid w:val="003E1F41"/>
    <w:rsid w:val="003E1FB8"/>
    <w:rsid w:val="003E209C"/>
    <w:rsid w:val="003E2197"/>
    <w:rsid w:val="003E22AB"/>
    <w:rsid w:val="003E28BF"/>
    <w:rsid w:val="003E29A7"/>
    <w:rsid w:val="003E29F5"/>
    <w:rsid w:val="003E2B35"/>
    <w:rsid w:val="003E2C3A"/>
    <w:rsid w:val="003E30D6"/>
    <w:rsid w:val="003E3151"/>
    <w:rsid w:val="003E33DB"/>
    <w:rsid w:val="003E34E2"/>
    <w:rsid w:val="003E3678"/>
    <w:rsid w:val="003E3909"/>
    <w:rsid w:val="003E3DE6"/>
    <w:rsid w:val="003E3E62"/>
    <w:rsid w:val="003E4076"/>
    <w:rsid w:val="003E40C7"/>
    <w:rsid w:val="003E41BA"/>
    <w:rsid w:val="003E41D3"/>
    <w:rsid w:val="003E4233"/>
    <w:rsid w:val="003E479F"/>
    <w:rsid w:val="003E4874"/>
    <w:rsid w:val="003E48AD"/>
    <w:rsid w:val="003E4B25"/>
    <w:rsid w:val="003E4B4A"/>
    <w:rsid w:val="003E4BB5"/>
    <w:rsid w:val="003E4BF3"/>
    <w:rsid w:val="003E4C0F"/>
    <w:rsid w:val="003E4C18"/>
    <w:rsid w:val="003E4D6B"/>
    <w:rsid w:val="003E4F4F"/>
    <w:rsid w:val="003E4F52"/>
    <w:rsid w:val="003E4FC8"/>
    <w:rsid w:val="003E50EE"/>
    <w:rsid w:val="003E5577"/>
    <w:rsid w:val="003E55DA"/>
    <w:rsid w:val="003E5741"/>
    <w:rsid w:val="003E58FF"/>
    <w:rsid w:val="003E5A5D"/>
    <w:rsid w:val="003E5AFA"/>
    <w:rsid w:val="003E5CBF"/>
    <w:rsid w:val="003E5D26"/>
    <w:rsid w:val="003E5F1E"/>
    <w:rsid w:val="003E5F9A"/>
    <w:rsid w:val="003E609B"/>
    <w:rsid w:val="003E60E6"/>
    <w:rsid w:val="003E610A"/>
    <w:rsid w:val="003E6248"/>
    <w:rsid w:val="003E6330"/>
    <w:rsid w:val="003E6479"/>
    <w:rsid w:val="003E64F8"/>
    <w:rsid w:val="003E68F0"/>
    <w:rsid w:val="003E6972"/>
    <w:rsid w:val="003E6992"/>
    <w:rsid w:val="003E6AC2"/>
    <w:rsid w:val="003E6B29"/>
    <w:rsid w:val="003E6BDF"/>
    <w:rsid w:val="003E6D24"/>
    <w:rsid w:val="003E6D62"/>
    <w:rsid w:val="003E6DB9"/>
    <w:rsid w:val="003E6E36"/>
    <w:rsid w:val="003E7037"/>
    <w:rsid w:val="003E73A0"/>
    <w:rsid w:val="003E7587"/>
    <w:rsid w:val="003E770B"/>
    <w:rsid w:val="003E7747"/>
    <w:rsid w:val="003E7CF8"/>
    <w:rsid w:val="003E7EB5"/>
    <w:rsid w:val="003E7F1C"/>
    <w:rsid w:val="003F00F8"/>
    <w:rsid w:val="003F0186"/>
    <w:rsid w:val="003F0871"/>
    <w:rsid w:val="003F08C1"/>
    <w:rsid w:val="003F09A5"/>
    <w:rsid w:val="003F0B93"/>
    <w:rsid w:val="003F0BB7"/>
    <w:rsid w:val="003F0C91"/>
    <w:rsid w:val="003F0DA1"/>
    <w:rsid w:val="003F0FEA"/>
    <w:rsid w:val="003F114A"/>
    <w:rsid w:val="003F1347"/>
    <w:rsid w:val="003F148A"/>
    <w:rsid w:val="003F15CB"/>
    <w:rsid w:val="003F1916"/>
    <w:rsid w:val="003F1939"/>
    <w:rsid w:val="003F1A2D"/>
    <w:rsid w:val="003F1ACF"/>
    <w:rsid w:val="003F1C0E"/>
    <w:rsid w:val="003F1C99"/>
    <w:rsid w:val="003F1F1E"/>
    <w:rsid w:val="003F200E"/>
    <w:rsid w:val="003F2031"/>
    <w:rsid w:val="003F20D5"/>
    <w:rsid w:val="003F22F9"/>
    <w:rsid w:val="003F2477"/>
    <w:rsid w:val="003F260A"/>
    <w:rsid w:val="003F260D"/>
    <w:rsid w:val="003F2887"/>
    <w:rsid w:val="003F2956"/>
    <w:rsid w:val="003F2A5A"/>
    <w:rsid w:val="003F2B9E"/>
    <w:rsid w:val="003F2C14"/>
    <w:rsid w:val="003F2F93"/>
    <w:rsid w:val="003F2FD5"/>
    <w:rsid w:val="003F338B"/>
    <w:rsid w:val="003F34D5"/>
    <w:rsid w:val="003F3A02"/>
    <w:rsid w:val="003F3A62"/>
    <w:rsid w:val="003F3BF1"/>
    <w:rsid w:val="003F3EBD"/>
    <w:rsid w:val="003F3F29"/>
    <w:rsid w:val="003F4015"/>
    <w:rsid w:val="003F416E"/>
    <w:rsid w:val="003F41A5"/>
    <w:rsid w:val="003F4521"/>
    <w:rsid w:val="003F45DE"/>
    <w:rsid w:val="003F4659"/>
    <w:rsid w:val="003F4995"/>
    <w:rsid w:val="003F4A37"/>
    <w:rsid w:val="003F4B02"/>
    <w:rsid w:val="003F4BE9"/>
    <w:rsid w:val="003F4C44"/>
    <w:rsid w:val="003F4E95"/>
    <w:rsid w:val="003F522B"/>
    <w:rsid w:val="003F554D"/>
    <w:rsid w:val="003F573A"/>
    <w:rsid w:val="003F5747"/>
    <w:rsid w:val="003F5837"/>
    <w:rsid w:val="003F583C"/>
    <w:rsid w:val="003F5A6D"/>
    <w:rsid w:val="003F5A79"/>
    <w:rsid w:val="003F5AD6"/>
    <w:rsid w:val="003F5B54"/>
    <w:rsid w:val="003F5CDA"/>
    <w:rsid w:val="003F5D73"/>
    <w:rsid w:val="003F5E4A"/>
    <w:rsid w:val="003F5EFF"/>
    <w:rsid w:val="003F5FF3"/>
    <w:rsid w:val="003F6193"/>
    <w:rsid w:val="003F61FF"/>
    <w:rsid w:val="003F6393"/>
    <w:rsid w:val="003F63DB"/>
    <w:rsid w:val="003F675C"/>
    <w:rsid w:val="003F6A1B"/>
    <w:rsid w:val="003F6C80"/>
    <w:rsid w:val="003F6E21"/>
    <w:rsid w:val="003F6F3C"/>
    <w:rsid w:val="003F70B1"/>
    <w:rsid w:val="003F72AB"/>
    <w:rsid w:val="003F72C8"/>
    <w:rsid w:val="003F7308"/>
    <w:rsid w:val="003F75B0"/>
    <w:rsid w:val="003F76B5"/>
    <w:rsid w:val="003F7B1E"/>
    <w:rsid w:val="004000F2"/>
    <w:rsid w:val="00400231"/>
    <w:rsid w:val="0040033E"/>
    <w:rsid w:val="0040033F"/>
    <w:rsid w:val="004003BF"/>
    <w:rsid w:val="00400440"/>
    <w:rsid w:val="00400473"/>
    <w:rsid w:val="004005AD"/>
    <w:rsid w:val="004005DB"/>
    <w:rsid w:val="00400C4D"/>
    <w:rsid w:val="00400CA0"/>
    <w:rsid w:val="00400D77"/>
    <w:rsid w:val="0040115C"/>
    <w:rsid w:val="004013EC"/>
    <w:rsid w:val="00401406"/>
    <w:rsid w:val="0040159B"/>
    <w:rsid w:val="00401687"/>
    <w:rsid w:val="00401851"/>
    <w:rsid w:val="004018C2"/>
    <w:rsid w:val="00401B1D"/>
    <w:rsid w:val="00401B73"/>
    <w:rsid w:val="00401BA6"/>
    <w:rsid w:val="00401BB7"/>
    <w:rsid w:val="00401C43"/>
    <w:rsid w:val="00401D5C"/>
    <w:rsid w:val="00401E6E"/>
    <w:rsid w:val="00402126"/>
    <w:rsid w:val="00402215"/>
    <w:rsid w:val="004022D8"/>
    <w:rsid w:val="00402300"/>
    <w:rsid w:val="00402396"/>
    <w:rsid w:val="004023B0"/>
    <w:rsid w:val="004026C7"/>
    <w:rsid w:val="004026E3"/>
    <w:rsid w:val="004028F6"/>
    <w:rsid w:val="00402D27"/>
    <w:rsid w:val="00402FC8"/>
    <w:rsid w:val="00402FEF"/>
    <w:rsid w:val="0040317A"/>
    <w:rsid w:val="004031E8"/>
    <w:rsid w:val="004033AC"/>
    <w:rsid w:val="004034E8"/>
    <w:rsid w:val="004036FA"/>
    <w:rsid w:val="00403B7B"/>
    <w:rsid w:val="00404099"/>
    <w:rsid w:val="004040CD"/>
    <w:rsid w:val="00404285"/>
    <w:rsid w:val="004043AB"/>
    <w:rsid w:val="00404567"/>
    <w:rsid w:val="0040456D"/>
    <w:rsid w:val="0040463A"/>
    <w:rsid w:val="00404A1D"/>
    <w:rsid w:val="00404B02"/>
    <w:rsid w:val="00404B4E"/>
    <w:rsid w:val="00404BAE"/>
    <w:rsid w:val="00404C10"/>
    <w:rsid w:val="00404CEB"/>
    <w:rsid w:val="00404FA6"/>
    <w:rsid w:val="004052A0"/>
    <w:rsid w:val="004052AD"/>
    <w:rsid w:val="00405460"/>
    <w:rsid w:val="00405680"/>
    <w:rsid w:val="004056D5"/>
    <w:rsid w:val="00405755"/>
    <w:rsid w:val="00405780"/>
    <w:rsid w:val="00405782"/>
    <w:rsid w:val="00405A4A"/>
    <w:rsid w:val="00405ACB"/>
    <w:rsid w:val="00405B3F"/>
    <w:rsid w:val="00405CB2"/>
    <w:rsid w:val="00406181"/>
    <w:rsid w:val="0040618D"/>
    <w:rsid w:val="004062BB"/>
    <w:rsid w:val="00406607"/>
    <w:rsid w:val="00406783"/>
    <w:rsid w:val="00406905"/>
    <w:rsid w:val="00406B9C"/>
    <w:rsid w:val="00406F8A"/>
    <w:rsid w:val="00407089"/>
    <w:rsid w:val="00407114"/>
    <w:rsid w:val="004071EF"/>
    <w:rsid w:val="004072AE"/>
    <w:rsid w:val="004072C0"/>
    <w:rsid w:val="004072F8"/>
    <w:rsid w:val="0040734E"/>
    <w:rsid w:val="004073DA"/>
    <w:rsid w:val="004074AA"/>
    <w:rsid w:val="00407793"/>
    <w:rsid w:val="004077B6"/>
    <w:rsid w:val="004077E7"/>
    <w:rsid w:val="00407835"/>
    <w:rsid w:val="00407CC0"/>
    <w:rsid w:val="00407CED"/>
    <w:rsid w:val="00407EB7"/>
    <w:rsid w:val="0040DE1C"/>
    <w:rsid w:val="00410045"/>
    <w:rsid w:val="00410058"/>
    <w:rsid w:val="004100BA"/>
    <w:rsid w:val="0041019E"/>
    <w:rsid w:val="00410620"/>
    <w:rsid w:val="0041062C"/>
    <w:rsid w:val="00410642"/>
    <w:rsid w:val="004106E2"/>
    <w:rsid w:val="00410A27"/>
    <w:rsid w:val="00410A83"/>
    <w:rsid w:val="00410B17"/>
    <w:rsid w:val="00410B3A"/>
    <w:rsid w:val="00410BA8"/>
    <w:rsid w:val="00410BA9"/>
    <w:rsid w:val="00410E9A"/>
    <w:rsid w:val="00411086"/>
    <w:rsid w:val="004111E6"/>
    <w:rsid w:val="00411410"/>
    <w:rsid w:val="004119AB"/>
    <w:rsid w:val="00411B74"/>
    <w:rsid w:val="00411CB6"/>
    <w:rsid w:val="00411D24"/>
    <w:rsid w:val="00411F0C"/>
    <w:rsid w:val="00411F75"/>
    <w:rsid w:val="004122C8"/>
    <w:rsid w:val="004122D8"/>
    <w:rsid w:val="00412429"/>
    <w:rsid w:val="0041244E"/>
    <w:rsid w:val="00412635"/>
    <w:rsid w:val="004126F6"/>
    <w:rsid w:val="00412823"/>
    <w:rsid w:val="004128E6"/>
    <w:rsid w:val="00412AC0"/>
    <w:rsid w:val="00412B23"/>
    <w:rsid w:val="00412D9A"/>
    <w:rsid w:val="00412DED"/>
    <w:rsid w:val="004130FA"/>
    <w:rsid w:val="004131BE"/>
    <w:rsid w:val="00413552"/>
    <w:rsid w:val="004135F8"/>
    <w:rsid w:val="00413842"/>
    <w:rsid w:val="00413999"/>
    <w:rsid w:val="00413A9F"/>
    <w:rsid w:val="00413B8B"/>
    <w:rsid w:val="00413D0E"/>
    <w:rsid w:val="0041412C"/>
    <w:rsid w:val="00414271"/>
    <w:rsid w:val="00414314"/>
    <w:rsid w:val="004144D4"/>
    <w:rsid w:val="004146CF"/>
    <w:rsid w:val="0041472B"/>
    <w:rsid w:val="0041477F"/>
    <w:rsid w:val="00414A47"/>
    <w:rsid w:val="00414CDE"/>
    <w:rsid w:val="00414F35"/>
    <w:rsid w:val="00415054"/>
    <w:rsid w:val="0041506C"/>
    <w:rsid w:val="00415268"/>
    <w:rsid w:val="004152EA"/>
    <w:rsid w:val="004154DC"/>
    <w:rsid w:val="00415BF0"/>
    <w:rsid w:val="00415C47"/>
    <w:rsid w:val="00415D70"/>
    <w:rsid w:val="00415EE5"/>
    <w:rsid w:val="0041642B"/>
    <w:rsid w:val="0041653F"/>
    <w:rsid w:val="00416541"/>
    <w:rsid w:val="004165CF"/>
    <w:rsid w:val="0041688E"/>
    <w:rsid w:val="00416CEE"/>
    <w:rsid w:val="00416D67"/>
    <w:rsid w:val="00417064"/>
    <w:rsid w:val="0041738F"/>
    <w:rsid w:val="004174D3"/>
    <w:rsid w:val="004176F8"/>
    <w:rsid w:val="00417701"/>
    <w:rsid w:val="004177D9"/>
    <w:rsid w:val="00417C25"/>
    <w:rsid w:val="00417F45"/>
    <w:rsid w:val="00417FE8"/>
    <w:rsid w:val="00420008"/>
    <w:rsid w:val="00420092"/>
    <w:rsid w:val="00420097"/>
    <w:rsid w:val="00420478"/>
    <w:rsid w:val="00420540"/>
    <w:rsid w:val="004206D7"/>
    <w:rsid w:val="00420715"/>
    <w:rsid w:val="00420864"/>
    <w:rsid w:val="00420865"/>
    <w:rsid w:val="00420975"/>
    <w:rsid w:val="004209F0"/>
    <w:rsid w:val="00420BEE"/>
    <w:rsid w:val="00420FD3"/>
    <w:rsid w:val="00421470"/>
    <w:rsid w:val="004214F4"/>
    <w:rsid w:val="00421531"/>
    <w:rsid w:val="0042153F"/>
    <w:rsid w:val="004215AD"/>
    <w:rsid w:val="004215FF"/>
    <w:rsid w:val="00421841"/>
    <w:rsid w:val="00421B1E"/>
    <w:rsid w:val="00421B43"/>
    <w:rsid w:val="00421B4A"/>
    <w:rsid w:val="00421DFB"/>
    <w:rsid w:val="00421E56"/>
    <w:rsid w:val="00421E9E"/>
    <w:rsid w:val="00421F10"/>
    <w:rsid w:val="00421F6E"/>
    <w:rsid w:val="00421FEC"/>
    <w:rsid w:val="004221ED"/>
    <w:rsid w:val="0042250E"/>
    <w:rsid w:val="00422584"/>
    <w:rsid w:val="00422A04"/>
    <w:rsid w:val="00422DE9"/>
    <w:rsid w:val="00422ECF"/>
    <w:rsid w:val="00422FA8"/>
    <w:rsid w:val="004230A0"/>
    <w:rsid w:val="0042317C"/>
    <w:rsid w:val="00423274"/>
    <w:rsid w:val="00423459"/>
    <w:rsid w:val="00423758"/>
    <w:rsid w:val="004240DA"/>
    <w:rsid w:val="00424355"/>
    <w:rsid w:val="004243A7"/>
    <w:rsid w:val="004246DC"/>
    <w:rsid w:val="004248A2"/>
    <w:rsid w:val="00424D28"/>
    <w:rsid w:val="00424D4F"/>
    <w:rsid w:val="00424DB8"/>
    <w:rsid w:val="00424E47"/>
    <w:rsid w:val="0042508F"/>
    <w:rsid w:val="00425205"/>
    <w:rsid w:val="00425564"/>
    <w:rsid w:val="00425847"/>
    <w:rsid w:val="00425982"/>
    <w:rsid w:val="00425A30"/>
    <w:rsid w:val="00425ADA"/>
    <w:rsid w:val="00425E3F"/>
    <w:rsid w:val="00425FBD"/>
    <w:rsid w:val="00425FCD"/>
    <w:rsid w:val="0042606A"/>
    <w:rsid w:val="004262DE"/>
    <w:rsid w:val="00426606"/>
    <w:rsid w:val="0042663A"/>
    <w:rsid w:val="00426ADD"/>
    <w:rsid w:val="00426B32"/>
    <w:rsid w:val="00426E8E"/>
    <w:rsid w:val="00426F45"/>
    <w:rsid w:val="00426F4D"/>
    <w:rsid w:val="004270E8"/>
    <w:rsid w:val="004272AB"/>
    <w:rsid w:val="00427923"/>
    <w:rsid w:val="00427AF2"/>
    <w:rsid w:val="00427BB5"/>
    <w:rsid w:val="00427D7A"/>
    <w:rsid w:val="00427E79"/>
    <w:rsid w:val="00427F15"/>
    <w:rsid w:val="00427F31"/>
    <w:rsid w:val="00427FEC"/>
    <w:rsid w:val="0043008B"/>
    <w:rsid w:val="004300C8"/>
    <w:rsid w:val="004300E4"/>
    <w:rsid w:val="00430168"/>
    <w:rsid w:val="004302E3"/>
    <w:rsid w:val="0043049A"/>
    <w:rsid w:val="004304E2"/>
    <w:rsid w:val="004307D6"/>
    <w:rsid w:val="00430981"/>
    <w:rsid w:val="004312E6"/>
    <w:rsid w:val="00431310"/>
    <w:rsid w:val="004314E2"/>
    <w:rsid w:val="004315A2"/>
    <w:rsid w:val="0043170B"/>
    <w:rsid w:val="00431825"/>
    <w:rsid w:val="00431897"/>
    <w:rsid w:val="00431959"/>
    <w:rsid w:val="0043195D"/>
    <w:rsid w:val="00431A89"/>
    <w:rsid w:val="00431DDA"/>
    <w:rsid w:val="00431F38"/>
    <w:rsid w:val="00431FF2"/>
    <w:rsid w:val="00432295"/>
    <w:rsid w:val="004323E1"/>
    <w:rsid w:val="004327D5"/>
    <w:rsid w:val="0043297F"/>
    <w:rsid w:val="004329A0"/>
    <w:rsid w:val="004329D3"/>
    <w:rsid w:val="00432A4B"/>
    <w:rsid w:val="00432A9C"/>
    <w:rsid w:val="00432BDD"/>
    <w:rsid w:val="00432C8D"/>
    <w:rsid w:val="00432E94"/>
    <w:rsid w:val="00432EE2"/>
    <w:rsid w:val="00433004"/>
    <w:rsid w:val="00433039"/>
    <w:rsid w:val="00433040"/>
    <w:rsid w:val="00433145"/>
    <w:rsid w:val="004333AE"/>
    <w:rsid w:val="0043340A"/>
    <w:rsid w:val="004334FB"/>
    <w:rsid w:val="0043380D"/>
    <w:rsid w:val="00433AD2"/>
    <w:rsid w:val="00433D41"/>
    <w:rsid w:val="00433D4C"/>
    <w:rsid w:val="00433DDD"/>
    <w:rsid w:val="00433FFC"/>
    <w:rsid w:val="00434162"/>
    <w:rsid w:val="00434300"/>
    <w:rsid w:val="004347CE"/>
    <w:rsid w:val="004348AC"/>
    <w:rsid w:val="00434A11"/>
    <w:rsid w:val="00434BBD"/>
    <w:rsid w:val="00434D2F"/>
    <w:rsid w:val="00434EF8"/>
    <w:rsid w:val="00434FAB"/>
    <w:rsid w:val="004352D9"/>
    <w:rsid w:val="00435450"/>
    <w:rsid w:val="00435474"/>
    <w:rsid w:val="00435685"/>
    <w:rsid w:val="004356A0"/>
    <w:rsid w:val="004356B9"/>
    <w:rsid w:val="0043576F"/>
    <w:rsid w:val="00435AAE"/>
    <w:rsid w:val="00435BE3"/>
    <w:rsid w:val="00435F67"/>
    <w:rsid w:val="00436114"/>
    <w:rsid w:val="0043644F"/>
    <w:rsid w:val="00436591"/>
    <w:rsid w:val="004367EE"/>
    <w:rsid w:val="00436A18"/>
    <w:rsid w:val="004371B9"/>
    <w:rsid w:val="00437450"/>
    <w:rsid w:val="00437511"/>
    <w:rsid w:val="00437586"/>
    <w:rsid w:val="00437711"/>
    <w:rsid w:val="004377F1"/>
    <w:rsid w:val="00437846"/>
    <w:rsid w:val="00437875"/>
    <w:rsid w:val="00437960"/>
    <w:rsid w:val="00437B90"/>
    <w:rsid w:val="00437C33"/>
    <w:rsid w:val="00437D0E"/>
    <w:rsid w:val="00437D6F"/>
    <w:rsid w:val="00437F2D"/>
    <w:rsid w:val="0044015C"/>
    <w:rsid w:val="00440316"/>
    <w:rsid w:val="0044054D"/>
    <w:rsid w:val="004406F7"/>
    <w:rsid w:val="004408BD"/>
    <w:rsid w:val="004408F1"/>
    <w:rsid w:val="0044094A"/>
    <w:rsid w:val="00440A2C"/>
    <w:rsid w:val="00440CFD"/>
    <w:rsid w:val="0044111D"/>
    <w:rsid w:val="0044112C"/>
    <w:rsid w:val="00441183"/>
    <w:rsid w:val="00441244"/>
    <w:rsid w:val="004412E3"/>
    <w:rsid w:val="004414AD"/>
    <w:rsid w:val="00441716"/>
    <w:rsid w:val="00441F50"/>
    <w:rsid w:val="004420E8"/>
    <w:rsid w:val="0044215C"/>
    <w:rsid w:val="0044226B"/>
    <w:rsid w:val="004423FA"/>
    <w:rsid w:val="00442474"/>
    <w:rsid w:val="00442492"/>
    <w:rsid w:val="00442633"/>
    <w:rsid w:val="004426C7"/>
    <w:rsid w:val="0044273D"/>
    <w:rsid w:val="00442817"/>
    <w:rsid w:val="0044284B"/>
    <w:rsid w:val="004428E9"/>
    <w:rsid w:val="00442ACE"/>
    <w:rsid w:val="00442CB3"/>
    <w:rsid w:val="00442E3B"/>
    <w:rsid w:val="0044313E"/>
    <w:rsid w:val="004432B9"/>
    <w:rsid w:val="004436AD"/>
    <w:rsid w:val="004436E2"/>
    <w:rsid w:val="0044378E"/>
    <w:rsid w:val="00443BDA"/>
    <w:rsid w:val="00443C65"/>
    <w:rsid w:val="00443D14"/>
    <w:rsid w:val="004441A6"/>
    <w:rsid w:val="004444B4"/>
    <w:rsid w:val="0044450C"/>
    <w:rsid w:val="00444533"/>
    <w:rsid w:val="004446F0"/>
    <w:rsid w:val="00444921"/>
    <w:rsid w:val="00444970"/>
    <w:rsid w:val="00444A84"/>
    <w:rsid w:val="00444AF2"/>
    <w:rsid w:val="00444B03"/>
    <w:rsid w:val="00444B72"/>
    <w:rsid w:val="00444D79"/>
    <w:rsid w:val="00444EE0"/>
    <w:rsid w:val="00444EF7"/>
    <w:rsid w:val="00445131"/>
    <w:rsid w:val="00445300"/>
    <w:rsid w:val="00445336"/>
    <w:rsid w:val="0044536E"/>
    <w:rsid w:val="0044540D"/>
    <w:rsid w:val="004454E4"/>
    <w:rsid w:val="0044559B"/>
    <w:rsid w:val="004457E8"/>
    <w:rsid w:val="004459AB"/>
    <w:rsid w:val="00445A6A"/>
    <w:rsid w:val="00445B68"/>
    <w:rsid w:val="00445B70"/>
    <w:rsid w:val="00445C02"/>
    <w:rsid w:val="00445C54"/>
    <w:rsid w:val="00445E31"/>
    <w:rsid w:val="004462AB"/>
    <w:rsid w:val="0044631E"/>
    <w:rsid w:val="004466CB"/>
    <w:rsid w:val="0044679E"/>
    <w:rsid w:val="004467DB"/>
    <w:rsid w:val="004469C8"/>
    <w:rsid w:val="00446A21"/>
    <w:rsid w:val="00446AEA"/>
    <w:rsid w:val="00446B56"/>
    <w:rsid w:val="00446E42"/>
    <w:rsid w:val="00446F17"/>
    <w:rsid w:val="00446FEE"/>
    <w:rsid w:val="00447025"/>
    <w:rsid w:val="0044707E"/>
    <w:rsid w:val="00447329"/>
    <w:rsid w:val="00447384"/>
    <w:rsid w:val="004475FB"/>
    <w:rsid w:val="00447682"/>
    <w:rsid w:val="0044795D"/>
    <w:rsid w:val="00447B13"/>
    <w:rsid w:val="00447C4B"/>
    <w:rsid w:val="00447C74"/>
    <w:rsid w:val="00447D09"/>
    <w:rsid w:val="00447D74"/>
    <w:rsid w:val="00447DAA"/>
    <w:rsid w:val="00447FC1"/>
    <w:rsid w:val="0045009D"/>
    <w:rsid w:val="004501A4"/>
    <w:rsid w:val="00450413"/>
    <w:rsid w:val="0045057D"/>
    <w:rsid w:val="00450692"/>
    <w:rsid w:val="004506AE"/>
    <w:rsid w:val="0045076A"/>
    <w:rsid w:val="00450C98"/>
    <w:rsid w:val="00450CC2"/>
    <w:rsid w:val="00450D82"/>
    <w:rsid w:val="00450FEE"/>
    <w:rsid w:val="00451004"/>
    <w:rsid w:val="004510A6"/>
    <w:rsid w:val="0045118B"/>
    <w:rsid w:val="004513C4"/>
    <w:rsid w:val="0045152F"/>
    <w:rsid w:val="00451582"/>
    <w:rsid w:val="0045165B"/>
    <w:rsid w:val="00451989"/>
    <w:rsid w:val="0045235F"/>
    <w:rsid w:val="00452418"/>
    <w:rsid w:val="004525E0"/>
    <w:rsid w:val="00452648"/>
    <w:rsid w:val="0045268E"/>
    <w:rsid w:val="00452751"/>
    <w:rsid w:val="004529A2"/>
    <w:rsid w:val="00452AB3"/>
    <w:rsid w:val="00452C57"/>
    <w:rsid w:val="00452CAD"/>
    <w:rsid w:val="00452D80"/>
    <w:rsid w:val="00453014"/>
    <w:rsid w:val="0045317B"/>
    <w:rsid w:val="00453304"/>
    <w:rsid w:val="00453400"/>
    <w:rsid w:val="00453515"/>
    <w:rsid w:val="00453628"/>
    <w:rsid w:val="0045397B"/>
    <w:rsid w:val="00453A5D"/>
    <w:rsid w:val="00453CFC"/>
    <w:rsid w:val="00453D15"/>
    <w:rsid w:val="00453FB0"/>
    <w:rsid w:val="00453FDB"/>
    <w:rsid w:val="004543C6"/>
    <w:rsid w:val="00454514"/>
    <w:rsid w:val="00454543"/>
    <w:rsid w:val="0045460D"/>
    <w:rsid w:val="0045478F"/>
    <w:rsid w:val="004547E7"/>
    <w:rsid w:val="00454848"/>
    <w:rsid w:val="00454B0D"/>
    <w:rsid w:val="00454C80"/>
    <w:rsid w:val="00454D80"/>
    <w:rsid w:val="00454EAA"/>
    <w:rsid w:val="00454ED1"/>
    <w:rsid w:val="004550EC"/>
    <w:rsid w:val="00455111"/>
    <w:rsid w:val="00455192"/>
    <w:rsid w:val="004553F8"/>
    <w:rsid w:val="004559D6"/>
    <w:rsid w:val="004559D7"/>
    <w:rsid w:val="00455A16"/>
    <w:rsid w:val="00455A79"/>
    <w:rsid w:val="00455A87"/>
    <w:rsid w:val="00455B2D"/>
    <w:rsid w:val="00455C75"/>
    <w:rsid w:val="00455F63"/>
    <w:rsid w:val="00455F84"/>
    <w:rsid w:val="00455FA2"/>
    <w:rsid w:val="004560DA"/>
    <w:rsid w:val="00456A16"/>
    <w:rsid w:val="00456BC1"/>
    <w:rsid w:val="00456CE9"/>
    <w:rsid w:val="00457462"/>
    <w:rsid w:val="00457907"/>
    <w:rsid w:val="00457A0F"/>
    <w:rsid w:val="00457EBE"/>
    <w:rsid w:val="00457F0C"/>
    <w:rsid w:val="00460058"/>
    <w:rsid w:val="00460079"/>
    <w:rsid w:val="004600E2"/>
    <w:rsid w:val="00460234"/>
    <w:rsid w:val="00460290"/>
    <w:rsid w:val="004603FF"/>
    <w:rsid w:val="00460673"/>
    <w:rsid w:val="004607F0"/>
    <w:rsid w:val="004609E6"/>
    <w:rsid w:val="00460A82"/>
    <w:rsid w:val="00460D60"/>
    <w:rsid w:val="00460E52"/>
    <w:rsid w:val="00460F62"/>
    <w:rsid w:val="00460F92"/>
    <w:rsid w:val="0046122E"/>
    <w:rsid w:val="0046128C"/>
    <w:rsid w:val="0046166D"/>
    <w:rsid w:val="0046182D"/>
    <w:rsid w:val="00461B7D"/>
    <w:rsid w:val="00461C47"/>
    <w:rsid w:val="00461DA5"/>
    <w:rsid w:val="00462014"/>
    <w:rsid w:val="00462065"/>
    <w:rsid w:val="00462067"/>
    <w:rsid w:val="00462271"/>
    <w:rsid w:val="004622A1"/>
    <w:rsid w:val="004623BB"/>
    <w:rsid w:val="00462587"/>
    <w:rsid w:val="00462651"/>
    <w:rsid w:val="0046275B"/>
    <w:rsid w:val="004628EE"/>
    <w:rsid w:val="00462C81"/>
    <w:rsid w:val="00462CF1"/>
    <w:rsid w:val="00462DEE"/>
    <w:rsid w:val="00462E09"/>
    <w:rsid w:val="00462E72"/>
    <w:rsid w:val="00462F06"/>
    <w:rsid w:val="004630B4"/>
    <w:rsid w:val="004630CF"/>
    <w:rsid w:val="0046322C"/>
    <w:rsid w:val="00463336"/>
    <w:rsid w:val="00463391"/>
    <w:rsid w:val="0046344D"/>
    <w:rsid w:val="004639A3"/>
    <w:rsid w:val="00463B16"/>
    <w:rsid w:val="00463BE1"/>
    <w:rsid w:val="00463D80"/>
    <w:rsid w:val="00463DE6"/>
    <w:rsid w:val="0046417A"/>
    <w:rsid w:val="0046423E"/>
    <w:rsid w:val="004643EC"/>
    <w:rsid w:val="004644CA"/>
    <w:rsid w:val="00464900"/>
    <w:rsid w:val="00464C86"/>
    <w:rsid w:val="0046502A"/>
    <w:rsid w:val="0046561C"/>
    <w:rsid w:val="004656AC"/>
    <w:rsid w:val="00465899"/>
    <w:rsid w:val="004658BE"/>
    <w:rsid w:val="00465A0D"/>
    <w:rsid w:val="00465B79"/>
    <w:rsid w:val="00465BB2"/>
    <w:rsid w:val="00465D22"/>
    <w:rsid w:val="00465E1B"/>
    <w:rsid w:val="00465FA7"/>
    <w:rsid w:val="004664B7"/>
    <w:rsid w:val="00466AFE"/>
    <w:rsid w:val="00466C75"/>
    <w:rsid w:val="00466CA3"/>
    <w:rsid w:val="00466CFC"/>
    <w:rsid w:val="00466D41"/>
    <w:rsid w:val="00466D7A"/>
    <w:rsid w:val="00466E98"/>
    <w:rsid w:val="00466F84"/>
    <w:rsid w:val="00466F95"/>
    <w:rsid w:val="0046720D"/>
    <w:rsid w:val="00467478"/>
    <w:rsid w:val="004675E9"/>
    <w:rsid w:val="0046773D"/>
    <w:rsid w:val="00467773"/>
    <w:rsid w:val="00467938"/>
    <w:rsid w:val="00467BEB"/>
    <w:rsid w:val="00467C51"/>
    <w:rsid w:val="00467C92"/>
    <w:rsid w:val="00467DC8"/>
    <w:rsid w:val="00470359"/>
    <w:rsid w:val="004704B9"/>
    <w:rsid w:val="004704D8"/>
    <w:rsid w:val="004704DF"/>
    <w:rsid w:val="00470613"/>
    <w:rsid w:val="00470A45"/>
    <w:rsid w:val="00470C2D"/>
    <w:rsid w:val="00470CBA"/>
    <w:rsid w:val="00470E09"/>
    <w:rsid w:val="00471235"/>
    <w:rsid w:val="004713EA"/>
    <w:rsid w:val="004717A9"/>
    <w:rsid w:val="00471A85"/>
    <w:rsid w:val="00471B90"/>
    <w:rsid w:val="00471FA6"/>
    <w:rsid w:val="00471FB5"/>
    <w:rsid w:val="00472038"/>
    <w:rsid w:val="00472196"/>
    <w:rsid w:val="004724A5"/>
    <w:rsid w:val="004724E2"/>
    <w:rsid w:val="004727F9"/>
    <w:rsid w:val="00472920"/>
    <w:rsid w:val="00472B2C"/>
    <w:rsid w:val="00472B64"/>
    <w:rsid w:val="00472CF3"/>
    <w:rsid w:val="00472D14"/>
    <w:rsid w:val="0047304D"/>
    <w:rsid w:val="00473137"/>
    <w:rsid w:val="0047314A"/>
    <w:rsid w:val="004731BD"/>
    <w:rsid w:val="00473213"/>
    <w:rsid w:val="0047321B"/>
    <w:rsid w:val="00473549"/>
    <w:rsid w:val="004735D5"/>
    <w:rsid w:val="004736DB"/>
    <w:rsid w:val="00473788"/>
    <w:rsid w:val="004737C0"/>
    <w:rsid w:val="00473816"/>
    <w:rsid w:val="004738BD"/>
    <w:rsid w:val="00473A4B"/>
    <w:rsid w:val="00473C10"/>
    <w:rsid w:val="00473DC3"/>
    <w:rsid w:val="00473DC6"/>
    <w:rsid w:val="00473F9D"/>
    <w:rsid w:val="004741E9"/>
    <w:rsid w:val="004742D9"/>
    <w:rsid w:val="00474419"/>
    <w:rsid w:val="00474494"/>
    <w:rsid w:val="004744F4"/>
    <w:rsid w:val="0047462A"/>
    <w:rsid w:val="004749DB"/>
    <w:rsid w:val="00474B23"/>
    <w:rsid w:val="00474E7B"/>
    <w:rsid w:val="00474F6A"/>
    <w:rsid w:val="004751EC"/>
    <w:rsid w:val="00475527"/>
    <w:rsid w:val="004756F1"/>
    <w:rsid w:val="0047572A"/>
    <w:rsid w:val="004757B9"/>
    <w:rsid w:val="004758A6"/>
    <w:rsid w:val="004758BF"/>
    <w:rsid w:val="00475B54"/>
    <w:rsid w:val="00475D78"/>
    <w:rsid w:val="00475E05"/>
    <w:rsid w:val="00476023"/>
    <w:rsid w:val="004762A6"/>
    <w:rsid w:val="0047647B"/>
    <w:rsid w:val="00476DA6"/>
    <w:rsid w:val="00477084"/>
    <w:rsid w:val="0047713A"/>
    <w:rsid w:val="004772C6"/>
    <w:rsid w:val="0047761C"/>
    <w:rsid w:val="0047772F"/>
    <w:rsid w:val="00477757"/>
    <w:rsid w:val="00477971"/>
    <w:rsid w:val="00477A5F"/>
    <w:rsid w:val="00477B84"/>
    <w:rsid w:val="00477E49"/>
    <w:rsid w:val="00477ECC"/>
    <w:rsid w:val="00480005"/>
    <w:rsid w:val="004801E4"/>
    <w:rsid w:val="004801EC"/>
    <w:rsid w:val="0048023C"/>
    <w:rsid w:val="004802ED"/>
    <w:rsid w:val="00480310"/>
    <w:rsid w:val="00480419"/>
    <w:rsid w:val="00480482"/>
    <w:rsid w:val="004804F3"/>
    <w:rsid w:val="0048053B"/>
    <w:rsid w:val="004805B4"/>
    <w:rsid w:val="004805D1"/>
    <w:rsid w:val="00480956"/>
    <w:rsid w:val="00480982"/>
    <w:rsid w:val="00480BFF"/>
    <w:rsid w:val="00480D0E"/>
    <w:rsid w:val="004810EC"/>
    <w:rsid w:val="004811AC"/>
    <w:rsid w:val="0048120C"/>
    <w:rsid w:val="004812EA"/>
    <w:rsid w:val="00481385"/>
    <w:rsid w:val="0048166E"/>
    <w:rsid w:val="00481E97"/>
    <w:rsid w:val="00481FAA"/>
    <w:rsid w:val="004820CB"/>
    <w:rsid w:val="0048235B"/>
    <w:rsid w:val="004825B3"/>
    <w:rsid w:val="0048289C"/>
    <w:rsid w:val="0048299E"/>
    <w:rsid w:val="00482A5D"/>
    <w:rsid w:val="00482B6E"/>
    <w:rsid w:val="00482EAE"/>
    <w:rsid w:val="00482F3F"/>
    <w:rsid w:val="00483205"/>
    <w:rsid w:val="00483248"/>
    <w:rsid w:val="00483282"/>
    <w:rsid w:val="004832BE"/>
    <w:rsid w:val="004832ED"/>
    <w:rsid w:val="0048339C"/>
    <w:rsid w:val="00483762"/>
    <w:rsid w:val="00483E79"/>
    <w:rsid w:val="00484052"/>
    <w:rsid w:val="00484266"/>
    <w:rsid w:val="00484AB5"/>
    <w:rsid w:val="00484D17"/>
    <w:rsid w:val="00484E64"/>
    <w:rsid w:val="00484E84"/>
    <w:rsid w:val="00485052"/>
    <w:rsid w:val="004852A4"/>
    <w:rsid w:val="004853DA"/>
    <w:rsid w:val="00485918"/>
    <w:rsid w:val="00485B97"/>
    <w:rsid w:val="00485B9A"/>
    <w:rsid w:val="00485CF0"/>
    <w:rsid w:val="00485DEE"/>
    <w:rsid w:val="0048609B"/>
    <w:rsid w:val="00486115"/>
    <w:rsid w:val="0048617C"/>
    <w:rsid w:val="00486295"/>
    <w:rsid w:val="004862FE"/>
    <w:rsid w:val="0048630E"/>
    <w:rsid w:val="004863D9"/>
    <w:rsid w:val="004863E1"/>
    <w:rsid w:val="0048642B"/>
    <w:rsid w:val="00486686"/>
    <w:rsid w:val="004866D9"/>
    <w:rsid w:val="0048694D"/>
    <w:rsid w:val="004869F3"/>
    <w:rsid w:val="00486B45"/>
    <w:rsid w:val="00486BB4"/>
    <w:rsid w:val="00487274"/>
    <w:rsid w:val="004874F2"/>
    <w:rsid w:val="004876B7"/>
    <w:rsid w:val="00487793"/>
    <w:rsid w:val="00487A62"/>
    <w:rsid w:val="00487BA4"/>
    <w:rsid w:val="00487BE3"/>
    <w:rsid w:val="00487CCD"/>
    <w:rsid w:val="00487FD5"/>
    <w:rsid w:val="00490003"/>
    <w:rsid w:val="0049008B"/>
    <w:rsid w:val="004900D0"/>
    <w:rsid w:val="004902D4"/>
    <w:rsid w:val="0049033B"/>
    <w:rsid w:val="00490AF8"/>
    <w:rsid w:val="00490B87"/>
    <w:rsid w:val="00490D43"/>
    <w:rsid w:val="00490D88"/>
    <w:rsid w:val="00490DE3"/>
    <w:rsid w:val="00491112"/>
    <w:rsid w:val="004911EB"/>
    <w:rsid w:val="004912E7"/>
    <w:rsid w:val="00491782"/>
    <w:rsid w:val="004917C5"/>
    <w:rsid w:val="0049187E"/>
    <w:rsid w:val="00491AD0"/>
    <w:rsid w:val="00491DAF"/>
    <w:rsid w:val="004921DA"/>
    <w:rsid w:val="00492542"/>
    <w:rsid w:val="00492620"/>
    <w:rsid w:val="004929FB"/>
    <w:rsid w:val="00492B0A"/>
    <w:rsid w:val="00492BE7"/>
    <w:rsid w:val="00492F9D"/>
    <w:rsid w:val="00492FA7"/>
    <w:rsid w:val="0049301A"/>
    <w:rsid w:val="00493233"/>
    <w:rsid w:val="004932CE"/>
    <w:rsid w:val="004936FF"/>
    <w:rsid w:val="00493888"/>
    <w:rsid w:val="00493A27"/>
    <w:rsid w:val="00493A5D"/>
    <w:rsid w:val="00493A61"/>
    <w:rsid w:val="00493A70"/>
    <w:rsid w:val="00493DFA"/>
    <w:rsid w:val="00493FB2"/>
    <w:rsid w:val="00494611"/>
    <w:rsid w:val="0049468A"/>
    <w:rsid w:val="004946CD"/>
    <w:rsid w:val="00494796"/>
    <w:rsid w:val="00494905"/>
    <w:rsid w:val="00494CE3"/>
    <w:rsid w:val="00494F88"/>
    <w:rsid w:val="004950A0"/>
    <w:rsid w:val="004950CB"/>
    <w:rsid w:val="0049558D"/>
    <w:rsid w:val="004955FF"/>
    <w:rsid w:val="0049570B"/>
    <w:rsid w:val="00495725"/>
    <w:rsid w:val="00495CB4"/>
    <w:rsid w:val="00495E27"/>
    <w:rsid w:val="00495E8F"/>
    <w:rsid w:val="00495EBC"/>
    <w:rsid w:val="004960C5"/>
    <w:rsid w:val="00496201"/>
    <w:rsid w:val="00496265"/>
    <w:rsid w:val="00496281"/>
    <w:rsid w:val="004964DB"/>
    <w:rsid w:val="004966FE"/>
    <w:rsid w:val="0049670C"/>
    <w:rsid w:val="00496B83"/>
    <w:rsid w:val="00496C05"/>
    <w:rsid w:val="00496D1B"/>
    <w:rsid w:val="00496DBB"/>
    <w:rsid w:val="00496E85"/>
    <w:rsid w:val="00497142"/>
    <w:rsid w:val="004971B5"/>
    <w:rsid w:val="00497268"/>
    <w:rsid w:val="00497315"/>
    <w:rsid w:val="0049739D"/>
    <w:rsid w:val="0049764D"/>
    <w:rsid w:val="00497791"/>
    <w:rsid w:val="0049782C"/>
    <w:rsid w:val="00497B76"/>
    <w:rsid w:val="00497CB0"/>
    <w:rsid w:val="00497CF2"/>
    <w:rsid w:val="00497DE5"/>
    <w:rsid w:val="00497EB2"/>
    <w:rsid w:val="004A0354"/>
    <w:rsid w:val="004A037E"/>
    <w:rsid w:val="004A044B"/>
    <w:rsid w:val="004A05DC"/>
    <w:rsid w:val="004A0677"/>
    <w:rsid w:val="004A0871"/>
    <w:rsid w:val="004A087B"/>
    <w:rsid w:val="004A0965"/>
    <w:rsid w:val="004A0AE0"/>
    <w:rsid w:val="004A0BD5"/>
    <w:rsid w:val="004A0DA6"/>
    <w:rsid w:val="004A0E38"/>
    <w:rsid w:val="004A0EED"/>
    <w:rsid w:val="004A1125"/>
    <w:rsid w:val="004A12F8"/>
    <w:rsid w:val="004A13C9"/>
    <w:rsid w:val="004A1444"/>
    <w:rsid w:val="004A154E"/>
    <w:rsid w:val="004A1555"/>
    <w:rsid w:val="004A170A"/>
    <w:rsid w:val="004A1AAA"/>
    <w:rsid w:val="004A1AD8"/>
    <w:rsid w:val="004A1B9C"/>
    <w:rsid w:val="004A1D45"/>
    <w:rsid w:val="004A218A"/>
    <w:rsid w:val="004A227B"/>
    <w:rsid w:val="004A228D"/>
    <w:rsid w:val="004A22E9"/>
    <w:rsid w:val="004A26D4"/>
    <w:rsid w:val="004A2793"/>
    <w:rsid w:val="004A2A1E"/>
    <w:rsid w:val="004A2B26"/>
    <w:rsid w:val="004A2B49"/>
    <w:rsid w:val="004A2C36"/>
    <w:rsid w:val="004A2CB9"/>
    <w:rsid w:val="004A2D90"/>
    <w:rsid w:val="004A2D95"/>
    <w:rsid w:val="004A2EA7"/>
    <w:rsid w:val="004A2FFB"/>
    <w:rsid w:val="004A35A2"/>
    <w:rsid w:val="004A37AF"/>
    <w:rsid w:val="004A37FE"/>
    <w:rsid w:val="004A3A7B"/>
    <w:rsid w:val="004A3B35"/>
    <w:rsid w:val="004A3CDC"/>
    <w:rsid w:val="004A3EE7"/>
    <w:rsid w:val="004A3EEC"/>
    <w:rsid w:val="004A449D"/>
    <w:rsid w:val="004A44AA"/>
    <w:rsid w:val="004A45C3"/>
    <w:rsid w:val="004A4617"/>
    <w:rsid w:val="004A4A4A"/>
    <w:rsid w:val="004A4A6F"/>
    <w:rsid w:val="004A4C37"/>
    <w:rsid w:val="004A4C9C"/>
    <w:rsid w:val="004A4DBA"/>
    <w:rsid w:val="004A4F5B"/>
    <w:rsid w:val="004A509C"/>
    <w:rsid w:val="004A527D"/>
    <w:rsid w:val="004A53F9"/>
    <w:rsid w:val="004A54BB"/>
    <w:rsid w:val="004A5582"/>
    <w:rsid w:val="004A55A9"/>
    <w:rsid w:val="004A55F0"/>
    <w:rsid w:val="004A56F2"/>
    <w:rsid w:val="004A5ED1"/>
    <w:rsid w:val="004A5EFC"/>
    <w:rsid w:val="004A5F47"/>
    <w:rsid w:val="004A60FA"/>
    <w:rsid w:val="004A6230"/>
    <w:rsid w:val="004A634F"/>
    <w:rsid w:val="004A6354"/>
    <w:rsid w:val="004A64D5"/>
    <w:rsid w:val="004A6549"/>
    <w:rsid w:val="004A6820"/>
    <w:rsid w:val="004A688C"/>
    <w:rsid w:val="004A69D5"/>
    <w:rsid w:val="004A6D0D"/>
    <w:rsid w:val="004A6E52"/>
    <w:rsid w:val="004A6E5E"/>
    <w:rsid w:val="004A6FCD"/>
    <w:rsid w:val="004A714E"/>
    <w:rsid w:val="004A7229"/>
    <w:rsid w:val="004A7337"/>
    <w:rsid w:val="004A73B8"/>
    <w:rsid w:val="004A7498"/>
    <w:rsid w:val="004A74DA"/>
    <w:rsid w:val="004A78DF"/>
    <w:rsid w:val="004A7FA2"/>
    <w:rsid w:val="004B01E4"/>
    <w:rsid w:val="004B054C"/>
    <w:rsid w:val="004B0558"/>
    <w:rsid w:val="004B0AF4"/>
    <w:rsid w:val="004B0B39"/>
    <w:rsid w:val="004B0B6C"/>
    <w:rsid w:val="004B0C46"/>
    <w:rsid w:val="004B0D51"/>
    <w:rsid w:val="004B0FA1"/>
    <w:rsid w:val="004B10BD"/>
    <w:rsid w:val="004B1277"/>
    <w:rsid w:val="004B130A"/>
    <w:rsid w:val="004B13F7"/>
    <w:rsid w:val="004B1425"/>
    <w:rsid w:val="004B1585"/>
    <w:rsid w:val="004B170F"/>
    <w:rsid w:val="004B1737"/>
    <w:rsid w:val="004B1992"/>
    <w:rsid w:val="004B19E7"/>
    <w:rsid w:val="004B1A09"/>
    <w:rsid w:val="004B1AE4"/>
    <w:rsid w:val="004B1C98"/>
    <w:rsid w:val="004B2054"/>
    <w:rsid w:val="004B20A5"/>
    <w:rsid w:val="004B2353"/>
    <w:rsid w:val="004B2447"/>
    <w:rsid w:val="004B27A2"/>
    <w:rsid w:val="004B299A"/>
    <w:rsid w:val="004B29A7"/>
    <w:rsid w:val="004B2A4E"/>
    <w:rsid w:val="004B2BD6"/>
    <w:rsid w:val="004B2BF0"/>
    <w:rsid w:val="004B2C88"/>
    <w:rsid w:val="004B2F94"/>
    <w:rsid w:val="004B2FA2"/>
    <w:rsid w:val="004B3062"/>
    <w:rsid w:val="004B32A6"/>
    <w:rsid w:val="004B3341"/>
    <w:rsid w:val="004B36A3"/>
    <w:rsid w:val="004B37BF"/>
    <w:rsid w:val="004B37DF"/>
    <w:rsid w:val="004B38AA"/>
    <w:rsid w:val="004B3A5D"/>
    <w:rsid w:val="004B3B80"/>
    <w:rsid w:val="004B3C72"/>
    <w:rsid w:val="004B3DE1"/>
    <w:rsid w:val="004B3E94"/>
    <w:rsid w:val="004B3ECE"/>
    <w:rsid w:val="004B3F79"/>
    <w:rsid w:val="004B3FA0"/>
    <w:rsid w:val="004B3FAC"/>
    <w:rsid w:val="004B3FF3"/>
    <w:rsid w:val="004B417E"/>
    <w:rsid w:val="004B433B"/>
    <w:rsid w:val="004B443B"/>
    <w:rsid w:val="004B451E"/>
    <w:rsid w:val="004B4653"/>
    <w:rsid w:val="004B4809"/>
    <w:rsid w:val="004B4944"/>
    <w:rsid w:val="004B498F"/>
    <w:rsid w:val="004B50EA"/>
    <w:rsid w:val="004B5237"/>
    <w:rsid w:val="004B5331"/>
    <w:rsid w:val="004B5361"/>
    <w:rsid w:val="004B53CA"/>
    <w:rsid w:val="004B542B"/>
    <w:rsid w:val="004B5463"/>
    <w:rsid w:val="004B5562"/>
    <w:rsid w:val="004B5608"/>
    <w:rsid w:val="004B5670"/>
    <w:rsid w:val="004B591A"/>
    <w:rsid w:val="004B5978"/>
    <w:rsid w:val="004B5A96"/>
    <w:rsid w:val="004B5C5B"/>
    <w:rsid w:val="004B5EA0"/>
    <w:rsid w:val="004B5F6E"/>
    <w:rsid w:val="004B617A"/>
    <w:rsid w:val="004B635D"/>
    <w:rsid w:val="004B686D"/>
    <w:rsid w:val="004B6B34"/>
    <w:rsid w:val="004B6C8C"/>
    <w:rsid w:val="004B6D17"/>
    <w:rsid w:val="004B6D50"/>
    <w:rsid w:val="004B6F37"/>
    <w:rsid w:val="004B6F9C"/>
    <w:rsid w:val="004B7493"/>
    <w:rsid w:val="004B75C0"/>
    <w:rsid w:val="004B7909"/>
    <w:rsid w:val="004B7A4C"/>
    <w:rsid w:val="004B7CA7"/>
    <w:rsid w:val="004B7D05"/>
    <w:rsid w:val="004B7F2B"/>
    <w:rsid w:val="004C0032"/>
    <w:rsid w:val="004C03D8"/>
    <w:rsid w:val="004C066E"/>
    <w:rsid w:val="004C0686"/>
    <w:rsid w:val="004C0713"/>
    <w:rsid w:val="004C0A61"/>
    <w:rsid w:val="004C0CFC"/>
    <w:rsid w:val="004C0D23"/>
    <w:rsid w:val="004C0D3D"/>
    <w:rsid w:val="004C0D51"/>
    <w:rsid w:val="004C108B"/>
    <w:rsid w:val="004C11F9"/>
    <w:rsid w:val="004C1358"/>
    <w:rsid w:val="004C140D"/>
    <w:rsid w:val="004C1439"/>
    <w:rsid w:val="004C144E"/>
    <w:rsid w:val="004C18CF"/>
    <w:rsid w:val="004C19C9"/>
    <w:rsid w:val="004C1B5A"/>
    <w:rsid w:val="004C1B6A"/>
    <w:rsid w:val="004C1BA4"/>
    <w:rsid w:val="004C1C14"/>
    <w:rsid w:val="004C1E90"/>
    <w:rsid w:val="004C2072"/>
    <w:rsid w:val="004C2084"/>
    <w:rsid w:val="004C20C0"/>
    <w:rsid w:val="004C2531"/>
    <w:rsid w:val="004C265A"/>
    <w:rsid w:val="004C2665"/>
    <w:rsid w:val="004C267C"/>
    <w:rsid w:val="004C26D6"/>
    <w:rsid w:val="004C2773"/>
    <w:rsid w:val="004C2DCA"/>
    <w:rsid w:val="004C2F10"/>
    <w:rsid w:val="004C2FEC"/>
    <w:rsid w:val="004C3095"/>
    <w:rsid w:val="004C3705"/>
    <w:rsid w:val="004C37E4"/>
    <w:rsid w:val="004C387E"/>
    <w:rsid w:val="004C39B0"/>
    <w:rsid w:val="004C3F15"/>
    <w:rsid w:val="004C3F4F"/>
    <w:rsid w:val="004C40A9"/>
    <w:rsid w:val="004C4314"/>
    <w:rsid w:val="004C443D"/>
    <w:rsid w:val="004C443E"/>
    <w:rsid w:val="004C444B"/>
    <w:rsid w:val="004C4683"/>
    <w:rsid w:val="004C4897"/>
    <w:rsid w:val="004C4E26"/>
    <w:rsid w:val="004C4ED7"/>
    <w:rsid w:val="004C4FA0"/>
    <w:rsid w:val="004C5318"/>
    <w:rsid w:val="004C54A0"/>
    <w:rsid w:val="004C5657"/>
    <w:rsid w:val="004C566B"/>
    <w:rsid w:val="004C5721"/>
    <w:rsid w:val="004C5752"/>
    <w:rsid w:val="004C57EE"/>
    <w:rsid w:val="004C580D"/>
    <w:rsid w:val="004C58AE"/>
    <w:rsid w:val="004C5964"/>
    <w:rsid w:val="004C5B7C"/>
    <w:rsid w:val="004C5D31"/>
    <w:rsid w:val="004C6123"/>
    <w:rsid w:val="004C64E4"/>
    <w:rsid w:val="004C650D"/>
    <w:rsid w:val="004C66FB"/>
    <w:rsid w:val="004C688F"/>
    <w:rsid w:val="004C691A"/>
    <w:rsid w:val="004C6985"/>
    <w:rsid w:val="004C6BDE"/>
    <w:rsid w:val="004C6C83"/>
    <w:rsid w:val="004C6FCA"/>
    <w:rsid w:val="004C7110"/>
    <w:rsid w:val="004C749C"/>
    <w:rsid w:val="004C7571"/>
    <w:rsid w:val="004C771D"/>
    <w:rsid w:val="004C778B"/>
    <w:rsid w:val="004C796D"/>
    <w:rsid w:val="004C7A80"/>
    <w:rsid w:val="004D0008"/>
    <w:rsid w:val="004D0019"/>
    <w:rsid w:val="004D001F"/>
    <w:rsid w:val="004D0432"/>
    <w:rsid w:val="004D04B8"/>
    <w:rsid w:val="004D0625"/>
    <w:rsid w:val="004D0A3A"/>
    <w:rsid w:val="004D0BB4"/>
    <w:rsid w:val="004D0D55"/>
    <w:rsid w:val="004D0FC8"/>
    <w:rsid w:val="004D1031"/>
    <w:rsid w:val="004D1392"/>
    <w:rsid w:val="004D1669"/>
    <w:rsid w:val="004D1727"/>
    <w:rsid w:val="004D1775"/>
    <w:rsid w:val="004D187E"/>
    <w:rsid w:val="004D1942"/>
    <w:rsid w:val="004D1A3A"/>
    <w:rsid w:val="004D1AC4"/>
    <w:rsid w:val="004D1AD7"/>
    <w:rsid w:val="004D1C4A"/>
    <w:rsid w:val="004D1F98"/>
    <w:rsid w:val="004D2010"/>
    <w:rsid w:val="004D206D"/>
    <w:rsid w:val="004D2086"/>
    <w:rsid w:val="004D2203"/>
    <w:rsid w:val="004D2392"/>
    <w:rsid w:val="004D24E8"/>
    <w:rsid w:val="004D270E"/>
    <w:rsid w:val="004D2835"/>
    <w:rsid w:val="004D293B"/>
    <w:rsid w:val="004D2EA6"/>
    <w:rsid w:val="004D2F47"/>
    <w:rsid w:val="004D3410"/>
    <w:rsid w:val="004D3528"/>
    <w:rsid w:val="004D37B0"/>
    <w:rsid w:val="004D396B"/>
    <w:rsid w:val="004D3BBB"/>
    <w:rsid w:val="004D3BD8"/>
    <w:rsid w:val="004D3BF4"/>
    <w:rsid w:val="004D3C9A"/>
    <w:rsid w:val="004D3D04"/>
    <w:rsid w:val="004D3F0A"/>
    <w:rsid w:val="004D419F"/>
    <w:rsid w:val="004D43C1"/>
    <w:rsid w:val="004D44F3"/>
    <w:rsid w:val="004D4545"/>
    <w:rsid w:val="004D467D"/>
    <w:rsid w:val="004D47CF"/>
    <w:rsid w:val="004D4A4B"/>
    <w:rsid w:val="004D4ACC"/>
    <w:rsid w:val="004D4AFD"/>
    <w:rsid w:val="004D4C67"/>
    <w:rsid w:val="004D4CAA"/>
    <w:rsid w:val="004D4F78"/>
    <w:rsid w:val="004D50FD"/>
    <w:rsid w:val="004D519E"/>
    <w:rsid w:val="004D52A6"/>
    <w:rsid w:val="004D56B2"/>
    <w:rsid w:val="004D579D"/>
    <w:rsid w:val="004D5824"/>
    <w:rsid w:val="004D5908"/>
    <w:rsid w:val="004D5965"/>
    <w:rsid w:val="004D5B91"/>
    <w:rsid w:val="004D5D7E"/>
    <w:rsid w:val="004D5EFE"/>
    <w:rsid w:val="004D6449"/>
    <w:rsid w:val="004D652D"/>
    <w:rsid w:val="004D6BDE"/>
    <w:rsid w:val="004D6BED"/>
    <w:rsid w:val="004D6DB9"/>
    <w:rsid w:val="004D6DCB"/>
    <w:rsid w:val="004D6EA8"/>
    <w:rsid w:val="004D6F01"/>
    <w:rsid w:val="004D6F1F"/>
    <w:rsid w:val="004D6F33"/>
    <w:rsid w:val="004D6F95"/>
    <w:rsid w:val="004D72B6"/>
    <w:rsid w:val="004D7ADE"/>
    <w:rsid w:val="004D7BD8"/>
    <w:rsid w:val="004D7CF5"/>
    <w:rsid w:val="004D7D1B"/>
    <w:rsid w:val="004D7D27"/>
    <w:rsid w:val="004E01EF"/>
    <w:rsid w:val="004E0468"/>
    <w:rsid w:val="004E054F"/>
    <w:rsid w:val="004E0576"/>
    <w:rsid w:val="004E06D2"/>
    <w:rsid w:val="004E078C"/>
    <w:rsid w:val="004E0873"/>
    <w:rsid w:val="004E095B"/>
    <w:rsid w:val="004E0999"/>
    <w:rsid w:val="004E0A8E"/>
    <w:rsid w:val="004E0AE1"/>
    <w:rsid w:val="004E0BBF"/>
    <w:rsid w:val="004E0C7F"/>
    <w:rsid w:val="004E0F75"/>
    <w:rsid w:val="004E1059"/>
    <w:rsid w:val="004E10F8"/>
    <w:rsid w:val="004E11CB"/>
    <w:rsid w:val="004E1542"/>
    <w:rsid w:val="004E17EC"/>
    <w:rsid w:val="004E1B61"/>
    <w:rsid w:val="004E1FEF"/>
    <w:rsid w:val="004E2134"/>
    <w:rsid w:val="004E2359"/>
    <w:rsid w:val="004E24BA"/>
    <w:rsid w:val="004E259C"/>
    <w:rsid w:val="004E259E"/>
    <w:rsid w:val="004E2655"/>
    <w:rsid w:val="004E2A9D"/>
    <w:rsid w:val="004E2AB1"/>
    <w:rsid w:val="004E2ADA"/>
    <w:rsid w:val="004E2BAA"/>
    <w:rsid w:val="004E2C46"/>
    <w:rsid w:val="004E2DEF"/>
    <w:rsid w:val="004E2F70"/>
    <w:rsid w:val="004E30FF"/>
    <w:rsid w:val="004E34DC"/>
    <w:rsid w:val="004E3525"/>
    <w:rsid w:val="004E354F"/>
    <w:rsid w:val="004E371A"/>
    <w:rsid w:val="004E37F5"/>
    <w:rsid w:val="004E3977"/>
    <w:rsid w:val="004E3B1F"/>
    <w:rsid w:val="004E3B99"/>
    <w:rsid w:val="004E3BD0"/>
    <w:rsid w:val="004E3BE9"/>
    <w:rsid w:val="004E4017"/>
    <w:rsid w:val="004E40A6"/>
    <w:rsid w:val="004E426C"/>
    <w:rsid w:val="004E437E"/>
    <w:rsid w:val="004E44B5"/>
    <w:rsid w:val="004E4520"/>
    <w:rsid w:val="004E474D"/>
    <w:rsid w:val="004E4999"/>
    <w:rsid w:val="004E4B26"/>
    <w:rsid w:val="004E4B3F"/>
    <w:rsid w:val="004E4C4E"/>
    <w:rsid w:val="004E4CD3"/>
    <w:rsid w:val="004E4E9E"/>
    <w:rsid w:val="004E53B3"/>
    <w:rsid w:val="004E541F"/>
    <w:rsid w:val="004E549E"/>
    <w:rsid w:val="004E54AE"/>
    <w:rsid w:val="004E563A"/>
    <w:rsid w:val="004E57A1"/>
    <w:rsid w:val="004E5947"/>
    <w:rsid w:val="004E597D"/>
    <w:rsid w:val="004E5D30"/>
    <w:rsid w:val="004E5DC4"/>
    <w:rsid w:val="004E6019"/>
    <w:rsid w:val="004E602C"/>
    <w:rsid w:val="004E6049"/>
    <w:rsid w:val="004E6093"/>
    <w:rsid w:val="004E617D"/>
    <w:rsid w:val="004E61E3"/>
    <w:rsid w:val="004E621B"/>
    <w:rsid w:val="004E62F1"/>
    <w:rsid w:val="004E6301"/>
    <w:rsid w:val="004E656F"/>
    <w:rsid w:val="004E6645"/>
    <w:rsid w:val="004E6783"/>
    <w:rsid w:val="004E67E4"/>
    <w:rsid w:val="004E67F7"/>
    <w:rsid w:val="004E6911"/>
    <w:rsid w:val="004E7059"/>
    <w:rsid w:val="004E72D5"/>
    <w:rsid w:val="004E74CE"/>
    <w:rsid w:val="004E7675"/>
    <w:rsid w:val="004E7912"/>
    <w:rsid w:val="004E7953"/>
    <w:rsid w:val="004E7C98"/>
    <w:rsid w:val="004E7DA7"/>
    <w:rsid w:val="004F0056"/>
    <w:rsid w:val="004F006B"/>
    <w:rsid w:val="004F00FE"/>
    <w:rsid w:val="004F0445"/>
    <w:rsid w:val="004F04B8"/>
    <w:rsid w:val="004F0971"/>
    <w:rsid w:val="004F09C5"/>
    <w:rsid w:val="004F0EFD"/>
    <w:rsid w:val="004F10BE"/>
    <w:rsid w:val="004F1141"/>
    <w:rsid w:val="004F1203"/>
    <w:rsid w:val="004F1438"/>
    <w:rsid w:val="004F1444"/>
    <w:rsid w:val="004F1511"/>
    <w:rsid w:val="004F16BB"/>
    <w:rsid w:val="004F1705"/>
    <w:rsid w:val="004F1773"/>
    <w:rsid w:val="004F17AA"/>
    <w:rsid w:val="004F1816"/>
    <w:rsid w:val="004F1903"/>
    <w:rsid w:val="004F1A89"/>
    <w:rsid w:val="004F1B5C"/>
    <w:rsid w:val="004F1D12"/>
    <w:rsid w:val="004F1F6F"/>
    <w:rsid w:val="004F1FB4"/>
    <w:rsid w:val="004F2132"/>
    <w:rsid w:val="004F22DE"/>
    <w:rsid w:val="004F246C"/>
    <w:rsid w:val="004F2627"/>
    <w:rsid w:val="004F286D"/>
    <w:rsid w:val="004F2C70"/>
    <w:rsid w:val="004F321B"/>
    <w:rsid w:val="004F3634"/>
    <w:rsid w:val="004F36C4"/>
    <w:rsid w:val="004F3ABA"/>
    <w:rsid w:val="004F3CFA"/>
    <w:rsid w:val="004F3F60"/>
    <w:rsid w:val="004F430A"/>
    <w:rsid w:val="004F43C5"/>
    <w:rsid w:val="004F4604"/>
    <w:rsid w:val="004F4656"/>
    <w:rsid w:val="004F4D12"/>
    <w:rsid w:val="004F50E3"/>
    <w:rsid w:val="004F5135"/>
    <w:rsid w:val="004F5261"/>
    <w:rsid w:val="004F528F"/>
    <w:rsid w:val="004F5408"/>
    <w:rsid w:val="004F5439"/>
    <w:rsid w:val="004F54FB"/>
    <w:rsid w:val="004F586F"/>
    <w:rsid w:val="004F58D2"/>
    <w:rsid w:val="004F59D5"/>
    <w:rsid w:val="004F5A17"/>
    <w:rsid w:val="004F5AD4"/>
    <w:rsid w:val="004F5E7F"/>
    <w:rsid w:val="004F5F11"/>
    <w:rsid w:val="004F5F48"/>
    <w:rsid w:val="004F5FA9"/>
    <w:rsid w:val="004F60D4"/>
    <w:rsid w:val="004F66A8"/>
    <w:rsid w:val="004F67A8"/>
    <w:rsid w:val="004F67EC"/>
    <w:rsid w:val="004F6800"/>
    <w:rsid w:val="004F6A99"/>
    <w:rsid w:val="004F6D8A"/>
    <w:rsid w:val="004F6E18"/>
    <w:rsid w:val="004F771D"/>
    <w:rsid w:val="004F7802"/>
    <w:rsid w:val="004F7961"/>
    <w:rsid w:val="004F7A05"/>
    <w:rsid w:val="004F7E19"/>
    <w:rsid w:val="004F7E56"/>
    <w:rsid w:val="004F7E62"/>
    <w:rsid w:val="005000F2"/>
    <w:rsid w:val="005002CA"/>
    <w:rsid w:val="0050037F"/>
    <w:rsid w:val="005005B7"/>
    <w:rsid w:val="00500F24"/>
    <w:rsid w:val="00500F6B"/>
    <w:rsid w:val="005012C9"/>
    <w:rsid w:val="005012CE"/>
    <w:rsid w:val="0050134B"/>
    <w:rsid w:val="00501492"/>
    <w:rsid w:val="00501886"/>
    <w:rsid w:val="00501918"/>
    <w:rsid w:val="00501B08"/>
    <w:rsid w:val="00501C6C"/>
    <w:rsid w:val="00501ED8"/>
    <w:rsid w:val="00501F17"/>
    <w:rsid w:val="005021B6"/>
    <w:rsid w:val="005022F9"/>
    <w:rsid w:val="00502404"/>
    <w:rsid w:val="00502464"/>
    <w:rsid w:val="00502511"/>
    <w:rsid w:val="00502707"/>
    <w:rsid w:val="0050280F"/>
    <w:rsid w:val="0050295F"/>
    <w:rsid w:val="005029A0"/>
    <w:rsid w:val="00502A4C"/>
    <w:rsid w:val="00502E60"/>
    <w:rsid w:val="005030E5"/>
    <w:rsid w:val="00503185"/>
    <w:rsid w:val="00503208"/>
    <w:rsid w:val="005033E2"/>
    <w:rsid w:val="00503402"/>
    <w:rsid w:val="0050388C"/>
    <w:rsid w:val="005038DE"/>
    <w:rsid w:val="005038F0"/>
    <w:rsid w:val="00503F3B"/>
    <w:rsid w:val="00504186"/>
    <w:rsid w:val="005041DB"/>
    <w:rsid w:val="0050453A"/>
    <w:rsid w:val="005047DB"/>
    <w:rsid w:val="00504918"/>
    <w:rsid w:val="0050516E"/>
    <w:rsid w:val="005055E5"/>
    <w:rsid w:val="0050565D"/>
    <w:rsid w:val="005056BD"/>
    <w:rsid w:val="005056DC"/>
    <w:rsid w:val="005058B0"/>
    <w:rsid w:val="00505A21"/>
    <w:rsid w:val="00505C3D"/>
    <w:rsid w:val="00505C4C"/>
    <w:rsid w:val="00505CEC"/>
    <w:rsid w:val="00505F7D"/>
    <w:rsid w:val="0050613E"/>
    <w:rsid w:val="00506142"/>
    <w:rsid w:val="00506278"/>
    <w:rsid w:val="00506374"/>
    <w:rsid w:val="005065BA"/>
    <w:rsid w:val="005065DC"/>
    <w:rsid w:val="00506728"/>
    <w:rsid w:val="00506831"/>
    <w:rsid w:val="0050684D"/>
    <w:rsid w:val="00506992"/>
    <w:rsid w:val="005069EA"/>
    <w:rsid w:val="00506BEE"/>
    <w:rsid w:val="00506DF6"/>
    <w:rsid w:val="00506E46"/>
    <w:rsid w:val="00506FE7"/>
    <w:rsid w:val="00507015"/>
    <w:rsid w:val="0050703E"/>
    <w:rsid w:val="0050723E"/>
    <w:rsid w:val="00507562"/>
    <w:rsid w:val="00507936"/>
    <w:rsid w:val="00507AF0"/>
    <w:rsid w:val="00507F14"/>
    <w:rsid w:val="005100DD"/>
    <w:rsid w:val="00510719"/>
    <w:rsid w:val="00510866"/>
    <w:rsid w:val="00510A5A"/>
    <w:rsid w:val="00510A8C"/>
    <w:rsid w:val="00510B89"/>
    <w:rsid w:val="00510BBF"/>
    <w:rsid w:val="00510D51"/>
    <w:rsid w:val="00510D5E"/>
    <w:rsid w:val="00510EA9"/>
    <w:rsid w:val="005110D5"/>
    <w:rsid w:val="00511100"/>
    <w:rsid w:val="005115E7"/>
    <w:rsid w:val="00511681"/>
    <w:rsid w:val="005116A8"/>
    <w:rsid w:val="005116B0"/>
    <w:rsid w:val="00511936"/>
    <w:rsid w:val="0051194E"/>
    <w:rsid w:val="00511B37"/>
    <w:rsid w:val="00511E39"/>
    <w:rsid w:val="00511E4C"/>
    <w:rsid w:val="00512129"/>
    <w:rsid w:val="00512137"/>
    <w:rsid w:val="0051216B"/>
    <w:rsid w:val="005126CE"/>
    <w:rsid w:val="00512720"/>
    <w:rsid w:val="005127A5"/>
    <w:rsid w:val="005127D4"/>
    <w:rsid w:val="00512ACE"/>
    <w:rsid w:val="00512E42"/>
    <w:rsid w:val="00512E5B"/>
    <w:rsid w:val="00512F91"/>
    <w:rsid w:val="00513138"/>
    <w:rsid w:val="0051313E"/>
    <w:rsid w:val="00513163"/>
    <w:rsid w:val="00513322"/>
    <w:rsid w:val="0051333B"/>
    <w:rsid w:val="00513638"/>
    <w:rsid w:val="0051372A"/>
    <w:rsid w:val="0051391D"/>
    <w:rsid w:val="00513BF7"/>
    <w:rsid w:val="00513E3A"/>
    <w:rsid w:val="0051404A"/>
    <w:rsid w:val="00514398"/>
    <w:rsid w:val="0051465C"/>
    <w:rsid w:val="00514746"/>
    <w:rsid w:val="005147A9"/>
    <w:rsid w:val="00514B91"/>
    <w:rsid w:val="00514BAB"/>
    <w:rsid w:val="00514CB9"/>
    <w:rsid w:val="00514F4A"/>
    <w:rsid w:val="005151C4"/>
    <w:rsid w:val="00515219"/>
    <w:rsid w:val="0051528C"/>
    <w:rsid w:val="00515311"/>
    <w:rsid w:val="0051538D"/>
    <w:rsid w:val="005158B4"/>
    <w:rsid w:val="00515B42"/>
    <w:rsid w:val="00515C40"/>
    <w:rsid w:val="00515DE0"/>
    <w:rsid w:val="005163B9"/>
    <w:rsid w:val="005165D4"/>
    <w:rsid w:val="0051661C"/>
    <w:rsid w:val="005166D1"/>
    <w:rsid w:val="005166D7"/>
    <w:rsid w:val="00516798"/>
    <w:rsid w:val="00516AED"/>
    <w:rsid w:val="00516CA3"/>
    <w:rsid w:val="00516D25"/>
    <w:rsid w:val="00517018"/>
    <w:rsid w:val="00517087"/>
    <w:rsid w:val="0051710E"/>
    <w:rsid w:val="0051711F"/>
    <w:rsid w:val="005172E0"/>
    <w:rsid w:val="0051743D"/>
    <w:rsid w:val="005174F2"/>
    <w:rsid w:val="00517655"/>
    <w:rsid w:val="005177D6"/>
    <w:rsid w:val="00517842"/>
    <w:rsid w:val="0051799C"/>
    <w:rsid w:val="00517BF1"/>
    <w:rsid w:val="00517E65"/>
    <w:rsid w:val="00517F55"/>
    <w:rsid w:val="00520153"/>
    <w:rsid w:val="005201AD"/>
    <w:rsid w:val="00520299"/>
    <w:rsid w:val="005202F6"/>
    <w:rsid w:val="005205EE"/>
    <w:rsid w:val="005206BC"/>
    <w:rsid w:val="00520714"/>
    <w:rsid w:val="00520751"/>
    <w:rsid w:val="005207D7"/>
    <w:rsid w:val="00520A21"/>
    <w:rsid w:val="00520AA7"/>
    <w:rsid w:val="00520BE6"/>
    <w:rsid w:val="00520D42"/>
    <w:rsid w:val="00520DC1"/>
    <w:rsid w:val="00521174"/>
    <w:rsid w:val="005211CD"/>
    <w:rsid w:val="00521380"/>
    <w:rsid w:val="005214A1"/>
    <w:rsid w:val="00521521"/>
    <w:rsid w:val="00521648"/>
    <w:rsid w:val="005217A6"/>
    <w:rsid w:val="005217C7"/>
    <w:rsid w:val="00521C1A"/>
    <w:rsid w:val="00521C69"/>
    <w:rsid w:val="00521E64"/>
    <w:rsid w:val="00521F17"/>
    <w:rsid w:val="005220D4"/>
    <w:rsid w:val="0052235D"/>
    <w:rsid w:val="00522384"/>
    <w:rsid w:val="00522740"/>
    <w:rsid w:val="005228B3"/>
    <w:rsid w:val="005229C7"/>
    <w:rsid w:val="005229F9"/>
    <w:rsid w:val="00522C23"/>
    <w:rsid w:val="00522C6B"/>
    <w:rsid w:val="00522E82"/>
    <w:rsid w:val="00522F50"/>
    <w:rsid w:val="00522F82"/>
    <w:rsid w:val="005236FE"/>
    <w:rsid w:val="00523754"/>
    <w:rsid w:val="00523841"/>
    <w:rsid w:val="00523860"/>
    <w:rsid w:val="00523AD6"/>
    <w:rsid w:val="00523EA1"/>
    <w:rsid w:val="00524241"/>
    <w:rsid w:val="005243FA"/>
    <w:rsid w:val="005247C1"/>
    <w:rsid w:val="00524809"/>
    <w:rsid w:val="00524E4F"/>
    <w:rsid w:val="00524EBC"/>
    <w:rsid w:val="00524EEA"/>
    <w:rsid w:val="00524FA7"/>
    <w:rsid w:val="00524FC7"/>
    <w:rsid w:val="00524FDB"/>
    <w:rsid w:val="00525219"/>
    <w:rsid w:val="00525272"/>
    <w:rsid w:val="005253AA"/>
    <w:rsid w:val="00525461"/>
    <w:rsid w:val="00525580"/>
    <w:rsid w:val="0052567C"/>
    <w:rsid w:val="0052579E"/>
    <w:rsid w:val="00525990"/>
    <w:rsid w:val="00525AB1"/>
    <w:rsid w:val="00525CE4"/>
    <w:rsid w:val="0052629F"/>
    <w:rsid w:val="005263F9"/>
    <w:rsid w:val="005264C6"/>
    <w:rsid w:val="005264C7"/>
    <w:rsid w:val="00526515"/>
    <w:rsid w:val="005268A5"/>
    <w:rsid w:val="005268E4"/>
    <w:rsid w:val="005268ED"/>
    <w:rsid w:val="00526980"/>
    <w:rsid w:val="00526BF9"/>
    <w:rsid w:val="00526E88"/>
    <w:rsid w:val="00527079"/>
    <w:rsid w:val="005270B1"/>
    <w:rsid w:val="00527132"/>
    <w:rsid w:val="005273B2"/>
    <w:rsid w:val="00527401"/>
    <w:rsid w:val="00527419"/>
    <w:rsid w:val="00527517"/>
    <w:rsid w:val="005276A6"/>
    <w:rsid w:val="0052779A"/>
    <w:rsid w:val="005278FB"/>
    <w:rsid w:val="00527905"/>
    <w:rsid w:val="005279F5"/>
    <w:rsid w:val="00527AFF"/>
    <w:rsid w:val="00527BD6"/>
    <w:rsid w:val="00527BEC"/>
    <w:rsid w:val="00527CFA"/>
    <w:rsid w:val="00527DED"/>
    <w:rsid w:val="00530075"/>
    <w:rsid w:val="00530371"/>
    <w:rsid w:val="005303F8"/>
    <w:rsid w:val="00530463"/>
    <w:rsid w:val="0053058B"/>
    <w:rsid w:val="005306F8"/>
    <w:rsid w:val="00530807"/>
    <w:rsid w:val="00530B40"/>
    <w:rsid w:val="00530BCD"/>
    <w:rsid w:val="00530DB8"/>
    <w:rsid w:val="00531090"/>
    <w:rsid w:val="0053116F"/>
    <w:rsid w:val="005316B9"/>
    <w:rsid w:val="0053180C"/>
    <w:rsid w:val="0053181D"/>
    <w:rsid w:val="00531966"/>
    <w:rsid w:val="00531AFF"/>
    <w:rsid w:val="00531CC7"/>
    <w:rsid w:val="00531D15"/>
    <w:rsid w:val="00531D1C"/>
    <w:rsid w:val="00531DEB"/>
    <w:rsid w:val="0053204B"/>
    <w:rsid w:val="00532059"/>
    <w:rsid w:val="00532218"/>
    <w:rsid w:val="0053272F"/>
    <w:rsid w:val="005327CA"/>
    <w:rsid w:val="00532A46"/>
    <w:rsid w:val="00532A5B"/>
    <w:rsid w:val="00532C87"/>
    <w:rsid w:val="00532F5B"/>
    <w:rsid w:val="00532FD7"/>
    <w:rsid w:val="0053311A"/>
    <w:rsid w:val="00533753"/>
    <w:rsid w:val="005337A1"/>
    <w:rsid w:val="005338A7"/>
    <w:rsid w:val="005338ED"/>
    <w:rsid w:val="0053394A"/>
    <w:rsid w:val="00533B2F"/>
    <w:rsid w:val="00533B6E"/>
    <w:rsid w:val="00533D27"/>
    <w:rsid w:val="00533F3A"/>
    <w:rsid w:val="00533FDD"/>
    <w:rsid w:val="00533FE3"/>
    <w:rsid w:val="0053412C"/>
    <w:rsid w:val="005341A5"/>
    <w:rsid w:val="00534444"/>
    <w:rsid w:val="00534974"/>
    <w:rsid w:val="005349D9"/>
    <w:rsid w:val="00534A9A"/>
    <w:rsid w:val="00534AFD"/>
    <w:rsid w:val="00534BD1"/>
    <w:rsid w:val="00534DC1"/>
    <w:rsid w:val="005351F1"/>
    <w:rsid w:val="00535467"/>
    <w:rsid w:val="005359E0"/>
    <w:rsid w:val="005359E2"/>
    <w:rsid w:val="0053607F"/>
    <w:rsid w:val="005361E3"/>
    <w:rsid w:val="00536235"/>
    <w:rsid w:val="00536245"/>
    <w:rsid w:val="005363BB"/>
    <w:rsid w:val="00536433"/>
    <w:rsid w:val="0053657F"/>
    <w:rsid w:val="00536591"/>
    <w:rsid w:val="005367B7"/>
    <w:rsid w:val="00536A54"/>
    <w:rsid w:val="00536BBE"/>
    <w:rsid w:val="00537074"/>
    <w:rsid w:val="00537327"/>
    <w:rsid w:val="0053745F"/>
    <w:rsid w:val="00537521"/>
    <w:rsid w:val="005375E6"/>
    <w:rsid w:val="00537661"/>
    <w:rsid w:val="005378D9"/>
    <w:rsid w:val="00537ABC"/>
    <w:rsid w:val="00537B71"/>
    <w:rsid w:val="00537C17"/>
    <w:rsid w:val="00537CD0"/>
    <w:rsid w:val="00537CFB"/>
    <w:rsid w:val="0054017E"/>
    <w:rsid w:val="005403A6"/>
    <w:rsid w:val="00540405"/>
    <w:rsid w:val="00540650"/>
    <w:rsid w:val="0054066A"/>
    <w:rsid w:val="005406E2"/>
    <w:rsid w:val="00540782"/>
    <w:rsid w:val="005407C8"/>
    <w:rsid w:val="00540F8B"/>
    <w:rsid w:val="005410EB"/>
    <w:rsid w:val="00541113"/>
    <w:rsid w:val="005412C7"/>
    <w:rsid w:val="0054173B"/>
    <w:rsid w:val="00541871"/>
    <w:rsid w:val="0054196D"/>
    <w:rsid w:val="00541ADD"/>
    <w:rsid w:val="00541BF8"/>
    <w:rsid w:val="00541CB3"/>
    <w:rsid w:val="00541F9D"/>
    <w:rsid w:val="00541FD6"/>
    <w:rsid w:val="00542025"/>
    <w:rsid w:val="005424E1"/>
    <w:rsid w:val="005424E8"/>
    <w:rsid w:val="005425B0"/>
    <w:rsid w:val="005426CF"/>
    <w:rsid w:val="0054287D"/>
    <w:rsid w:val="005428B5"/>
    <w:rsid w:val="00542BFB"/>
    <w:rsid w:val="00542E0A"/>
    <w:rsid w:val="00542E3E"/>
    <w:rsid w:val="00542F05"/>
    <w:rsid w:val="005430CA"/>
    <w:rsid w:val="005431B6"/>
    <w:rsid w:val="005432C8"/>
    <w:rsid w:val="00543329"/>
    <w:rsid w:val="0054383C"/>
    <w:rsid w:val="00543AE6"/>
    <w:rsid w:val="00543AEB"/>
    <w:rsid w:val="00543D72"/>
    <w:rsid w:val="00543E0E"/>
    <w:rsid w:val="00543E4C"/>
    <w:rsid w:val="00543E70"/>
    <w:rsid w:val="00543E9E"/>
    <w:rsid w:val="0054404A"/>
    <w:rsid w:val="005440B0"/>
    <w:rsid w:val="005441DB"/>
    <w:rsid w:val="005447BC"/>
    <w:rsid w:val="00544849"/>
    <w:rsid w:val="00544B04"/>
    <w:rsid w:val="00544B22"/>
    <w:rsid w:val="00544D31"/>
    <w:rsid w:val="005451D6"/>
    <w:rsid w:val="0054524A"/>
    <w:rsid w:val="00545274"/>
    <w:rsid w:val="005453AE"/>
    <w:rsid w:val="0054582A"/>
    <w:rsid w:val="00545EE2"/>
    <w:rsid w:val="00545F18"/>
    <w:rsid w:val="00546023"/>
    <w:rsid w:val="00546064"/>
    <w:rsid w:val="00546091"/>
    <w:rsid w:val="0054613D"/>
    <w:rsid w:val="00546681"/>
    <w:rsid w:val="00546BF9"/>
    <w:rsid w:val="00546DE1"/>
    <w:rsid w:val="00546E22"/>
    <w:rsid w:val="00547266"/>
    <w:rsid w:val="00547323"/>
    <w:rsid w:val="00547327"/>
    <w:rsid w:val="00547343"/>
    <w:rsid w:val="00547375"/>
    <w:rsid w:val="00547474"/>
    <w:rsid w:val="00547520"/>
    <w:rsid w:val="0054757A"/>
    <w:rsid w:val="005475E4"/>
    <w:rsid w:val="005475E7"/>
    <w:rsid w:val="00547666"/>
    <w:rsid w:val="0054777B"/>
    <w:rsid w:val="0054785A"/>
    <w:rsid w:val="00547A52"/>
    <w:rsid w:val="00547B35"/>
    <w:rsid w:val="00547DED"/>
    <w:rsid w:val="0055035E"/>
    <w:rsid w:val="005504A2"/>
    <w:rsid w:val="005504E7"/>
    <w:rsid w:val="0055051A"/>
    <w:rsid w:val="00550577"/>
    <w:rsid w:val="0055058A"/>
    <w:rsid w:val="00550859"/>
    <w:rsid w:val="00550A62"/>
    <w:rsid w:val="00550B97"/>
    <w:rsid w:val="00551164"/>
    <w:rsid w:val="005511B3"/>
    <w:rsid w:val="005512CD"/>
    <w:rsid w:val="00551483"/>
    <w:rsid w:val="005514E2"/>
    <w:rsid w:val="005516E7"/>
    <w:rsid w:val="0055179F"/>
    <w:rsid w:val="00551ACB"/>
    <w:rsid w:val="00551C46"/>
    <w:rsid w:val="00551CD9"/>
    <w:rsid w:val="00551D2F"/>
    <w:rsid w:val="00551D37"/>
    <w:rsid w:val="00551F6B"/>
    <w:rsid w:val="00552284"/>
    <w:rsid w:val="00552326"/>
    <w:rsid w:val="00552776"/>
    <w:rsid w:val="005527C3"/>
    <w:rsid w:val="005527EC"/>
    <w:rsid w:val="005529FB"/>
    <w:rsid w:val="00552AC0"/>
    <w:rsid w:val="00552CCE"/>
    <w:rsid w:val="00552CDF"/>
    <w:rsid w:val="00553531"/>
    <w:rsid w:val="005535B1"/>
    <w:rsid w:val="005535DA"/>
    <w:rsid w:val="005537D2"/>
    <w:rsid w:val="00553927"/>
    <w:rsid w:val="005539EA"/>
    <w:rsid w:val="00553C92"/>
    <w:rsid w:val="00553D19"/>
    <w:rsid w:val="00553E4C"/>
    <w:rsid w:val="00554025"/>
    <w:rsid w:val="00554065"/>
    <w:rsid w:val="00554081"/>
    <w:rsid w:val="0055430B"/>
    <w:rsid w:val="005543C9"/>
    <w:rsid w:val="00554897"/>
    <w:rsid w:val="0055489B"/>
    <w:rsid w:val="005549E7"/>
    <w:rsid w:val="00554B81"/>
    <w:rsid w:val="00554D09"/>
    <w:rsid w:val="00555087"/>
    <w:rsid w:val="00555371"/>
    <w:rsid w:val="00555393"/>
    <w:rsid w:val="00555415"/>
    <w:rsid w:val="00555A02"/>
    <w:rsid w:val="00555E86"/>
    <w:rsid w:val="00555ED4"/>
    <w:rsid w:val="00555F3D"/>
    <w:rsid w:val="00556027"/>
    <w:rsid w:val="005561B8"/>
    <w:rsid w:val="005562A4"/>
    <w:rsid w:val="005562CB"/>
    <w:rsid w:val="005563D1"/>
    <w:rsid w:val="00556436"/>
    <w:rsid w:val="005564F8"/>
    <w:rsid w:val="005565AF"/>
    <w:rsid w:val="00556870"/>
    <w:rsid w:val="0055687C"/>
    <w:rsid w:val="005568A7"/>
    <w:rsid w:val="00556909"/>
    <w:rsid w:val="00556A80"/>
    <w:rsid w:val="00556CCC"/>
    <w:rsid w:val="00556D5A"/>
    <w:rsid w:val="00556D9B"/>
    <w:rsid w:val="00556FD5"/>
    <w:rsid w:val="005571F6"/>
    <w:rsid w:val="00557496"/>
    <w:rsid w:val="005576B7"/>
    <w:rsid w:val="0055788B"/>
    <w:rsid w:val="00557918"/>
    <w:rsid w:val="00557952"/>
    <w:rsid w:val="00557A40"/>
    <w:rsid w:val="00557A63"/>
    <w:rsid w:val="00557D4A"/>
    <w:rsid w:val="00557DE5"/>
    <w:rsid w:val="00557E89"/>
    <w:rsid w:val="00560017"/>
    <w:rsid w:val="0056024B"/>
    <w:rsid w:val="0056079E"/>
    <w:rsid w:val="0056085E"/>
    <w:rsid w:val="00560B5E"/>
    <w:rsid w:val="00560BA7"/>
    <w:rsid w:val="00560DF5"/>
    <w:rsid w:val="00560E8A"/>
    <w:rsid w:val="00560F35"/>
    <w:rsid w:val="00561295"/>
    <w:rsid w:val="005614B8"/>
    <w:rsid w:val="00561625"/>
    <w:rsid w:val="0056162C"/>
    <w:rsid w:val="005616E5"/>
    <w:rsid w:val="005616E9"/>
    <w:rsid w:val="00561864"/>
    <w:rsid w:val="00561BD1"/>
    <w:rsid w:val="00561D44"/>
    <w:rsid w:val="00561EDD"/>
    <w:rsid w:val="00561F29"/>
    <w:rsid w:val="00562126"/>
    <w:rsid w:val="00562195"/>
    <w:rsid w:val="0056235B"/>
    <w:rsid w:val="00562505"/>
    <w:rsid w:val="0056270B"/>
    <w:rsid w:val="00562AFE"/>
    <w:rsid w:val="00562B78"/>
    <w:rsid w:val="00562C56"/>
    <w:rsid w:val="00562DF9"/>
    <w:rsid w:val="00562F83"/>
    <w:rsid w:val="00562FA5"/>
    <w:rsid w:val="005631DC"/>
    <w:rsid w:val="005634B1"/>
    <w:rsid w:val="00563816"/>
    <w:rsid w:val="005638B6"/>
    <w:rsid w:val="00563976"/>
    <w:rsid w:val="00563AD8"/>
    <w:rsid w:val="00563BD5"/>
    <w:rsid w:val="00563DE7"/>
    <w:rsid w:val="00564030"/>
    <w:rsid w:val="00564239"/>
    <w:rsid w:val="00564471"/>
    <w:rsid w:val="005645AD"/>
    <w:rsid w:val="005649B3"/>
    <w:rsid w:val="00564C7F"/>
    <w:rsid w:val="00565115"/>
    <w:rsid w:val="005652DE"/>
    <w:rsid w:val="00565462"/>
    <w:rsid w:val="005654A9"/>
    <w:rsid w:val="0056566D"/>
    <w:rsid w:val="005658A3"/>
    <w:rsid w:val="00565934"/>
    <w:rsid w:val="0056594A"/>
    <w:rsid w:val="005659F2"/>
    <w:rsid w:val="00565A75"/>
    <w:rsid w:val="00565AF6"/>
    <w:rsid w:val="00565C63"/>
    <w:rsid w:val="00565D62"/>
    <w:rsid w:val="00565D90"/>
    <w:rsid w:val="00565DDC"/>
    <w:rsid w:val="005660E5"/>
    <w:rsid w:val="005661E8"/>
    <w:rsid w:val="005663B3"/>
    <w:rsid w:val="005665A6"/>
    <w:rsid w:val="005665B7"/>
    <w:rsid w:val="00566954"/>
    <w:rsid w:val="00566B0B"/>
    <w:rsid w:val="00566BB8"/>
    <w:rsid w:val="00566E83"/>
    <w:rsid w:val="00566EA4"/>
    <w:rsid w:val="00566F09"/>
    <w:rsid w:val="00566F20"/>
    <w:rsid w:val="00566FF7"/>
    <w:rsid w:val="00567062"/>
    <w:rsid w:val="00567103"/>
    <w:rsid w:val="005672D2"/>
    <w:rsid w:val="005673EC"/>
    <w:rsid w:val="00567554"/>
    <w:rsid w:val="00567662"/>
    <w:rsid w:val="0056791C"/>
    <w:rsid w:val="00567A39"/>
    <w:rsid w:val="00567A51"/>
    <w:rsid w:val="00570094"/>
    <w:rsid w:val="005700D5"/>
    <w:rsid w:val="005700D8"/>
    <w:rsid w:val="005701F4"/>
    <w:rsid w:val="00570223"/>
    <w:rsid w:val="0057022B"/>
    <w:rsid w:val="00570349"/>
    <w:rsid w:val="0057039E"/>
    <w:rsid w:val="005703CC"/>
    <w:rsid w:val="005704A2"/>
    <w:rsid w:val="0057055E"/>
    <w:rsid w:val="00570599"/>
    <w:rsid w:val="005705AE"/>
    <w:rsid w:val="0057078F"/>
    <w:rsid w:val="0057087E"/>
    <w:rsid w:val="00570EA7"/>
    <w:rsid w:val="00570EE7"/>
    <w:rsid w:val="00571067"/>
    <w:rsid w:val="005710BC"/>
    <w:rsid w:val="005711BA"/>
    <w:rsid w:val="005712D7"/>
    <w:rsid w:val="005714D6"/>
    <w:rsid w:val="0057164E"/>
    <w:rsid w:val="00571740"/>
    <w:rsid w:val="005717F0"/>
    <w:rsid w:val="00571881"/>
    <w:rsid w:val="005719C5"/>
    <w:rsid w:val="00571AA8"/>
    <w:rsid w:val="00571C35"/>
    <w:rsid w:val="00571D0C"/>
    <w:rsid w:val="00571E6E"/>
    <w:rsid w:val="0057228A"/>
    <w:rsid w:val="005722D5"/>
    <w:rsid w:val="005725A8"/>
    <w:rsid w:val="005725E7"/>
    <w:rsid w:val="005726B4"/>
    <w:rsid w:val="00572712"/>
    <w:rsid w:val="00572747"/>
    <w:rsid w:val="0057284E"/>
    <w:rsid w:val="00572DA8"/>
    <w:rsid w:val="00572E35"/>
    <w:rsid w:val="00572FF5"/>
    <w:rsid w:val="005732E5"/>
    <w:rsid w:val="005733F7"/>
    <w:rsid w:val="00573476"/>
    <w:rsid w:val="0057354B"/>
    <w:rsid w:val="0057355A"/>
    <w:rsid w:val="0057356B"/>
    <w:rsid w:val="005735CA"/>
    <w:rsid w:val="0057368F"/>
    <w:rsid w:val="00573738"/>
    <w:rsid w:val="00573B3B"/>
    <w:rsid w:val="00573B76"/>
    <w:rsid w:val="00573BBA"/>
    <w:rsid w:val="00573D33"/>
    <w:rsid w:val="00573D6A"/>
    <w:rsid w:val="005741F7"/>
    <w:rsid w:val="0057432D"/>
    <w:rsid w:val="0057451C"/>
    <w:rsid w:val="00574705"/>
    <w:rsid w:val="00574742"/>
    <w:rsid w:val="00574854"/>
    <w:rsid w:val="00574AA0"/>
    <w:rsid w:val="00574AC5"/>
    <w:rsid w:val="00574B11"/>
    <w:rsid w:val="00574B77"/>
    <w:rsid w:val="00574F7B"/>
    <w:rsid w:val="0057531F"/>
    <w:rsid w:val="00575394"/>
    <w:rsid w:val="00575521"/>
    <w:rsid w:val="005755F9"/>
    <w:rsid w:val="00575941"/>
    <w:rsid w:val="0057599B"/>
    <w:rsid w:val="0057599F"/>
    <w:rsid w:val="00575AE5"/>
    <w:rsid w:val="00575C3C"/>
    <w:rsid w:val="00575CF5"/>
    <w:rsid w:val="00575D10"/>
    <w:rsid w:val="00575E3C"/>
    <w:rsid w:val="00575F24"/>
    <w:rsid w:val="005760AB"/>
    <w:rsid w:val="00576146"/>
    <w:rsid w:val="0057614E"/>
    <w:rsid w:val="005761A9"/>
    <w:rsid w:val="00576247"/>
    <w:rsid w:val="005765AE"/>
    <w:rsid w:val="005765C8"/>
    <w:rsid w:val="00576934"/>
    <w:rsid w:val="00576937"/>
    <w:rsid w:val="005769D2"/>
    <w:rsid w:val="00576DF0"/>
    <w:rsid w:val="00576FBC"/>
    <w:rsid w:val="00577000"/>
    <w:rsid w:val="005771D2"/>
    <w:rsid w:val="0057780C"/>
    <w:rsid w:val="0057786F"/>
    <w:rsid w:val="005778D9"/>
    <w:rsid w:val="005779F8"/>
    <w:rsid w:val="00577EC4"/>
    <w:rsid w:val="005803AD"/>
    <w:rsid w:val="00580479"/>
    <w:rsid w:val="005807CD"/>
    <w:rsid w:val="00580980"/>
    <w:rsid w:val="00580DD3"/>
    <w:rsid w:val="00580FFA"/>
    <w:rsid w:val="00581038"/>
    <w:rsid w:val="005812D8"/>
    <w:rsid w:val="0058132D"/>
    <w:rsid w:val="0058134D"/>
    <w:rsid w:val="00581582"/>
    <w:rsid w:val="0058164A"/>
    <w:rsid w:val="005816C0"/>
    <w:rsid w:val="0058174F"/>
    <w:rsid w:val="00581792"/>
    <w:rsid w:val="005817C3"/>
    <w:rsid w:val="005817CB"/>
    <w:rsid w:val="0058186F"/>
    <w:rsid w:val="005818C3"/>
    <w:rsid w:val="00581AEC"/>
    <w:rsid w:val="00581C46"/>
    <w:rsid w:val="005821DB"/>
    <w:rsid w:val="005822EA"/>
    <w:rsid w:val="0058237D"/>
    <w:rsid w:val="00582380"/>
    <w:rsid w:val="0058238B"/>
    <w:rsid w:val="005825AA"/>
    <w:rsid w:val="005825D0"/>
    <w:rsid w:val="005825FD"/>
    <w:rsid w:val="00582616"/>
    <w:rsid w:val="00582790"/>
    <w:rsid w:val="0058284D"/>
    <w:rsid w:val="00582A4A"/>
    <w:rsid w:val="00582B01"/>
    <w:rsid w:val="00582D5E"/>
    <w:rsid w:val="00582D93"/>
    <w:rsid w:val="00583118"/>
    <w:rsid w:val="005831BD"/>
    <w:rsid w:val="0058323D"/>
    <w:rsid w:val="005832A6"/>
    <w:rsid w:val="00583336"/>
    <w:rsid w:val="00583518"/>
    <w:rsid w:val="0058385D"/>
    <w:rsid w:val="005838DA"/>
    <w:rsid w:val="00583CEC"/>
    <w:rsid w:val="00583E0D"/>
    <w:rsid w:val="00583EB7"/>
    <w:rsid w:val="0058400D"/>
    <w:rsid w:val="0058417B"/>
    <w:rsid w:val="00584211"/>
    <w:rsid w:val="0058421B"/>
    <w:rsid w:val="005842E7"/>
    <w:rsid w:val="005843DA"/>
    <w:rsid w:val="00584892"/>
    <w:rsid w:val="00584A60"/>
    <w:rsid w:val="00584C00"/>
    <w:rsid w:val="00584E08"/>
    <w:rsid w:val="00584E4F"/>
    <w:rsid w:val="00584E8C"/>
    <w:rsid w:val="00584EFD"/>
    <w:rsid w:val="0058511A"/>
    <w:rsid w:val="00585208"/>
    <w:rsid w:val="005852EB"/>
    <w:rsid w:val="005854D9"/>
    <w:rsid w:val="0058553C"/>
    <w:rsid w:val="00585812"/>
    <w:rsid w:val="00585B7F"/>
    <w:rsid w:val="00585D95"/>
    <w:rsid w:val="00585F01"/>
    <w:rsid w:val="005864D9"/>
    <w:rsid w:val="005865F8"/>
    <w:rsid w:val="005868A8"/>
    <w:rsid w:val="00586A5A"/>
    <w:rsid w:val="00586AE0"/>
    <w:rsid w:val="00586D09"/>
    <w:rsid w:val="00586E33"/>
    <w:rsid w:val="00587233"/>
    <w:rsid w:val="005872A0"/>
    <w:rsid w:val="00587379"/>
    <w:rsid w:val="005875A7"/>
    <w:rsid w:val="005876A3"/>
    <w:rsid w:val="00587AB3"/>
    <w:rsid w:val="00587E2D"/>
    <w:rsid w:val="00587ED2"/>
    <w:rsid w:val="00587F97"/>
    <w:rsid w:val="005902C8"/>
    <w:rsid w:val="0059037D"/>
    <w:rsid w:val="0059054A"/>
    <w:rsid w:val="00590591"/>
    <w:rsid w:val="0059082F"/>
    <w:rsid w:val="005912A8"/>
    <w:rsid w:val="005912D7"/>
    <w:rsid w:val="0059154B"/>
    <w:rsid w:val="005916EF"/>
    <w:rsid w:val="005917A5"/>
    <w:rsid w:val="00591852"/>
    <w:rsid w:val="00591AC0"/>
    <w:rsid w:val="00591C35"/>
    <w:rsid w:val="00591C76"/>
    <w:rsid w:val="00591C83"/>
    <w:rsid w:val="00591D42"/>
    <w:rsid w:val="00591DEF"/>
    <w:rsid w:val="00591DFE"/>
    <w:rsid w:val="00591FBE"/>
    <w:rsid w:val="00591FDD"/>
    <w:rsid w:val="0059246F"/>
    <w:rsid w:val="0059267F"/>
    <w:rsid w:val="0059270C"/>
    <w:rsid w:val="00592773"/>
    <w:rsid w:val="005927BF"/>
    <w:rsid w:val="0059295A"/>
    <w:rsid w:val="005929FE"/>
    <w:rsid w:val="005930D0"/>
    <w:rsid w:val="0059315A"/>
    <w:rsid w:val="0059316D"/>
    <w:rsid w:val="005931EC"/>
    <w:rsid w:val="005934BB"/>
    <w:rsid w:val="0059350C"/>
    <w:rsid w:val="00593518"/>
    <w:rsid w:val="00593535"/>
    <w:rsid w:val="005935B8"/>
    <w:rsid w:val="0059364F"/>
    <w:rsid w:val="005937FD"/>
    <w:rsid w:val="005939C8"/>
    <w:rsid w:val="00593B84"/>
    <w:rsid w:val="00593C50"/>
    <w:rsid w:val="00593CE6"/>
    <w:rsid w:val="00594184"/>
    <w:rsid w:val="005942D5"/>
    <w:rsid w:val="00594484"/>
    <w:rsid w:val="00594503"/>
    <w:rsid w:val="00594526"/>
    <w:rsid w:val="0059467A"/>
    <w:rsid w:val="00594BB1"/>
    <w:rsid w:val="00594BDA"/>
    <w:rsid w:val="00594DDE"/>
    <w:rsid w:val="00594FC4"/>
    <w:rsid w:val="00594FE7"/>
    <w:rsid w:val="00595005"/>
    <w:rsid w:val="00595043"/>
    <w:rsid w:val="005954F6"/>
    <w:rsid w:val="005959AB"/>
    <w:rsid w:val="00595B91"/>
    <w:rsid w:val="00595C11"/>
    <w:rsid w:val="00595C8B"/>
    <w:rsid w:val="00595E83"/>
    <w:rsid w:val="00595EFB"/>
    <w:rsid w:val="00595FFD"/>
    <w:rsid w:val="005960E6"/>
    <w:rsid w:val="005961B1"/>
    <w:rsid w:val="00596209"/>
    <w:rsid w:val="0059655C"/>
    <w:rsid w:val="00596629"/>
    <w:rsid w:val="005966B5"/>
    <w:rsid w:val="00596B46"/>
    <w:rsid w:val="00596DB7"/>
    <w:rsid w:val="00596E36"/>
    <w:rsid w:val="00597116"/>
    <w:rsid w:val="00597191"/>
    <w:rsid w:val="0059737E"/>
    <w:rsid w:val="0059748B"/>
    <w:rsid w:val="005974A6"/>
    <w:rsid w:val="00597650"/>
    <w:rsid w:val="005976F0"/>
    <w:rsid w:val="00597703"/>
    <w:rsid w:val="00597778"/>
    <w:rsid w:val="00597827"/>
    <w:rsid w:val="0059782B"/>
    <w:rsid w:val="00597A13"/>
    <w:rsid w:val="00597B71"/>
    <w:rsid w:val="00597C80"/>
    <w:rsid w:val="00597F1E"/>
    <w:rsid w:val="005A008D"/>
    <w:rsid w:val="005A077E"/>
    <w:rsid w:val="005A0820"/>
    <w:rsid w:val="005A0AA0"/>
    <w:rsid w:val="005A0E0F"/>
    <w:rsid w:val="005A10BD"/>
    <w:rsid w:val="005A115B"/>
    <w:rsid w:val="005A129A"/>
    <w:rsid w:val="005A166D"/>
    <w:rsid w:val="005A1671"/>
    <w:rsid w:val="005A167A"/>
    <w:rsid w:val="005A178B"/>
    <w:rsid w:val="005A18C4"/>
    <w:rsid w:val="005A1906"/>
    <w:rsid w:val="005A1A87"/>
    <w:rsid w:val="005A1B5D"/>
    <w:rsid w:val="005A1BB0"/>
    <w:rsid w:val="005A1C83"/>
    <w:rsid w:val="005A20EC"/>
    <w:rsid w:val="005A2256"/>
    <w:rsid w:val="005A228E"/>
    <w:rsid w:val="005A233C"/>
    <w:rsid w:val="005A249D"/>
    <w:rsid w:val="005A2626"/>
    <w:rsid w:val="005A2BA9"/>
    <w:rsid w:val="005A2C69"/>
    <w:rsid w:val="005A2D16"/>
    <w:rsid w:val="005A2EE7"/>
    <w:rsid w:val="005A300A"/>
    <w:rsid w:val="005A30D1"/>
    <w:rsid w:val="005A31A7"/>
    <w:rsid w:val="005A31CE"/>
    <w:rsid w:val="005A328C"/>
    <w:rsid w:val="005A332E"/>
    <w:rsid w:val="005A3484"/>
    <w:rsid w:val="005A34E3"/>
    <w:rsid w:val="005A374D"/>
    <w:rsid w:val="005A3787"/>
    <w:rsid w:val="005A37FD"/>
    <w:rsid w:val="005A38A9"/>
    <w:rsid w:val="005A3A38"/>
    <w:rsid w:val="005A3A45"/>
    <w:rsid w:val="005A3AC5"/>
    <w:rsid w:val="005A3D96"/>
    <w:rsid w:val="005A3E82"/>
    <w:rsid w:val="005A40B3"/>
    <w:rsid w:val="005A4194"/>
    <w:rsid w:val="005A43B5"/>
    <w:rsid w:val="005A4421"/>
    <w:rsid w:val="005A454F"/>
    <w:rsid w:val="005A469B"/>
    <w:rsid w:val="005A4862"/>
    <w:rsid w:val="005A49A1"/>
    <w:rsid w:val="005A49DF"/>
    <w:rsid w:val="005A4AA4"/>
    <w:rsid w:val="005A4B32"/>
    <w:rsid w:val="005A4E7D"/>
    <w:rsid w:val="005A5492"/>
    <w:rsid w:val="005A556C"/>
    <w:rsid w:val="005A5665"/>
    <w:rsid w:val="005A566B"/>
    <w:rsid w:val="005A611B"/>
    <w:rsid w:val="005A623A"/>
    <w:rsid w:val="005A6680"/>
    <w:rsid w:val="005A67C2"/>
    <w:rsid w:val="005A6A64"/>
    <w:rsid w:val="005A6C20"/>
    <w:rsid w:val="005A6CDD"/>
    <w:rsid w:val="005A6CE0"/>
    <w:rsid w:val="005A6CE6"/>
    <w:rsid w:val="005A6DC7"/>
    <w:rsid w:val="005A702F"/>
    <w:rsid w:val="005A7388"/>
    <w:rsid w:val="005A73BA"/>
    <w:rsid w:val="005A73DF"/>
    <w:rsid w:val="005A746F"/>
    <w:rsid w:val="005A765B"/>
    <w:rsid w:val="005A77AE"/>
    <w:rsid w:val="005A77E5"/>
    <w:rsid w:val="005A79C4"/>
    <w:rsid w:val="005A7A20"/>
    <w:rsid w:val="005A7B0D"/>
    <w:rsid w:val="005A7F11"/>
    <w:rsid w:val="005B03B3"/>
    <w:rsid w:val="005B054F"/>
    <w:rsid w:val="005B0554"/>
    <w:rsid w:val="005B057D"/>
    <w:rsid w:val="005B074F"/>
    <w:rsid w:val="005B083E"/>
    <w:rsid w:val="005B093B"/>
    <w:rsid w:val="005B094C"/>
    <w:rsid w:val="005B0A16"/>
    <w:rsid w:val="005B0CED"/>
    <w:rsid w:val="005B0F70"/>
    <w:rsid w:val="005B11F8"/>
    <w:rsid w:val="005B1223"/>
    <w:rsid w:val="005B1307"/>
    <w:rsid w:val="005B141D"/>
    <w:rsid w:val="005B144B"/>
    <w:rsid w:val="005B148E"/>
    <w:rsid w:val="005B1642"/>
    <w:rsid w:val="005B16B5"/>
    <w:rsid w:val="005B1737"/>
    <w:rsid w:val="005B17E1"/>
    <w:rsid w:val="005B1C60"/>
    <w:rsid w:val="005B1E3E"/>
    <w:rsid w:val="005B20CA"/>
    <w:rsid w:val="005B2456"/>
    <w:rsid w:val="005B2648"/>
    <w:rsid w:val="005B26C9"/>
    <w:rsid w:val="005B28EC"/>
    <w:rsid w:val="005B2D39"/>
    <w:rsid w:val="005B2E60"/>
    <w:rsid w:val="005B2F34"/>
    <w:rsid w:val="005B2F94"/>
    <w:rsid w:val="005B2FA9"/>
    <w:rsid w:val="005B2FC5"/>
    <w:rsid w:val="005B3169"/>
    <w:rsid w:val="005B341B"/>
    <w:rsid w:val="005B3464"/>
    <w:rsid w:val="005B3538"/>
    <w:rsid w:val="005B3764"/>
    <w:rsid w:val="005B3915"/>
    <w:rsid w:val="005B3C3A"/>
    <w:rsid w:val="005B3D87"/>
    <w:rsid w:val="005B4509"/>
    <w:rsid w:val="005B475E"/>
    <w:rsid w:val="005B492A"/>
    <w:rsid w:val="005B498A"/>
    <w:rsid w:val="005B49BF"/>
    <w:rsid w:val="005B4A64"/>
    <w:rsid w:val="005B4B7D"/>
    <w:rsid w:val="005B4C70"/>
    <w:rsid w:val="005B4C97"/>
    <w:rsid w:val="005B4D9D"/>
    <w:rsid w:val="005B4DB8"/>
    <w:rsid w:val="005B4EBC"/>
    <w:rsid w:val="005B4ECB"/>
    <w:rsid w:val="005B4FB8"/>
    <w:rsid w:val="005B52DE"/>
    <w:rsid w:val="005B5579"/>
    <w:rsid w:val="005B5619"/>
    <w:rsid w:val="005B57C9"/>
    <w:rsid w:val="005B5808"/>
    <w:rsid w:val="005B5EB5"/>
    <w:rsid w:val="005B5FDF"/>
    <w:rsid w:val="005B607B"/>
    <w:rsid w:val="005B628F"/>
    <w:rsid w:val="005B635D"/>
    <w:rsid w:val="005B695B"/>
    <w:rsid w:val="005B6972"/>
    <w:rsid w:val="005B6989"/>
    <w:rsid w:val="005B6E1B"/>
    <w:rsid w:val="005B6EE1"/>
    <w:rsid w:val="005B6FFD"/>
    <w:rsid w:val="005B7125"/>
    <w:rsid w:val="005B765B"/>
    <w:rsid w:val="005B781E"/>
    <w:rsid w:val="005B784A"/>
    <w:rsid w:val="005B7946"/>
    <w:rsid w:val="005B795A"/>
    <w:rsid w:val="005B7B0D"/>
    <w:rsid w:val="005B7C3B"/>
    <w:rsid w:val="005B7D9C"/>
    <w:rsid w:val="005B7F8C"/>
    <w:rsid w:val="005C0194"/>
    <w:rsid w:val="005C01F6"/>
    <w:rsid w:val="005C0728"/>
    <w:rsid w:val="005C0756"/>
    <w:rsid w:val="005C0798"/>
    <w:rsid w:val="005C080F"/>
    <w:rsid w:val="005C0AED"/>
    <w:rsid w:val="005C0EC0"/>
    <w:rsid w:val="005C0FEB"/>
    <w:rsid w:val="005C1052"/>
    <w:rsid w:val="005C1208"/>
    <w:rsid w:val="005C176E"/>
    <w:rsid w:val="005C1771"/>
    <w:rsid w:val="005C17AE"/>
    <w:rsid w:val="005C1B02"/>
    <w:rsid w:val="005C1BC7"/>
    <w:rsid w:val="005C1C0F"/>
    <w:rsid w:val="005C1E0B"/>
    <w:rsid w:val="005C205B"/>
    <w:rsid w:val="005C2062"/>
    <w:rsid w:val="005C2100"/>
    <w:rsid w:val="005C2172"/>
    <w:rsid w:val="005C21DC"/>
    <w:rsid w:val="005C21F7"/>
    <w:rsid w:val="005C23E3"/>
    <w:rsid w:val="005C250A"/>
    <w:rsid w:val="005C274B"/>
    <w:rsid w:val="005C294A"/>
    <w:rsid w:val="005C2A6E"/>
    <w:rsid w:val="005C2B23"/>
    <w:rsid w:val="005C2C73"/>
    <w:rsid w:val="005C2E23"/>
    <w:rsid w:val="005C310B"/>
    <w:rsid w:val="005C3571"/>
    <w:rsid w:val="005C36B7"/>
    <w:rsid w:val="005C373B"/>
    <w:rsid w:val="005C3887"/>
    <w:rsid w:val="005C3912"/>
    <w:rsid w:val="005C3940"/>
    <w:rsid w:val="005C3A91"/>
    <w:rsid w:val="005C3ACB"/>
    <w:rsid w:val="005C3BA3"/>
    <w:rsid w:val="005C3E12"/>
    <w:rsid w:val="005C3EA3"/>
    <w:rsid w:val="005C3F5F"/>
    <w:rsid w:val="005C3F93"/>
    <w:rsid w:val="005C404C"/>
    <w:rsid w:val="005C418C"/>
    <w:rsid w:val="005C41A1"/>
    <w:rsid w:val="005C427B"/>
    <w:rsid w:val="005C4316"/>
    <w:rsid w:val="005C4428"/>
    <w:rsid w:val="005C49F6"/>
    <w:rsid w:val="005C4BBB"/>
    <w:rsid w:val="005C4BEC"/>
    <w:rsid w:val="005C4DA5"/>
    <w:rsid w:val="005C5021"/>
    <w:rsid w:val="005C5476"/>
    <w:rsid w:val="005C54DC"/>
    <w:rsid w:val="005C557B"/>
    <w:rsid w:val="005C560E"/>
    <w:rsid w:val="005C5654"/>
    <w:rsid w:val="005C58CF"/>
    <w:rsid w:val="005C59C9"/>
    <w:rsid w:val="005C5B36"/>
    <w:rsid w:val="005C5E24"/>
    <w:rsid w:val="005C623D"/>
    <w:rsid w:val="005C62C1"/>
    <w:rsid w:val="005C64E4"/>
    <w:rsid w:val="005C66F6"/>
    <w:rsid w:val="005C670A"/>
    <w:rsid w:val="005C679B"/>
    <w:rsid w:val="005C6C09"/>
    <w:rsid w:val="005C6CC4"/>
    <w:rsid w:val="005C6CDC"/>
    <w:rsid w:val="005C6CF7"/>
    <w:rsid w:val="005C7352"/>
    <w:rsid w:val="005C7392"/>
    <w:rsid w:val="005C746D"/>
    <w:rsid w:val="005C7586"/>
    <w:rsid w:val="005C76AE"/>
    <w:rsid w:val="005C779F"/>
    <w:rsid w:val="005C77D0"/>
    <w:rsid w:val="005C796B"/>
    <w:rsid w:val="005C7C91"/>
    <w:rsid w:val="005C7D59"/>
    <w:rsid w:val="005C7E2E"/>
    <w:rsid w:val="005C7ED3"/>
    <w:rsid w:val="005D03D5"/>
    <w:rsid w:val="005D0468"/>
    <w:rsid w:val="005D067D"/>
    <w:rsid w:val="005D0726"/>
    <w:rsid w:val="005D0772"/>
    <w:rsid w:val="005D07C7"/>
    <w:rsid w:val="005D0933"/>
    <w:rsid w:val="005D0A6C"/>
    <w:rsid w:val="005D0A89"/>
    <w:rsid w:val="005D0AC8"/>
    <w:rsid w:val="005D0B65"/>
    <w:rsid w:val="005D0B91"/>
    <w:rsid w:val="005D0BCE"/>
    <w:rsid w:val="005D10BD"/>
    <w:rsid w:val="005D12E8"/>
    <w:rsid w:val="005D14F0"/>
    <w:rsid w:val="005D1624"/>
    <w:rsid w:val="005D1B3C"/>
    <w:rsid w:val="005D1BFD"/>
    <w:rsid w:val="005D1DF1"/>
    <w:rsid w:val="005D1ED2"/>
    <w:rsid w:val="005D2047"/>
    <w:rsid w:val="005D22FF"/>
    <w:rsid w:val="005D236E"/>
    <w:rsid w:val="005D239A"/>
    <w:rsid w:val="005D24FD"/>
    <w:rsid w:val="005D26BE"/>
    <w:rsid w:val="005D2791"/>
    <w:rsid w:val="005D28DF"/>
    <w:rsid w:val="005D29F1"/>
    <w:rsid w:val="005D2B17"/>
    <w:rsid w:val="005D2C6C"/>
    <w:rsid w:val="005D2DBE"/>
    <w:rsid w:val="005D2DCB"/>
    <w:rsid w:val="005D2ED8"/>
    <w:rsid w:val="005D31D7"/>
    <w:rsid w:val="005D31DB"/>
    <w:rsid w:val="005D3354"/>
    <w:rsid w:val="005D3366"/>
    <w:rsid w:val="005D359D"/>
    <w:rsid w:val="005D35A9"/>
    <w:rsid w:val="005D4056"/>
    <w:rsid w:val="005D4074"/>
    <w:rsid w:val="005D40E8"/>
    <w:rsid w:val="005D4199"/>
    <w:rsid w:val="005D41D4"/>
    <w:rsid w:val="005D433C"/>
    <w:rsid w:val="005D47CC"/>
    <w:rsid w:val="005D485F"/>
    <w:rsid w:val="005D4A79"/>
    <w:rsid w:val="005D4AC4"/>
    <w:rsid w:val="005D4D9F"/>
    <w:rsid w:val="005D4DED"/>
    <w:rsid w:val="005D5058"/>
    <w:rsid w:val="005D5064"/>
    <w:rsid w:val="005D5187"/>
    <w:rsid w:val="005D51F8"/>
    <w:rsid w:val="005D53C3"/>
    <w:rsid w:val="005D5461"/>
    <w:rsid w:val="005D5476"/>
    <w:rsid w:val="005D55DB"/>
    <w:rsid w:val="005D579D"/>
    <w:rsid w:val="005D5888"/>
    <w:rsid w:val="005D59D9"/>
    <w:rsid w:val="005D5A98"/>
    <w:rsid w:val="005D5D2D"/>
    <w:rsid w:val="005D5D3A"/>
    <w:rsid w:val="005D6207"/>
    <w:rsid w:val="005D62B7"/>
    <w:rsid w:val="005D6524"/>
    <w:rsid w:val="005D68AD"/>
    <w:rsid w:val="005D6A82"/>
    <w:rsid w:val="005D7283"/>
    <w:rsid w:val="005D73F9"/>
    <w:rsid w:val="005D7641"/>
    <w:rsid w:val="005D7669"/>
    <w:rsid w:val="005D77E2"/>
    <w:rsid w:val="005D7DBF"/>
    <w:rsid w:val="005D7DD3"/>
    <w:rsid w:val="005D7F03"/>
    <w:rsid w:val="005D7F33"/>
    <w:rsid w:val="005D7F80"/>
    <w:rsid w:val="005E0252"/>
    <w:rsid w:val="005E0334"/>
    <w:rsid w:val="005E05FE"/>
    <w:rsid w:val="005E1163"/>
    <w:rsid w:val="005E1508"/>
    <w:rsid w:val="005E1565"/>
    <w:rsid w:val="005E16A7"/>
    <w:rsid w:val="005E197F"/>
    <w:rsid w:val="005E1AF1"/>
    <w:rsid w:val="005E1BBE"/>
    <w:rsid w:val="005E1D7A"/>
    <w:rsid w:val="005E2061"/>
    <w:rsid w:val="005E20FE"/>
    <w:rsid w:val="005E2322"/>
    <w:rsid w:val="005E23A7"/>
    <w:rsid w:val="005E25AE"/>
    <w:rsid w:val="005E2782"/>
    <w:rsid w:val="005E2821"/>
    <w:rsid w:val="005E2888"/>
    <w:rsid w:val="005E2ABF"/>
    <w:rsid w:val="005E2AEA"/>
    <w:rsid w:val="005E2B8A"/>
    <w:rsid w:val="005E2C43"/>
    <w:rsid w:val="005E2D94"/>
    <w:rsid w:val="005E2DF3"/>
    <w:rsid w:val="005E2E9B"/>
    <w:rsid w:val="005E306E"/>
    <w:rsid w:val="005E3296"/>
    <w:rsid w:val="005E33C2"/>
    <w:rsid w:val="005E3407"/>
    <w:rsid w:val="005E3690"/>
    <w:rsid w:val="005E36DB"/>
    <w:rsid w:val="005E37C9"/>
    <w:rsid w:val="005E390C"/>
    <w:rsid w:val="005E3A3E"/>
    <w:rsid w:val="005E3A43"/>
    <w:rsid w:val="005E3BD5"/>
    <w:rsid w:val="005E3F0F"/>
    <w:rsid w:val="005E3FA3"/>
    <w:rsid w:val="005E3FBD"/>
    <w:rsid w:val="005E4020"/>
    <w:rsid w:val="005E420E"/>
    <w:rsid w:val="005E4437"/>
    <w:rsid w:val="005E45AA"/>
    <w:rsid w:val="005E49DC"/>
    <w:rsid w:val="005E4B64"/>
    <w:rsid w:val="005E4F25"/>
    <w:rsid w:val="005E52AB"/>
    <w:rsid w:val="005E5651"/>
    <w:rsid w:val="005E57F1"/>
    <w:rsid w:val="005E580B"/>
    <w:rsid w:val="005E5B32"/>
    <w:rsid w:val="005E5C09"/>
    <w:rsid w:val="005E5FDC"/>
    <w:rsid w:val="005E617B"/>
    <w:rsid w:val="005E6194"/>
    <w:rsid w:val="005E631C"/>
    <w:rsid w:val="005E64BC"/>
    <w:rsid w:val="005E661C"/>
    <w:rsid w:val="005E66C5"/>
    <w:rsid w:val="005E6705"/>
    <w:rsid w:val="005E6881"/>
    <w:rsid w:val="005E6A58"/>
    <w:rsid w:val="005E6B5E"/>
    <w:rsid w:val="005E6CAB"/>
    <w:rsid w:val="005E6E37"/>
    <w:rsid w:val="005E6F43"/>
    <w:rsid w:val="005E6F48"/>
    <w:rsid w:val="005E707B"/>
    <w:rsid w:val="005E725F"/>
    <w:rsid w:val="005E740B"/>
    <w:rsid w:val="005E744A"/>
    <w:rsid w:val="005E7595"/>
    <w:rsid w:val="005E7835"/>
    <w:rsid w:val="005E7A2C"/>
    <w:rsid w:val="005E7BB3"/>
    <w:rsid w:val="005E7DF5"/>
    <w:rsid w:val="005E7F26"/>
    <w:rsid w:val="005E7F67"/>
    <w:rsid w:val="005EC1FF"/>
    <w:rsid w:val="005F012A"/>
    <w:rsid w:val="005F0310"/>
    <w:rsid w:val="005F0358"/>
    <w:rsid w:val="005F03C8"/>
    <w:rsid w:val="005F0516"/>
    <w:rsid w:val="005F056E"/>
    <w:rsid w:val="005F06E1"/>
    <w:rsid w:val="005F07C3"/>
    <w:rsid w:val="005F08C5"/>
    <w:rsid w:val="005F0CD9"/>
    <w:rsid w:val="005F0D18"/>
    <w:rsid w:val="005F0F2A"/>
    <w:rsid w:val="005F0FA6"/>
    <w:rsid w:val="005F0FB3"/>
    <w:rsid w:val="005F1269"/>
    <w:rsid w:val="005F132E"/>
    <w:rsid w:val="005F163F"/>
    <w:rsid w:val="005F166C"/>
    <w:rsid w:val="005F1756"/>
    <w:rsid w:val="005F1C04"/>
    <w:rsid w:val="005F1D64"/>
    <w:rsid w:val="005F1DCA"/>
    <w:rsid w:val="005F1F0D"/>
    <w:rsid w:val="005F23F1"/>
    <w:rsid w:val="005F24AE"/>
    <w:rsid w:val="005F296A"/>
    <w:rsid w:val="005F2ABC"/>
    <w:rsid w:val="005F2B6D"/>
    <w:rsid w:val="005F2BF9"/>
    <w:rsid w:val="005F2D92"/>
    <w:rsid w:val="005F2DF1"/>
    <w:rsid w:val="005F2F2E"/>
    <w:rsid w:val="005F2FBB"/>
    <w:rsid w:val="005F2FE9"/>
    <w:rsid w:val="005F30A8"/>
    <w:rsid w:val="005F31DC"/>
    <w:rsid w:val="005F3280"/>
    <w:rsid w:val="005F3492"/>
    <w:rsid w:val="005F3803"/>
    <w:rsid w:val="005F383F"/>
    <w:rsid w:val="005F3919"/>
    <w:rsid w:val="005F3928"/>
    <w:rsid w:val="005F3FA4"/>
    <w:rsid w:val="005F3FD1"/>
    <w:rsid w:val="005F40B3"/>
    <w:rsid w:val="005F41F8"/>
    <w:rsid w:val="005F431A"/>
    <w:rsid w:val="005F448F"/>
    <w:rsid w:val="005F48B0"/>
    <w:rsid w:val="005F4C4D"/>
    <w:rsid w:val="005F4C67"/>
    <w:rsid w:val="005F4D82"/>
    <w:rsid w:val="005F4E3A"/>
    <w:rsid w:val="005F4EEE"/>
    <w:rsid w:val="005F50A9"/>
    <w:rsid w:val="005F50E1"/>
    <w:rsid w:val="005F5111"/>
    <w:rsid w:val="005F52BF"/>
    <w:rsid w:val="005F54DA"/>
    <w:rsid w:val="005F5535"/>
    <w:rsid w:val="005F55D6"/>
    <w:rsid w:val="005F5702"/>
    <w:rsid w:val="005F573B"/>
    <w:rsid w:val="005F57F5"/>
    <w:rsid w:val="005F58A5"/>
    <w:rsid w:val="005F5973"/>
    <w:rsid w:val="005F5C6A"/>
    <w:rsid w:val="005F5C6F"/>
    <w:rsid w:val="005F5CBD"/>
    <w:rsid w:val="005F5D2A"/>
    <w:rsid w:val="005F5FCD"/>
    <w:rsid w:val="005F60FC"/>
    <w:rsid w:val="005F620E"/>
    <w:rsid w:val="005F677E"/>
    <w:rsid w:val="005F67E4"/>
    <w:rsid w:val="005F695B"/>
    <w:rsid w:val="005F6B6D"/>
    <w:rsid w:val="005F6B8F"/>
    <w:rsid w:val="005F6CFA"/>
    <w:rsid w:val="005F6DBB"/>
    <w:rsid w:val="005F6E48"/>
    <w:rsid w:val="005F6E50"/>
    <w:rsid w:val="005F6F79"/>
    <w:rsid w:val="005F7241"/>
    <w:rsid w:val="005F728B"/>
    <w:rsid w:val="005F738E"/>
    <w:rsid w:val="005F74DB"/>
    <w:rsid w:val="005F776D"/>
    <w:rsid w:val="005F7822"/>
    <w:rsid w:val="005F7944"/>
    <w:rsid w:val="005F79D5"/>
    <w:rsid w:val="005F7AB1"/>
    <w:rsid w:val="005F7ADE"/>
    <w:rsid w:val="005F7CEB"/>
    <w:rsid w:val="005F7D5C"/>
    <w:rsid w:val="005F7DB3"/>
    <w:rsid w:val="00600088"/>
    <w:rsid w:val="00600817"/>
    <w:rsid w:val="0060084D"/>
    <w:rsid w:val="00600AF6"/>
    <w:rsid w:val="00600C09"/>
    <w:rsid w:val="00600C58"/>
    <w:rsid w:val="00600C9F"/>
    <w:rsid w:val="00600D2D"/>
    <w:rsid w:val="00600D70"/>
    <w:rsid w:val="00600D79"/>
    <w:rsid w:val="00600D8D"/>
    <w:rsid w:val="00601170"/>
    <w:rsid w:val="00601345"/>
    <w:rsid w:val="00601401"/>
    <w:rsid w:val="0060144C"/>
    <w:rsid w:val="00601488"/>
    <w:rsid w:val="00601746"/>
    <w:rsid w:val="00601788"/>
    <w:rsid w:val="006019AB"/>
    <w:rsid w:val="00601B7A"/>
    <w:rsid w:val="00601E6D"/>
    <w:rsid w:val="00602037"/>
    <w:rsid w:val="006020A0"/>
    <w:rsid w:val="006023FC"/>
    <w:rsid w:val="006025BF"/>
    <w:rsid w:val="00602936"/>
    <w:rsid w:val="00602B25"/>
    <w:rsid w:val="00602C18"/>
    <w:rsid w:val="00602C24"/>
    <w:rsid w:val="006030EA"/>
    <w:rsid w:val="0060334D"/>
    <w:rsid w:val="00603466"/>
    <w:rsid w:val="00603734"/>
    <w:rsid w:val="0060375E"/>
    <w:rsid w:val="006037A5"/>
    <w:rsid w:val="006037AA"/>
    <w:rsid w:val="006037DE"/>
    <w:rsid w:val="0060390C"/>
    <w:rsid w:val="00603A10"/>
    <w:rsid w:val="00603B3C"/>
    <w:rsid w:val="00603B9C"/>
    <w:rsid w:val="00603BB9"/>
    <w:rsid w:val="00603C24"/>
    <w:rsid w:val="00603C36"/>
    <w:rsid w:val="00603E41"/>
    <w:rsid w:val="00604128"/>
    <w:rsid w:val="0060413A"/>
    <w:rsid w:val="006042B3"/>
    <w:rsid w:val="00604424"/>
    <w:rsid w:val="00604AD2"/>
    <w:rsid w:val="00604D39"/>
    <w:rsid w:val="00604E55"/>
    <w:rsid w:val="00604F24"/>
    <w:rsid w:val="00605066"/>
    <w:rsid w:val="006050EA"/>
    <w:rsid w:val="00605401"/>
    <w:rsid w:val="00605462"/>
    <w:rsid w:val="0060555F"/>
    <w:rsid w:val="00605709"/>
    <w:rsid w:val="0060579B"/>
    <w:rsid w:val="00605801"/>
    <w:rsid w:val="00605961"/>
    <w:rsid w:val="00605B50"/>
    <w:rsid w:val="00605C49"/>
    <w:rsid w:val="00605C60"/>
    <w:rsid w:val="00605D2D"/>
    <w:rsid w:val="00605D33"/>
    <w:rsid w:val="00605DF0"/>
    <w:rsid w:val="00605EFB"/>
    <w:rsid w:val="0060616F"/>
    <w:rsid w:val="006061BA"/>
    <w:rsid w:val="006061EA"/>
    <w:rsid w:val="00606511"/>
    <w:rsid w:val="00606B2D"/>
    <w:rsid w:val="00606B8E"/>
    <w:rsid w:val="00606CF6"/>
    <w:rsid w:val="00606EEB"/>
    <w:rsid w:val="00606FCD"/>
    <w:rsid w:val="00606FD7"/>
    <w:rsid w:val="00607174"/>
    <w:rsid w:val="0060741C"/>
    <w:rsid w:val="006074FB"/>
    <w:rsid w:val="00607669"/>
    <w:rsid w:val="00607703"/>
    <w:rsid w:val="0060778F"/>
    <w:rsid w:val="0060787F"/>
    <w:rsid w:val="00607D53"/>
    <w:rsid w:val="00607F2A"/>
    <w:rsid w:val="006100C3"/>
    <w:rsid w:val="006101FA"/>
    <w:rsid w:val="0061039B"/>
    <w:rsid w:val="006105B9"/>
    <w:rsid w:val="0061084F"/>
    <w:rsid w:val="00610B2B"/>
    <w:rsid w:val="00610B3E"/>
    <w:rsid w:val="00610B92"/>
    <w:rsid w:val="00610D37"/>
    <w:rsid w:val="00610D83"/>
    <w:rsid w:val="00610E39"/>
    <w:rsid w:val="00610EEE"/>
    <w:rsid w:val="00611251"/>
    <w:rsid w:val="0061133F"/>
    <w:rsid w:val="00611351"/>
    <w:rsid w:val="006113E3"/>
    <w:rsid w:val="006113E9"/>
    <w:rsid w:val="00611525"/>
    <w:rsid w:val="00611597"/>
    <w:rsid w:val="006116DD"/>
    <w:rsid w:val="0061182C"/>
    <w:rsid w:val="00611890"/>
    <w:rsid w:val="00611F0B"/>
    <w:rsid w:val="00611F59"/>
    <w:rsid w:val="006120D1"/>
    <w:rsid w:val="00612390"/>
    <w:rsid w:val="00612578"/>
    <w:rsid w:val="0061278B"/>
    <w:rsid w:val="006128D0"/>
    <w:rsid w:val="00612D4E"/>
    <w:rsid w:val="00612E49"/>
    <w:rsid w:val="00612F90"/>
    <w:rsid w:val="00613175"/>
    <w:rsid w:val="006131BF"/>
    <w:rsid w:val="0061340B"/>
    <w:rsid w:val="00613441"/>
    <w:rsid w:val="0061347C"/>
    <w:rsid w:val="006136E3"/>
    <w:rsid w:val="006137FF"/>
    <w:rsid w:val="00613B9E"/>
    <w:rsid w:val="00613CC6"/>
    <w:rsid w:val="00613CCF"/>
    <w:rsid w:val="00613F4D"/>
    <w:rsid w:val="00613F8C"/>
    <w:rsid w:val="006140D1"/>
    <w:rsid w:val="00614137"/>
    <w:rsid w:val="006143B6"/>
    <w:rsid w:val="006143EE"/>
    <w:rsid w:val="006146E9"/>
    <w:rsid w:val="006147F1"/>
    <w:rsid w:val="0061485C"/>
    <w:rsid w:val="006149B3"/>
    <w:rsid w:val="00614E4E"/>
    <w:rsid w:val="00614F84"/>
    <w:rsid w:val="006150DB"/>
    <w:rsid w:val="00615359"/>
    <w:rsid w:val="0061543F"/>
    <w:rsid w:val="006155E4"/>
    <w:rsid w:val="00615A05"/>
    <w:rsid w:val="00615A34"/>
    <w:rsid w:val="00615C31"/>
    <w:rsid w:val="00615E14"/>
    <w:rsid w:val="00616272"/>
    <w:rsid w:val="00616275"/>
    <w:rsid w:val="0061667D"/>
    <w:rsid w:val="00616774"/>
    <w:rsid w:val="00616782"/>
    <w:rsid w:val="006169D2"/>
    <w:rsid w:val="00616AE2"/>
    <w:rsid w:val="00616B9C"/>
    <w:rsid w:val="00616EA7"/>
    <w:rsid w:val="00616F5C"/>
    <w:rsid w:val="00616F82"/>
    <w:rsid w:val="0061711D"/>
    <w:rsid w:val="00617184"/>
    <w:rsid w:val="00617186"/>
    <w:rsid w:val="00617231"/>
    <w:rsid w:val="0061741A"/>
    <w:rsid w:val="0061764E"/>
    <w:rsid w:val="00617755"/>
    <w:rsid w:val="00617828"/>
    <w:rsid w:val="00617885"/>
    <w:rsid w:val="006179ED"/>
    <w:rsid w:val="00617BCE"/>
    <w:rsid w:val="00617C29"/>
    <w:rsid w:val="00617C81"/>
    <w:rsid w:val="00617E8E"/>
    <w:rsid w:val="00620093"/>
    <w:rsid w:val="00620171"/>
    <w:rsid w:val="006202AC"/>
    <w:rsid w:val="006204C4"/>
    <w:rsid w:val="00620528"/>
    <w:rsid w:val="00620646"/>
    <w:rsid w:val="00620705"/>
    <w:rsid w:val="00620715"/>
    <w:rsid w:val="00620772"/>
    <w:rsid w:val="00620A1E"/>
    <w:rsid w:val="00620AA4"/>
    <w:rsid w:val="00620BF6"/>
    <w:rsid w:val="00620D09"/>
    <w:rsid w:val="00620D7A"/>
    <w:rsid w:val="00620E6B"/>
    <w:rsid w:val="00620E6C"/>
    <w:rsid w:val="00621393"/>
    <w:rsid w:val="00621406"/>
    <w:rsid w:val="006214A8"/>
    <w:rsid w:val="006214E7"/>
    <w:rsid w:val="0062158C"/>
    <w:rsid w:val="00621880"/>
    <w:rsid w:val="006219A2"/>
    <w:rsid w:val="00621A72"/>
    <w:rsid w:val="00621AD9"/>
    <w:rsid w:val="00621B0B"/>
    <w:rsid w:val="00621B26"/>
    <w:rsid w:val="00621B2A"/>
    <w:rsid w:val="00621BA2"/>
    <w:rsid w:val="00621BE6"/>
    <w:rsid w:val="00621BFD"/>
    <w:rsid w:val="00621CC4"/>
    <w:rsid w:val="00621D8A"/>
    <w:rsid w:val="00621E06"/>
    <w:rsid w:val="00621F1D"/>
    <w:rsid w:val="00621F1F"/>
    <w:rsid w:val="00621FA6"/>
    <w:rsid w:val="00621FD2"/>
    <w:rsid w:val="006220D0"/>
    <w:rsid w:val="0062227C"/>
    <w:rsid w:val="00622342"/>
    <w:rsid w:val="00622957"/>
    <w:rsid w:val="00622A1D"/>
    <w:rsid w:val="00622B20"/>
    <w:rsid w:val="00622BC6"/>
    <w:rsid w:val="00622E10"/>
    <w:rsid w:val="00622F18"/>
    <w:rsid w:val="006233B4"/>
    <w:rsid w:val="006235A1"/>
    <w:rsid w:val="00623631"/>
    <w:rsid w:val="0062375D"/>
    <w:rsid w:val="006237F3"/>
    <w:rsid w:val="00623930"/>
    <w:rsid w:val="00623962"/>
    <w:rsid w:val="00623A8A"/>
    <w:rsid w:val="00623D84"/>
    <w:rsid w:val="00623E8F"/>
    <w:rsid w:val="00623ED3"/>
    <w:rsid w:val="00623F73"/>
    <w:rsid w:val="0062414E"/>
    <w:rsid w:val="00624769"/>
    <w:rsid w:val="00624890"/>
    <w:rsid w:val="006248A5"/>
    <w:rsid w:val="006248B1"/>
    <w:rsid w:val="006248C1"/>
    <w:rsid w:val="00624A2C"/>
    <w:rsid w:val="00624D5D"/>
    <w:rsid w:val="00624D97"/>
    <w:rsid w:val="00624E12"/>
    <w:rsid w:val="00624E25"/>
    <w:rsid w:val="00625021"/>
    <w:rsid w:val="006250AC"/>
    <w:rsid w:val="00625354"/>
    <w:rsid w:val="0062559E"/>
    <w:rsid w:val="006255A5"/>
    <w:rsid w:val="00625631"/>
    <w:rsid w:val="006258A4"/>
    <w:rsid w:val="006258F4"/>
    <w:rsid w:val="00625F70"/>
    <w:rsid w:val="00625F7D"/>
    <w:rsid w:val="006261BC"/>
    <w:rsid w:val="006262AF"/>
    <w:rsid w:val="0062643C"/>
    <w:rsid w:val="0062662B"/>
    <w:rsid w:val="00626677"/>
    <w:rsid w:val="006267E9"/>
    <w:rsid w:val="00626CB7"/>
    <w:rsid w:val="00626CFF"/>
    <w:rsid w:val="00626E56"/>
    <w:rsid w:val="00626EF5"/>
    <w:rsid w:val="00626F0E"/>
    <w:rsid w:val="00627573"/>
    <w:rsid w:val="00627CF6"/>
    <w:rsid w:val="00627D65"/>
    <w:rsid w:val="0063008B"/>
    <w:rsid w:val="006300D8"/>
    <w:rsid w:val="00630103"/>
    <w:rsid w:val="0063013E"/>
    <w:rsid w:val="0063031D"/>
    <w:rsid w:val="00630394"/>
    <w:rsid w:val="00630570"/>
    <w:rsid w:val="00630643"/>
    <w:rsid w:val="0063085B"/>
    <w:rsid w:val="006308E2"/>
    <w:rsid w:val="00630AC7"/>
    <w:rsid w:val="00630F29"/>
    <w:rsid w:val="0063119F"/>
    <w:rsid w:val="006311D8"/>
    <w:rsid w:val="006313EF"/>
    <w:rsid w:val="006316C9"/>
    <w:rsid w:val="0063177E"/>
    <w:rsid w:val="006317B7"/>
    <w:rsid w:val="00631B80"/>
    <w:rsid w:val="0063226F"/>
    <w:rsid w:val="006323A4"/>
    <w:rsid w:val="006324EB"/>
    <w:rsid w:val="00632A0F"/>
    <w:rsid w:val="00632BC5"/>
    <w:rsid w:val="00632E50"/>
    <w:rsid w:val="00632F31"/>
    <w:rsid w:val="00632FDC"/>
    <w:rsid w:val="006330D4"/>
    <w:rsid w:val="006333AB"/>
    <w:rsid w:val="006336D6"/>
    <w:rsid w:val="00633708"/>
    <w:rsid w:val="00633965"/>
    <w:rsid w:val="00633B5F"/>
    <w:rsid w:val="00633B91"/>
    <w:rsid w:val="00633CBD"/>
    <w:rsid w:val="00633D42"/>
    <w:rsid w:val="00633E60"/>
    <w:rsid w:val="00633F1B"/>
    <w:rsid w:val="00634229"/>
    <w:rsid w:val="00634340"/>
    <w:rsid w:val="00634423"/>
    <w:rsid w:val="0063449B"/>
    <w:rsid w:val="006344D9"/>
    <w:rsid w:val="006344DE"/>
    <w:rsid w:val="00634574"/>
    <w:rsid w:val="00634641"/>
    <w:rsid w:val="00634655"/>
    <w:rsid w:val="006349B6"/>
    <w:rsid w:val="006349C2"/>
    <w:rsid w:val="006352A0"/>
    <w:rsid w:val="0063536D"/>
    <w:rsid w:val="00635431"/>
    <w:rsid w:val="00635786"/>
    <w:rsid w:val="00635A66"/>
    <w:rsid w:val="00635B64"/>
    <w:rsid w:val="00635C62"/>
    <w:rsid w:val="00635CFA"/>
    <w:rsid w:val="00635FD2"/>
    <w:rsid w:val="0063607F"/>
    <w:rsid w:val="00636469"/>
    <w:rsid w:val="00636580"/>
    <w:rsid w:val="006365EE"/>
    <w:rsid w:val="0063661C"/>
    <w:rsid w:val="00636764"/>
    <w:rsid w:val="006368DF"/>
    <w:rsid w:val="006369AB"/>
    <w:rsid w:val="00636A97"/>
    <w:rsid w:val="00636D0B"/>
    <w:rsid w:val="00636F77"/>
    <w:rsid w:val="0063707C"/>
    <w:rsid w:val="00637351"/>
    <w:rsid w:val="006373F3"/>
    <w:rsid w:val="0063742A"/>
    <w:rsid w:val="0063794C"/>
    <w:rsid w:val="00637A63"/>
    <w:rsid w:val="00637D83"/>
    <w:rsid w:val="00640022"/>
    <w:rsid w:val="00640039"/>
    <w:rsid w:val="00640385"/>
    <w:rsid w:val="006403BC"/>
    <w:rsid w:val="006403FD"/>
    <w:rsid w:val="0064042E"/>
    <w:rsid w:val="00640455"/>
    <w:rsid w:val="0064046C"/>
    <w:rsid w:val="006404F6"/>
    <w:rsid w:val="006406D3"/>
    <w:rsid w:val="0064076B"/>
    <w:rsid w:val="0064090B"/>
    <w:rsid w:val="00640939"/>
    <w:rsid w:val="00640ACD"/>
    <w:rsid w:val="00640C8A"/>
    <w:rsid w:val="00640D4C"/>
    <w:rsid w:val="00640EB5"/>
    <w:rsid w:val="0064101C"/>
    <w:rsid w:val="00641133"/>
    <w:rsid w:val="0064150B"/>
    <w:rsid w:val="0064162F"/>
    <w:rsid w:val="0064177D"/>
    <w:rsid w:val="006417FF"/>
    <w:rsid w:val="006418B5"/>
    <w:rsid w:val="00641C1A"/>
    <w:rsid w:val="00641C9F"/>
    <w:rsid w:val="00641CB6"/>
    <w:rsid w:val="00641FE3"/>
    <w:rsid w:val="006422E4"/>
    <w:rsid w:val="006428AD"/>
    <w:rsid w:val="00642A84"/>
    <w:rsid w:val="00642AA6"/>
    <w:rsid w:val="00642D73"/>
    <w:rsid w:val="00642EC1"/>
    <w:rsid w:val="00642EE2"/>
    <w:rsid w:val="006430F5"/>
    <w:rsid w:val="00643128"/>
    <w:rsid w:val="0064314E"/>
    <w:rsid w:val="00643186"/>
    <w:rsid w:val="00643605"/>
    <w:rsid w:val="00643672"/>
    <w:rsid w:val="006437EA"/>
    <w:rsid w:val="00643BD6"/>
    <w:rsid w:val="00643CC6"/>
    <w:rsid w:val="00643D19"/>
    <w:rsid w:val="00643F5B"/>
    <w:rsid w:val="00643FC8"/>
    <w:rsid w:val="00644021"/>
    <w:rsid w:val="006440F0"/>
    <w:rsid w:val="0064441F"/>
    <w:rsid w:val="00644506"/>
    <w:rsid w:val="00644641"/>
    <w:rsid w:val="00644674"/>
    <w:rsid w:val="00644933"/>
    <w:rsid w:val="00644B34"/>
    <w:rsid w:val="00644BBB"/>
    <w:rsid w:val="00644E26"/>
    <w:rsid w:val="00644FBA"/>
    <w:rsid w:val="006454D6"/>
    <w:rsid w:val="00645C23"/>
    <w:rsid w:val="00645CB0"/>
    <w:rsid w:val="00645F4A"/>
    <w:rsid w:val="006460C7"/>
    <w:rsid w:val="006461AE"/>
    <w:rsid w:val="00646A78"/>
    <w:rsid w:val="00646D51"/>
    <w:rsid w:val="00646D5F"/>
    <w:rsid w:val="00646DB5"/>
    <w:rsid w:val="00646EDB"/>
    <w:rsid w:val="006472C8"/>
    <w:rsid w:val="006472F1"/>
    <w:rsid w:val="00647304"/>
    <w:rsid w:val="006476BD"/>
    <w:rsid w:val="00647A8A"/>
    <w:rsid w:val="00647AF9"/>
    <w:rsid w:val="00647FE7"/>
    <w:rsid w:val="00647FE9"/>
    <w:rsid w:val="00650094"/>
    <w:rsid w:val="00650111"/>
    <w:rsid w:val="00650254"/>
    <w:rsid w:val="00650351"/>
    <w:rsid w:val="00650382"/>
    <w:rsid w:val="006504F6"/>
    <w:rsid w:val="00650A70"/>
    <w:rsid w:val="00650CAC"/>
    <w:rsid w:val="00650CCE"/>
    <w:rsid w:val="00650DB5"/>
    <w:rsid w:val="00650DEF"/>
    <w:rsid w:val="00650E09"/>
    <w:rsid w:val="00650F2C"/>
    <w:rsid w:val="006514AD"/>
    <w:rsid w:val="00651617"/>
    <w:rsid w:val="006516F4"/>
    <w:rsid w:val="00651791"/>
    <w:rsid w:val="00651872"/>
    <w:rsid w:val="006518A7"/>
    <w:rsid w:val="00651EEE"/>
    <w:rsid w:val="00652387"/>
    <w:rsid w:val="006523C2"/>
    <w:rsid w:val="006524BD"/>
    <w:rsid w:val="00652609"/>
    <w:rsid w:val="006526D9"/>
    <w:rsid w:val="0065280C"/>
    <w:rsid w:val="00652834"/>
    <w:rsid w:val="00652967"/>
    <w:rsid w:val="00652BF5"/>
    <w:rsid w:val="00652F07"/>
    <w:rsid w:val="00652FEB"/>
    <w:rsid w:val="0065335D"/>
    <w:rsid w:val="006538BE"/>
    <w:rsid w:val="00653950"/>
    <w:rsid w:val="00653A16"/>
    <w:rsid w:val="00653A2A"/>
    <w:rsid w:val="00653BD9"/>
    <w:rsid w:val="00653ED9"/>
    <w:rsid w:val="0065411C"/>
    <w:rsid w:val="00654189"/>
    <w:rsid w:val="00654272"/>
    <w:rsid w:val="006542ED"/>
    <w:rsid w:val="00654378"/>
    <w:rsid w:val="0065438B"/>
    <w:rsid w:val="006543C1"/>
    <w:rsid w:val="0065457B"/>
    <w:rsid w:val="00654648"/>
    <w:rsid w:val="00654732"/>
    <w:rsid w:val="00654819"/>
    <w:rsid w:val="00654A11"/>
    <w:rsid w:val="00654A67"/>
    <w:rsid w:val="00654A9C"/>
    <w:rsid w:val="00654AD1"/>
    <w:rsid w:val="00654B10"/>
    <w:rsid w:val="00654C3D"/>
    <w:rsid w:val="006553EE"/>
    <w:rsid w:val="00655471"/>
    <w:rsid w:val="00655B81"/>
    <w:rsid w:val="00655D69"/>
    <w:rsid w:val="00655E75"/>
    <w:rsid w:val="00655EFB"/>
    <w:rsid w:val="00655F47"/>
    <w:rsid w:val="00656012"/>
    <w:rsid w:val="00656263"/>
    <w:rsid w:val="006563CB"/>
    <w:rsid w:val="006564DB"/>
    <w:rsid w:val="00656654"/>
    <w:rsid w:val="006567C2"/>
    <w:rsid w:val="00656A58"/>
    <w:rsid w:val="00656D7D"/>
    <w:rsid w:val="00656E3D"/>
    <w:rsid w:val="00656F27"/>
    <w:rsid w:val="00657194"/>
    <w:rsid w:val="006572EB"/>
    <w:rsid w:val="0065765E"/>
    <w:rsid w:val="0065778B"/>
    <w:rsid w:val="00657AB1"/>
    <w:rsid w:val="00657B0C"/>
    <w:rsid w:val="00657D06"/>
    <w:rsid w:val="00657EAB"/>
    <w:rsid w:val="00657FC6"/>
    <w:rsid w:val="00660013"/>
    <w:rsid w:val="00660223"/>
    <w:rsid w:val="006603A2"/>
    <w:rsid w:val="00660412"/>
    <w:rsid w:val="0066048A"/>
    <w:rsid w:val="006604AF"/>
    <w:rsid w:val="006608E1"/>
    <w:rsid w:val="00660A25"/>
    <w:rsid w:val="00660A88"/>
    <w:rsid w:val="00660E09"/>
    <w:rsid w:val="00660F02"/>
    <w:rsid w:val="006611D3"/>
    <w:rsid w:val="00661888"/>
    <w:rsid w:val="00661919"/>
    <w:rsid w:val="00661B46"/>
    <w:rsid w:val="00661EA6"/>
    <w:rsid w:val="00661EDC"/>
    <w:rsid w:val="00661EE5"/>
    <w:rsid w:val="00662248"/>
    <w:rsid w:val="0066237C"/>
    <w:rsid w:val="00662764"/>
    <w:rsid w:val="00662A49"/>
    <w:rsid w:val="00662A5D"/>
    <w:rsid w:val="00662A81"/>
    <w:rsid w:val="00662D47"/>
    <w:rsid w:val="00663010"/>
    <w:rsid w:val="00663014"/>
    <w:rsid w:val="00663151"/>
    <w:rsid w:val="00663267"/>
    <w:rsid w:val="0066340E"/>
    <w:rsid w:val="00663427"/>
    <w:rsid w:val="00663719"/>
    <w:rsid w:val="00663F6E"/>
    <w:rsid w:val="00663F78"/>
    <w:rsid w:val="006640EC"/>
    <w:rsid w:val="00664259"/>
    <w:rsid w:val="00664282"/>
    <w:rsid w:val="006645F4"/>
    <w:rsid w:val="00664807"/>
    <w:rsid w:val="00664813"/>
    <w:rsid w:val="00664923"/>
    <w:rsid w:val="00664A7B"/>
    <w:rsid w:val="00664C17"/>
    <w:rsid w:val="00664D30"/>
    <w:rsid w:val="00664DF4"/>
    <w:rsid w:val="00664E82"/>
    <w:rsid w:val="00664E8A"/>
    <w:rsid w:val="0066512F"/>
    <w:rsid w:val="00665167"/>
    <w:rsid w:val="0066528A"/>
    <w:rsid w:val="006653D5"/>
    <w:rsid w:val="006654C9"/>
    <w:rsid w:val="006654D5"/>
    <w:rsid w:val="006655B4"/>
    <w:rsid w:val="00665772"/>
    <w:rsid w:val="00665887"/>
    <w:rsid w:val="0066589D"/>
    <w:rsid w:val="00665A91"/>
    <w:rsid w:val="00665F15"/>
    <w:rsid w:val="00665F71"/>
    <w:rsid w:val="00666029"/>
    <w:rsid w:val="00666142"/>
    <w:rsid w:val="006662DA"/>
    <w:rsid w:val="006664D6"/>
    <w:rsid w:val="0066657F"/>
    <w:rsid w:val="006665C2"/>
    <w:rsid w:val="006665E3"/>
    <w:rsid w:val="00666619"/>
    <w:rsid w:val="006666DB"/>
    <w:rsid w:val="00666C57"/>
    <w:rsid w:val="00666ED8"/>
    <w:rsid w:val="0066716B"/>
    <w:rsid w:val="00667281"/>
    <w:rsid w:val="00667480"/>
    <w:rsid w:val="006674A5"/>
    <w:rsid w:val="006675AE"/>
    <w:rsid w:val="006675BF"/>
    <w:rsid w:val="0066775F"/>
    <w:rsid w:val="00667D08"/>
    <w:rsid w:val="00667ED2"/>
    <w:rsid w:val="006701B4"/>
    <w:rsid w:val="0067021B"/>
    <w:rsid w:val="0067033F"/>
    <w:rsid w:val="006707F1"/>
    <w:rsid w:val="006709D5"/>
    <w:rsid w:val="00670BF8"/>
    <w:rsid w:val="00670CCB"/>
    <w:rsid w:val="00670CFB"/>
    <w:rsid w:val="00670D85"/>
    <w:rsid w:val="00670FEA"/>
    <w:rsid w:val="006712A2"/>
    <w:rsid w:val="0067141C"/>
    <w:rsid w:val="0067157A"/>
    <w:rsid w:val="0067184E"/>
    <w:rsid w:val="006718FF"/>
    <w:rsid w:val="00671964"/>
    <w:rsid w:val="00671975"/>
    <w:rsid w:val="00671AA3"/>
    <w:rsid w:val="00671E8D"/>
    <w:rsid w:val="00671EA7"/>
    <w:rsid w:val="0067204D"/>
    <w:rsid w:val="006720CB"/>
    <w:rsid w:val="006724A5"/>
    <w:rsid w:val="006724C0"/>
    <w:rsid w:val="0067261F"/>
    <w:rsid w:val="006726A9"/>
    <w:rsid w:val="006729A4"/>
    <w:rsid w:val="00672A67"/>
    <w:rsid w:val="00672C00"/>
    <w:rsid w:val="00672C1B"/>
    <w:rsid w:val="00672E98"/>
    <w:rsid w:val="00672E9C"/>
    <w:rsid w:val="0067304A"/>
    <w:rsid w:val="00673132"/>
    <w:rsid w:val="00673183"/>
    <w:rsid w:val="00673196"/>
    <w:rsid w:val="006731A5"/>
    <w:rsid w:val="006733EA"/>
    <w:rsid w:val="0067360D"/>
    <w:rsid w:val="006736D5"/>
    <w:rsid w:val="00673734"/>
    <w:rsid w:val="006737AE"/>
    <w:rsid w:val="00673846"/>
    <w:rsid w:val="0067384F"/>
    <w:rsid w:val="006738B6"/>
    <w:rsid w:val="0067396B"/>
    <w:rsid w:val="00673989"/>
    <w:rsid w:val="00673A29"/>
    <w:rsid w:val="00673A94"/>
    <w:rsid w:val="00673B86"/>
    <w:rsid w:val="00673BD2"/>
    <w:rsid w:val="00673DB5"/>
    <w:rsid w:val="00674070"/>
    <w:rsid w:val="006742DA"/>
    <w:rsid w:val="0067442C"/>
    <w:rsid w:val="006745BE"/>
    <w:rsid w:val="006745CB"/>
    <w:rsid w:val="00674796"/>
    <w:rsid w:val="006749C1"/>
    <w:rsid w:val="00674B74"/>
    <w:rsid w:val="00674D1B"/>
    <w:rsid w:val="006752D4"/>
    <w:rsid w:val="00675566"/>
    <w:rsid w:val="006759A2"/>
    <w:rsid w:val="00675B0B"/>
    <w:rsid w:val="00675B4F"/>
    <w:rsid w:val="00675C95"/>
    <w:rsid w:val="00675D46"/>
    <w:rsid w:val="00675E2F"/>
    <w:rsid w:val="0067609D"/>
    <w:rsid w:val="00676298"/>
    <w:rsid w:val="00676683"/>
    <w:rsid w:val="0067669D"/>
    <w:rsid w:val="00676775"/>
    <w:rsid w:val="006769AF"/>
    <w:rsid w:val="00676A94"/>
    <w:rsid w:val="00676C11"/>
    <w:rsid w:val="00676D1B"/>
    <w:rsid w:val="00676F0C"/>
    <w:rsid w:val="00676F54"/>
    <w:rsid w:val="006772D4"/>
    <w:rsid w:val="0067753A"/>
    <w:rsid w:val="00677621"/>
    <w:rsid w:val="006776AC"/>
    <w:rsid w:val="00677724"/>
    <w:rsid w:val="00677AD5"/>
    <w:rsid w:val="00677B64"/>
    <w:rsid w:val="00677CD1"/>
    <w:rsid w:val="00677D1A"/>
    <w:rsid w:val="00677E2C"/>
    <w:rsid w:val="006804BE"/>
    <w:rsid w:val="00680810"/>
    <w:rsid w:val="00680B44"/>
    <w:rsid w:val="00680BB7"/>
    <w:rsid w:val="00681655"/>
    <w:rsid w:val="006817A0"/>
    <w:rsid w:val="00681924"/>
    <w:rsid w:val="0068194E"/>
    <w:rsid w:val="00681AC6"/>
    <w:rsid w:val="00681B10"/>
    <w:rsid w:val="00681B7B"/>
    <w:rsid w:val="00681BB3"/>
    <w:rsid w:val="00681C0E"/>
    <w:rsid w:val="00681CA3"/>
    <w:rsid w:val="006820EC"/>
    <w:rsid w:val="00682139"/>
    <w:rsid w:val="006821CA"/>
    <w:rsid w:val="00682223"/>
    <w:rsid w:val="006823B0"/>
    <w:rsid w:val="006824A3"/>
    <w:rsid w:val="00682C05"/>
    <w:rsid w:val="00682CC6"/>
    <w:rsid w:val="00682E85"/>
    <w:rsid w:val="00683255"/>
    <w:rsid w:val="00683260"/>
    <w:rsid w:val="006832C8"/>
    <w:rsid w:val="006832D4"/>
    <w:rsid w:val="006832E9"/>
    <w:rsid w:val="00683330"/>
    <w:rsid w:val="00683332"/>
    <w:rsid w:val="0068346A"/>
    <w:rsid w:val="006834EA"/>
    <w:rsid w:val="006834FC"/>
    <w:rsid w:val="00683564"/>
    <w:rsid w:val="00683686"/>
    <w:rsid w:val="006836AC"/>
    <w:rsid w:val="00683712"/>
    <w:rsid w:val="00683811"/>
    <w:rsid w:val="006838C9"/>
    <w:rsid w:val="00683BBC"/>
    <w:rsid w:val="00683D0A"/>
    <w:rsid w:val="00683F3B"/>
    <w:rsid w:val="00683F55"/>
    <w:rsid w:val="006840E9"/>
    <w:rsid w:val="00684217"/>
    <w:rsid w:val="0068437F"/>
    <w:rsid w:val="00684432"/>
    <w:rsid w:val="00684583"/>
    <w:rsid w:val="0068463D"/>
    <w:rsid w:val="00684656"/>
    <w:rsid w:val="00684951"/>
    <w:rsid w:val="006849E3"/>
    <w:rsid w:val="00684A4E"/>
    <w:rsid w:val="00684BC9"/>
    <w:rsid w:val="00684F1B"/>
    <w:rsid w:val="0068504B"/>
    <w:rsid w:val="00685238"/>
    <w:rsid w:val="00685376"/>
    <w:rsid w:val="006854C3"/>
    <w:rsid w:val="0068599D"/>
    <w:rsid w:val="00685ABD"/>
    <w:rsid w:val="00685BBB"/>
    <w:rsid w:val="00685C77"/>
    <w:rsid w:val="00685D87"/>
    <w:rsid w:val="00685E34"/>
    <w:rsid w:val="00686072"/>
    <w:rsid w:val="00686381"/>
    <w:rsid w:val="0068686E"/>
    <w:rsid w:val="00686C42"/>
    <w:rsid w:val="00686DD8"/>
    <w:rsid w:val="00686DE6"/>
    <w:rsid w:val="00686ED8"/>
    <w:rsid w:val="0068707A"/>
    <w:rsid w:val="0068709A"/>
    <w:rsid w:val="006872CE"/>
    <w:rsid w:val="006873EC"/>
    <w:rsid w:val="006873FA"/>
    <w:rsid w:val="006874A1"/>
    <w:rsid w:val="006875C7"/>
    <w:rsid w:val="006875F0"/>
    <w:rsid w:val="00687850"/>
    <w:rsid w:val="00687878"/>
    <w:rsid w:val="006878D8"/>
    <w:rsid w:val="00687986"/>
    <w:rsid w:val="00687AE7"/>
    <w:rsid w:val="00687B11"/>
    <w:rsid w:val="00687B59"/>
    <w:rsid w:val="00687B5C"/>
    <w:rsid w:val="00687BEC"/>
    <w:rsid w:val="00687F5D"/>
    <w:rsid w:val="00690032"/>
    <w:rsid w:val="006901C4"/>
    <w:rsid w:val="006903A2"/>
    <w:rsid w:val="0069058D"/>
    <w:rsid w:val="00690597"/>
    <w:rsid w:val="006909B7"/>
    <w:rsid w:val="00690A70"/>
    <w:rsid w:val="00690AFF"/>
    <w:rsid w:val="00690B0F"/>
    <w:rsid w:val="00690B71"/>
    <w:rsid w:val="00690EB8"/>
    <w:rsid w:val="00690EFF"/>
    <w:rsid w:val="00691057"/>
    <w:rsid w:val="0069118B"/>
    <w:rsid w:val="0069136A"/>
    <w:rsid w:val="0069190C"/>
    <w:rsid w:val="00691AAD"/>
    <w:rsid w:val="00691D86"/>
    <w:rsid w:val="00691F4E"/>
    <w:rsid w:val="00691F59"/>
    <w:rsid w:val="00692033"/>
    <w:rsid w:val="0069240C"/>
    <w:rsid w:val="00692627"/>
    <w:rsid w:val="0069278E"/>
    <w:rsid w:val="00692847"/>
    <w:rsid w:val="00692D57"/>
    <w:rsid w:val="00692FD0"/>
    <w:rsid w:val="00692FE4"/>
    <w:rsid w:val="006930F9"/>
    <w:rsid w:val="006931E2"/>
    <w:rsid w:val="006932AF"/>
    <w:rsid w:val="006932D8"/>
    <w:rsid w:val="0069339C"/>
    <w:rsid w:val="00693675"/>
    <w:rsid w:val="0069375B"/>
    <w:rsid w:val="00693870"/>
    <w:rsid w:val="0069389E"/>
    <w:rsid w:val="00693A28"/>
    <w:rsid w:val="00693AEA"/>
    <w:rsid w:val="00693DA7"/>
    <w:rsid w:val="00694068"/>
    <w:rsid w:val="00694468"/>
    <w:rsid w:val="006944DE"/>
    <w:rsid w:val="0069453C"/>
    <w:rsid w:val="0069456D"/>
    <w:rsid w:val="00694656"/>
    <w:rsid w:val="00694695"/>
    <w:rsid w:val="006947FB"/>
    <w:rsid w:val="00695246"/>
    <w:rsid w:val="006952A5"/>
    <w:rsid w:val="006952AE"/>
    <w:rsid w:val="006952CA"/>
    <w:rsid w:val="0069546F"/>
    <w:rsid w:val="00695497"/>
    <w:rsid w:val="00695498"/>
    <w:rsid w:val="006954BD"/>
    <w:rsid w:val="006957A7"/>
    <w:rsid w:val="0069595E"/>
    <w:rsid w:val="00695A3B"/>
    <w:rsid w:val="00695BEA"/>
    <w:rsid w:val="00695C1D"/>
    <w:rsid w:val="00695C1E"/>
    <w:rsid w:val="00695DC9"/>
    <w:rsid w:val="00695F51"/>
    <w:rsid w:val="00696028"/>
    <w:rsid w:val="006960B5"/>
    <w:rsid w:val="006962A6"/>
    <w:rsid w:val="006962DC"/>
    <w:rsid w:val="0069673B"/>
    <w:rsid w:val="0069687F"/>
    <w:rsid w:val="00696A8C"/>
    <w:rsid w:val="00696AB4"/>
    <w:rsid w:val="00696B04"/>
    <w:rsid w:val="00696B34"/>
    <w:rsid w:val="00696DB9"/>
    <w:rsid w:val="00697105"/>
    <w:rsid w:val="00697148"/>
    <w:rsid w:val="006973F3"/>
    <w:rsid w:val="00697803"/>
    <w:rsid w:val="00697865"/>
    <w:rsid w:val="00697E03"/>
    <w:rsid w:val="006A02E3"/>
    <w:rsid w:val="006A0395"/>
    <w:rsid w:val="006A04F6"/>
    <w:rsid w:val="006A0808"/>
    <w:rsid w:val="006A08B2"/>
    <w:rsid w:val="006A08EA"/>
    <w:rsid w:val="006A0970"/>
    <w:rsid w:val="006A09B2"/>
    <w:rsid w:val="006A0B3B"/>
    <w:rsid w:val="006A0C99"/>
    <w:rsid w:val="006A0CB8"/>
    <w:rsid w:val="006A0D47"/>
    <w:rsid w:val="006A0D9D"/>
    <w:rsid w:val="006A0EB3"/>
    <w:rsid w:val="006A0F3A"/>
    <w:rsid w:val="006A103B"/>
    <w:rsid w:val="006A1222"/>
    <w:rsid w:val="006A1327"/>
    <w:rsid w:val="006A13D7"/>
    <w:rsid w:val="006A1415"/>
    <w:rsid w:val="006A152C"/>
    <w:rsid w:val="006A17EB"/>
    <w:rsid w:val="006A1839"/>
    <w:rsid w:val="006A18BA"/>
    <w:rsid w:val="006A19C8"/>
    <w:rsid w:val="006A1D88"/>
    <w:rsid w:val="006A1EED"/>
    <w:rsid w:val="006A211B"/>
    <w:rsid w:val="006A21C0"/>
    <w:rsid w:val="006A2548"/>
    <w:rsid w:val="006A263D"/>
    <w:rsid w:val="006A299A"/>
    <w:rsid w:val="006A2A44"/>
    <w:rsid w:val="006A2B6A"/>
    <w:rsid w:val="006A2D5C"/>
    <w:rsid w:val="006A3161"/>
    <w:rsid w:val="006A329B"/>
    <w:rsid w:val="006A3428"/>
    <w:rsid w:val="006A3492"/>
    <w:rsid w:val="006A34A0"/>
    <w:rsid w:val="006A3657"/>
    <w:rsid w:val="006A380E"/>
    <w:rsid w:val="006A3A60"/>
    <w:rsid w:val="006A3C83"/>
    <w:rsid w:val="006A3CAE"/>
    <w:rsid w:val="006A3FA4"/>
    <w:rsid w:val="006A465B"/>
    <w:rsid w:val="006A46F3"/>
    <w:rsid w:val="006A4754"/>
    <w:rsid w:val="006A47C6"/>
    <w:rsid w:val="006A4A30"/>
    <w:rsid w:val="006A4D81"/>
    <w:rsid w:val="006A4E20"/>
    <w:rsid w:val="006A4E79"/>
    <w:rsid w:val="006A524E"/>
    <w:rsid w:val="006A52C5"/>
    <w:rsid w:val="006A537A"/>
    <w:rsid w:val="006A54DF"/>
    <w:rsid w:val="006A563A"/>
    <w:rsid w:val="006A5702"/>
    <w:rsid w:val="006A5A33"/>
    <w:rsid w:val="006A5AC6"/>
    <w:rsid w:val="006A5E2E"/>
    <w:rsid w:val="006A5E62"/>
    <w:rsid w:val="006A5F0C"/>
    <w:rsid w:val="006A6161"/>
    <w:rsid w:val="006A6445"/>
    <w:rsid w:val="006A64F9"/>
    <w:rsid w:val="006A665F"/>
    <w:rsid w:val="006A6678"/>
    <w:rsid w:val="006A689C"/>
    <w:rsid w:val="006A6966"/>
    <w:rsid w:val="006A6A3C"/>
    <w:rsid w:val="006A6C75"/>
    <w:rsid w:val="006A6DF1"/>
    <w:rsid w:val="006A6F82"/>
    <w:rsid w:val="006A701E"/>
    <w:rsid w:val="006A7392"/>
    <w:rsid w:val="006A76F5"/>
    <w:rsid w:val="006A7AF0"/>
    <w:rsid w:val="006A7B83"/>
    <w:rsid w:val="006A7C49"/>
    <w:rsid w:val="006A7CA7"/>
    <w:rsid w:val="006A7F85"/>
    <w:rsid w:val="006A9A13"/>
    <w:rsid w:val="006B00F9"/>
    <w:rsid w:val="006B02B4"/>
    <w:rsid w:val="006B0327"/>
    <w:rsid w:val="006B0587"/>
    <w:rsid w:val="006B08A1"/>
    <w:rsid w:val="006B0C57"/>
    <w:rsid w:val="006B0D84"/>
    <w:rsid w:val="006B0E0E"/>
    <w:rsid w:val="006B0EBF"/>
    <w:rsid w:val="006B0F4E"/>
    <w:rsid w:val="006B105F"/>
    <w:rsid w:val="006B10B8"/>
    <w:rsid w:val="006B154E"/>
    <w:rsid w:val="006B17AD"/>
    <w:rsid w:val="006B1821"/>
    <w:rsid w:val="006B1B43"/>
    <w:rsid w:val="006B1DC9"/>
    <w:rsid w:val="006B1EC0"/>
    <w:rsid w:val="006B1F75"/>
    <w:rsid w:val="006B2162"/>
    <w:rsid w:val="006B24FC"/>
    <w:rsid w:val="006B2937"/>
    <w:rsid w:val="006B2A41"/>
    <w:rsid w:val="006B2A92"/>
    <w:rsid w:val="006B3112"/>
    <w:rsid w:val="006B3200"/>
    <w:rsid w:val="006B3451"/>
    <w:rsid w:val="006B385A"/>
    <w:rsid w:val="006B38A8"/>
    <w:rsid w:val="006B398A"/>
    <w:rsid w:val="006B3A47"/>
    <w:rsid w:val="006B3C06"/>
    <w:rsid w:val="006B3F49"/>
    <w:rsid w:val="006B40D7"/>
    <w:rsid w:val="006B44A0"/>
    <w:rsid w:val="006B469A"/>
    <w:rsid w:val="006B48FE"/>
    <w:rsid w:val="006B4B6F"/>
    <w:rsid w:val="006B4D8B"/>
    <w:rsid w:val="006B4D98"/>
    <w:rsid w:val="006B4E53"/>
    <w:rsid w:val="006B4F6C"/>
    <w:rsid w:val="006B4FE6"/>
    <w:rsid w:val="006B51BA"/>
    <w:rsid w:val="006B5414"/>
    <w:rsid w:val="006B54D5"/>
    <w:rsid w:val="006B54DF"/>
    <w:rsid w:val="006B557D"/>
    <w:rsid w:val="006B559E"/>
    <w:rsid w:val="006B55D1"/>
    <w:rsid w:val="006B56D0"/>
    <w:rsid w:val="006B5706"/>
    <w:rsid w:val="006B5712"/>
    <w:rsid w:val="006B571E"/>
    <w:rsid w:val="006B5B01"/>
    <w:rsid w:val="006B5D86"/>
    <w:rsid w:val="006B5DA2"/>
    <w:rsid w:val="006B5E54"/>
    <w:rsid w:val="006B5FCD"/>
    <w:rsid w:val="006B633F"/>
    <w:rsid w:val="006B6375"/>
    <w:rsid w:val="006B6455"/>
    <w:rsid w:val="006B64BD"/>
    <w:rsid w:val="006B659F"/>
    <w:rsid w:val="006B677F"/>
    <w:rsid w:val="006B67C0"/>
    <w:rsid w:val="006B67D1"/>
    <w:rsid w:val="006B690D"/>
    <w:rsid w:val="006B69D2"/>
    <w:rsid w:val="006B6B85"/>
    <w:rsid w:val="006B6BCA"/>
    <w:rsid w:val="006B6D21"/>
    <w:rsid w:val="006B6E48"/>
    <w:rsid w:val="006B6FA8"/>
    <w:rsid w:val="006B7290"/>
    <w:rsid w:val="006B73C7"/>
    <w:rsid w:val="006B7419"/>
    <w:rsid w:val="006B753C"/>
    <w:rsid w:val="006B7875"/>
    <w:rsid w:val="006B7AA7"/>
    <w:rsid w:val="006B7B03"/>
    <w:rsid w:val="006B7E7C"/>
    <w:rsid w:val="006B7F6C"/>
    <w:rsid w:val="006B7FF3"/>
    <w:rsid w:val="006C00D2"/>
    <w:rsid w:val="006C04AB"/>
    <w:rsid w:val="006C06A2"/>
    <w:rsid w:val="006C0708"/>
    <w:rsid w:val="006C072A"/>
    <w:rsid w:val="006C0A16"/>
    <w:rsid w:val="006C0AC0"/>
    <w:rsid w:val="006C0E3D"/>
    <w:rsid w:val="006C107A"/>
    <w:rsid w:val="006C14C3"/>
    <w:rsid w:val="006C18A0"/>
    <w:rsid w:val="006C1B05"/>
    <w:rsid w:val="006C1BA9"/>
    <w:rsid w:val="006C1C96"/>
    <w:rsid w:val="006C1D1E"/>
    <w:rsid w:val="006C1D98"/>
    <w:rsid w:val="006C1DC4"/>
    <w:rsid w:val="006C1F0F"/>
    <w:rsid w:val="006C2032"/>
    <w:rsid w:val="006C23DE"/>
    <w:rsid w:val="006C245E"/>
    <w:rsid w:val="006C2473"/>
    <w:rsid w:val="006C2493"/>
    <w:rsid w:val="006C24F3"/>
    <w:rsid w:val="006C25EF"/>
    <w:rsid w:val="006C26F2"/>
    <w:rsid w:val="006C2A39"/>
    <w:rsid w:val="006C2AC9"/>
    <w:rsid w:val="006C30D3"/>
    <w:rsid w:val="006C30DE"/>
    <w:rsid w:val="006C373F"/>
    <w:rsid w:val="006C37EB"/>
    <w:rsid w:val="006C381B"/>
    <w:rsid w:val="006C3C9C"/>
    <w:rsid w:val="006C4116"/>
    <w:rsid w:val="006C45A0"/>
    <w:rsid w:val="006C469A"/>
    <w:rsid w:val="006C480F"/>
    <w:rsid w:val="006C4D69"/>
    <w:rsid w:val="006C4E0F"/>
    <w:rsid w:val="006C4E8F"/>
    <w:rsid w:val="006C50E0"/>
    <w:rsid w:val="006C5187"/>
    <w:rsid w:val="006C51C9"/>
    <w:rsid w:val="006C525D"/>
    <w:rsid w:val="006C52D8"/>
    <w:rsid w:val="006C55A7"/>
    <w:rsid w:val="006C5709"/>
    <w:rsid w:val="006C5878"/>
    <w:rsid w:val="006C5F29"/>
    <w:rsid w:val="006C604E"/>
    <w:rsid w:val="006C6099"/>
    <w:rsid w:val="006C60A3"/>
    <w:rsid w:val="006C632A"/>
    <w:rsid w:val="006C6384"/>
    <w:rsid w:val="006C64C9"/>
    <w:rsid w:val="006C6515"/>
    <w:rsid w:val="006C67B8"/>
    <w:rsid w:val="006C6A08"/>
    <w:rsid w:val="006C6AAB"/>
    <w:rsid w:val="006C6B71"/>
    <w:rsid w:val="006C6C89"/>
    <w:rsid w:val="006C6E0F"/>
    <w:rsid w:val="006C6F01"/>
    <w:rsid w:val="006C7085"/>
    <w:rsid w:val="006C730D"/>
    <w:rsid w:val="006C744D"/>
    <w:rsid w:val="006C74B6"/>
    <w:rsid w:val="006C74C5"/>
    <w:rsid w:val="006C75F3"/>
    <w:rsid w:val="006C79E6"/>
    <w:rsid w:val="006C7ACF"/>
    <w:rsid w:val="006C7C95"/>
    <w:rsid w:val="006C7CAA"/>
    <w:rsid w:val="006C7CC6"/>
    <w:rsid w:val="006D0010"/>
    <w:rsid w:val="006D0056"/>
    <w:rsid w:val="006D0086"/>
    <w:rsid w:val="006D014B"/>
    <w:rsid w:val="006D01F5"/>
    <w:rsid w:val="006D033A"/>
    <w:rsid w:val="006D0860"/>
    <w:rsid w:val="006D0865"/>
    <w:rsid w:val="006D0A5C"/>
    <w:rsid w:val="006D1229"/>
    <w:rsid w:val="006D1388"/>
    <w:rsid w:val="006D13EA"/>
    <w:rsid w:val="006D16FA"/>
    <w:rsid w:val="006D18A2"/>
    <w:rsid w:val="006D1C5B"/>
    <w:rsid w:val="006D21D6"/>
    <w:rsid w:val="006D2209"/>
    <w:rsid w:val="006D2261"/>
    <w:rsid w:val="006D23B0"/>
    <w:rsid w:val="006D23E9"/>
    <w:rsid w:val="006D2433"/>
    <w:rsid w:val="006D2BBD"/>
    <w:rsid w:val="006D2F99"/>
    <w:rsid w:val="006D2FA1"/>
    <w:rsid w:val="006D3037"/>
    <w:rsid w:val="006D30DE"/>
    <w:rsid w:val="006D31B6"/>
    <w:rsid w:val="006D31C2"/>
    <w:rsid w:val="006D331C"/>
    <w:rsid w:val="006D3579"/>
    <w:rsid w:val="006D35C9"/>
    <w:rsid w:val="006D3674"/>
    <w:rsid w:val="006D3682"/>
    <w:rsid w:val="006D3859"/>
    <w:rsid w:val="006D3AFC"/>
    <w:rsid w:val="006D3C01"/>
    <w:rsid w:val="006D40A1"/>
    <w:rsid w:val="006D4580"/>
    <w:rsid w:val="006D4606"/>
    <w:rsid w:val="006D4658"/>
    <w:rsid w:val="006D48C8"/>
    <w:rsid w:val="006D49F1"/>
    <w:rsid w:val="006D4B4D"/>
    <w:rsid w:val="006D4B79"/>
    <w:rsid w:val="006D4C5B"/>
    <w:rsid w:val="006D4CCF"/>
    <w:rsid w:val="006D4CF8"/>
    <w:rsid w:val="006D4EB7"/>
    <w:rsid w:val="006D4ED5"/>
    <w:rsid w:val="006D5125"/>
    <w:rsid w:val="006D5351"/>
    <w:rsid w:val="006D5363"/>
    <w:rsid w:val="006D5451"/>
    <w:rsid w:val="006D54F8"/>
    <w:rsid w:val="006D5D53"/>
    <w:rsid w:val="006D5F8F"/>
    <w:rsid w:val="006D6120"/>
    <w:rsid w:val="006D64B7"/>
    <w:rsid w:val="006D65FA"/>
    <w:rsid w:val="006D660B"/>
    <w:rsid w:val="006D6628"/>
    <w:rsid w:val="006D673A"/>
    <w:rsid w:val="006D679B"/>
    <w:rsid w:val="006D68E9"/>
    <w:rsid w:val="006D697D"/>
    <w:rsid w:val="006D69D6"/>
    <w:rsid w:val="006D6A8D"/>
    <w:rsid w:val="006D6AFA"/>
    <w:rsid w:val="006D6FC0"/>
    <w:rsid w:val="006D7115"/>
    <w:rsid w:val="006D714E"/>
    <w:rsid w:val="006D7166"/>
    <w:rsid w:val="006D755D"/>
    <w:rsid w:val="006D770E"/>
    <w:rsid w:val="006D780D"/>
    <w:rsid w:val="006D79FD"/>
    <w:rsid w:val="006D7A14"/>
    <w:rsid w:val="006D7D71"/>
    <w:rsid w:val="006D7EF1"/>
    <w:rsid w:val="006D7F29"/>
    <w:rsid w:val="006D7F37"/>
    <w:rsid w:val="006E00B6"/>
    <w:rsid w:val="006E0245"/>
    <w:rsid w:val="006E054E"/>
    <w:rsid w:val="006E055A"/>
    <w:rsid w:val="006E05DE"/>
    <w:rsid w:val="006E06A6"/>
    <w:rsid w:val="006E08BA"/>
    <w:rsid w:val="006E08D8"/>
    <w:rsid w:val="006E0965"/>
    <w:rsid w:val="006E0BC0"/>
    <w:rsid w:val="006E0C4A"/>
    <w:rsid w:val="006E0C7B"/>
    <w:rsid w:val="006E0DA9"/>
    <w:rsid w:val="006E0DFA"/>
    <w:rsid w:val="006E0E4A"/>
    <w:rsid w:val="006E127D"/>
    <w:rsid w:val="006E136B"/>
    <w:rsid w:val="006E148C"/>
    <w:rsid w:val="006E156A"/>
    <w:rsid w:val="006E183F"/>
    <w:rsid w:val="006E1B42"/>
    <w:rsid w:val="006E1C0D"/>
    <w:rsid w:val="006E1CF6"/>
    <w:rsid w:val="006E1E8A"/>
    <w:rsid w:val="006E1EE5"/>
    <w:rsid w:val="006E1F6B"/>
    <w:rsid w:val="006E213E"/>
    <w:rsid w:val="006E2366"/>
    <w:rsid w:val="006E26DA"/>
    <w:rsid w:val="006E2CB7"/>
    <w:rsid w:val="006E2D0D"/>
    <w:rsid w:val="006E301E"/>
    <w:rsid w:val="006E3059"/>
    <w:rsid w:val="006E30AA"/>
    <w:rsid w:val="006E3375"/>
    <w:rsid w:val="006E3510"/>
    <w:rsid w:val="006E3537"/>
    <w:rsid w:val="006E356B"/>
    <w:rsid w:val="006E35CF"/>
    <w:rsid w:val="006E3864"/>
    <w:rsid w:val="006E3939"/>
    <w:rsid w:val="006E3CED"/>
    <w:rsid w:val="006E3D57"/>
    <w:rsid w:val="006E3F6D"/>
    <w:rsid w:val="006E41EC"/>
    <w:rsid w:val="006E45D0"/>
    <w:rsid w:val="006E4660"/>
    <w:rsid w:val="006E48B6"/>
    <w:rsid w:val="006E48BE"/>
    <w:rsid w:val="006E4AEB"/>
    <w:rsid w:val="006E4B6E"/>
    <w:rsid w:val="006E4E3B"/>
    <w:rsid w:val="006E504E"/>
    <w:rsid w:val="006E511D"/>
    <w:rsid w:val="006E53B1"/>
    <w:rsid w:val="006E5691"/>
    <w:rsid w:val="006E56CA"/>
    <w:rsid w:val="006E594B"/>
    <w:rsid w:val="006E5A35"/>
    <w:rsid w:val="006E5A45"/>
    <w:rsid w:val="006E5BAE"/>
    <w:rsid w:val="006E5D0E"/>
    <w:rsid w:val="006E5E06"/>
    <w:rsid w:val="006E5EA8"/>
    <w:rsid w:val="006E60CA"/>
    <w:rsid w:val="006E60EF"/>
    <w:rsid w:val="006E62EE"/>
    <w:rsid w:val="006E642C"/>
    <w:rsid w:val="006E6520"/>
    <w:rsid w:val="006E659C"/>
    <w:rsid w:val="006E65DC"/>
    <w:rsid w:val="006E6645"/>
    <w:rsid w:val="006E676C"/>
    <w:rsid w:val="006E6774"/>
    <w:rsid w:val="006E68E0"/>
    <w:rsid w:val="006E69A5"/>
    <w:rsid w:val="006E6B4F"/>
    <w:rsid w:val="006E6B81"/>
    <w:rsid w:val="006E6BF2"/>
    <w:rsid w:val="006E6CAB"/>
    <w:rsid w:val="006E6EE1"/>
    <w:rsid w:val="006E6EEA"/>
    <w:rsid w:val="006E70D9"/>
    <w:rsid w:val="006E7183"/>
    <w:rsid w:val="006E737F"/>
    <w:rsid w:val="006E73BE"/>
    <w:rsid w:val="006E751C"/>
    <w:rsid w:val="006E75D4"/>
    <w:rsid w:val="006E75DB"/>
    <w:rsid w:val="006E76CA"/>
    <w:rsid w:val="006E793F"/>
    <w:rsid w:val="006E7A84"/>
    <w:rsid w:val="006E7B07"/>
    <w:rsid w:val="006E7C13"/>
    <w:rsid w:val="006E7F4F"/>
    <w:rsid w:val="006E7F5E"/>
    <w:rsid w:val="006F0026"/>
    <w:rsid w:val="006F0276"/>
    <w:rsid w:val="006F04BD"/>
    <w:rsid w:val="006F0557"/>
    <w:rsid w:val="006F062F"/>
    <w:rsid w:val="006F08E4"/>
    <w:rsid w:val="006F0A3A"/>
    <w:rsid w:val="006F0A98"/>
    <w:rsid w:val="006F0E37"/>
    <w:rsid w:val="006F105C"/>
    <w:rsid w:val="006F1271"/>
    <w:rsid w:val="006F14C4"/>
    <w:rsid w:val="006F15FD"/>
    <w:rsid w:val="006F16C0"/>
    <w:rsid w:val="006F198A"/>
    <w:rsid w:val="006F1C98"/>
    <w:rsid w:val="006F1E7B"/>
    <w:rsid w:val="006F2103"/>
    <w:rsid w:val="006F211F"/>
    <w:rsid w:val="006F268B"/>
    <w:rsid w:val="006F26FF"/>
    <w:rsid w:val="006F2906"/>
    <w:rsid w:val="006F2A2A"/>
    <w:rsid w:val="006F2A6F"/>
    <w:rsid w:val="006F2ACB"/>
    <w:rsid w:val="006F2C8B"/>
    <w:rsid w:val="006F2CDC"/>
    <w:rsid w:val="006F2DB5"/>
    <w:rsid w:val="006F3189"/>
    <w:rsid w:val="006F318F"/>
    <w:rsid w:val="006F3216"/>
    <w:rsid w:val="006F33EA"/>
    <w:rsid w:val="006F3434"/>
    <w:rsid w:val="006F3472"/>
    <w:rsid w:val="006F36C5"/>
    <w:rsid w:val="006F37A2"/>
    <w:rsid w:val="006F3B73"/>
    <w:rsid w:val="006F3D17"/>
    <w:rsid w:val="006F3E1C"/>
    <w:rsid w:val="006F3ED5"/>
    <w:rsid w:val="006F3FC0"/>
    <w:rsid w:val="006F42EA"/>
    <w:rsid w:val="006F4348"/>
    <w:rsid w:val="006F43FD"/>
    <w:rsid w:val="006F4659"/>
    <w:rsid w:val="006F48C2"/>
    <w:rsid w:val="006F493C"/>
    <w:rsid w:val="006F49BB"/>
    <w:rsid w:val="006F4B34"/>
    <w:rsid w:val="006F4C7B"/>
    <w:rsid w:val="006F4E3C"/>
    <w:rsid w:val="006F4F94"/>
    <w:rsid w:val="006F5207"/>
    <w:rsid w:val="006F530C"/>
    <w:rsid w:val="006F53E5"/>
    <w:rsid w:val="006F553F"/>
    <w:rsid w:val="006F58F1"/>
    <w:rsid w:val="006F5919"/>
    <w:rsid w:val="006F5AF1"/>
    <w:rsid w:val="006F5B44"/>
    <w:rsid w:val="006F5C0D"/>
    <w:rsid w:val="006F5E26"/>
    <w:rsid w:val="006F62D3"/>
    <w:rsid w:val="006F6665"/>
    <w:rsid w:val="006F66C7"/>
    <w:rsid w:val="006F6A77"/>
    <w:rsid w:val="006F6C44"/>
    <w:rsid w:val="006F6CD8"/>
    <w:rsid w:val="006F6ED8"/>
    <w:rsid w:val="006F7176"/>
    <w:rsid w:val="006F748E"/>
    <w:rsid w:val="006F74CA"/>
    <w:rsid w:val="006F7723"/>
    <w:rsid w:val="006F77DF"/>
    <w:rsid w:val="006F7B78"/>
    <w:rsid w:val="006F7BD1"/>
    <w:rsid w:val="006F7C20"/>
    <w:rsid w:val="006F7D4E"/>
    <w:rsid w:val="006F7F19"/>
    <w:rsid w:val="006F7FE2"/>
    <w:rsid w:val="0070046B"/>
    <w:rsid w:val="0070068D"/>
    <w:rsid w:val="007006E9"/>
    <w:rsid w:val="0070083D"/>
    <w:rsid w:val="00700921"/>
    <w:rsid w:val="00700AD0"/>
    <w:rsid w:val="00700B53"/>
    <w:rsid w:val="00701259"/>
    <w:rsid w:val="00701402"/>
    <w:rsid w:val="007014D5"/>
    <w:rsid w:val="00701A88"/>
    <w:rsid w:val="00701AFC"/>
    <w:rsid w:val="00701B3B"/>
    <w:rsid w:val="00701C15"/>
    <w:rsid w:val="00701D4F"/>
    <w:rsid w:val="00702002"/>
    <w:rsid w:val="007027AC"/>
    <w:rsid w:val="007027DF"/>
    <w:rsid w:val="00702B22"/>
    <w:rsid w:val="00702E9B"/>
    <w:rsid w:val="00702FE5"/>
    <w:rsid w:val="00703000"/>
    <w:rsid w:val="007032C3"/>
    <w:rsid w:val="007033FD"/>
    <w:rsid w:val="0070379C"/>
    <w:rsid w:val="00703871"/>
    <w:rsid w:val="00703976"/>
    <w:rsid w:val="007039E9"/>
    <w:rsid w:val="00703BA8"/>
    <w:rsid w:val="00703DD6"/>
    <w:rsid w:val="00703DD9"/>
    <w:rsid w:val="00703E53"/>
    <w:rsid w:val="00703FB2"/>
    <w:rsid w:val="0070427D"/>
    <w:rsid w:val="00704359"/>
    <w:rsid w:val="00704608"/>
    <w:rsid w:val="007046C2"/>
    <w:rsid w:val="00704970"/>
    <w:rsid w:val="00704BCE"/>
    <w:rsid w:val="00704D8D"/>
    <w:rsid w:val="00704EC5"/>
    <w:rsid w:val="00704F10"/>
    <w:rsid w:val="00704F27"/>
    <w:rsid w:val="00705053"/>
    <w:rsid w:val="007050DA"/>
    <w:rsid w:val="007053D1"/>
    <w:rsid w:val="00705458"/>
    <w:rsid w:val="007054A5"/>
    <w:rsid w:val="007057C8"/>
    <w:rsid w:val="0070580A"/>
    <w:rsid w:val="007059C8"/>
    <w:rsid w:val="00705AB3"/>
    <w:rsid w:val="00705ACF"/>
    <w:rsid w:val="00705FE2"/>
    <w:rsid w:val="007062F3"/>
    <w:rsid w:val="0070641A"/>
    <w:rsid w:val="00706437"/>
    <w:rsid w:val="0070649D"/>
    <w:rsid w:val="00706607"/>
    <w:rsid w:val="0070687B"/>
    <w:rsid w:val="00706CCD"/>
    <w:rsid w:val="00706CE1"/>
    <w:rsid w:val="00706D54"/>
    <w:rsid w:val="00706EA3"/>
    <w:rsid w:val="007071B2"/>
    <w:rsid w:val="00707213"/>
    <w:rsid w:val="0070723B"/>
    <w:rsid w:val="0070764B"/>
    <w:rsid w:val="0070771E"/>
    <w:rsid w:val="007077C9"/>
    <w:rsid w:val="00707AE7"/>
    <w:rsid w:val="00707B18"/>
    <w:rsid w:val="00707C21"/>
    <w:rsid w:val="00707D01"/>
    <w:rsid w:val="00707E96"/>
    <w:rsid w:val="00707F1C"/>
    <w:rsid w:val="00707F5A"/>
    <w:rsid w:val="00707F84"/>
    <w:rsid w:val="00710019"/>
    <w:rsid w:val="0071011B"/>
    <w:rsid w:val="007103F4"/>
    <w:rsid w:val="00710626"/>
    <w:rsid w:val="007106BB"/>
    <w:rsid w:val="00710986"/>
    <w:rsid w:val="007109B3"/>
    <w:rsid w:val="00710A27"/>
    <w:rsid w:val="00710C09"/>
    <w:rsid w:val="00710D8A"/>
    <w:rsid w:val="00710DF5"/>
    <w:rsid w:val="00710FAA"/>
    <w:rsid w:val="00711074"/>
    <w:rsid w:val="007111AA"/>
    <w:rsid w:val="00711272"/>
    <w:rsid w:val="007112DD"/>
    <w:rsid w:val="00711460"/>
    <w:rsid w:val="00711552"/>
    <w:rsid w:val="00711629"/>
    <w:rsid w:val="0071163B"/>
    <w:rsid w:val="00711667"/>
    <w:rsid w:val="007116A9"/>
    <w:rsid w:val="0071177A"/>
    <w:rsid w:val="00711780"/>
    <w:rsid w:val="00711807"/>
    <w:rsid w:val="0071190F"/>
    <w:rsid w:val="00711C35"/>
    <w:rsid w:val="00711CE6"/>
    <w:rsid w:val="00711E54"/>
    <w:rsid w:val="00712034"/>
    <w:rsid w:val="00712062"/>
    <w:rsid w:val="007121D1"/>
    <w:rsid w:val="00712290"/>
    <w:rsid w:val="007126BA"/>
    <w:rsid w:val="0071295F"/>
    <w:rsid w:val="00712AF6"/>
    <w:rsid w:val="00712CD5"/>
    <w:rsid w:val="00712D85"/>
    <w:rsid w:val="00712E4F"/>
    <w:rsid w:val="00712F63"/>
    <w:rsid w:val="00712FAA"/>
    <w:rsid w:val="007130FC"/>
    <w:rsid w:val="0071322B"/>
    <w:rsid w:val="00713298"/>
    <w:rsid w:val="0071334D"/>
    <w:rsid w:val="007133BE"/>
    <w:rsid w:val="00713406"/>
    <w:rsid w:val="007134E4"/>
    <w:rsid w:val="00713637"/>
    <w:rsid w:val="00713713"/>
    <w:rsid w:val="007137CF"/>
    <w:rsid w:val="007138DE"/>
    <w:rsid w:val="007138E1"/>
    <w:rsid w:val="00713A18"/>
    <w:rsid w:val="00713A6A"/>
    <w:rsid w:val="0071416E"/>
    <w:rsid w:val="0071423D"/>
    <w:rsid w:val="0071438F"/>
    <w:rsid w:val="007144CD"/>
    <w:rsid w:val="00714AE5"/>
    <w:rsid w:val="00714CDA"/>
    <w:rsid w:val="00714E6B"/>
    <w:rsid w:val="00714E7D"/>
    <w:rsid w:val="00714F5C"/>
    <w:rsid w:val="00715082"/>
    <w:rsid w:val="00715100"/>
    <w:rsid w:val="0071542B"/>
    <w:rsid w:val="007159A4"/>
    <w:rsid w:val="00715A17"/>
    <w:rsid w:val="00715A41"/>
    <w:rsid w:val="00715BAE"/>
    <w:rsid w:val="00715D01"/>
    <w:rsid w:val="00715DE1"/>
    <w:rsid w:val="00715E65"/>
    <w:rsid w:val="00715EE5"/>
    <w:rsid w:val="00715FE7"/>
    <w:rsid w:val="0071626B"/>
    <w:rsid w:val="00716357"/>
    <w:rsid w:val="00716C7A"/>
    <w:rsid w:val="00716D7F"/>
    <w:rsid w:val="00716DC4"/>
    <w:rsid w:val="00716DF6"/>
    <w:rsid w:val="00717594"/>
    <w:rsid w:val="007176FF"/>
    <w:rsid w:val="00717728"/>
    <w:rsid w:val="0071772F"/>
    <w:rsid w:val="007177A3"/>
    <w:rsid w:val="00717AD8"/>
    <w:rsid w:val="00717BF9"/>
    <w:rsid w:val="00717E10"/>
    <w:rsid w:val="00720076"/>
    <w:rsid w:val="0072013C"/>
    <w:rsid w:val="00720245"/>
    <w:rsid w:val="0072029C"/>
    <w:rsid w:val="00720401"/>
    <w:rsid w:val="007205B9"/>
    <w:rsid w:val="00720639"/>
    <w:rsid w:val="007208C1"/>
    <w:rsid w:val="007208EC"/>
    <w:rsid w:val="0072098A"/>
    <w:rsid w:val="00720A2B"/>
    <w:rsid w:val="00720B10"/>
    <w:rsid w:val="00720C3B"/>
    <w:rsid w:val="00720ED9"/>
    <w:rsid w:val="00720FB3"/>
    <w:rsid w:val="00721062"/>
    <w:rsid w:val="007210A9"/>
    <w:rsid w:val="007210F2"/>
    <w:rsid w:val="00721143"/>
    <w:rsid w:val="00721431"/>
    <w:rsid w:val="00721442"/>
    <w:rsid w:val="007217F0"/>
    <w:rsid w:val="00721812"/>
    <w:rsid w:val="00721882"/>
    <w:rsid w:val="00721CCE"/>
    <w:rsid w:val="00721DF4"/>
    <w:rsid w:val="00721F48"/>
    <w:rsid w:val="007225CF"/>
    <w:rsid w:val="00722ADF"/>
    <w:rsid w:val="0072315D"/>
    <w:rsid w:val="00723675"/>
    <w:rsid w:val="007238A7"/>
    <w:rsid w:val="00723A2F"/>
    <w:rsid w:val="00723D8A"/>
    <w:rsid w:val="007240CA"/>
    <w:rsid w:val="0072457A"/>
    <w:rsid w:val="007246E0"/>
    <w:rsid w:val="0072470F"/>
    <w:rsid w:val="00724888"/>
    <w:rsid w:val="00724BEA"/>
    <w:rsid w:val="00724E45"/>
    <w:rsid w:val="00724E52"/>
    <w:rsid w:val="00724F81"/>
    <w:rsid w:val="00724FB1"/>
    <w:rsid w:val="007250FB"/>
    <w:rsid w:val="0072518A"/>
    <w:rsid w:val="0072540B"/>
    <w:rsid w:val="00725637"/>
    <w:rsid w:val="00725698"/>
    <w:rsid w:val="0072582C"/>
    <w:rsid w:val="00725A4B"/>
    <w:rsid w:val="00725E56"/>
    <w:rsid w:val="00725F45"/>
    <w:rsid w:val="0072607E"/>
    <w:rsid w:val="007261C2"/>
    <w:rsid w:val="0072639F"/>
    <w:rsid w:val="00726436"/>
    <w:rsid w:val="0072650D"/>
    <w:rsid w:val="007265D9"/>
    <w:rsid w:val="007266B0"/>
    <w:rsid w:val="00726825"/>
    <w:rsid w:val="007269B0"/>
    <w:rsid w:val="00726AE7"/>
    <w:rsid w:val="00726C74"/>
    <w:rsid w:val="00726CC0"/>
    <w:rsid w:val="00726E3F"/>
    <w:rsid w:val="00726E66"/>
    <w:rsid w:val="00726ED9"/>
    <w:rsid w:val="00726F00"/>
    <w:rsid w:val="00727040"/>
    <w:rsid w:val="0072712D"/>
    <w:rsid w:val="00727478"/>
    <w:rsid w:val="00727729"/>
    <w:rsid w:val="00727753"/>
    <w:rsid w:val="00727C08"/>
    <w:rsid w:val="00727C4A"/>
    <w:rsid w:val="00727C6B"/>
    <w:rsid w:val="00727CDD"/>
    <w:rsid w:val="00727CFA"/>
    <w:rsid w:val="00727DEC"/>
    <w:rsid w:val="00727E36"/>
    <w:rsid w:val="00727EF5"/>
    <w:rsid w:val="0073000E"/>
    <w:rsid w:val="0073001D"/>
    <w:rsid w:val="0073012D"/>
    <w:rsid w:val="007301BF"/>
    <w:rsid w:val="007302BC"/>
    <w:rsid w:val="00730451"/>
    <w:rsid w:val="0073078D"/>
    <w:rsid w:val="0073081D"/>
    <w:rsid w:val="00730923"/>
    <w:rsid w:val="0073093C"/>
    <w:rsid w:val="0073094B"/>
    <w:rsid w:val="0073095D"/>
    <w:rsid w:val="00730C2B"/>
    <w:rsid w:val="00730CDE"/>
    <w:rsid w:val="00730D65"/>
    <w:rsid w:val="00730DD9"/>
    <w:rsid w:val="00731479"/>
    <w:rsid w:val="0073161D"/>
    <w:rsid w:val="00732092"/>
    <w:rsid w:val="00732099"/>
    <w:rsid w:val="007322BF"/>
    <w:rsid w:val="007322F1"/>
    <w:rsid w:val="00732763"/>
    <w:rsid w:val="007327CA"/>
    <w:rsid w:val="00732C32"/>
    <w:rsid w:val="00732C59"/>
    <w:rsid w:val="00732D77"/>
    <w:rsid w:val="00732E84"/>
    <w:rsid w:val="00732EB6"/>
    <w:rsid w:val="00733446"/>
    <w:rsid w:val="0073352D"/>
    <w:rsid w:val="00733583"/>
    <w:rsid w:val="0073372D"/>
    <w:rsid w:val="00733748"/>
    <w:rsid w:val="00733767"/>
    <w:rsid w:val="007337F0"/>
    <w:rsid w:val="00733C28"/>
    <w:rsid w:val="00734092"/>
    <w:rsid w:val="00734144"/>
    <w:rsid w:val="00734345"/>
    <w:rsid w:val="00734442"/>
    <w:rsid w:val="007344B6"/>
    <w:rsid w:val="00734713"/>
    <w:rsid w:val="00734E6F"/>
    <w:rsid w:val="007350B5"/>
    <w:rsid w:val="007350D8"/>
    <w:rsid w:val="00735330"/>
    <w:rsid w:val="007354B4"/>
    <w:rsid w:val="00735626"/>
    <w:rsid w:val="007356D5"/>
    <w:rsid w:val="0073573C"/>
    <w:rsid w:val="007358C1"/>
    <w:rsid w:val="00735939"/>
    <w:rsid w:val="007359A2"/>
    <w:rsid w:val="00735B7D"/>
    <w:rsid w:val="00735C96"/>
    <w:rsid w:val="00735CDE"/>
    <w:rsid w:val="00735DF9"/>
    <w:rsid w:val="00735F9B"/>
    <w:rsid w:val="00736004"/>
    <w:rsid w:val="007362A3"/>
    <w:rsid w:val="00736532"/>
    <w:rsid w:val="00736922"/>
    <w:rsid w:val="007369B4"/>
    <w:rsid w:val="00736B33"/>
    <w:rsid w:val="00736DCC"/>
    <w:rsid w:val="00736E66"/>
    <w:rsid w:val="00736E8E"/>
    <w:rsid w:val="007374A9"/>
    <w:rsid w:val="007374FE"/>
    <w:rsid w:val="00737595"/>
    <w:rsid w:val="007375D0"/>
    <w:rsid w:val="00737993"/>
    <w:rsid w:val="00737B5C"/>
    <w:rsid w:val="00737BC3"/>
    <w:rsid w:val="00737BF5"/>
    <w:rsid w:val="00737CAB"/>
    <w:rsid w:val="00737F10"/>
    <w:rsid w:val="007400A7"/>
    <w:rsid w:val="00740144"/>
    <w:rsid w:val="00740390"/>
    <w:rsid w:val="00740555"/>
    <w:rsid w:val="0074057B"/>
    <w:rsid w:val="0074059A"/>
    <w:rsid w:val="00740693"/>
    <w:rsid w:val="007406AC"/>
    <w:rsid w:val="00740D20"/>
    <w:rsid w:val="00741240"/>
    <w:rsid w:val="0074130F"/>
    <w:rsid w:val="00741337"/>
    <w:rsid w:val="0074133A"/>
    <w:rsid w:val="007413FD"/>
    <w:rsid w:val="00741418"/>
    <w:rsid w:val="007417AE"/>
    <w:rsid w:val="007418B2"/>
    <w:rsid w:val="00741CA7"/>
    <w:rsid w:val="00741E2F"/>
    <w:rsid w:val="00741ECB"/>
    <w:rsid w:val="00741FFF"/>
    <w:rsid w:val="007423FE"/>
    <w:rsid w:val="00742480"/>
    <w:rsid w:val="007424C5"/>
    <w:rsid w:val="00742664"/>
    <w:rsid w:val="007427BE"/>
    <w:rsid w:val="00742AB6"/>
    <w:rsid w:val="00742C47"/>
    <w:rsid w:val="00742DA0"/>
    <w:rsid w:val="00742DC8"/>
    <w:rsid w:val="00743278"/>
    <w:rsid w:val="0074373E"/>
    <w:rsid w:val="00743899"/>
    <w:rsid w:val="0074392C"/>
    <w:rsid w:val="00743949"/>
    <w:rsid w:val="00743BC4"/>
    <w:rsid w:val="00743CB3"/>
    <w:rsid w:val="00743F42"/>
    <w:rsid w:val="00743F89"/>
    <w:rsid w:val="00743FD5"/>
    <w:rsid w:val="00743FFF"/>
    <w:rsid w:val="0074400E"/>
    <w:rsid w:val="007441EA"/>
    <w:rsid w:val="0074430D"/>
    <w:rsid w:val="00744373"/>
    <w:rsid w:val="007443C6"/>
    <w:rsid w:val="00744826"/>
    <w:rsid w:val="007448DF"/>
    <w:rsid w:val="00744A4B"/>
    <w:rsid w:val="00744AFD"/>
    <w:rsid w:val="00744D63"/>
    <w:rsid w:val="00744E66"/>
    <w:rsid w:val="00745293"/>
    <w:rsid w:val="007453DE"/>
    <w:rsid w:val="00745589"/>
    <w:rsid w:val="00745977"/>
    <w:rsid w:val="00745AE2"/>
    <w:rsid w:val="00745B64"/>
    <w:rsid w:val="00745CB9"/>
    <w:rsid w:val="00745CD9"/>
    <w:rsid w:val="00745D83"/>
    <w:rsid w:val="00745DC9"/>
    <w:rsid w:val="00745F72"/>
    <w:rsid w:val="0074603A"/>
    <w:rsid w:val="007460E4"/>
    <w:rsid w:val="007461E2"/>
    <w:rsid w:val="00746484"/>
    <w:rsid w:val="0074650D"/>
    <w:rsid w:val="007466A5"/>
    <w:rsid w:val="0074679E"/>
    <w:rsid w:val="0074683A"/>
    <w:rsid w:val="0074690A"/>
    <w:rsid w:val="00746928"/>
    <w:rsid w:val="00746F51"/>
    <w:rsid w:val="00746F5E"/>
    <w:rsid w:val="007473DD"/>
    <w:rsid w:val="00747570"/>
    <w:rsid w:val="0074769C"/>
    <w:rsid w:val="00747740"/>
    <w:rsid w:val="00747948"/>
    <w:rsid w:val="0074797D"/>
    <w:rsid w:val="00747AC9"/>
    <w:rsid w:val="00747DE4"/>
    <w:rsid w:val="007500E6"/>
    <w:rsid w:val="007502D7"/>
    <w:rsid w:val="0075058C"/>
    <w:rsid w:val="0075079F"/>
    <w:rsid w:val="0075097B"/>
    <w:rsid w:val="00750A25"/>
    <w:rsid w:val="00750AEF"/>
    <w:rsid w:val="00750B14"/>
    <w:rsid w:val="00750D8F"/>
    <w:rsid w:val="00750F1C"/>
    <w:rsid w:val="00750F71"/>
    <w:rsid w:val="00751071"/>
    <w:rsid w:val="0075131F"/>
    <w:rsid w:val="00751349"/>
    <w:rsid w:val="00751545"/>
    <w:rsid w:val="007515DC"/>
    <w:rsid w:val="0075173D"/>
    <w:rsid w:val="00751796"/>
    <w:rsid w:val="00751A02"/>
    <w:rsid w:val="00751BB2"/>
    <w:rsid w:val="00751CC0"/>
    <w:rsid w:val="00751E40"/>
    <w:rsid w:val="00751FB8"/>
    <w:rsid w:val="00752050"/>
    <w:rsid w:val="0075209D"/>
    <w:rsid w:val="00752211"/>
    <w:rsid w:val="0075223E"/>
    <w:rsid w:val="00752288"/>
    <w:rsid w:val="0075246A"/>
    <w:rsid w:val="00752F0C"/>
    <w:rsid w:val="00752F51"/>
    <w:rsid w:val="0075331E"/>
    <w:rsid w:val="007533C1"/>
    <w:rsid w:val="00753B06"/>
    <w:rsid w:val="00753B8D"/>
    <w:rsid w:val="00753BEE"/>
    <w:rsid w:val="00753C71"/>
    <w:rsid w:val="00753E01"/>
    <w:rsid w:val="00753E1E"/>
    <w:rsid w:val="007542C1"/>
    <w:rsid w:val="00754441"/>
    <w:rsid w:val="00754510"/>
    <w:rsid w:val="00754756"/>
    <w:rsid w:val="00754FDE"/>
    <w:rsid w:val="007550B4"/>
    <w:rsid w:val="00755116"/>
    <w:rsid w:val="0075515B"/>
    <w:rsid w:val="0075517A"/>
    <w:rsid w:val="00755449"/>
    <w:rsid w:val="00755466"/>
    <w:rsid w:val="00755532"/>
    <w:rsid w:val="00755541"/>
    <w:rsid w:val="007557E8"/>
    <w:rsid w:val="00755C3C"/>
    <w:rsid w:val="00755D31"/>
    <w:rsid w:val="00755D3F"/>
    <w:rsid w:val="007560B1"/>
    <w:rsid w:val="00756661"/>
    <w:rsid w:val="0075671E"/>
    <w:rsid w:val="007567CE"/>
    <w:rsid w:val="0075688E"/>
    <w:rsid w:val="007568B7"/>
    <w:rsid w:val="007569DB"/>
    <w:rsid w:val="00756AE9"/>
    <w:rsid w:val="00756DBD"/>
    <w:rsid w:val="00756DF5"/>
    <w:rsid w:val="00756FFF"/>
    <w:rsid w:val="00757029"/>
    <w:rsid w:val="00757458"/>
    <w:rsid w:val="00757596"/>
    <w:rsid w:val="00757606"/>
    <w:rsid w:val="007578B5"/>
    <w:rsid w:val="00757904"/>
    <w:rsid w:val="00757943"/>
    <w:rsid w:val="00757A16"/>
    <w:rsid w:val="00757A49"/>
    <w:rsid w:val="00757D81"/>
    <w:rsid w:val="00757E4B"/>
    <w:rsid w:val="00757F8C"/>
    <w:rsid w:val="007601A0"/>
    <w:rsid w:val="0076041A"/>
    <w:rsid w:val="00760678"/>
    <w:rsid w:val="007608BC"/>
    <w:rsid w:val="00760967"/>
    <w:rsid w:val="00760A34"/>
    <w:rsid w:val="00760AC6"/>
    <w:rsid w:val="00760BE2"/>
    <w:rsid w:val="00760DB8"/>
    <w:rsid w:val="00760F5D"/>
    <w:rsid w:val="00761128"/>
    <w:rsid w:val="00761175"/>
    <w:rsid w:val="00761263"/>
    <w:rsid w:val="00761373"/>
    <w:rsid w:val="00761393"/>
    <w:rsid w:val="007616AD"/>
    <w:rsid w:val="00761833"/>
    <w:rsid w:val="007618F4"/>
    <w:rsid w:val="00761A03"/>
    <w:rsid w:val="00761A5F"/>
    <w:rsid w:val="00761ACB"/>
    <w:rsid w:val="00761C1F"/>
    <w:rsid w:val="00761C4E"/>
    <w:rsid w:val="00761C90"/>
    <w:rsid w:val="00761EE8"/>
    <w:rsid w:val="007621C8"/>
    <w:rsid w:val="00762384"/>
    <w:rsid w:val="007624BA"/>
    <w:rsid w:val="00762613"/>
    <w:rsid w:val="007627E6"/>
    <w:rsid w:val="0076284A"/>
    <w:rsid w:val="00762989"/>
    <w:rsid w:val="007629A9"/>
    <w:rsid w:val="00762CC6"/>
    <w:rsid w:val="00762D4E"/>
    <w:rsid w:val="0076304C"/>
    <w:rsid w:val="007630D9"/>
    <w:rsid w:val="0076331B"/>
    <w:rsid w:val="007633EC"/>
    <w:rsid w:val="0076374A"/>
    <w:rsid w:val="00763825"/>
    <w:rsid w:val="00763901"/>
    <w:rsid w:val="00763912"/>
    <w:rsid w:val="0076393C"/>
    <w:rsid w:val="00763BDB"/>
    <w:rsid w:val="00763D7F"/>
    <w:rsid w:val="00763E75"/>
    <w:rsid w:val="0076416A"/>
    <w:rsid w:val="007641EB"/>
    <w:rsid w:val="0076425E"/>
    <w:rsid w:val="007643D3"/>
    <w:rsid w:val="007645F3"/>
    <w:rsid w:val="00764680"/>
    <w:rsid w:val="0076481B"/>
    <w:rsid w:val="007649BE"/>
    <w:rsid w:val="00764AF3"/>
    <w:rsid w:val="00764B55"/>
    <w:rsid w:val="00764CC4"/>
    <w:rsid w:val="00764E18"/>
    <w:rsid w:val="00764F93"/>
    <w:rsid w:val="00764FA4"/>
    <w:rsid w:val="007650A1"/>
    <w:rsid w:val="007651F6"/>
    <w:rsid w:val="0076527E"/>
    <w:rsid w:val="0076537A"/>
    <w:rsid w:val="00765721"/>
    <w:rsid w:val="00765F70"/>
    <w:rsid w:val="00765F76"/>
    <w:rsid w:val="00766081"/>
    <w:rsid w:val="00766147"/>
    <w:rsid w:val="007661E9"/>
    <w:rsid w:val="00766347"/>
    <w:rsid w:val="00766573"/>
    <w:rsid w:val="0076667C"/>
    <w:rsid w:val="007668C1"/>
    <w:rsid w:val="00766945"/>
    <w:rsid w:val="007669DC"/>
    <w:rsid w:val="00766E09"/>
    <w:rsid w:val="00766E51"/>
    <w:rsid w:val="00766FBE"/>
    <w:rsid w:val="007670EA"/>
    <w:rsid w:val="007671A0"/>
    <w:rsid w:val="00767244"/>
    <w:rsid w:val="0076741B"/>
    <w:rsid w:val="007675A6"/>
    <w:rsid w:val="007675E4"/>
    <w:rsid w:val="00767643"/>
    <w:rsid w:val="00767A69"/>
    <w:rsid w:val="00767ABB"/>
    <w:rsid w:val="00767CA6"/>
    <w:rsid w:val="00767D4B"/>
    <w:rsid w:val="00767F85"/>
    <w:rsid w:val="00770003"/>
    <w:rsid w:val="00770149"/>
    <w:rsid w:val="00770288"/>
    <w:rsid w:val="007703C3"/>
    <w:rsid w:val="007705A7"/>
    <w:rsid w:val="00770720"/>
    <w:rsid w:val="00770751"/>
    <w:rsid w:val="0077076C"/>
    <w:rsid w:val="007708A4"/>
    <w:rsid w:val="0077097C"/>
    <w:rsid w:val="00770A4C"/>
    <w:rsid w:val="00770B80"/>
    <w:rsid w:val="00770C6C"/>
    <w:rsid w:val="00770D37"/>
    <w:rsid w:val="00770DE0"/>
    <w:rsid w:val="00770EBE"/>
    <w:rsid w:val="00771177"/>
    <w:rsid w:val="00771613"/>
    <w:rsid w:val="0077170F"/>
    <w:rsid w:val="0077179C"/>
    <w:rsid w:val="007717D1"/>
    <w:rsid w:val="00771811"/>
    <w:rsid w:val="00771A6B"/>
    <w:rsid w:val="00771D78"/>
    <w:rsid w:val="00771E44"/>
    <w:rsid w:val="00771EE4"/>
    <w:rsid w:val="007720E9"/>
    <w:rsid w:val="00772566"/>
    <w:rsid w:val="00772697"/>
    <w:rsid w:val="00772744"/>
    <w:rsid w:val="00772B00"/>
    <w:rsid w:val="00772B5F"/>
    <w:rsid w:val="00772D15"/>
    <w:rsid w:val="00772DDF"/>
    <w:rsid w:val="00773079"/>
    <w:rsid w:val="00773427"/>
    <w:rsid w:val="0077389D"/>
    <w:rsid w:val="00773944"/>
    <w:rsid w:val="007739F5"/>
    <w:rsid w:val="00773D24"/>
    <w:rsid w:val="00773F9B"/>
    <w:rsid w:val="00774040"/>
    <w:rsid w:val="007740F7"/>
    <w:rsid w:val="0077446E"/>
    <w:rsid w:val="007744C8"/>
    <w:rsid w:val="0077465D"/>
    <w:rsid w:val="00774783"/>
    <w:rsid w:val="0077486A"/>
    <w:rsid w:val="00774976"/>
    <w:rsid w:val="007749D3"/>
    <w:rsid w:val="007749F2"/>
    <w:rsid w:val="00774F0F"/>
    <w:rsid w:val="00775056"/>
    <w:rsid w:val="007750C5"/>
    <w:rsid w:val="00775281"/>
    <w:rsid w:val="00775382"/>
    <w:rsid w:val="007753ED"/>
    <w:rsid w:val="0077544C"/>
    <w:rsid w:val="007754F4"/>
    <w:rsid w:val="007756B1"/>
    <w:rsid w:val="00775724"/>
    <w:rsid w:val="00775A2A"/>
    <w:rsid w:val="00775E60"/>
    <w:rsid w:val="00775ED8"/>
    <w:rsid w:val="00775F2B"/>
    <w:rsid w:val="00775FD4"/>
    <w:rsid w:val="00776306"/>
    <w:rsid w:val="007768D2"/>
    <w:rsid w:val="00776908"/>
    <w:rsid w:val="00776A8B"/>
    <w:rsid w:val="00776B11"/>
    <w:rsid w:val="00776BC2"/>
    <w:rsid w:val="00776D46"/>
    <w:rsid w:val="00776D52"/>
    <w:rsid w:val="00776F68"/>
    <w:rsid w:val="00776F6C"/>
    <w:rsid w:val="007771ED"/>
    <w:rsid w:val="00777231"/>
    <w:rsid w:val="0077743E"/>
    <w:rsid w:val="00777682"/>
    <w:rsid w:val="0077783D"/>
    <w:rsid w:val="0077794E"/>
    <w:rsid w:val="00777975"/>
    <w:rsid w:val="00777A63"/>
    <w:rsid w:val="00777CCB"/>
    <w:rsid w:val="00777F73"/>
    <w:rsid w:val="0078027A"/>
    <w:rsid w:val="00780472"/>
    <w:rsid w:val="007805D5"/>
    <w:rsid w:val="00780834"/>
    <w:rsid w:val="00780A7B"/>
    <w:rsid w:val="00780D36"/>
    <w:rsid w:val="00780D73"/>
    <w:rsid w:val="00780D82"/>
    <w:rsid w:val="00780E30"/>
    <w:rsid w:val="00780E69"/>
    <w:rsid w:val="00780F94"/>
    <w:rsid w:val="00781101"/>
    <w:rsid w:val="007811CE"/>
    <w:rsid w:val="00781822"/>
    <w:rsid w:val="007818B1"/>
    <w:rsid w:val="00781932"/>
    <w:rsid w:val="00781C9C"/>
    <w:rsid w:val="00781CC2"/>
    <w:rsid w:val="00781FDE"/>
    <w:rsid w:val="0078226B"/>
    <w:rsid w:val="0078265F"/>
    <w:rsid w:val="0078293C"/>
    <w:rsid w:val="007829D3"/>
    <w:rsid w:val="00782A3C"/>
    <w:rsid w:val="00782AE0"/>
    <w:rsid w:val="00782CEA"/>
    <w:rsid w:val="0078306D"/>
    <w:rsid w:val="007830D7"/>
    <w:rsid w:val="00783114"/>
    <w:rsid w:val="007832C5"/>
    <w:rsid w:val="00783564"/>
    <w:rsid w:val="00783566"/>
    <w:rsid w:val="0078358F"/>
    <w:rsid w:val="0078374C"/>
    <w:rsid w:val="0078399F"/>
    <w:rsid w:val="00783A59"/>
    <w:rsid w:val="00783AF6"/>
    <w:rsid w:val="007841DA"/>
    <w:rsid w:val="0078423A"/>
    <w:rsid w:val="00784340"/>
    <w:rsid w:val="00784439"/>
    <w:rsid w:val="007844DC"/>
    <w:rsid w:val="00784530"/>
    <w:rsid w:val="00784A05"/>
    <w:rsid w:val="00784A06"/>
    <w:rsid w:val="00784B84"/>
    <w:rsid w:val="00784D34"/>
    <w:rsid w:val="00784E12"/>
    <w:rsid w:val="0078502B"/>
    <w:rsid w:val="007850EC"/>
    <w:rsid w:val="00785216"/>
    <w:rsid w:val="00785263"/>
    <w:rsid w:val="00785381"/>
    <w:rsid w:val="007853C5"/>
    <w:rsid w:val="00785478"/>
    <w:rsid w:val="00785487"/>
    <w:rsid w:val="00785500"/>
    <w:rsid w:val="00785804"/>
    <w:rsid w:val="0078587F"/>
    <w:rsid w:val="0078597D"/>
    <w:rsid w:val="0078598A"/>
    <w:rsid w:val="007859F2"/>
    <w:rsid w:val="00785B5D"/>
    <w:rsid w:val="007862E7"/>
    <w:rsid w:val="00786590"/>
    <w:rsid w:val="00786593"/>
    <w:rsid w:val="0078666D"/>
    <w:rsid w:val="00786706"/>
    <w:rsid w:val="0078689A"/>
    <w:rsid w:val="007869F5"/>
    <w:rsid w:val="00786AF8"/>
    <w:rsid w:val="00786B4D"/>
    <w:rsid w:val="00786C58"/>
    <w:rsid w:val="00786F6B"/>
    <w:rsid w:val="0078709F"/>
    <w:rsid w:val="0078720B"/>
    <w:rsid w:val="00787298"/>
    <w:rsid w:val="007872ED"/>
    <w:rsid w:val="007873B7"/>
    <w:rsid w:val="007873F3"/>
    <w:rsid w:val="007877E7"/>
    <w:rsid w:val="0078782D"/>
    <w:rsid w:val="0078792D"/>
    <w:rsid w:val="00787AE6"/>
    <w:rsid w:val="00787B0C"/>
    <w:rsid w:val="00787E36"/>
    <w:rsid w:val="00787E97"/>
    <w:rsid w:val="0079017F"/>
    <w:rsid w:val="0079023D"/>
    <w:rsid w:val="00790348"/>
    <w:rsid w:val="00790472"/>
    <w:rsid w:val="007905FF"/>
    <w:rsid w:val="0079065C"/>
    <w:rsid w:val="0079090A"/>
    <w:rsid w:val="007909A5"/>
    <w:rsid w:val="00790A75"/>
    <w:rsid w:val="00790A94"/>
    <w:rsid w:val="00790C3B"/>
    <w:rsid w:val="00790C88"/>
    <w:rsid w:val="00790D3C"/>
    <w:rsid w:val="00790E93"/>
    <w:rsid w:val="007911DE"/>
    <w:rsid w:val="00791250"/>
    <w:rsid w:val="007917B7"/>
    <w:rsid w:val="00791852"/>
    <w:rsid w:val="00791979"/>
    <w:rsid w:val="00791A1F"/>
    <w:rsid w:val="00791AC6"/>
    <w:rsid w:val="00791BD2"/>
    <w:rsid w:val="00791DDA"/>
    <w:rsid w:val="0079206D"/>
    <w:rsid w:val="007920F0"/>
    <w:rsid w:val="00792223"/>
    <w:rsid w:val="007923B5"/>
    <w:rsid w:val="00792495"/>
    <w:rsid w:val="007928CA"/>
    <w:rsid w:val="007928D9"/>
    <w:rsid w:val="007928DC"/>
    <w:rsid w:val="00792E94"/>
    <w:rsid w:val="00792EB1"/>
    <w:rsid w:val="00792F58"/>
    <w:rsid w:val="00792F6B"/>
    <w:rsid w:val="007930AF"/>
    <w:rsid w:val="007935E4"/>
    <w:rsid w:val="007936AE"/>
    <w:rsid w:val="007937A8"/>
    <w:rsid w:val="00793803"/>
    <w:rsid w:val="0079399A"/>
    <w:rsid w:val="007939D8"/>
    <w:rsid w:val="00793A0A"/>
    <w:rsid w:val="00793A7D"/>
    <w:rsid w:val="00793C14"/>
    <w:rsid w:val="00793CD3"/>
    <w:rsid w:val="00793DA3"/>
    <w:rsid w:val="00793DDB"/>
    <w:rsid w:val="00793E1F"/>
    <w:rsid w:val="00793F3C"/>
    <w:rsid w:val="00793F79"/>
    <w:rsid w:val="0079410C"/>
    <w:rsid w:val="00794137"/>
    <w:rsid w:val="007941F9"/>
    <w:rsid w:val="0079425C"/>
    <w:rsid w:val="0079474D"/>
    <w:rsid w:val="00794BBF"/>
    <w:rsid w:val="00794C1E"/>
    <w:rsid w:val="00794C75"/>
    <w:rsid w:val="00794D5C"/>
    <w:rsid w:val="007951C3"/>
    <w:rsid w:val="007952AD"/>
    <w:rsid w:val="007957C9"/>
    <w:rsid w:val="007957FF"/>
    <w:rsid w:val="00795820"/>
    <w:rsid w:val="00795844"/>
    <w:rsid w:val="00795871"/>
    <w:rsid w:val="00795A69"/>
    <w:rsid w:val="00795AEE"/>
    <w:rsid w:val="00795F25"/>
    <w:rsid w:val="0079608F"/>
    <w:rsid w:val="00796270"/>
    <w:rsid w:val="007962BE"/>
    <w:rsid w:val="00796351"/>
    <w:rsid w:val="007963F3"/>
    <w:rsid w:val="00796525"/>
    <w:rsid w:val="007966EB"/>
    <w:rsid w:val="00796783"/>
    <w:rsid w:val="007968D2"/>
    <w:rsid w:val="00796966"/>
    <w:rsid w:val="007969F4"/>
    <w:rsid w:val="00796AE2"/>
    <w:rsid w:val="00796B5F"/>
    <w:rsid w:val="00797339"/>
    <w:rsid w:val="00797341"/>
    <w:rsid w:val="0079746F"/>
    <w:rsid w:val="007974E3"/>
    <w:rsid w:val="0079782D"/>
    <w:rsid w:val="007979F5"/>
    <w:rsid w:val="00797BFD"/>
    <w:rsid w:val="00797F30"/>
    <w:rsid w:val="007A0035"/>
    <w:rsid w:val="007A00E6"/>
    <w:rsid w:val="007A017C"/>
    <w:rsid w:val="007A018C"/>
    <w:rsid w:val="007A02B0"/>
    <w:rsid w:val="007A0434"/>
    <w:rsid w:val="007A058F"/>
    <w:rsid w:val="007A06F5"/>
    <w:rsid w:val="007A0823"/>
    <w:rsid w:val="007A0955"/>
    <w:rsid w:val="007A0C6D"/>
    <w:rsid w:val="007A0EF8"/>
    <w:rsid w:val="007A1014"/>
    <w:rsid w:val="007A1569"/>
    <w:rsid w:val="007A166D"/>
    <w:rsid w:val="007A1805"/>
    <w:rsid w:val="007A1847"/>
    <w:rsid w:val="007A19AF"/>
    <w:rsid w:val="007A1C55"/>
    <w:rsid w:val="007A1CD5"/>
    <w:rsid w:val="007A1DF5"/>
    <w:rsid w:val="007A1E62"/>
    <w:rsid w:val="007A1F55"/>
    <w:rsid w:val="007A20B1"/>
    <w:rsid w:val="007A23C7"/>
    <w:rsid w:val="007A24CC"/>
    <w:rsid w:val="007A2773"/>
    <w:rsid w:val="007A2D46"/>
    <w:rsid w:val="007A3366"/>
    <w:rsid w:val="007A362F"/>
    <w:rsid w:val="007A39E5"/>
    <w:rsid w:val="007A3A65"/>
    <w:rsid w:val="007A3ADA"/>
    <w:rsid w:val="007A3EC9"/>
    <w:rsid w:val="007A3EFC"/>
    <w:rsid w:val="007A3F4D"/>
    <w:rsid w:val="007A3F92"/>
    <w:rsid w:val="007A4033"/>
    <w:rsid w:val="007A4108"/>
    <w:rsid w:val="007A423A"/>
    <w:rsid w:val="007A42A5"/>
    <w:rsid w:val="007A430D"/>
    <w:rsid w:val="007A43F8"/>
    <w:rsid w:val="007A4434"/>
    <w:rsid w:val="007A4536"/>
    <w:rsid w:val="007A4583"/>
    <w:rsid w:val="007A476A"/>
    <w:rsid w:val="007A4FBB"/>
    <w:rsid w:val="007A5088"/>
    <w:rsid w:val="007A512E"/>
    <w:rsid w:val="007A51F1"/>
    <w:rsid w:val="007A5693"/>
    <w:rsid w:val="007A5830"/>
    <w:rsid w:val="007A5B58"/>
    <w:rsid w:val="007A5BC4"/>
    <w:rsid w:val="007A5BE5"/>
    <w:rsid w:val="007A5D0E"/>
    <w:rsid w:val="007A608C"/>
    <w:rsid w:val="007A6256"/>
    <w:rsid w:val="007A628C"/>
    <w:rsid w:val="007A637E"/>
    <w:rsid w:val="007A63AD"/>
    <w:rsid w:val="007A6443"/>
    <w:rsid w:val="007A65D1"/>
    <w:rsid w:val="007A66E5"/>
    <w:rsid w:val="007A686B"/>
    <w:rsid w:val="007A6B95"/>
    <w:rsid w:val="007A6D10"/>
    <w:rsid w:val="007A6D8C"/>
    <w:rsid w:val="007A6E8A"/>
    <w:rsid w:val="007A6F5F"/>
    <w:rsid w:val="007A70C6"/>
    <w:rsid w:val="007A7155"/>
    <w:rsid w:val="007A7206"/>
    <w:rsid w:val="007A782F"/>
    <w:rsid w:val="007A7894"/>
    <w:rsid w:val="007A793B"/>
    <w:rsid w:val="007A7B38"/>
    <w:rsid w:val="007A7B5E"/>
    <w:rsid w:val="007A7EB7"/>
    <w:rsid w:val="007A7ED9"/>
    <w:rsid w:val="007A7FFC"/>
    <w:rsid w:val="007B0046"/>
    <w:rsid w:val="007B00FA"/>
    <w:rsid w:val="007B0144"/>
    <w:rsid w:val="007B02A4"/>
    <w:rsid w:val="007B0382"/>
    <w:rsid w:val="007B04AC"/>
    <w:rsid w:val="007B0835"/>
    <w:rsid w:val="007B0AB0"/>
    <w:rsid w:val="007B0B7A"/>
    <w:rsid w:val="007B0D8C"/>
    <w:rsid w:val="007B0D9D"/>
    <w:rsid w:val="007B0DB8"/>
    <w:rsid w:val="007B0E68"/>
    <w:rsid w:val="007B0F18"/>
    <w:rsid w:val="007B10CD"/>
    <w:rsid w:val="007B10D9"/>
    <w:rsid w:val="007B10EF"/>
    <w:rsid w:val="007B10F9"/>
    <w:rsid w:val="007B1474"/>
    <w:rsid w:val="007B16EE"/>
    <w:rsid w:val="007B1763"/>
    <w:rsid w:val="007B1AD3"/>
    <w:rsid w:val="007B1B40"/>
    <w:rsid w:val="007B1E9F"/>
    <w:rsid w:val="007B1EB0"/>
    <w:rsid w:val="007B1EBB"/>
    <w:rsid w:val="007B2059"/>
    <w:rsid w:val="007B2123"/>
    <w:rsid w:val="007B2217"/>
    <w:rsid w:val="007B227C"/>
    <w:rsid w:val="007B22ED"/>
    <w:rsid w:val="007B23CD"/>
    <w:rsid w:val="007B23EF"/>
    <w:rsid w:val="007B2621"/>
    <w:rsid w:val="007B2635"/>
    <w:rsid w:val="007B26CC"/>
    <w:rsid w:val="007B304B"/>
    <w:rsid w:val="007B3293"/>
    <w:rsid w:val="007B3583"/>
    <w:rsid w:val="007B3729"/>
    <w:rsid w:val="007B38A8"/>
    <w:rsid w:val="007B39B6"/>
    <w:rsid w:val="007B3A4C"/>
    <w:rsid w:val="007B3AFF"/>
    <w:rsid w:val="007B3E81"/>
    <w:rsid w:val="007B3F27"/>
    <w:rsid w:val="007B3F37"/>
    <w:rsid w:val="007B41EE"/>
    <w:rsid w:val="007B429A"/>
    <w:rsid w:val="007B43DF"/>
    <w:rsid w:val="007B4731"/>
    <w:rsid w:val="007B4AC9"/>
    <w:rsid w:val="007B4BFD"/>
    <w:rsid w:val="007B512C"/>
    <w:rsid w:val="007B540E"/>
    <w:rsid w:val="007B54F9"/>
    <w:rsid w:val="007B5543"/>
    <w:rsid w:val="007B55A1"/>
    <w:rsid w:val="007B55E5"/>
    <w:rsid w:val="007B583E"/>
    <w:rsid w:val="007B5F47"/>
    <w:rsid w:val="007B61FB"/>
    <w:rsid w:val="007B62A9"/>
    <w:rsid w:val="007B630A"/>
    <w:rsid w:val="007B63BD"/>
    <w:rsid w:val="007B65E9"/>
    <w:rsid w:val="007B65EB"/>
    <w:rsid w:val="007B65FD"/>
    <w:rsid w:val="007B68DE"/>
    <w:rsid w:val="007B6AD0"/>
    <w:rsid w:val="007B6EDB"/>
    <w:rsid w:val="007B6F1A"/>
    <w:rsid w:val="007B6F29"/>
    <w:rsid w:val="007B706E"/>
    <w:rsid w:val="007B7107"/>
    <w:rsid w:val="007B7253"/>
    <w:rsid w:val="007B7326"/>
    <w:rsid w:val="007B7472"/>
    <w:rsid w:val="007B74F3"/>
    <w:rsid w:val="007B74FC"/>
    <w:rsid w:val="007B761D"/>
    <w:rsid w:val="007B77DE"/>
    <w:rsid w:val="007B7877"/>
    <w:rsid w:val="007B78F2"/>
    <w:rsid w:val="007B78F8"/>
    <w:rsid w:val="007B7A87"/>
    <w:rsid w:val="007B7A95"/>
    <w:rsid w:val="007B7D6A"/>
    <w:rsid w:val="007B7D84"/>
    <w:rsid w:val="007B7DAF"/>
    <w:rsid w:val="007B7DF2"/>
    <w:rsid w:val="007B7E0B"/>
    <w:rsid w:val="007B7E1D"/>
    <w:rsid w:val="007C0117"/>
    <w:rsid w:val="007C045C"/>
    <w:rsid w:val="007C055B"/>
    <w:rsid w:val="007C07BE"/>
    <w:rsid w:val="007C08B3"/>
    <w:rsid w:val="007C08E2"/>
    <w:rsid w:val="007C0A26"/>
    <w:rsid w:val="007C0A72"/>
    <w:rsid w:val="007C0BFC"/>
    <w:rsid w:val="007C0E75"/>
    <w:rsid w:val="007C0E8B"/>
    <w:rsid w:val="007C10B6"/>
    <w:rsid w:val="007C1209"/>
    <w:rsid w:val="007C125E"/>
    <w:rsid w:val="007C13E6"/>
    <w:rsid w:val="007C13EB"/>
    <w:rsid w:val="007C1490"/>
    <w:rsid w:val="007C1633"/>
    <w:rsid w:val="007C18F2"/>
    <w:rsid w:val="007C1A90"/>
    <w:rsid w:val="007C1F5B"/>
    <w:rsid w:val="007C21D8"/>
    <w:rsid w:val="007C220E"/>
    <w:rsid w:val="007C2219"/>
    <w:rsid w:val="007C2504"/>
    <w:rsid w:val="007C25B1"/>
    <w:rsid w:val="007C2692"/>
    <w:rsid w:val="007C270C"/>
    <w:rsid w:val="007C29BA"/>
    <w:rsid w:val="007C2B68"/>
    <w:rsid w:val="007C2E3B"/>
    <w:rsid w:val="007C2FBB"/>
    <w:rsid w:val="007C3033"/>
    <w:rsid w:val="007C30A2"/>
    <w:rsid w:val="007C312B"/>
    <w:rsid w:val="007C318F"/>
    <w:rsid w:val="007C326B"/>
    <w:rsid w:val="007C335B"/>
    <w:rsid w:val="007C339C"/>
    <w:rsid w:val="007C3403"/>
    <w:rsid w:val="007C344D"/>
    <w:rsid w:val="007C3509"/>
    <w:rsid w:val="007C3580"/>
    <w:rsid w:val="007C3643"/>
    <w:rsid w:val="007C3685"/>
    <w:rsid w:val="007C3955"/>
    <w:rsid w:val="007C3AF3"/>
    <w:rsid w:val="007C3AFD"/>
    <w:rsid w:val="007C3BC7"/>
    <w:rsid w:val="007C3C54"/>
    <w:rsid w:val="007C3FB3"/>
    <w:rsid w:val="007C3FF2"/>
    <w:rsid w:val="007C448C"/>
    <w:rsid w:val="007C457B"/>
    <w:rsid w:val="007C45A0"/>
    <w:rsid w:val="007C4681"/>
    <w:rsid w:val="007C49BE"/>
    <w:rsid w:val="007C49F5"/>
    <w:rsid w:val="007C4AF1"/>
    <w:rsid w:val="007C4F31"/>
    <w:rsid w:val="007C4FB0"/>
    <w:rsid w:val="007C515B"/>
    <w:rsid w:val="007C5299"/>
    <w:rsid w:val="007C5318"/>
    <w:rsid w:val="007C54F2"/>
    <w:rsid w:val="007C5550"/>
    <w:rsid w:val="007C5568"/>
    <w:rsid w:val="007C5714"/>
    <w:rsid w:val="007C5E3E"/>
    <w:rsid w:val="007C5E75"/>
    <w:rsid w:val="007C5F9C"/>
    <w:rsid w:val="007C6077"/>
    <w:rsid w:val="007C620C"/>
    <w:rsid w:val="007C6269"/>
    <w:rsid w:val="007C62E9"/>
    <w:rsid w:val="007C6451"/>
    <w:rsid w:val="007C64B5"/>
    <w:rsid w:val="007C6561"/>
    <w:rsid w:val="007C6860"/>
    <w:rsid w:val="007C6AFA"/>
    <w:rsid w:val="007C6B71"/>
    <w:rsid w:val="007C6E24"/>
    <w:rsid w:val="007C6F0A"/>
    <w:rsid w:val="007C7037"/>
    <w:rsid w:val="007C708A"/>
    <w:rsid w:val="007C713A"/>
    <w:rsid w:val="007C7265"/>
    <w:rsid w:val="007C732B"/>
    <w:rsid w:val="007C7368"/>
    <w:rsid w:val="007C7427"/>
    <w:rsid w:val="007C747B"/>
    <w:rsid w:val="007C7745"/>
    <w:rsid w:val="007C78FB"/>
    <w:rsid w:val="007C7B0B"/>
    <w:rsid w:val="007C7BD0"/>
    <w:rsid w:val="007C7E60"/>
    <w:rsid w:val="007C7F23"/>
    <w:rsid w:val="007D003D"/>
    <w:rsid w:val="007D0182"/>
    <w:rsid w:val="007D0224"/>
    <w:rsid w:val="007D0247"/>
    <w:rsid w:val="007D0437"/>
    <w:rsid w:val="007D0893"/>
    <w:rsid w:val="007D0B08"/>
    <w:rsid w:val="007D0D07"/>
    <w:rsid w:val="007D0E70"/>
    <w:rsid w:val="007D0F65"/>
    <w:rsid w:val="007D13C4"/>
    <w:rsid w:val="007D1AAE"/>
    <w:rsid w:val="007D1D99"/>
    <w:rsid w:val="007D1E6F"/>
    <w:rsid w:val="007D22B4"/>
    <w:rsid w:val="007D22C4"/>
    <w:rsid w:val="007D249F"/>
    <w:rsid w:val="007D2515"/>
    <w:rsid w:val="007D2574"/>
    <w:rsid w:val="007D25EE"/>
    <w:rsid w:val="007D25FA"/>
    <w:rsid w:val="007D26EC"/>
    <w:rsid w:val="007D2944"/>
    <w:rsid w:val="007D2A28"/>
    <w:rsid w:val="007D2A4E"/>
    <w:rsid w:val="007D2BC8"/>
    <w:rsid w:val="007D2D02"/>
    <w:rsid w:val="007D30D2"/>
    <w:rsid w:val="007D3149"/>
    <w:rsid w:val="007D31D9"/>
    <w:rsid w:val="007D3253"/>
    <w:rsid w:val="007D3347"/>
    <w:rsid w:val="007D343B"/>
    <w:rsid w:val="007D3626"/>
    <w:rsid w:val="007D3867"/>
    <w:rsid w:val="007D3B72"/>
    <w:rsid w:val="007D3BE0"/>
    <w:rsid w:val="007D3C93"/>
    <w:rsid w:val="007D3DB1"/>
    <w:rsid w:val="007D3E13"/>
    <w:rsid w:val="007D3FCF"/>
    <w:rsid w:val="007D41F1"/>
    <w:rsid w:val="007D422F"/>
    <w:rsid w:val="007D4416"/>
    <w:rsid w:val="007D4651"/>
    <w:rsid w:val="007D481B"/>
    <w:rsid w:val="007D4995"/>
    <w:rsid w:val="007D4BE7"/>
    <w:rsid w:val="007D4BEE"/>
    <w:rsid w:val="007D4DBC"/>
    <w:rsid w:val="007D4DF0"/>
    <w:rsid w:val="007D4EDA"/>
    <w:rsid w:val="007D4F4A"/>
    <w:rsid w:val="007D5057"/>
    <w:rsid w:val="007D52A2"/>
    <w:rsid w:val="007D53FF"/>
    <w:rsid w:val="007D57D6"/>
    <w:rsid w:val="007D57F5"/>
    <w:rsid w:val="007D58BE"/>
    <w:rsid w:val="007D58DD"/>
    <w:rsid w:val="007D5ACA"/>
    <w:rsid w:val="007D5B03"/>
    <w:rsid w:val="007D5BF2"/>
    <w:rsid w:val="007D5C84"/>
    <w:rsid w:val="007D5DE6"/>
    <w:rsid w:val="007D6220"/>
    <w:rsid w:val="007D68A1"/>
    <w:rsid w:val="007D6965"/>
    <w:rsid w:val="007D6AA6"/>
    <w:rsid w:val="007D6E5C"/>
    <w:rsid w:val="007D70C0"/>
    <w:rsid w:val="007D74D5"/>
    <w:rsid w:val="007D7C16"/>
    <w:rsid w:val="007D7C99"/>
    <w:rsid w:val="007E0186"/>
    <w:rsid w:val="007E03FF"/>
    <w:rsid w:val="007E04FA"/>
    <w:rsid w:val="007E054F"/>
    <w:rsid w:val="007E05FF"/>
    <w:rsid w:val="007E0D11"/>
    <w:rsid w:val="007E0E7D"/>
    <w:rsid w:val="007E104A"/>
    <w:rsid w:val="007E1189"/>
    <w:rsid w:val="007E11FB"/>
    <w:rsid w:val="007E1350"/>
    <w:rsid w:val="007E146A"/>
    <w:rsid w:val="007E147E"/>
    <w:rsid w:val="007E1480"/>
    <w:rsid w:val="007E1846"/>
    <w:rsid w:val="007E198A"/>
    <w:rsid w:val="007E1A0B"/>
    <w:rsid w:val="007E1CEC"/>
    <w:rsid w:val="007E1DCB"/>
    <w:rsid w:val="007E1E1D"/>
    <w:rsid w:val="007E1E61"/>
    <w:rsid w:val="007E2430"/>
    <w:rsid w:val="007E26BA"/>
    <w:rsid w:val="007E2708"/>
    <w:rsid w:val="007E273A"/>
    <w:rsid w:val="007E2950"/>
    <w:rsid w:val="007E2A52"/>
    <w:rsid w:val="007E2B8C"/>
    <w:rsid w:val="007E2EC7"/>
    <w:rsid w:val="007E2F12"/>
    <w:rsid w:val="007E2F1C"/>
    <w:rsid w:val="007E30C0"/>
    <w:rsid w:val="007E31FA"/>
    <w:rsid w:val="007E3334"/>
    <w:rsid w:val="007E39F0"/>
    <w:rsid w:val="007E3C17"/>
    <w:rsid w:val="007E3DC2"/>
    <w:rsid w:val="007E3F01"/>
    <w:rsid w:val="007E4152"/>
    <w:rsid w:val="007E41B6"/>
    <w:rsid w:val="007E41F6"/>
    <w:rsid w:val="007E4484"/>
    <w:rsid w:val="007E4622"/>
    <w:rsid w:val="007E48DB"/>
    <w:rsid w:val="007E4AF8"/>
    <w:rsid w:val="007E510A"/>
    <w:rsid w:val="007E51D0"/>
    <w:rsid w:val="007E51DB"/>
    <w:rsid w:val="007E52EA"/>
    <w:rsid w:val="007E53E0"/>
    <w:rsid w:val="007E559B"/>
    <w:rsid w:val="007E56CD"/>
    <w:rsid w:val="007E5751"/>
    <w:rsid w:val="007E589D"/>
    <w:rsid w:val="007E59A1"/>
    <w:rsid w:val="007E5C9C"/>
    <w:rsid w:val="007E5D11"/>
    <w:rsid w:val="007E5DBF"/>
    <w:rsid w:val="007E601D"/>
    <w:rsid w:val="007E60E8"/>
    <w:rsid w:val="007E61F4"/>
    <w:rsid w:val="007E63E6"/>
    <w:rsid w:val="007E65D7"/>
    <w:rsid w:val="007E67A2"/>
    <w:rsid w:val="007E6B85"/>
    <w:rsid w:val="007E6BE9"/>
    <w:rsid w:val="007E6C77"/>
    <w:rsid w:val="007E6E84"/>
    <w:rsid w:val="007E6E95"/>
    <w:rsid w:val="007E6F17"/>
    <w:rsid w:val="007E6FC2"/>
    <w:rsid w:val="007E7069"/>
    <w:rsid w:val="007E7106"/>
    <w:rsid w:val="007E7132"/>
    <w:rsid w:val="007E7254"/>
    <w:rsid w:val="007E7390"/>
    <w:rsid w:val="007E748C"/>
    <w:rsid w:val="007E7516"/>
    <w:rsid w:val="007E754F"/>
    <w:rsid w:val="007E7825"/>
    <w:rsid w:val="007E7E60"/>
    <w:rsid w:val="007E7EC4"/>
    <w:rsid w:val="007E7F4E"/>
    <w:rsid w:val="007E7FDF"/>
    <w:rsid w:val="007F02F4"/>
    <w:rsid w:val="007F0699"/>
    <w:rsid w:val="007F06E6"/>
    <w:rsid w:val="007F08C8"/>
    <w:rsid w:val="007F0C7F"/>
    <w:rsid w:val="007F0C92"/>
    <w:rsid w:val="007F0DAD"/>
    <w:rsid w:val="007F0DE5"/>
    <w:rsid w:val="007F0F0E"/>
    <w:rsid w:val="007F150F"/>
    <w:rsid w:val="007F18F9"/>
    <w:rsid w:val="007F194C"/>
    <w:rsid w:val="007F19CE"/>
    <w:rsid w:val="007F1C33"/>
    <w:rsid w:val="007F1CAE"/>
    <w:rsid w:val="007F1D3F"/>
    <w:rsid w:val="007F1DB1"/>
    <w:rsid w:val="007F1ED1"/>
    <w:rsid w:val="007F226D"/>
    <w:rsid w:val="007F278F"/>
    <w:rsid w:val="007F289A"/>
    <w:rsid w:val="007F2931"/>
    <w:rsid w:val="007F2A2B"/>
    <w:rsid w:val="007F2ABE"/>
    <w:rsid w:val="007F2F09"/>
    <w:rsid w:val="007F2F7B"/>
    <w:rsid w:val="007F317D"/>
    <w:rsid w:val="007F32B2"/>
    <w:rsid w:val="007F33CE"/>
    <w:rsid w:val="007F33FC"/>
    <w:rsid w:val="007F34E1"/>
    <w:rsid w:val="007F351C"/>
    <w:rsid w:val="007F362A"/>
    <w:rsid w:val="007F364A"/>
    <w:rsid w:val="007F37E0"/>
    <w:rsid w:val="007F3AD5"/>
    <w:rsid w:val="007F3B56"/>
    <w:rsid w:val="007F3B6E"/>
    <w:rsid w:val="007F3BBD"/>
    <w:rsid w:val="007F43A6"/>
    <w:rsid w:val="007F43E0"/>
    <w:rsid w:val="007F4560"/>
    <w:rsid w:val="007F45D2"/>
    <w:rsid w:val="007F46BB"/>
    <w:rsid w:val="007F4886"/>
    <w:rsid w:val="007F48D2"/>
    <w:rsid w:val="007F4B6D"/>
    <w:rsid w:val="007F4CF8"/>
    <w:rsid w:val="007F4EC3"/>
    <w:rsid w:val="007F4EF7"/>
    <w:rsid w:val="007F4F3B"/>
    <w:rsid w:val="007F4F92"/>
    <w:rsid w:val="007F4F9B"/>
    <w:rsid w:val="007F4FC4"/>
    <w:rsid w:val="007F506D"/>
    <w:rsid w:val="007F50D1"/>
    <w:rsid w:val="007F5193"/>
    <w:rsid w:val="007F5642"/>
    <w:rsid w:val="007F5698"/>
    <w:rsid w:val="007F5B49"/>
    <w:rsid w:val="007F5BE5"/>
    <w:rsid w:val="007F62C8"/>
    <w:rsid w:val="007F6358"/>
    <w:rsid w:val="007F6473"/>
    <w:rsid w:val="007F64A1"/>
    <w:rsid w:val="007F64C2"/>
    <w:rsid w:val="007F658B"/>
    <w:rsid w:val="007F66BD"/>
    <w:rsid w:val="007F689E"/>
    <w:rsid w:val="007F694E"/>
    <w:rsid w:val="007F695D"/>
    <w:rsid w:val="007F6DCF"/>
    <w:rsid w:val="007F6E60"/>
    <w:rsid w:val="007F7167"/>
    <w:rsid w:val="007F7329"/>
    <w:rsid w:val="007F74F7"/>
    <w:rsid w:val="007F75A0"/>
    <w:rsid w:val="007F76E2"/>
    <w:rsid w:val="007F76E7"/>
    <w:rsid w:val="007F788B"/>
    <w:rsid w:val="007F7B36"/>
    <w:rsid w:val="007F7E34"/>
    <w:rsid w:val="007F7EA7"/>
    <w:rsid w:val="007F7FE9"/>
    <w:rsid w:val="008003A1"/>
    <w:rsid w:val="0080048A"/>
    <w:rsid w:val="00800644"/>
    <w:rsid w:val="00800780"/>
    <w:rsid w:val="00800AA6"/>
    <w:rsid w:val="00800B1A"/>
    <w:rsid w:val="00800D8B"/>
    <w:rsid w:val="00800DCC"/>
    <w:rsid w:val="00801161"/>
    <w:rsid w:val="0080118E"/>
    <w:rsid w:val="00801208"/>
    <w:rsid w:val="008012CB"/>
    <w:rsid w:val="008012F6"/>
    <w:rsid w:val="0080142D"/>
    <w:rsid w:val="00801567"/>
    <w:rsid w:val="0080171D"/>
    <w:rsid w:val="00801B45"/>
    <w:rsid w:val="00801CA2"/>
    <w:rsid w:val="00801DC7"/>
    <w:rsid w:val="00801E3D"/>
    <w:rsid w:val="00802075"/>
    <w:rsid w:val="008020DA"/>
    <w:rsid w:val="0080229C"/>
    <w:rsid w:val="008023F5"/>
    <w:rsid w:val="008025C3"/>
    <w:rsid w:val="008025E1"/>
    <w:rsid w:val="008026D1"/>
    <w:rsid w:val="008026FC"/>
    <w:rsid w:val="0080274A"/>
    <w:rsid w:val="008028DC"/>
    <w:rsid w:val="00802C55"/>
    <w:rsid w:val="00802E00"/>
    <w:rsid w:val="00803840"/>
    <w:rsid w:val="008038FF"/>
    <w:rsid w:val="00803960"/>
    <w:rsid w:val="00803B71"/>
    <w:rsid w:val="00803BC8"/>
    <w:rsid w:val="00803C99"/>
    <w:rsid w:val="00803DC5"/>
    <w:rsid w:val="00804036"/>
    <w:rsid w:val="00804157"/>
    <w:rsid w:val="00804190"/>
    <w:rsid w:val="0080428D"/>
    <w:rsid w:val="00804407"/>
    <w:rsid w:val="0080444C"/>
    <w:rsid w:val="0080486B"/>
    <w:rsid w:val="00804932"/>
    <w:rsid w:val="00804A88"/>
    <w:rsid w:val="00804AA4"/>
    <w:rsid w:val="00804B00"/>
    <w:rsid w:val="00804B0F"/>
    <w:rsid w:val="00804E5C"/>
    <w:rsid w:val="00805271"/>
    <w:rsid w:val="008052C1"/>
    <w:rsid w:val="008053D3"/>
    <w:rsid w:val="0080578B"/>
    <w:rsid w:val="0080580A"/>
    <w:rsid w:val="008058F4"/>
    <w:rsid w:val="00805F6F"/>
    <w:rsid w:val="00806163"/>
    <w:rsid w:val="008061E8"/>
    <w:rsid w:val="008067D5"/>
    <w:rsid w:val="00806994"/>
    <w:rsid w:val="00806AB4"/>
    <w:rsid w:val="00806E4C"/>
    <w:rsid w:val="00806F9A"/>
    <w:rsid w:val="00806FA8"/>
    <w:rsid w:val="00806FF7"/>
    <w:rsid w:val="008071CC"/>
    <w:rsid w:val="00807265"/>
    <w:rsid w:val="008074C9"/>
    <w:rsid w:val="00807B28"/>
    <w:rsid w:val="00807C35"/>
    <w:rsid w:val="00807D01"/>
    <w:rsid w:val="00807D5B"/>
    <w:rsid w:val="00807D9D"/>
    <w:rsid w:val="00810051"/>
    <w:rsid w:val="00810073"/>
    <w:rsid w:val="00810158"/>
    <w:rsid w:val="00810182"/>
    <w:rsid w:val="008103D9"/>
    <w:rsid w:val="00810480"/>
    <w:rsid w:val="008107CF"/>
    <w:rsid w:val="0081095E"/>
    <w:rsid w:val="00810CE2"/>
    <w:rsid w:val="00810D67"/>
    <w:rsid w:val="00810DDF"/>
    <w:rsid w:val="00810E35"/>
    <w:rsid w:val="00810F01"/>
    <w:rsid w:val="008110DC"/>
    <w:rsid w:val="008113CF"/>
    <w:rsid w:val="00811453"/>
    <w:rsid w:val="00811517"/>
    <w:rsid w:val="0081152D"/>
    <w:rsid w:val="00811553"/>
    <w:rsid w:val="0081155F"/>
    <w:rsid w:val="0081178A"/>
    <w:rsid w:val="008119A4"/>
    <w:rsid w:val="00811C24"/>
    <w:rsid w:val="00811C95"/>
    <w:rsid w:val="0081211C"/>
    <w:rsid w:val="008121DD"/>
    <w:rsid w:val="00812257"/>
    <w:rsid w:val="008123EF"/>
    <w:rsid w:val="008124CA"/>
    <w:rsid w:val="00812C6F"/>
    <w:rsid w:val="00812E8F"/>
    <w:rsid w:val="00812FB8"/>
    <w:rsid w:val="008130DE"/>
    <w:rsid w:val="0081322E"/>
    <w:rsid w:val="00813282"/>
    <w:rsid w:val="00813416"/>
    <w:rsid w:val="00813599"/>
    <w:rsid w:val="00813664"/>
    <w:rsid w:val="00813730"/>
    <w:rsid w:val="00813DA2"/>
    <w:rsid w:val="00814027"/>
    <w:rsid w:val="00814175"/>
    <w:rsid w:val="00814275"/>
    <w:rsid w:val="00814399"/>
    <w:rsid w:val="008144A6"/>
    <w:rsid w:val="00814846"/>
    <w:rsid w:val="00814890"/>
    <w:rsid w:val="00814C43"/>
    <w:rsid w:val="00814CD3"/>
    <w:rsid w:val="00814CEA"/>
    <w:rsid w:val="00814DCF"/>
    <w:rsid w:val="00814E38"/>
    <w:rsid w:val="0081528F"/>
    <w:rsid w:val="008154B0"/>
    <w:rsid w:val="0081555C"/>
    <w:rsid w:val="008156F7"/>
    <w:rsid w:val="008159A8"/>
    <w:rsid w:val="00815C23"/>
    <w:rsid w:val="00815CD2"/>
    <w:rsid w:val="00815EEB"/>
    <w:rsid w:val="00815F13"/>
    <w:rsid w:val="00815FD0"/>
    <w:rsid w:val="00816202"/>
    <w:rsid w:val="008163D4"/>
    <w:rsid w:val="00816536"/>
    <w:rsid w:val="00816660"/>
    <w:rsid w:val="008166BB"/>
    <w:rsid w:val="00816935"/>
    <w:rsid w:val="00816A78"/>
    <w:rsid w:val="00816C02"/>
    <w:rsid w:val="00816E63"/>
    <w:rsid w:val="00816EEB"/>
    <w:rsid w:val="00816F54"/>
    <w:rsid w:val="0081730E"/>
    <w:rsid w:val="008173F9"/>
    <w:rsid w:val="0081744D"/>
    <w:rsid w:val="008176DB"/>
    <w:rsid w:val="00817706"/>
    <w:rsid w:val="0081781E"/>
    <w:rsid w:val="008178DE"/>
    <w:rsid w:val="008179F3"/>
    <w:rsid w:val="00817A20"/>
    <w:rsid w:val="00817AD8"/>
    <w:rsid w:val="00817C06"/>
    <w:rsid w:val="00817D52"/>
    <w:rsid w:val="00817E35"/>
    <w:rsid w:val="00817F50"/>
    <w:rsid w:val="00820209"/>
    <w:rsid w:val="00820234"/>
    <w:rsid w:val="00820325"/>
    <w:rsid w:val="0082073D"/>
    <w:rsid w:val="00820A66"/>
    <w:rsid w:val="00820B54"/>
    <w:rsid w:val="00820EFE"/>
    <w:rsid w:val="00820F58"/>
    <w:rsid w:val="008210FA"/>
    <w:rsid w:val="00821383"/>
    <w:rsid w:val="0082140F"/>
    <w:rsid w:val="00821455"/>
    <w:rsid w:val="00821787"/>
    <w:rsid w:val="008217D6"/>
    <w:rsid w:val="00821A1B"/>
    <w:rsid w:val="00821BB5"/>
    <w:rsid w:val="00821BCB"/>
    <w:rsid w:val="00821E43"/>
    <w:rsid w:val="00821E9A"/>
    <w:rsid w:val="00821F44"/>
    <w:rsid w:val="00822017"/>
    <w:rsid w:val="00822093"/>
    <w:rsid w:val="0082217B"/>
    <w:rsid w:val="008221D1"/>
    <w:rsid w:val="008221DB"/>
    <w:rsid w:val="008221ED"/>
    <w:rsid w:val="008222CC"/>
    <w:rsid w:val="00822354"/>
    <w:rsid w:val="008223B2"/>
    <w:rsid w:val="008225CB"/>
    <w:rsid w:val="00822775"/>
    <w:rsid w:val="00822C2E"/>
    <w:rsid w:val="00822C41"/>
    <w:rsid w:val="00822C8F"/>
    <w:rsid w:val="00822F2D"/>
    <w:rsid w:val="0082304C"/>
    <w:rsid w:val="00823072"/>
    <w:rsid w:val="008230A0"/>
    <w:rsid w:val="00823112"/>
    <w:rsid w:val="00823182"/>
    <w:rsid w:val="008233AC"/>
    <w:rsid w:val="008233C4"/>
    <w:rsid w:val="008237D2"/>
    <w:rsid w:val="00823865"/>
    <w:rsid w:val="00823C58"/>
    <w:rsid w:val="00823C7A"/>
    <w:rsid w:val="008241C2"/>
    <w:rsid w:val="00824351"/>
    <w:rsid w:val="00824383"/>
    <w:rsid w:val="0082455B"/>
    <w:rsid w:val="00824B64"/>
    <w:rsid w:val="00824CED"/>
    <w:rsid w:val="00824EBD"/>
    <w:rsid w:val="00824EDC"/>
    <w:rsid w:val="00824FA6"/>
    <w:rsid w:val="008250DA"/>
    <w:rsid w:val="00825126"/>
    <w:rsid w:val="00825253"/>
    <w:rsid w:val="00825A21"/>
    <w:rsid w:val="00825B80"/>
    <w:rsid w:val="00825D59"/>
    <w:rsid w:val="00825F30"/>
    <w:rsid w:val="00825F3B"/>
    <w:rsid w:val="00825F96"/>
    <w:rsid w:val="00825FD7"/>
    <w:rsid w:val="00826095"/>
    <w:rsid w:val="0082611F"/>
    <w:rsid w:val="00826137"/>
    <w:rsid w:val="00826193"/>
    <w:rsid w:val="0082632D"/>
    <w:rsid w:val="00826542"/>
    <w:rsid w:val="0082655B"/>
    <w:rsid w:val="00826967"/>
    <w:rsid w:val="00826A8D"/>
    <w:rsid w:val="00826AA0"/>
    <w:rsid w:val="00826C35"/>
    <w:rsid w:val="00826C78"/>
    <w:rsid w:val="00826D5F"/>
    <w:rsid w:val="00826D72"/>
    <w:rsid w:val="00827586"/>
    <w:rsid w:val="008277F9"/>
    <w:rsid w:val="00827D21"/>
    <w:rsid w:val="00827DFD"/>
    <w:rsid w:val="00827E02"/>
    <w:rsid w:val="00827E38"/>
    <w:rsid w:val="0083003B"/>
    <w:rsid w:val="008300BF"/>
    <w:rsid w:val="0083056B"/>
    <w:rsid w:val="00830795"/>
    <w:rsid w:val="008307F3"/>
    <w:rsid w:val="0083088C"/>
    <w:rsid w:val="008308A4"/>
    <w:rsid w:val="00830944"/>
    <w:rsid w:val="00830AB2"/>
    <w:rsid w:val="00830ADC"/>
    <w:rsid w:val="00830AEE"/>
    <w:rsid w:val="00830D90"/>
    <w:rsid w:val="0083144D"/>
    <w:rsid w:val="00831594"/>
    <w:rsid w:val="00831AFC"/>
    <w:rsid w:val="00831BC1"/>
    <w:rsid w:val="00831D2D"/>
    <w:rsid w:val="00831E0C"/>
    <w:rsid w:val="008320E7"/>
    <w:rsid w:val="00832174"/>
    <w:rsid w:val="008325EA"/>
    <w:rsid w:val="008326B9"/>
    <w:rsid w:val="00832BAA"/>
    <w:rsid w:val="0083312A"/>
    <w:rsid w:val="0083317F"/>
    <w:rsid w:val="00833628"/>
    <w:rsid w:val="00833769"/>
    <w:rsid w:val="008337BC"/>
    <w:rsid w:val="00833BBE"/>
    <w:rsid w:val="00834336"/>
    <w:rsid w:val="0083459E"/>
    <w:rsid w:val="00834655"/>
    <w:rsid w:val="00834713"/>
    <w:rsid w:val="00834854"/>
    <w:rsid w:val="00834A97"/>
    <w:rsid w:val="00834AD2"/>
    <w:rsid w:val="00834B5D"/>
    <w:rsid w:val="0083522F"/>
    <w:rsid w:val="00835316"/>
    <w:rsid w:val="00835474"/>
    <w:rsid w:val="008356FE"/>
    <w:rsid w:val="00835A34"/>
    <w:rsid w:val="00835B06"/>
    <w:rsid w:val="00835E0B"/>
    <w:rsid w:val="00835EB7"/>
    <w:rsid w:val="0083610A"/>
    <w:rsid w:val="00836206"/>
    <w:rsid w:val="0083623C"/>
    <w:rsid w:val="00836801"/>
    <w:rsid w:val="00836C56"/>
    <w:rsid w:val="00836C74"/>
    <w:rsid w:val="00836D78"/>
    <w:rsid w:val="00836DB8"/>
    <w:rsid w:val="00836DCF"/>
    <w:rsid w:val="00836EBB"/>
    <w:rsid w:val="00836F04"/>
    <w:rsid w:val="00836F29"/>
    <w:rsid w:val="00837141"/>
    <w:rsid w:val="00837253"/>
    <w:rsid w:val="0083741A"/>
    <w:rsid w:val="00837538"/>
    <w:rsid w:val="0083772B"/>
    <w:rsid w:val="0083773D"/>
    <w:rsid w:val="00837897"/>
    <w:rsid w:val="008379C8"/>
    <w:rsid w:val="00837A58"/>
    <w:rsid w:val="00837ADA"/>
    <w:rsid w:val="00837AF9"/>
    <w:rsid w:val="00837D9F"/>
    <w:rsid w:val="00837E3D"/>
    <w:rsid w:val="008402C7"/>
    <w:rsid w:val="00840326"/>
    <w:rsid w:val="008403D2"/>
    <w:rsid w:val="008404D0"/>
    <w:rsid w:val="0084083D"/>
    <w:rsid w:val="008409B1"/>
    <w:rsid w:val="008409BF"/>
    <w:rsid w:val="00840A15"/>
    <w:rsid w:val="00840B2C"/>
    <w:rsid w:val="00840D21"/>
    <w:rsid w:val="00840D50"/>
    <w:rsid w:val="00840DF7"/>
    <w:rsid w:val="00840E0D"/>
    <w:rsid w:val="00840E67"/>
    <w:rsid w:val="00840E7F"/>
    <w:rsid w:val="00840F4E"/>
    <w:rsid w:val="0084103E"/>
    <w:rsid w:val="00841084"/>
    <w:rsid w:val="00841112"/>
    <w:rsid w:val="0084112C"/>
    <w:rsid w:val="008414F6"/>
    <w:rsid w:val="00841887"/>
    <w:rsid w:val="008419E6"/>
    <w:rsid w:val="00841ADD"/>
    <w:rsid w:val="00841B11"/>
    <w:rsid w:val="008420EA"/>
    <w:rsid w:val="008422DF"/>
    <w:rsid w:val="00842625"/>
    <w:rsid w:val="0084294E"/>
    <w:rsid w:val="00842A13"/>
    <w:rsid w:val="00842C11"/>
    <w:rsid w:val="00842EC6"/>
    <w:rsid w:val="00842F19"/>
    <w:rsid w:val="00842F29"/>
    <w:rsid w:val="0084307E"/>
    <w:rsid w:val="008431DF"/>
    <w:rsid w:val="0084348A"/>
    <w:rsid w:val="00843569"/>
    <w:rsid w:val="00843642"/>
    <w:rsid w:val="0084396C"/>
    <w:rsid w:val="008439A8"/>
    <w:rsid w:val="00843B58"/>
    <w:rsid w:val="00843C33"/>
    <w:rsid w:val="00843C35"/>
    <w:rsid w:val="00843EBA"/>
    <w:rsid w:val="008444F6"/>
    <w:rsid w:val="008445CC"/>
    <w:rsid w:val="00844BBC"/>
    <w:rsid w:val="00844C5A"/>
    <w:rsid w:val="00844D7F"/>
    <w:rsid w:val="00844FCB"/>
    <w:rsid w:val="008451E3"/>
    <w:rsid w:val="00845303"/>
    <w:rsid w:val="00845743"/>
    <w:rsid w:val="00845812"/>
    <w:rsid w:val="00845B69"/>
    <w:rsid w:val="00845C87"/>
    <w:rsid w:val="00845EE9"/>
    <w:rsid w:val="00845FB7"/>
    <w:rsid w:val="0084601D"/>
    <w:rsid w:val="008460B8"/>
    <w:rsid w:val="00846221"/>
    <w:rsid w:val="0084668B"/>
    <w:rsid w:val="00846728"/>
    <w:rsid w:val="008467EB"/>
    <w:rsid w:val="008469DA"/>
    <w:rsid w:val="00846A2F"/>
    <w:rsid w:val="00846C1F"/>
    <w:rsid w:val="00846C67"/>
    <w:rsid w:val="00846E3D"/>
    <w:rsid w:val="00846EA1"/>
    <w:rsid w:val="0084734B"/>
    <w:rsid w:val="00847434"/>
    <w:rsid w:val="0084745D"/>
    <w:rsid w:val="0084755A"/>
    <w:rsid w:val="008475E8"/>
    <w:rsid w:val="00847677"/>
    <w:rsid w:val="00847717"/>
    <w:rsid w:val="00847781"/>
    <w:rsid w:val="0084785B"/>
    <w:rsid w:val="00847C17"/>
    <w:rsid w:val="00850057"/>
    <w:rsid w:val="00850347"/>
    <w:rsid w:val="00850361"/>
    <w:rsid w:val="0085062C"/>
    <w:rsid w:val="008506E2"/>
    <w:rsid w:val="0085075B"/>
    <w:rsid w:val="00850D2B"/>
    <w:rsid w:val="00850D3F"/>
    <w:rsid w:val="00850E36"/>
    <w:rsid w:val="00850F59"/>
    <w:rsid w:val="00851391"/>
    <w:rsid w:val="00851886"/>
    <w:rsid w:val="00851BA8"/>
    <w:rsid w:val="00851CF8"/>
    <w:rsid w:val="00851F0D"/>
    <w:rsid w:val="00852001"/>
    <w:rsid w:val="008520C9"/>
    <w:rsid w:val="008520D0"/>
    <w:rsid w:val="0085248D"/>
    <w:rsid w:val="008524A7"/>
    <w:rsid w:val="008524F7"/>
    <w:rsid w:val="00852503"/>
    <w:rsid w:val="008525DB"/>
    <w:rsid w:val="0085275A"/>
    <w:rsid w:val="0085287C"/>
    <w:rsid w:val="008528CB"/>
    <w:rsid w:val="00852915"/>
    <w:rsid w:val="0085291F"/>
    <w:rsid w:val="00852935"/>
    <w:rsid w:val="00852A64"/>
    <w:rsid w:val="00852B21"/>
    <w:rsid w:val="00852F1E"/>
    <w:rsid w:val="008530C8"/>
    <w:rsid w:val="00853529"/>
    <w:rsid w:val="00853732"/>
    <w:rsid w:val="008537FF"/>
    <w:rsid w:val="008538BD"/>
    <w:rsid w:val="00853959"/>
    <w:rsid w:val="00853F7E"/>
    <w:rsid w:val="008543B6"/>
    <w:rsid w:val="008543C3"/>
    <w:rsid w:val="0085456E"/>
    <w:rsid w:val="0085461A"/>
    <w:rsid w:val="008546D1"/>
    <w:rsid w:val="008547A0"/>
    <w:rsid w:val="008547DF"/>
    <w:rsid w:val="00854A1E"/>
    <w:rsid w:val="00854C90"/>
    <w:rsid w:val="00854CD0"/>
    <w:rsid w:val="00854F38"/>
    <w:rsid w:val="0085512A"/>
    <w:rsid w:val="00855222"/>
    <w:rsid w:val="0085559A"/>
    <w:rsid w:val="00855683"/>
    <w:rsid w:val="008557FE"/>
    <w:rsid w:val="00855B6B"/>
    <w:rsid w:val="00855CA0"/>
    <w:rsid w:val="00855DA3"/>
    <w:rsid w:val="008561EA"/>
    <w:rsid w:val="008562AC"/>
    <w:rsid w:val="00856485"/>
    <w:rsid w:val="008564A2"/>
    <w:rsid w:val="0085661F"/>
    <w:rsid w:val="008569EC"/>
    <w:rsid w:val="00856BDF"/>
    <w:rsid w:val="00856E5E"/>
    <w:rsid w:val="0085716E"/>
    <w:rsid w:val="008577E4"/>
    <w:rsid w:val="008578F0"/>
    <w:rsid w:val="00857CA0"/>
    <w:rsid w:val="00857E72"/>
    <w:rsid w:val="00857E92"/>
    <w:rsid w:val="00857EBE"/>
    <w:rsid w:val="00860305"/>
    <w:rsid w:val="008607B1"/>
    <w:rsid w:val="0086085A"/>
    <w:rsid w:val="00860AA5"/>
    <w:rsid w:val="00860ACE"/>
    <w:rsid w:val="00860AF1"/>
    <w:rsid w:val="00860C60"/>
    <w:rsid w:val="00860EBF"/>
    <w:rsid w:val="00860F5C"/>
    <w:rsid w:val="00861073"/>
    <w:rsid w:val="0086151C"/>
    <w:rsid w:val="0086164B"/>
    <w:rsid w:val="00861748"/>
    <w:rsid w:val="00861DFE"/>
    <w:rsid w:val="00861EB3"/>
    <w:rsid w:val="00861FB0"/>
    <w:rsid w:val="0086240F"/>
    <w:rsid w:val="0086261A"/>
    <w:rsid w:val="00862750"/>
    <w:rsid w:val="00862762"/>
    <w:rsid w:val="00862884"/>
    <w:rsid w:val="00862D4F"/>
    <w:rsid w:val="00862D77"/>
    <w:rsid w:val="008630F3"/>
    <w:rsid w:val="008633F5"/>
    <w:rsid w:val="00863770"/>
    <w:rsid w:val="008638AF"/>
    <w:rsid w:val="00863AE5"/>
    <w:rsid w:val="00863CB8"/>
    <w:rsid w:val="00863CCA"/>
    <w:rsid w:val="00863EFC"/>
    <w:rsid w:val="00863F6A"/>
    <w:rsid w:val="00863FCB"/>
    <w:rsid w:val="0086451A"/>
    <w:rsid w:val="0086458A"/>
    <w:rsid w:val="008645A9"/>
    <w:rsid w:val="008645B9"/>
    <w:rsid w:val="0086474F"/>
    <w:rsid w:val="008647C7"/>
    <w:rsid w:val="00864A36"/>
    <w:rsid w:val="00864B76"/>
    <w:rsid w:val="00864D1A"/>
    <w:rsid w:val="00864F59"/>
    <w:rsid w:val="008650F1"/>
    <w:rsid w:val="00865219"/>
    <w:rsid w:val="00865379"/>
    <w:rsid w:val="0086546B"/>
    <w:rsid w:val="00865983"/>
    <w:rsid w:val="008659C8"/>
    <w:rsid w:val="00865B58"/>
    <w:rsid w:val="00865BA8"/>
    <w:rsid w:val="00865C10"/>
    <w:rsid w:val="00865C98"/>
    <w:rsid w:val="00865DFF"/>
    <w:rsid w:val="00865E79"/>
    <w:rsid w:val="00865F15"/>
    <w:rsid w:val="008661BE"/>
    <w:rsid w:val="00866227"/>
    <w:rsid w:val="0086645D"/>
    <w:rsid w:val="008664C7"/>
    <w:rsid w:val="008665CC"/>
    <w:rsid w:val="00866608"/>
    <w:rsid w:val="008668BA"/>
    <w:rsid w:val="00866AC9"/>
    <w:rsid w:val="00866B4A"/>
    <w:rsid w:val="00866C0D"/>
    <w:rsid w:val="00866F77"/>
    <w:rsid w:val="0086707B"/>
    <w:rsid w:val="00867306"/>
    <w:rsid w:val="008673C3"/>
    <w:rsid w:val="0086746C"/>
    <w:rsid w:val="00867556"/>
    <w:rsid w:val="00867668"/>
    <w:rsid w:val="0086766B"/>
    <w:rsid w:val="00867916"/>
    <w:rsid w:val="008679CE"/>
    <w:rsid w:val="00867A6E"/>
    <w:rsid w:val="00867C70"/>
    <w:rsid w:val="00867C93"/>
    <w:rsid w:val="00867D36"/>
    <w:rsid w:val="00867E27"/>
    <w:rsid w:val="0087045B"/>
    <w:rsid w:val="0087066B"/>
    <w:rsid w:val="008706F9"/>
    <w:rsid w:val="00870776"/>
    <w:rsid w:val="008708EC"/>
    <w:rsid w:val="00870997"/>
    <w:rsid w:val="00870A4D"/>
    <w:rsid w:val="00870A74"/>
    <w:rsid w:val="00870BE2"/>
    <w:rsid w:val="00870C7C"/>
    <w:rsid w:val="00870DA1"/>
    <w:rsid w:val="00870DC6"/>
    <w:rsid w:val="00870E0B"/>
    <w:rsid w:val="00870F8B"/>
    <w:rsid w:val="00871022"/>
    <w:rsid w:val="008710B9"/>
    <w:rsid w:val="008713EE"/>
    <w:rsid w:val="00871421"/>
    <w:rsid w:val="0087152C"/>
    <w:rsid w:val="00871566"/>
    <w:rsid w:val="008715E5"/>
    <w:rsid w:val="00871A98"/>
    <w:rsid w:val="00871BAC"/>
    <w:rsid w:val="00871C2A"/>
    <w:rsid w:val="00871C81"/>
    <w:rsid w:val="00871CD1"/>
    <w:rsid w:val="00871E00"/>
    <w:rsid w:val="00871F02"/>
    <w:rsid w:val="0087236E"/>
    <w:rsid w:val="00872608"/>
    <w:rsid w:val="00872657"/>
    <w:rsid w:val="00872763"/>
    <w:rsid w:val="00872B39"/>
    <w:rsid w:val="00872BB0"/>
    <w:rsid w:val="00872BE3"/>
    <w:rsid w:val="00872C30"/>
    <w:rsid w:val="00872C88"/>
    <w:rsid w:val="00872DE4"/>
    <w:rsid w:val="00872F71"/>
    <w:rsid w:val="0087318D"/>
    <w:rsid w:val="0087366A"/>
    <w:rsid w:val="00873832"/>
    <w:rsid w:val="008739C9"/>
    <w:rsid w:val="00873BDC"/>
    <w:rsid w:val="00873D65"/>
    <w:rsid w:val="00873E3B"/>
    <w:rsid w:val="00873F2F"/>
    <w:rsid w:val="00873F92"/>
    <w:rsid w:val="00873FEE"/>
    <w:rsid w:val="008740C9"/>
    <w:rsid w:val="0087446F"/>
    <w:rsid w:val="00874555"/>
    <w:rsid w:val="00874A4B"/>
    <w:rsid w:val="00874A83"/>
    <w:rsid w:val="00874B76"/>
    <w:rsid w:val="00874B84"/>
    <w:rsid w:val="00874BB3"/>
    <w:rsid w:val="0087501B"/>
    <w:rsid w:val="00875252"/>
    <w:rsid w:val="008753F2"/>
    <w:rsid w:val="00875448"/>
    <w:rsid w:val="0087544D"/>
    <w:rsid w:val="00875545"/>
    <w:rsid w:val="008756C9"/>
    <w:rsid w:val="00875833"/>
    <w:rsid w:val="00875878"/>
    <w:rsid w:val="00875B44"/>
    <w:rsid w:val="00875C08"/>
    <w:rsid w:val="00875E9B"/>
    <w:rsid w:val="00875F37"/>
    <w:rsid w:val="00876022"/>
    <w:rsid w:val="00876206"/>
    <w:rsid w:val="00876239"/>
    <w:rsid w:val="00876465"/>
    <w:rsid w:val="008765B8"/>
    <w:rsid w:val="008767A8"/>
    <w:rsid w:val="0087695A"/>
    <w:rsid w:val="0087696A"/>
    <w:rsid w:val="00876B7A"/>
    <w:rsid w:val="00876FF6"/>
    <w:rsid w:val="00877011"/>
    <w:rsid w:val="00877042"/>
    <w:rsid w:val="0087733E"/>
    <w:rsid w:val="00877479"/>
    <w:rsid w:val="0087747B"/>
    <w:rsid w:val="00877805"/>
    <w:rsid w:val="00877AEC"/>
    <w:rsid w:val="00877E30"/>
    <w:rsid w:val="00877E6F"/>
    <w:rsid w:val="00877F35"/>
    <w:rsid w:val="00877F3D"/>
    <w:rsid w:val="00877F72"/>
    <w:rsid w:val="0087B31F"/>
    <w:rsid w:val="008800DC"/>
    <w:rsid w:val="00880120"/>
    <w:rsid w:val="008801A7"/>
    <w:rsid w:val="00880237"/>
    <w:rsid w:val="0088057E"/>
    <w:rsid w:val="008808FB"/>
    <w:rsid w:val="00880AEC"/>
    <w:rsid w:val="00880B4F"/>
    <w:rsid w:val="00880BBA"/>
    <w:rsid w:val="00880CDE"/>
    <w:rsid w:val="00880D23"/>
    <w:rsid w:val="00880E9B"/>
    <w:rsid w:val="00880F5B"/>
    <w:rsid w:val="008814C6"/>
    <w:rsid w:val="008814CD"/>
    <w:rsid w:val="00881C74"/>
    <w:rsid w:val="00881E6C"/>
    <w:rsid w:val="008820FE"/>
    <w:rsid w:val="0088215E"/>
    <w:rsid w:val="0088231D"/>
    <w:rsid w:val="0088247F"/>
    <w:rsid w:val="00882510"/>
    <w:rsid w:val="00882697"/>
    <w:rsid w:val="00882AA5"/>
    <w:rsid w:val="00882ABB"/>
    <w:rsid w:val="00882B5B"/>
    <w:rsid w:val="00882D13"/>
    <w:rsid w:val="00882D82"/>
    <w:rsid w:val="00882ECD"/>
    <w:rsid w:val="00883080"/>
    <w:rsid w:val="008830DE"/>
    <w:rsid w:val="008831CB"/>
    <w:rsid w:val="00883223"/>
    <w:rsid w:val="00883476"/>
    <w:rsid w:val="008836D7"/>
    <w:rsid w:val="00883917"/>
    <w:rsid w:val="00883BC4"/>
    <w:rsid w:val="00884096"/>
    <w:rsid w:val="0088429D"/>
    <w:rsid w:val="00884324"/>
    <w:rsid w:val="0088432C"/>
    <w:rsid w:val="008843EA"/>
    <w:rsid w:val="0088450B"/>
    <w:rsid w:val="00884658"/>
    <w:rsid w:val="00884852"/>
    <w:rsid w:val="00884907"/>
    <w:rsid w:val="00884951"/>
    <w:rsid w:val="00884BE6"/>
    <w:rsid w:val="00884D4D"/>
    <w:rsid w:val="00884DBA"/>
    <w:rsid w:val="00884FE9"/>
    <w:rsid w:val="0088507C"/>
    <w:rsid w:val="008851A3"/>
    <w:rsid w:val="00885265"/>
    <w:rsid w:val="0088534F"/>
    <w:rsid w:val="00885378"/>
    <w:rsid w:val="008854C8"/>
    <w:rsid w:val="008856B6"/>
    <w:rsid w:val="0088589D"/>
    <w:rsid w:val="00885A61"/>
    <w:rsid w:val="00885B6D"/>
    <w:rsid w:val="00885CC4"/>
    <w:rsid w:val="0088619F"/>
    <w:rsid w:val="008862A4"/>
    <w:rsid w:val="008867E8"/>
    <w:rsid w:val="0088686C"/>
    <w:rsid w:val="00886C89"/>
    <w:rsid w:val="0088700B"/>
    <w:rsid w:val="00887114"/>
    <w:rsid w:val="008873CE"/>
    <w:rsid w:val="00887699"/>
    <w:rsid w:val="00887C4F"/>
    <w:rsid w:val="00887F91"/>
    <w:rsid w:val="00887FC5"/>
    <w:rsid w:val="00890042"/>
    <w:rsid w:val="008900BC"/>
    <w:rsid w:val="00890159"/>
    <w:rsid w:val="008903C7"/>
    <w:rsid w:val="008906A4"/>
    <w:rsid w:val="00890997"/>
    <w:rsid w:val="00890BF4"/>
    <w:rsid w:val="00890D08"/>
    <w:rsid w:val="00890D47"/>
    <w:rsid w:val="00890F54"/>
    <w:rsid w:val="00891262"/>
    <w:rsid w:val="00891798"/>
    <w:rsid w:val="008917F1"/>
    <w:rsid w:val="00891842"/>
    <w:rsid w:val="0089184A"/>
    <w:rsid w:val="008919AA"/>
    <w:rsid w:val="00891B96"/>
    <w:rsid w:val="00891BC6"/>
    <w:rsid w:val="00891D9D"/>
    <w:rsid w:val="00891E74"/>
    <w:rsid w:val="00891F2C"/>
    <w:rsid w:val="00891FC9"/>
    <w:rsid w:val="00891FEB"/>
    <w:rsid w:val="008921EC"/>
    <w:rsid w:val="0089223D"/>
    <w:rsid w:val="008923CC"/>
    <w:rsid w:val="008925FD"/>
    <w:rsid w:val="00892643"/>
    <w:rsid w:val="008926A5"/>
    <w:rsid w:val="0089294A"/>
    <w:rsid w:val="00892D67"/>
    <w:rsid w:val="00892E50"/>
    <w:rsid w:val="00892F8A"/>
    <w:rsid w:val="0089312F"/>
    <w:rsid w:val="00893251"/>
    <w:rsid w:val="008932E1"/>
    <w:rsid w:val="008932E3"/>
    <w:rsid w:val="008933F6"/>
    <w:rsid w:val="00893672"/>
    <w:rsid w:val="0089372E"/>
    <w:rsid w:val="008937D7"/>
    <w:rsid w:val="0089383C"/>
    <w:rsid w:val="008939C8"/>
    <w:rsid w:val="00893B47"/>
    <w:rsid w:val="00893BF1"/>
    <w:rsid w:val="00893F81"/>
    <w:rsid w:val="00893FE1"/>
    <w:rsid w:val="00893FF0"/>
    <w:rsid w:val="0089406A"/>
    <w:rsid w:val="008941A7"/>
    <w:rsid w:val="0089451D"/>
    <w:rsid w:val="0089494C"/>
    <w:rsid w:val="00894A8B"/>
    <w:rsid w:val="00894A97"/>
    <w:rsid w:val="00894B27"/>
    <w:rsid w:val="00894D9D"/>
    <w:rsid w:val="00894DEB"/>
    <w:rsid w:val="00894DFC"/>
    <w:rsid w:val="00894F07"/>
    <w:rsid w:val="0089513E"/>
    <w:rsid w:val="008951A1"/>
    <w:rsid w:val="0089524A"/>
    <w:rsid w:val="00895630"/>
    <w:rsid w:val="00895632"/>
    <w:rsid w:val="00895654"/>
    <w:rsid w:val="00895733"/>
    <w:rsid w:val="00895824"/>
    <w:rsid w:val="0089593C"/>
    <w:rsid w:val="00895AF1"/>
    <w:rsid w:val="00895C8F"/>
    <w:rsid w:val="00895CF7"/>
    <w:rsid w:val="00895FD1"/>
    <w:rsid w:val="00896097"/>
    <w:rsid w:val="00896487"/>
    <w:rsid w:val="0089671D"/>
    <w:rsid w:val="00896935"/>
    <w:rsid w:val="00896AD1"/>
    <w:rsid w:val="00896AE1"/>
    <w:rsid w:val="00896B21"/>
    <w:rsid w:val="00896BD6"/>
    <w:rsid w:val="00896C25"/>
    <w:rsid w:val="00896D80"/>
    <w:rsid w:val="00896EF1"/>
    <w:rsid w:val="00896F8E"/>
    <w:rsid w:val="00897289"/>
    <w:rsid w:val="008975C7"/>
    <w:rsid w:val="0089762C"/>
    <w:rsid w:val="00897779"/>
    <w:rsid w:val="008977E1"/>
    <w:rsid w:val="008977ED"/>
    <w:rsid w:val="0089780F"/>
    <w:rsid w:val="008978C7"/>
    <w:rsid w:val="00897B01"/>
    <w:rsid w:val="00897CAE"/>
    <w:rsid w:val="00897DA5"/>
    <w:rsid w:val="00897DE9"/>
    <w:rsid w:val="00897E97"/>
    <w:rsid w:val="008A0098"/>
    <w:rsid w:val="008A0150"/>
    <w:rsid w:val="008A0187"/>
    <w:rsid w:val="008A0230"/>
    <w:rsid w:val="008A023B"/>
    <w:rsid w:val="008A04C4"/>
    <w:rsid w:val="008A058C"/>
    <w:rsid w:val="008A0664"/>
    <w:rsid w:val="008A0753"/>
    <w:rsid w:val="008A076C"/>
    <w:rsid w:val="008A08B4"/>
    <w:rsid w:val="008A0ADB"/>
    <w:rsid w:val="008A0BE3"/>
    <w:rsid w:val="008A0CA8"/>
    <w:rsid w:val="008A0D09"/>
    <w:rsid w:val="008A0E20"/>
    <w:rsid w:val="008A0FCC"/>
    <w:rsid w:val="008A12D7"/>
    <w:rsid w:val="008A140E"/>
    <w:rsid w:val="008A1500"/>
    <w:rsid w:val="008A154F"/>
    <w:rsid w:val="008A1791"/>
    <w:rsid w:val="008A17C8"/>
    <w:rsid w:val="008A1954"/>
    <w:rsid w:val="008A1D03"/>
    <w:rsid w:val="008A1D2E"/>
    <w:rsid w:val="008A1DB2"/>
    <w:rsid w:val="008A2195"/>
    <w:rsid w:val="008A23EB"/>
    <w:rsid w:val="008A2409"/>
    <w:rsid w:val="008A245E"/>
    <w:rsid w:val="008A2644"/>
    <w:rsid w:val="008A27CE"/>
    <w:rsid w:val="008A2800"/>
    <w:rsid w:val="008A28C0"/>
    <w:rsid w:val="008A2B4C"/>
    <w:rsid w:val="008A2CDD"/>
    <w:rsid w:val="008A2D3A"/>
    <w:rsid w:val="008A2DB6"/>
    <w:rsid w:val="008A3565"/>
    <w:rsid w:val="008A3725"/>
    <w:rsid w:val="008A38FF"/>
    <w:rsid w:val="008A39A2"/>
    <w:rsid w:val="008A3AA6"/>
    <w:rsid w:val="008A3C95"/>
    <w:rsid w:val="008A3C99"/>
    <w:rsid w:val="008A3CEE"/>
    <w:rsid w:val="008A3FE7"/>
    <w:rsid w:val="008A4111"/>
    <w:rsid w:val="008A4335"/>
    <w:rsid w:val="008A436F"/>
    <w:rsid w:val="008A440D"/>
    <w:rsid w:val="008A45EC"/>
    <w:rsid w:val="008A4696"/>
    <w:rsid w:val="008A4A33"/>
    <w:rsid w:val="008A4B33"/>
    <w:rsid w:val="008A4B96"/>
    <w:rsid w:val="008A4C6A"/>
    <w:rsid w:val="008A4C6E"/>
    <w:rsid w:val="008A5688"/>
    <w:rsid w:val="008A57F9"/>
    <w:rsid w:val="008A580E"/>
    <w:rsid w:val="008A5BC4"/>
    <w:rsid w:val="008A5E75"/>
    <w:rsid w:val="008A5F37"/>
    <w:rsid w:val="008A6713"/>
    <w:rsid w:val="008A680A"/>
    <w:rsid w:val="008A687B"/>
    <w:rsid w:val="008A6A2F"/>
    <w:rsid w:val="008A6B1F"/>
    <w:rsid w:val="008A6BB5"/>
    <w:rsid w:val="008A6E4F"/>
    <w:rsid w:val="008A6F6E"/>
    <w:rsid w:val="008A6FE7"/>
    <w:rsid w:val="008A70AC"/>
    <w:rsid w:val="008A78C6"/>
    <w:rsid w:val="008A7949"/>
    <w:rsid w:val="008A794B"/>
    <w:rsid w:val="008A7954"/>
    <w:rsid w:val="008A7B7F"/>
    <w:rsid w:val="008A7CA2"/>
    <w:rsid w:val="008A7F9E"/>
    <w:rsid w:val="008A7FCE"/>
    <w:rsid w:val="008B007F"/>
    <w:rsid w:val="008B0303"/>
    <w:rsid w:val="008B04FA"/>
    <w:rsid w:val="008B0581"/>
    <w:rsid w:val="008B0780"/>
    <w:rsid w:val="008B0842"/>
    <w:rsid w:val="008B0941"/>
    <w:rsid w:val="008B0A77"/>
    <w:rsid w:val="008B0B27"/>
    <w:rsid w:val="008B0B92"/>
    <w:rsid w:val="008B0ECF"/>
    <w:rsid w:val="008B12F4"/>
    <w:rsid w:val="008B13D8"/>
    <w:rsid w:val="008B1567"/>
    <w:rsid w:val="008B15DD"/>
    <w:rsid w:val="008B15FA"/>
    <w:rsid w:val="008B163C"/>
    <w:rsid w:val="008B173D"/>
    <w:rsid w:val="008B1776"/>
    <w:rsid w:val="008B1ABC"/>
    <w:rsid w:val="008B1B6D"/>
    <w:rsid w:val="008B1CEC"/>
    <w:rsid w:val="008B1CF5"/>
    <w:rsid w:val="008B1D53"/>
    <w:rsid w:val="008B1DDE"/>
    <w:rsid w:val="008B1E20"/>
    <w:rsid w:val="008B1E25"/>
    <w:rsid w:val="008B1E5F"/>
    <w:rsid w:val="008B1E6B"/>
    <w:rsid w:val="008B1E8F"/>
    <w:rsid w:val="008B2073"/>
    <w:rsid w:val="008B20C0"/>
    <w:rsid w:val="008B22F4"/>
    <w:rsid w:val="008B2512"/>
    <w:rsid w:val="008B26C6"/>
    <w:rsid w:val="008B298D"/>
    <w:rsid w:val="008B2A07"/>
    <w:rsid w:val="008B2C34"/>
    <w:rsid w:val="008B2C97"/>
    <w:rsid w:val="008B31CD"/>
    <w:rsid w:val="008B31FC"/>
    <w:rsid w:val="008B35E2"/>
    <w:rsid w:val="008B3979"/>
    <w:rsid w:val="008B3BFF"/>
    <w:rsid w:val="008B3C0D"/>
    <w:rsid w:val="008B3D88"/>
    <w:rsid w:val="008B3F81"/>
    <w:rsid w:val="008B41CF"/>
    <w:rsid w:val="008B4276"/>
    <w:rsid w:val="008B428A"/>
    <w:rsid w:val="008B431F"/>
    <w:rsid w:val="008B4538"/>
    <w:rsid w:val="008B45A6"/>
    <w:rsid w:val="008B47BA"/>
    <w:rsid w:val="008B4851"/>
    <w:rsid w:val="008B4906"/>
    <w:rsid w:val="008B4B86"/>
    <w:rsid w:val="008B4C64"/>
    <w:rsid w:val="008B5078"/>
    <w:rsid w:val="008B5126"/>
    <w:rsid w:val="008B5151"/>
    <w:rsid w:val="008B51DC"/>
    <w:rsid w:val="008B52F0"/>
    <w:rsid w:val="008B5925"/>
    <w:rsid w:val="008B598C"/>
    <w:rsid w:val="008B5A79"/>
    <w:rsid w:val="008B5ACF"/>
    <w:rsid w:val="008B5BCE"/>
    <w:rsid w:val="008B6ADC"/>
    <w:rsid w:val="008B6BB9"/>
    <w:rsid w:val="008B6C48"/>
    <w:rsid w:val="008B6C69"/>
    <w:rsid w:val="008B7388"/>
    <w:rsid w:val="008B78FF"/>
    <w:rsid w:val="008B7E6A"/>
    <w:rsid w:val="008B7ED7"/>
    <w:rsid w:val="008C008F"/>
    <w:rsid w:val="008C0523"/>
    <w:rsid w:val="008C0856"/>
    <w:rsid w:val="008C09E3"/>
    <w:rsid w:val="008C0A40"/>
    <w:rsid w:val="008C0BB4"/>
    <w:rsid w:val="008C12ED"/>
    <w:rsid w:val="008C136C"/>
    <w:rsid w:val="008C13A1"/>
    <w:rsid w:val="008C163E"/>
    <w:rsid w:val="008C17AE"/>
    <w:rsid w:val="008C1904"/>
    <w:rsid w:val="008C1A72"/>
    <w:rsid w:val="008C1B37"/>
    <w:rsid w:val="008C1B78"/>
    <w:rsid w:val="008C1EDA"/>
    <w:rsid w:val="008C1EFB"/>
    <w:rsid w:val="008C21F7"/>
    <w:rsid w:val="008C22AF"/>
    <w:rsid w:val="008C285C"/>
    <w:rsid w:val="008C28D7"/>
    <w:rsid w:val="008C2B48"/>
    <w:rsid w:val="008C2D9D"/>
    <w:rsid w:val="008C2E3E"/>
    <w:rsid w:val="008C2F94"/>
    <w:rsid w:val="008C316F"/>
    <w:rsid w:val="008C31AF"/>
    <w:rsid w:val="008C31B7"/>
    <w:rsid w:val="008C3281"/>
    <w:rsid w:val="008C33AE"/>
    <w:rsid w:val="008C3789"/>
    <w:rsid w:val="008C37CA"/>
    <w:rsid w:val="008C3831"/>
    <w:rsid w:val="008C3A80"/>
    <w:rsid w:val="008C3C73"/>
    <w:rsid w:val="008C3D62"/>
    <w:rsid w:val="008C3E19"/>
    <w:rsid w:val="008C3F48"/>
    <w:rsid w:val="008C4398"/>
    <w:rsid w:val="008C43C4"/>
    <w:rsid w:val="008C43C8"/>
    <w:rsid w:val="008C45B9"/>
    <w:rsid w:val="008C4636"/>
    <w:rsid w:val="008C4812"/>
    <w:rsid w:val="008C492D"/>
    <w:rsid w:val="008C4A90"/>
    <w:rsid w:val="008C4A91"/>
    <w:rsid w:val="008C4B04"/>
    <w:rsid w:val="008C4D2D"/>
    <w:rsid w:val="008C4E1B"/>
    <w:rsid w:val="008C501B"/>
    <w:rsid w:val="008C5213"/>
    <w:rsid w:val="008C53B7"/>
    <w:rsid w:val="008C5481"/>
    <w:rsid w:val="008C5500"/>
    <w:rsid w:val="008C55D3"/>
    <w:rsid w:val="008C56D0"/>
    <w:rsid w:val="008C5794"/>
    <w:rsid w:val="008C58B3"/>
    <w:rsid w:val="008C5A21"/>
    <w:rsid w:val="008C5AED"/>
    <w:rsid w:val="008C5EF5"/>
    <w:rsid w:val="008C6080"/>
    <w:rsid w:val="008C611D"/>
    <w:rsid w:val="008C616A"/>
    <w:rsid w:val="008C62E4"/>
    <w:rsid w:val="008C641A"/>
    <w:rsid w:val="008C6464"/>
    <w:rsid w:val="008C6561"/>
    <w:rsid w:val="008C686E"/>
    <w:rsid w:val="008C6ADD"/>
    <w:rsid w:val="008C6B8A"/>
    <w:rsid w:val="008C6BA4"/>
    <w:rsid w:val="008C6CBE"/>
    <w:rsid w:val="008C6D45"/>
    <w:rsid w:val="008C6D86"/>
    <w:rsid w:val="008C6EA0"/>
    <w:rsid w:val="008C6EFB"/>
    <w:rsid w:val="008C6F60"/>
    <w:rsid w:val="008C7172"/>
    <w:rsid w:val="008C7820"/>
    <w:rsid w:val="008C7832"/>
    <w:rsid w:val="008C79E9"/>
    <w:rsid w:val="008C7BB7"/>
    <w:rsid w:val="008C7D04"/>
    <w:rsid w:val="008D039F"/>
    <w:rsid w:val="008D061D"/>
    <w:rsid w:val="008D0C7A"/>
    <w:rsid w:val="008D0D8C"/>
    <w:rsid w:val="008D0F5A"/>
    <w:rsid w:val="008D105B"/>
    <w:rsid w:val="008D12A7"/>
    <w:rsid w:val="008D13D0"/>
    <w:rsid w:val="008D1623"/>
    <w:rsid w:val="008D1AA9"/>
    <w:rsid w:val="008D2151"/>
    <w:rsid w:val="008D2340"/>
    <w:rsid w:val="008D23CF"/>
    <w:rsid w:val="008D240C"/>
    <w:rsid w:val="008D25E4"/>
    <w:rsid w:val="008D26CA"/>
    <w:rsid w:val="008D26D1"/>
    <w:rsid w:val="008D2A22"/>
    <w:rsid w:val="008D2A7F"/>
    <w:rsid w:val="008D2C9D"/>
    <w:rsid w:val="008D2E64"/>
    <w:rsid w:val="008D2ED7"/>
    <w:rsid w:val="008D3062"/>
    <w:rsid w:val="008D311B"/>
    <w:rsid w:val="008D3136"/>
    <w:rsid w:val="008D3237"/>
    <w:rsid w:val="008D3273"/>
    <w:rsid w:val="008D32C9"/>
    <w:rsid w:val="008D34E4"/>
    <w:rsid w:val="008D3528"/>
    <w:rsid w:val="008D378B"/>
    <w:rsid w:val="008D39A4"/>
    <w:rsid w:val="008D39E7"/>
    <w:rsid w:val="008D3D89"/>
    <w:rsid w:val="008D4019"/>
    <w:rsid w:val="008D4061"/>
    <w:rsid w:val="008D41B2"/>
    <w:rsid w:val="008D42B6"/>
    <w:rsid w:val="008D44C8"/>
    <w:rsid w:val="008D46EA"/>
    <w:rsid w:val="008D477B"/>
    <w:rsid w:val="008D4917"/>
    <w:rsid w:val="008D4C0B"/>
    <w:rsid w:val="008D4C87"/>
    <w:rsid w:val="008D4C92"/>
    <w:rsid w:val="008D4E79"/>
    <w:rsid w:val="008D4FAC"/>
    <w:rsid w:val="008D5086"/>
    <w:rsid w:val="008D50EF"/>
    <w:rsid w:val="008D51A6"/>
    <w:rsid w:val="008D531D"/>
    <w:rsid w:val="008D5626"/>
    <w:rsid w:val="008D5629"/>
    <w:rsid w:val="008D56E6"/>
    <w:rsid w:val="008D57C2"/>
    <w:rsid w:val="008D5800"/>
    <w:rsid w:val="008D5A70"/>
    <w:rsid w:val="008D5C96"/>
    <w:rsid w:val="008D5D00"/>
    <w:rsid w:val="008D5D17"/>
    <w:rsid w:val="008D5DF2"/>
    <w:rsid w:val="008D6136"/>
    <w:rsid w:val="008D64E1"/>
    <w:rsid w:val="008D65F1"/>
    <w:rsid w:val="008D6915"/>
    <w:rsid w:val="008D697E"/>
    <w:rsid w:val="008D6E0F"/>
    <w:rsid w:val="008D7035"/>
    <w:rsid w:val="008D7092"/>
    <w:rsid w:val="008D7531"/>
    <w:rsid w:val="008D76DF"/>
    <w:rsid w:val="008D789F"/>
    <w:rsid w:val="008D78F5"/>
    <w:rsid w:val="008D7A3F"/>
    <w:rsid w:val="008D7C05"/>
    <w:rsid w:val="008D7CA8"/>
    <w:rsid w:val="008D7DDD"/>
    <w:rsid w:val="008D7E0C"/>
    <w:rsid w:val="008D7EDB"/>
    <w:rsid w:val="008D7F25"/>
    <w:rsid w:val="008E0043"/>
    <w:rsid w:val="008E0442"/>
    <w:rsid w:val="008E063E"/>
    <w:rsid w:val="008E08AC"/>
    <w:rsid w:val="008E0D0B"/>
    <w:rsid w:val="008E0D29"/>
    <w:rsid w:val="008E0D84"/>
    <w:rsid w:val="008E0ED3"/>
    <w:rsid w:val="008E11CE"/>
    <w:rsid w:val="008E1209"/>
    <w:rsid w:val="008E1597"/>
    <w:rsid w:val="008E15A6"/>
    <w:rsid w:val="008E160B"/>
    <w:rsid w:val="008E1625"/>
    <w:rsid w:val="008E170B"/>
    <w:rsid w:val="008E17E1"/>
    <w:rsid w:val="008E17F7"/>
    <w:rsid w:val="008E19D3"/>
    <w:rsid w:val="008E1A2C"/>
    <w:rsid w:val="008E1B0C"/>
    <w:rsid w:val="008E1B58"/>
    <w:rsid w:val="008E1B82"/>
    <w:rsid w:val="008E1DD7"/>
    <w:rsid w:val="008E1FA1"/>
    <w:rsid w:val="008E2352"/>
    <w:rsid w:val="008E2472"/>
    <w:rsid w:val="008E25D8"/>
    <w:rsid w:val="008E2668"/>
    <w:rsid w:val="008E268B"/>
    <w:rsid w:val="008E2795"/>
    <w:rsid w:val="008E2853"/>
    <w:rsid w:val="008E29DD"/>
    <w:rsid w:val="008E2A41"/>
    <w:rsid w:val="008E2A5A"/>
    <w:rsid w:val="008E2A68"/>
    <w:rsid w:val="008E2B24"/>
    <w:rsid w:val="008E2CE0"/>
    <w:rsid w:val="008E2D20"/>
    <w:rsid w:val="008E2E2E"/>
    <w:rsid w:val="008E2E5B"/>
    <w:rsid w:val="008E2FDE"/>
    <w:rsid w:val="008E2FEF"/>
    <w:rsid w:val="008E336F"/>
    <w:rsid w:val="008E34D1"/>
    <w:rsid w:val="008E36BF"/>
    <w:rsid w:val="008E3769"/>
    <w:rsid w:val="008E380F"/>
    <w:rsid w:val="008E3816"/>
    <w:rsid w:val="008E384A"/>
    <w:rsid w:val="008E38D3"/>
    <w:rsid w:val="008E39AC"/>
    <w:rsid w:val="008E3A6C"/>
    <w:rsid w:val="008E3CC3"/>
    <w:rsid w:val="008E3D8F"/>
    <w:rsid w:val="008E3E9B"/>
    <w:rsid w:val="008E3EF5"/>
    <w:rsid w:val="008E3F11"/>
    <w:rsid w:val="008E4138"/>
    <w:rsid w:val="008E42B7"/>
    <w:rsid w:val="008E43D8"/>
    <w:rsid w:val="008E456B"/>
    <w:rsid w:val="008E465E"/>
    <w:rsid w:val="008E48C3"/>
    <w:rsid w:val="008E499F"/>
    <w:rsid w:val="008E4AC5"/>
    <w:rsid w:val="008E4D4C"/>
    <w:rsid w:val="008E4F2C"/>
    <w:rsid w:val="008E4F99"/>
    <w:rsid w:val="008E538D"/>
    <w:rsid w:val="008E53F9"/>
    <w:rsid w:val="008E548B"/>
    <w:rsid w:val="008E54E1"/>
    <w:rsid w:val="008E59C5"/>
    <w:rsid w:val="008E5A3B"/>
    <w:rsid w:val="008E5CBE"/>
    <w:rsid w:val="008E5D64"/>
    <w:rsid w:val="008E5E18"/>
    <w:rsid w:val="008E5F9C"/>
    <w:rsid w:val="008E6167"/>
    <w:rsid w:val="008E62AE"/>
    <w:rsid w:val="008E63DE"/>
    <w:rsid w:val="008E672A"/>
    <w:rsid w:val="008E68D5"/>
    <w:rsid w:val="008E692F"/>
    <w:rsid w:val="008E6C0D"/>
    <w:rsid w:val="008E6C22"/>
    <w:rsid w:val="008E6C87"/>
    <w:rsid w:val="008E6EB1"/>
    <w:rsid w:val="008E6EC6"/>
    <w:rsid w:val="008E712B"/>
    <w:rsid w:val="008E748A"/>
    <w:rsid w:val="008E77BA"/>
    <w:rsid w:val="008E7866"/>
    <w:rsid w:val="008E798B"/>
    <w:rsid w:val="008E7AF0"/>
    <w:rsid w:val="008E7B95"/>
    <w:rsid w:val="008E7BEC"/>
    <w:rsid w:val="008E7CFF"/>
    <w:rsid w:val="008E7D18"/>
    <w:rsid w:val="008E7F1F"/>
    <w:rsid w:val="008F0095"/>
    <w:rsid w:val="008F0116"/>
    <w:rsid w:val="008F0483"/>
    <w:rsid w:val="008F052A"/>
    <w:rsid w:val="008F0A96"/>
    <w:rsid w:val="008F0AC1"/>
    <w:rsid w:val="008F0BE1"/>
    <w:rsid w:val="008F0E62"/>
    <w:rsid w:val="008F118A"/>
    <w:rsid w:val="008F13A9"/>
    <w:rsid w:val="008F1481"/>
    <w:rsid w:val="008F166C"/>
    <w:rsid w:val="008F16A6"/>
    <w:rsid w:val="008F17C9"/>
    <w:rsid w:val="008F18FE"/>
    <w:rsid w:val="008F1A76"/>
    <w:rsid w:val="008F1C56"/>
    <w:rsid w:val="008F1C78"/>
    <w:rsid w:val="008F1E6C"/>
    <w:rsid w:val="008F1FEC"/>
    <w:rsid w:val="008F200F"/>
    <w:rsid w:val="008F219A"/>
    <w:rsid w:val="008F223C"/>
    <w:rsid w:val="008F251C"/>
    <w:rsid w:val="008F25D7"/>
    <w:rsid w:val="008F2656"/>
    <w:rsid w:val="008F2764"/>
    <w:rsid w:val="008F2789"/>
    <w:rsid w:val="008F27E5"/>
    <w:rsid w:val="008F284B"/>
    <w:rsid w:val="008F2D8C"/>
    <w:rsid w:val="008F2F75"/>
    <w:rsid w:val="008F3127"/>
    <w:rsid w:val="008F3341"/>
    <w:rsid w:val="008F3352"/>
    <w:rsid w:val="008F377A"/>
    <w:rsid w:val="008F3835"/>
    <w:rsid w:val="008F3AC1"/>
    <w:rsid w:val="008F3C45"/>
    <w:rsid w:val="008F3EAB"/>
    <w:rsid w:val="008F3F2E"/>
    <w:rsid w:val="008F4000"/>
    <w:rsid w:val="008F4033"/>
    <w:rsid w:val="008F408A"/>
    <w:rsid w:val="008F40CA"/>
    <w:rsid w:val="008F42D2"/>
    <w:rsid w:val="008F431A"/>
    <w:rsid w:val="008F45B9"/>
    <w:rsid w:val="008F46F4"/>
    <w:rsid w:val="008F4824"/>
    <w:rsid w:val="008F48B3"/>
    <w:rsid w:val="008F48C0"/>
    <w:rsid w:val="008F4B5D"/>
    <w:rsid w:val="008F4DC2"/>
    <w:rsid w:val="008F4E89"/>
    <w:rsid w:val="008F50CE"/>
    <w:rsid w:val="008F5329"/>
    <w:rsid w:val="008F533E"/>
    <w:rsid w:val="008F54A3"/>
    <w:rsid w:val="008F54AE"/>
    <w:rsid w:val="008F54D9"/>
    <w:rsid w:val="008F58D2"/>
    <w:rsid w:val="008F5FD6"/>
    <w:rsid w:val="008F626A"/>
    <w:rsid w:val="008F6291"/>
    <w:rsid w:val="008F643C"/>
    <w:rsid w:val="008F65C9"/>
    <w:rsid w:val="008F6601"/>
    <w:rsid w:val="008F6A10"/>
    <w:rsid w:val="008F6A6A"/>
    <w:rsid w:val="008F6B70"/>
    <w:rsid w:val="008F6B96"/>
    <w:rsid w:val="008F6C5F"/>
    <w:rsid w:val="008F6CC7"/>
    <w:rsid w:val="008F6E03"/>
    <w:rsid w:val="008F6F47"/>
    <w:rsid w:val="008F6F79"/>
    <w:rsid w:val="008F7068"/>
    <w:rsid w:val="008F7189"/>
    <w:rsid w:val="008F71EA"/>
    <w:rsid w:val="008F75E0"/>
    <w:rsid w:val="008F7606"/>
    <w:rsid w:val="008F7787"/>
    <w:rsid w:val="008F7B39"/>
    <w:rsid w:val="008F7B5A"/>
    <w:rsid w:val="008F7B69"/>
    <w:rsid w:val="008F7E19"/>
    <w:rsid w:val="008F7E77"/>
    <w:rsid w:val="008F7E99"/>
    <w:rsid w:val="008F7F1F"/>
    <w:rsid w:val="008F7F95"/>
    <w:rsid w:val="009005A2"/>
    <w:rsid w:val="00900609"/>
    <w:rsid w:val="009006A1"/>
    <w:rsid w:val="0090072E"/>
    <w:rsid w:val="0090073D"/>
    <w:rsid w:val="009007D4"/>
    <w:rsid w:val="0090090B"/>
    <w:rsid w:val="009009E6"/>
    <w:rsid w:val="00900A3D"/>
    <w:rsid w:val="00900B9C"/>
    <w:rsid w:val="00900BF8"/>
    <w:rsid w:val="00900C7D"/>
    <w:rsid w:val="00900E19"/>
    <w:rsid w:val="00900E98"/>
    <w:rsid w:val="0090102C"/>
    <w:rsid w:val="0090140E"/>
    <w:rsid w:val="00901425"/>
    <w:rsid w:val="00901504"/>
    <w:rsid w:val="0090153E"/>
    <w:rsid w:val="0090166D"/>
    <w:rsid w:val="009017A4"/>
    <w:rsid w:val="00901C07"/>
    <w:rsid w:val="00901C38"/>
    <w:rsid w:val="00902195"/>
    <w:rsid w:val="009021A0"/>
    <w:rsid w:val="0090222A"/>
    <w:rsid w:val="009023BF"/>
    <w:rsid w:val="009023ED"/>
    <w:rsid w:val="0090242C"/>
    <w:rsid w:val="00902460"/>
    <w:rsid w:val="009024C7"/>
    <w:rsid w:val="0090270C"/>
    <w:rsid w:val="00902B1F"/>
    <w:rsid w:val="00903058"/>
    <w:rsid w:val="009031B8"/>
    <w:rsid w:val="00903377"/>
    <w:rsid w:val="00903461"/>
    <w:rsid w:val="009034ED"/>
    <w:rsid w:val="00903521"/>
    <w:rsid w:val="00903624"/>
    <w:rsid w:val="009037B8"/>
    <w:rsid w:val="009039A4"/>
    <w:rsid w:val="00903D1D"/>
    <w:rsid w:val="00903D2E"/>
    <w:rsid w:val="00904003"/>
    <w:rsid w:val="00904120"/>
    <w:rsid w:val="00904143"/>
    <w:rsid w:val="00904689"/>
    <w:rsid w:val="0090471D"/>
    <w:rsid w:val="009049D8"/>
    <w:rsid w:val="00904A57"/>
    <w:rsid w:val="00904ACF"/>
    <w:rsid w:val="00904BAF"/>
    <w:rsid w:val="00904C05"/>
    <w:rsid w:val="00904DD5"/>
    <w:rsid w:val="00905398"/>
    <w:rsid w:val="00905609"/>
    <w:rsid w:val="00905AF4"/>
    <w:rsid w:val="00905B1F"/>
    <w:rsid w:val="00905B79"/>
    <w:rsid w:val="00905D4A"/>
    <w:rsid w:val="00905DB3"/>
    <w:rsid w:val="00906073"/>
    <w:rsid w:val="00906316"/>
    <w:rsid w:val="0090688C"/>
    <w:rsid w:val="009069E1"/>
    <w:rsid w:val="00906B33"/>
    <w:rsid w:val="00906B70"/>
    <w:rsid w:val="00906D44"/>
    <w:rsid w:val="00906E41"/>
    <w:rsid w:val="00906ECA"/>
    <w:rsid w:val="00906F83"/>
    <w:rsid w:val="00906F99"/>
    <w:rsid w:val="009070A9"/>
    <w:rsid w:val="0090711A"/>
    <w:rsid w:val="009072A6"/>
    <w:rsid w:val="0090731F"/>
    <w:rsid w:val="0090753E"/>
    <w:rsid w:val="00907548"/>
    <w:rsid w:val="0090762E"/>
    <w:rsid w:val="0090785E"/>
    <w:rsid w:val="00907978"/>
    <w:rsid w:val="00907A79"/>
    <w:rsid w:val="00907B1C"/>
    <w:rsid w:val="00907BE8"/>
    <w:rsid w:val="00907BFF"/>
    <w:rsid w:val="00907D6D"/>
    <w:rsid w:val="00907EDB"/>
    <w:rsid w:val="00907EE9"/>
    <w:rsid w:val="00907FEF"/>
    <w:rsid w:val="009101BB"/>
    <w:rsid w:val="009102C0"/>
    <w:rsid w:val="009103CE"/>
    <w:rsid w:val="009106EE"/>
    <w:rsid w:val="009108D7"/>
    <w:rsid w:val="00910E49"/>
    <w:rsid w:val="0091101A"/>
    <w:rsid w:val="00911100"/>
    <w:rsid w:val="009111C4"/>
    <w:rsid w:val="00911285"/>
    <w:rsid w:val="009112D7"/>
    <w:rsid w:val="0091133B"/>
    <w:rsid w:val="00911AB4"/>
    <w:rsid w:val="00911ADA"/>
    <w:rsid w:val="00911C24"/>
    <w:rsid w:val="00911D99"/>
    <w:rsid w:val="00911DF6"/>
    <w:rsid w:val="00911E43"/>
    <w:rsid w:val="00911ED5"/>
    <w:rsid w:val="009120A3"/>
    <w:rsid w:val="0091251A"/>
    <w:rsid w:val="00912582"/>
    <w:rsid w:val="00912722"/>
    <w:rsid w:val="00912776"/>
    <w:rsid w:val="009127E9"/>
    <w:rsid w:val="00912A33"/>
    <w:rsid w:val="00912A4C"/>
    <w:rsid w:val="00912A8F"/>
    <w:rsid w:val="00912BAF"/>
    <w:rsid w:val="00912DC1"/>
    <w:rsid w:val="009133E1"/>
    <w:rsid w:val="00913439"/>
    <w:rsid w:val="009134E8"/>
    <w:rsid w:val="00913519"/>
    <w:rsid w:val="00913582"/>
    <w:rsid w:val="0091369B"/>
    <w:rsid w:val="00913B2B"/>
    <w:rsid w:val="00913B97"/>
    <w:rsid w:val="00913E7E"/>
    <w:rsid w:val="00913F81"/>
    <w:rsid w:val="009141D7"/>
    <w:rsid w:val="009141E6"/>
    <w:rsid w:val="009142AF"/>
    <w:rsid w:val="0091446E"/>
    <w:rsid w:val="00914499"/>
    <w:rsid w:val="00914588"/>
    <w:rsid w:val="00914674"/>
    <w:rsid w:val="009146AD"/>
    <w:rsid w:val="009147EE"/>
    <w:rsid w:val="00914A64"/>
    <w:rsid w:val="00914A86"/>
    <w:rsid w:val="00914AAA"/>
    <w:rsid w:val="00914BF9"/>
    <w:rsid w:val="009150FB"/>
    <w:rsid w:val="00915227"/>
    <w:rsid w:val="00915263"/>
    <w:rsid w:val="0091535B"/>
    <w:rsid w:val="0091571F"/>
    <w:rsid w:val="0091581A"/>
    <w:rsid w:val="00915888"/>
    <w:rsid w:val="00915936"/>
    <w:rsid w:val="00915A97"/>
    <w:rsid w:val="00915B52"/>
    <w:rsid w:val="00915B59"/>
    <w:rsid w:val="00915D72"/>
    <w:rsid w:val="00915D87"/>
    <w:rsid w:val="00915EFC"/>
    <w:rsid w:val="00915FA1"/>
    <w:rsid w:val="009162E9"/>
    <w:rsid w:val="009162FC"/>
    <w:rsid w:val="00916571"/>
    <w:rsid w:val="00916586"/>
    <w:rsid w:val="009165BB"/>
    <w:rsid w:val="00917011"/>
    <w:rsid w:val="00917285"/>
    <w:rsid w:val="00917289"/>
    <w:rsid w:val="0091760D"/>
    <w:rsid w:val="00917615"/>
    <w:rsid w:val="0091789C"/>
    <w:rsid w:val="009178AC"/>
    <w:rsid w:val="0091795D"/>
    <w:rsid w:val="009179E5"/>
    <w:rsid w:val="00917AA9"/>
    <w:rsid w:val="00917C6A"/>
    <w:rsid w:val="00917C7B"/>
    <w:rsid w:val="00917D11"/>
    <w:rsid w:val="00920037"/>
    <w:rsid w:val="00920045"/>
    <w:rsid w:val="009202F0"/>
    <w:rsid w:val="009203F8"/>
    <w:rsid w:val="00920428"/>
    <w:rsid w:val="00920445"/>
    <w:rsid w:val="009209BA"/>
    <w:rsid w:val="00920BBB"/>
    <w:rsid w:val="00920BC9"/>
    <w:rsid w:val="00920DF7"/>
    <w:rsid w:val="00920E5A"/>
    <w:rsid w:val="00920F0E"/>
    <w:rsid w:val="00920F2A"/>
    <w:rsid w:val="00920F8F"/>
    <w:rsid w:val="009210AE"/>
    <w:rsid w:val="00921229"/>
    <w:rsid w:val="0092136D"/>
    <w:rsid w:val="00921378"/>
    <w:rsid w:val="0092161D"/>
    <w:rsid w:val="0092178B"/>
    <w:rsid w:val="00921930"/>
    <w:rsid w:val="00921987"/>
    <w:rsid w:val="00921B0D"/>
    <w:rsid w:val="00921C96"/>
    <w:rsid w:val="00921DAD"/>
    <w:rsid w:val="00922034"/>
    <w:rsid w:val="00922475"/>
    <w:rsid w:val="009225AC"/>
    <w:rsid w:val="009228C9"/>
    <w:rsid w:val="00922961"/>
    <w:rsid w:val="00922A94"/>
    <w:rsid w:val="00922B1B"/>
    <w:rsid w:val="00922BB4"/>
    <w:rsid w:val="00922F44"/>
    <w:rsid w:val="00922FCD"/>
    <w:rsid w:val="00923006"/>
    <w:rsid w:val="0092328F"/>
    <w:rsid w:val="009232AB"/>
    <w:rsid w:val="009233DB"/>
    <w:rsid w:val="00923482"/>
    <w:rsid w:val="009234F0"/>
    <w:rsid w:val="00923691"/>
    <w:rsid w:val="009237D5"/>
    <w:rsid w:val="00923851"/>
    <w:rsid w:val="00923B18"/>
    <w:rsid w:val="00923DC1"/>
    <w:rsid w:val="009241FE"/>
    <w:rsid w:val="009243C3"/>
    <w:rsid w:val="009244B5"/>
    <w:rsid w:val="009246E1"/>
    <w:rsid w:val="009246E7"/>
    <w:rsid w:val="00924776"/>
    <w:rsid w:val="0092483D"/>
    <w:rsid w:val="00924A8E"/>
    <w:rsid w:val="00924EB6"/>
    <w:rsid w:val="00924FF1"/>
    <w:rsid w:val="009250A4"/>
    <w:rsid w:val="0092538D"/>
    <w:rsid w:val="009255BF"/>
    <w:rsid w:val="00925799"/>
    <w:rsid w:val="00925EAB"/>
    <w:rsid w:val="00926120"/>
    <w:rsid w:val="00926550"/>
    <w:rsid w:val="00926606"/>
    <w:rsid w:val="00926661"/>
    <w:rsid w:val="00926756"/>
    <w:rsid w:val="009267D6"/>
    <w:rsid w:val="0092689E"/>
    <w:rsid w:val="009268FD"/>
    <w:rsid w:val="0092691D"/>
    <w:rsid w:val="00926BD0"/>
    <w:rsid w:val="00926C18"/>
    <w:rsid w:val="00926C73"/>
    <w:rsid w:val="00926D46"/>
    <w:rsid w:val="00926D58"/>
    <w:rsid w:val="00926FAB"/>
    <w:rsid w:val="00927030"/>
    <w:rsid w:val="009270D5"/>
    <w:rsid w:val="00927443"/>
    <w:rsid w:val="009274EC"/>
    <w:rsid w:val="009275B0"/>
    <w:rsid w:val="009275FA"/>
    <w:rsid w:val="009276FE"/>
    <w:rsid w:val="00927AB9"/>
    <w:rsid w:val="00927BEF"/>
    <w:rsid w:val="00927CFD"/>
    <w:rsid w:val="00927EFB"/>
    <w:rsid w:val="00930502"/>
    <w:rsid w:val="0093050A"/>
    <w:rsid w:val="00930A96"/>
    <w:rsid w:val="00930A98"/>
    <w:rsid w:val="00930BE8"/>
    <w:rsid w:val="009310CA"/>
    <w:rsid w:val="00931168"/>
    <w:rsid w:val="0093147F"/>
    <w:rsid w:val="0093164D"/>
    <w:rsid w:val="00931692"/>
    <w:rsid w:val="009317D3"/>
    <w:rsid w:val="00931E00"/>
    <w:rsid w:val="00931EC2"/>
    <w:rsid w:val="00932017"/>
    <w:rsid w:val="0093236A"/>
    <w:rsid w:val="009324D6"/>
    <w:rsid w:val="009326A2"/>
    <w:rsid w:val="009328D4"/>
    <w:rsid w:val="009329FE"/>
    <w:rsid w:val="00932D3A"/>
    <w:rsid w:val="00932DBF"/>
    <w:rsid w:val="00932E7B"/>
    <w:rsid w:val="00932E89"/>
    <w:rsid w:val="00932ED7"/>
    <w:rsid w:val="0093362F"/>
    <w:rsid w:val="009337AD"/>
    <w:rsid w:val="00933892"/>
    <w:rsid w:val="00933AE2"/>
    <w:rsid w:val="00933C16"/>
    <w:rsid w:val="00933DBE"/>
    <w:rsid w:val="00933DCC"/>
    <w:rsid w:val="00933FD9"/>
    <w:rsid w:val="00933FE6"/>
    <w:rsid w:val="00934079"/>
    <w:rsid w:val="009340C7"/>
    <w:rsid w:val="009346F4"/>
    <w:rsid w:val="0093492F"/>
    <w:rsid w:val="00934A6A"/>
    <w:rsid w:val="00934CCF"/>
    <w:rsid w:val="00934D00"/>
    <w:rsid w:val="00934EBF"/>
    <w:rsid w:val="0093501C"/>
    <w:rsid w:val="0093528A"/>
    <w:rsid w:val="00935537"/>
    <w:rsid w:val="00935541"/>
    <w:rsid w:val="0093556D"/>
    <w:rsid w:val="009356AD"/>
    <w:rsid w:val="009358B0"/>
    <w:rsid w:val="0093595C"/>
    <w:rsid w:val="009359AC"/>
    <w:rsid w:val="00935FC8"/>
    <w:rsid w:val="00936106"/>
    <w:rsid w:val="0093618A"/>
    <w:rsid w:val="009361FE"/>
    <w:rsid w:val="00936481"/>
    <w:rsid w:val="009369DB"/>
    <w:rsid w:val="00936B80"/>
    <w:rsid w:val="00936E4C"/>
    <w:rsid w:val="00936EF8"/>
    <w:rsid w:val="0093702C"/>
    <w:rsid w:val="00937077"/>
    <w:rsid w:val="009371AA"/>
    <w:rsid w:val="0093754A"/>
    <w:rsid w:val="00937681"/>
    <w:rsid w:val="00937A38"/>
    <w:rsid w:val="00937B92"/>
    <w:rsid w:val="00937C6B"/>
    <w:rsid w:val="00937D4A"/>
    <w:rsid w:val="00937E1B"/>
    <w:rsid w:val="00937E7C"/>
    <w:rsid w:val="00940074"/>
    <w:rsid w:val="00940093"/>
    <w:rsid w:val="0094020A"/>
    <w:rsid w:val="00940281"/>
    <w:rsid w:val="0094032E"/>
    <w:rsid w:val="009405B2"/>
    <w:rsid w:val="00940920"/>
    <w:rsid w:val="00940944"/>
    <w:rsid w:val="00940AAB"/>
    <w:rsid w:val="00940B1D"/>
    <w:rsid w:val="00940E2B"/>
    <w:rsid w:val="00940F65"/>
    <w:rsid w:val="00940FC4"/>
    <w:rsid w:val="009410F1"/>
    <w:rsid w:val="009411A4"/>
    <w:rsid w:val="0094145A"/>
    <w:rsid w:val="0094149E"/>
    <w:rsid w:val="009415CE"/>
    <w:rsid w:val="00941644"/>
    <w:rsid w:val="00941CF0"/>
    <w:rsid w:val="00941F49"/>
    <w:rsid w:val="00941FA0"/>
    <w:rsid w:val="0094203D"/>
    <w:rsid w:val="009420DF"/>
    <w:rsid w:val="00942337"/>
    <w:rsid w:val="009424EE"/>
    <w:rsid w:val="0094264D"/>
    <w:rsid w:val="0094279D"/>
    <w:rsid w:val="009427DD"/>
    <w:rsid w:val="00942908"/>
    <w:rsid w:val="009429E4"/>
    <w:rsid w:val="00942A91"/>
    <w:rsid w:val="00942C43"/>
    <w:rsid w:val="00942EE8"/>
    <w:rsid w:val="0094305F"/>
    <w:rsid w:val="0094312E"/>
    <w:rsid w:val="0094315C"/>
    <w:rsid w:val="00943335"/>
    <w:rsid w:val="009435BA"/>
    <w:rsid w:val="009435F3"/>
    <w:rsid w:val="009435F5"/>
    <w:rsid w:val="00943675"/>
    <w:rsid w:val="009436EC"/>
    <w:rsid w:val="00943765"/>
    <w:rsid w:val="0094378A"/>
    <w:rsid w:val="00943849"/>
    <w:rsid w:val="00943BBD"/>
    <w:rsid w:val="00943C33"/>
    <w:rsid w:val="00943F4D"/>
    <w:rsid w:val="009440A7"/>
    <w:rsid w:val="009445FE"/>
    <w:rsid w:val="0094485B"/>
    <w:rsid w:val="00944E03"/>
    <w:rsid w:val="00945014"/>
    <w:rsid w:val="0094516B"/>
    <w:rsid w:val="0094522C"/>
    <w:rsid w:val="0094536E"/>
    <w:rsid w:val="00945382"/>
    <w:rsid w:val="009455B7"/>
    <w:rsid w:val="009456FB"/>
    <w:rsid w:val="009458BD"/>
    <w:rsid w:val="009458FE"/>
    <w:rsid w:val="0094599F"/>
    <w:rsid w:val="00945A17"/>
    <w:rsid w:val="00945A1C"/>
    <w:rsid w:val="00945B28"/>
    <w:rsid w:val="00945BC8"/>
    <w:rsid w:val="00945C25"/>
    <w:rsid w:val="00945C6C"/>
    <w:rsid w:val="00945F44"/>
    <w:rsid w:val="00946363"/>
    <w:rsid w:val="009463E3"/>
    <w:rsid w:val="009464D8"/>
    <w:rsid w:val="009464FB"/>
    <w:rsid w:val="00946644"/>
    <w:rsid w:val="00946685"/>
    <w:rsid w:val="00946BDE"/>
    <w:rsid w:val="00946BEA"/>
    <w:rsid w:val="00946C0D"/>
    <w:rsid w:val="00946E11"/>
    <w:rsid w:val="00946E91"/>
    <w:rsid w:val="00946EB7"/>
    <w:rsid w:val="00946F54"/>
    <w:rsid w:val="00946F5E"/>
    <w:rsid w:val="00947113"/>
    <w:rsid w:val="00947200"/>
    <w:rsid w:val="0094731F"/>
    <w:rsid w:val="00947325"/>
    <w:rsid w:val="00947396"/>
    <w:rsid w:val="0094763A"/>
    <w:rsid w:val="00947640"/>
    <w:rsid w:val="00947B52"/>
    <w:rsid w:val="00947F0E"/>
    <w:rsid w:val="00950070"/>
    <w:rsid w:val="00950093"/>
    <w:rsid w:val="00950195"/>
    <w:rsid w:val="0095019A"/>
    <w:rsid w:val="009502E6"/>
    <w:rsid w:val="00950982"/>
    <w:rsid w:val="00950C8F"/>
    <w:rsid w:val="00950DB0"/>
    <w:rsid w:val="00950DF6"/>
    <w:rsid w:val="009511E6"/>
    <w:rsid w:val="0095138E"/>
    <w:rsid w:val="00951743"/>
    <w:rsid w:val="0095175B"/>
    <w:rsid w:val="00951897"/>
    <w:rsid w:val="00951A1D"/>
    <w:rsid w:val="00951A58"/>
    <w:rsid w:val="00951CD5"/>
    <w:rsid w:val="009520FB"/>
    <w:rsid w:val="00952476"/>
    <w:rsid w:val="0095251D"/>
    <w:rsid w:val="00952600"/>
    <w:rsid w:val="009528F1"/>
    <w:rsid w:val="00952AAE"/>
    <w:rsid w:val="00952B25"/>
    <w:rsid w:val="00952C9A"/>
    <w:rsid w:val="00952E73"/>
    <w:rsid w:val="00952EE1"/>
    <w:rsid w:val="00952EEB"/>
    <w:rsid w:val="00952F8C"/>
    <w:rsid w:val="009531E0"/>
    <w:rsid w:val="009533C1"/>
    <w:rsid w:val="009536CA"/>
    <w:rsid w:val="00953708"/>
    <w:rsid w:val="00953822"/>
    <w:rsid w:val="00953A8C"/>
    <w:rsid w:val="00953BB0"/>
    <w:rsid w:val="00953BC6"/>
    <w:rsid w:val="00953D54"/>
    <w:rsid w:val="00954027"/>
    <w:rsid w:val="0095433C"/>
    <w:rsid w:val="00954593"/>
    <w:rsid w:val="00954773"/>
    <w:rsid w:val="0095495F"/>
    <w:rsid w:val="009549F4"/>
    <w:rsid w:val="00954C6D"/>
    <w:rsid w:val="00954C90"/>
    <w:rsid w:val="00954D4E"/>
    <w:rsid w:val="00954D82"/>
    <w:rsid w:val="00955267"/>
    <w:rsid w:val="0095529A"/>
    <w:rsid w:val="00955425"/>
    <w:rsid w:val="0095544D"/>
    <w:rsid w:val="00955A25"/>
    <w:rsid w:val="00955C6D"/>
    <w:rsid w:val="00955DBA"/>
    <w:rsid w:val="00955DD9"/>
    <w:rsid w:val="009560DB"/>
    <w:rsid w:val="0095664C"/>
    <w:rsid w:val="009567E0"/>
    <w:rsid w:val="0095681D"/>
    <w:rsid w:val="00956CCC"/>
    <w:rsid w:val="00956F9A"/>
    <w:rsid w:val="00956FD2"/>
    <w:rsid w:val="00956FFE"/>
    <w:rsid w:val="00957039"/>
    <w:rsid w:val="0095719B"/>
    <w:rsid w:val="00957266"/>
    <w:rsid w:val="009576B2"/>
    <w:rsid w:val="00957747"/>
    <w:rsid w:val="00957ABB"/>
    <w:rsid w:val="00957AFD"/>
    <w:rsid w:val="00957B63"/>
    <w:rsid w:val="00957BB8"/>
    <w:rsid w:val="00957E6A"/>
    <w:rsid w:val="00957EAE"/>
    <w:rsid w:val="00957EF9"/>
    <w:rsid w:val="00957F12"/>
    <w:rsid w:val="00957F63"/>
    <w:rsid w:val="00960013"/>
    <w:rsid w:val="009601BA"/>
    <w:rsid w:val="00960202"/>
    <w:rsid w:val="00960414"/>
    <w:rsid w:val="00960518"/>
    <w:rsid w:val="009605F6"/>
    <w:rsid w:val="009607EE"/>
    <w:rsid w:val="00960990"/>
    <w:rsid w:val="00960B4A"/>
    <w:rsid w:val="00960B99"/>
    <w:rsid w:val="00960C69"/>
    <w:rsid w:val="00960E9D"/>
    <w:rsid w:val="0096112F"/>
    <w:rsid w:val="0096116C"/>
    <w:rsid w:val="009612AC"/>
    <w:rsid w:val="0096136A"/>
    <w:rsid w:val="00961383"/>
    <w:rsid w:val="009613BE"/>
    <w:rsid w:val="009613E6"/>
    <w:rsid w:val="0096141F"/>
    <w:rsid w:val="0096145B"/>
    <w:rsid w:val="009618CB"/>
    <w:rsid w:val="009619E1"/>
    <w:rsid w:val="00961A43"/>
    <w:rsid w:val="00961B94"/>
    <w:rsid w:val="00961BC3"/>
    <w:rsid w:val="00961DB3"/>
    <w:rsid w:val="00961E21"/>
    <w:rsid w:val="00961EB9"/>
    <w:rsid w:val="00961FE4"/>
    <w:rsid w:val="0096218F"/>
    <w:rsid w:val="0096226C"/>
    <w:rsid w:val="00962388"/>
    <w:rsid w:val="009623A6"/>
    <w:rsid w:val="0096246B"/>
    <w:rsid w:val="00962893"/>
    <w:rsid w:val="00962BCE"/>
    <w:rsid w:val="00962F31"/>
    <w:rsid w:val="00962F32"/>
    <w:rsid w:val="009631BE"/>
    <w:rsid w:val="009631C8"/>
    <w:rsid w:val="00963A56"/>
    <w:rsid w:val="00963D76"/>
    <w:rsid w:val="00964336"/>
    <w:rsid w:val="00964576"/>
    <w:rsid w:val="009645A9"/>
    <w:rsid w:val="0096481E"/>
    <w:rsid w:val="009649F4"/>
    <w:rsid w:val="00964C2E"/>
    <w:rsid w:val="00964C7D"/>
    <w:rsid w:val="00964D0D"/>
    <w:rsid w:val="00964D76"/>
    <w:rsid w:val="00964DC8"/>
    <w:rsid w:val="0096518F"/>
    <w:rsid w:val="00965461"/>
    <w:rsid w:val="009654D3"/>
    <w:rsid w:val="0096550E"/>
    <w:rsid w:val="009657C8"/>
    <w:rsid w:val="009658A4"/>
    <w:rsid w:val="009659B0"/>
    <w:rsid w:val="00965CB5"/>
    <w:rsid w:val="00965D17"/>
    <w:rsid w:val="0096615D"/>
    <w:rsid w:val="009661FC"/>
    <w:rsid w:val="0096621F"/>
    <w:rsid w:val="00966433"/>
    <w:rsid w:val="0096646D"/>
    <w:rsid w:val="009664BB"/>
    <w:rsid w:val="00966738"/>
    <w:rsid w:val="00966E4E"/>
    <w:rsid w:val="009671D3"/>
    <w:rsid w:val="0096731E"/>
    <w:rsid w:val="0096734B"/>
    <w:rsid w:val="0096734D"/>
    <w:rsid w:val="00967428"/>
    <w:rsid w:val="009674EB"/>
    <w:rsid w:val="00967511"/>
    <w:rsid w:val="0096766F"/>
    <w:rsid w:val="00967734"/>
    <w:rsid w:val="009677BF"/>
    <w:rsid w:val="00967A19"/>
    <w:rsid w:val="00967A7E"/>
    <w:rsid w:val="00967AC5"/>
    <w:rsid w:val="00967AC9"/>
    <w:rsid w:val="00967AEA"/>
    <w:rsid w:val="00967C38"/>
    <w:rsid w:val="00967C4A"/>
    <w:rsid w:val="00967DCF"/>
    <w:rsid w:val="00967DF3"/>
    <w:rsid w:val="00967F01"/>
    <w:rsid w:val="009702E1"/>
    <w:rsid w:val="00970304"/>
    <w:rsid w:val="00970A75"/>
    <w:rsid w:val="00970ADD"/>
    <w:rsid w:val="00970CA2"/>
    <w:rsid w:val="00970E02"/>
    <w:rsid w:val="00971AE4"/>
    <w:rsid w:val="00971C08"/>
    <w:rsid w:val="00971C3F"/>
    <w:rsid w:val="00971CD5"/>
    <w:rsid w:val="00971F60"/>
    <w:rsid w:val="009720E5"/>
    <w:rsid w:val="00972295"/>
    <w:rsid w:val="00972386"/>
    <w:rsid w:val="00972400"/>
    <w:rsid w:val="00972441"/>
    <w:rsid w:val="00972541"/>
    <w:rsid w:val="00972596"/>
    <w:rsid w:val="00972600"/>
    <w:rsid w:val="00972833"/>
    <w:rsid w:val="009728BD"/>
    <w:rsid w:val="00972A78"/>
    <w:rsid w:val="00972AEA"/>
    <w:rsid w:val="00972CA3"/>
    <w:rsid w:val="00972F04"/>
    <w:rsid w:val="00972F75"/>
    <w:rsid w:val="0097303C"/>
    <w:rsid w:val="009731AE"/>
    <w:rsid w:val="00973634"/>
    <w:rsid w:val="00973861"/>
    <w:rsid w:val="009738A2"/>
    <w:rsid w:val="00973A14"/>
    <w:rsid w:val="00973BAE"/>
    <w:rsid w:val="00973D9A"/>
    <w:rsid w:val="00973DDB"/>
    <w:rsid w:val="00973E80"/>
    <w:rsid w:val="00973FB6"/>
    <w:rsid w:val="00974066"/>
    <w:rsid w:val="00974382"/>
    <w:rsid w:val="009745C9"/>
    <w:rsid w:val="0097487B"/>
    <w:rsid w:val="009748DE"/>
    <w:rsid w:val="0097499F"/>
    <w:rsid w:val="00974AD9"/>
    <w:rsid w:val="00974B04"/>
    <w:rsid w:val="00974DFC"/>
    <w:rsid w:val="00974E3E"/>
    <w:rsid w:val="00974F0F"/>
    <w:rsid w:val="00974F9C"/>
    <w:rsid w:val="00975020"/>
    <w:rsid w:val="0097512C"/>
    <w:rsid w:val="009751A8"/>
    <w:rsid w:val="00975265"/>
    <w:rsid w:val="009752DA"/>
    <w:rsid w:val="00975537"/>
    <w:rsid w:val="009755FA"/>
    <w:rsid w:val="00975654"/>
    <w:rsid w:val="00975751"/>
    <w:rsid w:val="0097580E"/>
    <w:rsid w:val="009758B0"/>
    <w:rsid w:val="00975DA0"/>
    <w:rsid w:val="00975EDC"/>
    <w:rsid w:val="0097607C"/>
    <w:rsid w:val="0097626D"/>
    <w:rsid w:val="00976311"/>
    <w:rsid w:val="00976819"/>
    <w:rsid w:val="0097687E"/>
    <w:rsid w:val="009768DA"/>
    <w:rsid w:val="0097695B"/>
    <w:rsid w:val="00976AA2"/>
    <w:rsid w:val="00976DD0"/>
    <w:rsid w:val="00976EB3"/>
    <w:rsid w:val="00977060"/>
    <w:rsid w:val="0097767E"/>
    <w:rsid w:val="009776D2"/>
    <w:rsid w:val="00977707"/>
    <w:rsid w:val="00977ACB"/>
    <w:rsid w:val="00977B16"/>
    <w:rsid w:val="00977BF0"/>
    <w:rsid w:val="00977C93"/>
    <w:rsid w:val="00977F80"/>
    <w:rsid w:val="009801CA"/>
    <w:rsid w:val="00980437"/>
    <w:rsid w:val="00980453"/>
    <w:rsid w:val="009804DD"/>
    <w:rsid w:val="009808CB"/>
    <w:rsid w:val="009808EE"/>
    <w:rsid w:val="00980900"/>
    <w:rsid w:val="00980A63"/>
    <w:rsid w:val="00980B5A"/>
    <w:rsid w:val="00980D3B"/>
    <w:rsid w:val="00980E50"/>
    <w:rsid w:val="00981005"/>
    <w:rsid w:val="009812C4"/>
    <w:rsid w:val="00981367"/>
    <w:rsid w:val="00981514"/>
    <w:rsid w:val="00981739"/>
    <w:rsid w:val="00981B3F"/>
    <w:rsid w:val="00981B5B"/>
    <w:rsid w:val="00981C43"/>
    <w:rsid w:val="00981CB1"/>
    <w:rsid w:val="00982347"/>
    <w:rsid w:val="00982459"/>
    <w:rsid w:val="00982511"/>
    <w:rsid w:val="0098279D"/>
    <w:rsid w:val="00982AEA"/>
    <w:rsid w:val="00982F69"/>
    <w:rsid w:val="00983413"/>
    <w:rsid w:val="00983546"/>
    <w:rsid w:val="009836D0"/>
    <w:rsid w:val="00983765"/>
    <w:rsid w:val="009838A5"/>
    <w:rsid w:val="00983C6C"/>
    <w:rsid w:val="00983F20"/>
    <w:rsid w:val="0098436B"/>
    <w:rsid w:val="009843BF"/>
    <w:rsid w:val="00984803"/>
    <w:rsid w:val="0098483D"/>
    <w:rsid w:val="00984CFA"/>
    <w:rsid w:val="00984E1B"/>
    <w:rsid w:val="00984F9B"/>
    <w:rsid w:val="0098501D"/>
    <w:rsid w:val="009850DB"/>
    <w:rsid w:val="009852C6"/>
    <w:rsid w:val="00985300"/>
    <w:rsid w:val="00985311"/>
    <w:rsid w:val="0098564E"/>
    <w:rsid w:val="009856FC"/>
    <w:rsid w:val="00985898"/>
    <w:rsid w:val="0098599F"/>
    <w:rsid w:val="00985A2E"/>
    <w:rsid w:val="00985AE4"/>
    <w:rsid w:val="00985BD1"/>
    <w:rsid w:val="00985C4B"/>
    <w:rsid w:val="009860B8"/>
    <w:rsid w:val="009863D3"/>
    <w:rsid w:val="0098654B"/>
    <w:rsid w:val="00986553"/>
    <w:rsid w:val="0098656F"/>
    <w:rsid w:val="009865EA"/>
    <w:rsid w:val="009867C9"/>
    <w:rsid w:val="009867DD"/>
    <w:rsid w:val="00986BB9"/>
    <w:rsid w:val="00986C9C"/>
    <w:rsid w:val="00986DAA"/>
    <w:rsid w:val="0098711D"/>
    <w:rsid w:val="0098717D"/>
    <w:rsid w:val="0098742D"/>
    <w:rsid w:val="0098766C"/>
    <w:rsid w:val="00987770"/>
    <w:rsid w:val="00987926"/>
    <w:rsid w:val="00987A89"/>
    <w:rsid w:val="00987BF2"/>
    <w:rsid w:val="00987DC0"/>
    <w:rsid w:val="00987F7F"/>
    <w:rsid w:val="009901AD"/>
    <w:rsid w:val="009902F7"/>
    <w:rsid w:val="0099032B"/>
    <w:rsid w:val="009903E4"/>
    <w:rsid w:val="0099067C"/>
    <w:rsid w:val="0099072E"/>
    <w:rsid w:val="00990731"/>
    <w:rsid w:val="00990875"/>
    <w:rsid w:val="009909EE"/>
    <w:rsid w:val="00990AD4"/>
    <w:rsid w:val="00990B28"/>
    <w:rsid w:val="00990B61"/>
    <w:rsid w:val="00990C0D"/>
    <w:rsid w:val="00990C92"/>
    <w:rsid w:val="00990C99"/>
    <w:rsid w:val="00990CC3"/>
    <w:rsid w:val="00991035"/>
    <w:rsid w:val="0099181A"/>
    <w:rsid w:val="00991D80"/>
    <w:rsid w:val="00991E30"/>
    <w:rsid w:val="00991F7E"/>
    <w:rsid w:val="0099212D"/>
    <w:rsid w:val="0099227A"/>
    <w:rsid w:val="009924F8"/>
    <w:rsid w:val="009926FF"/>
    <w:rsid w:val="00992942"/>
    <w:rsid w:val="00992AE3"/>
    <w:rsid w:val="00992C8E"/>
    <w:rsid w:val="00992D47"/>
    <w:rsid w:val="00992F4C"/>
    <w:rsid w:val="0099308F"/>
    <w:rsid w:val="009930C3"/>
    <w:rsid w:val="009931E4"/>
    <w:rsid w:val="009931FB"/>
    <w:rsid w:val="009933E4"/>
    <w:rsid w:val="009934F5"/>
    <w:rsid w:val="0099353B"/>
    <w:rsid w:val="00993672"/>
    <w:rsid w:val="00993820"/>
    <w:rsid w:val="00993B7D"/>
    <w:rsid w:val="00993B91"/>
    <w:rsid w:val="00993DC0"/>
    <w:rsid w:val="00993FEA"/>
    <w:rsid w:val="00994009"/>
    <w:rsid w:val="00994014"/>
    <w:rsid w:val="009940CC"/>
    <w:rsid w:val="009942C1"/>
    <w:rsid w:val="009944AD"/>
    <w:rsid w:val="00994624"/>
    <w:rsid w:val="009946CF"/>
    <w:rsid w:val="009949F8"/>
    <w:rsid w:val="00994B08"/>
    <w:rsid w:val="00994BB7"/>
    <w:rsid w:val="00994D49"/>
    <w:rsid w:val="00994D82"/>
    <w:rsid w:val="00994E66"/>
    <w:rsid w:val="00994F5A"/>
    <w:rsid w:val="00995027"/>
    <w:rsid w:val="00995147"/>
    <w:rsid w:val="0099530C"/>
    <w:rsid w:val="0099558B"/>
    <w:rsid w:val="009956E4"/>
    <w:rsid w:val="00995841"/>
    <w:rsid w:val="00995B09"/>
    <w:rsid w:val="00995B1F"/>
    <w:rsid w:val="00995D9F"/>
    <w:rsid w:val="00995F32"/>
    <w:rsid w:val="00995FB2"/>
    <w:rsid w:val="009960C5"/>
    <w:rsid w:val="0099627E"/>
    <w:rsid w:val="009962D6"/>
    <w:rsid w:val="009964D0"/>
    <w:rsid w:val="00996856"/>
    <w:rsid w:val="00996882"/>
    <w:rsid w:val="00996B3C"/>
    <w:rsid w:val="00997351"/>
    <w:rsid w:val="00997386"/>
    <w:rsid w:val="0099752C"/>
    <w:rsid w:val="00997686"/>
    <w:rsid w:val="0099798D"/>
    <w:rsid w:val="00997C37"/>
    <w:rsid w:val="00997EBD"/>
    <w:rsid w:val="009A00CE"/>
    <w:rsid w:val="009A027E"/>
    <w:rsid w:val="009A042A"/>
    <w:rsid w:val="009A0442"/>
    <w:rsid w:val="009A0476"/>
    <w:rsid w:val="009A0492"/>
    <w:rsid w:val="009A0944"/>
    <w:rsid w:val="009A0964"/>
    <w:rsid w:val="009A097D"/>
    <w:rsid w:val="009A0A0F"/>
    <w:rsid w:val="009A0AEA"/>
    <w:rsid w:val="009A0DC4"/>
    <w:rsid w:val="009A0ECC"/>
    <w:rsid w:val="009A0F28"/>
    <w:rsid w:val="009A0F34"/>
    <w:rsid w:val="009A0F9D"/>
    <w:rsid w:val="009A11FF"/>
    <w:rsid w:val="009A1211"/>
    <w:rsid w:val="009A1259"/>
    <w:rsid w:val="009A1279"/>
    <w:rsid w:val="009A134A"/>
    <w:rsid w:val="009A136D"/>
    <w:rsid w:val="009A138B"/>
    <w:rsid w:val="009A14E9"/>
    <w:rsid w:val="009A1641"/>
    <w:rsid w:val="009A193C"/>
    <w:rsid w:val="009A1985"/>
    <w:rsid w:val="009A1C40"/>
    <w:rsid w:val="009A1C43"/>
    <w:rsid w:val="009A1F0C"/>
    <w:rsid w:val="009A2099"/>
    <w:rsid w:val="009A2203"/>
    <w:rsid w:val="009A240A"/>
    <w:rsid w:val="009A240F"/>
    <w:rsid w:val="009A262B"/>
    <w:rsid w:val="009A26CD"/>
    <w:rsid w:val="009A26DC"/>
    <w:rsid w:val="009A29B3"/>
    <w:rsid w:val="009A2D7C"/>
    <w:rsid w:val="009A2DB2"/>
    <w:rsid w:val="009A2E3A"/>
    <w:rsid w:val="009A2EE5"/>
    <w:rsid w:val="009A3129"/>
    <w:rsid w:val="009A3261"/>
    <w:rsid w:val="009A329F"/>
    <w:rsid w:val="009A335D"/>
    <w:rsid w:val="009A345C"/>
    <w:rsid w:val="009A347D"/>
    <w:rsid w:val="009A34DE"/>
    <w:rsid w:val="009A3883"/>
    <w:rsid w:val="009A3884"/>
    <w:rsid w:val="009A3891"/>
    <w:rsid w:val="009A390F"/>
    <w:rsid w:val="009A39CF"/>
    <w:rsid w:val="009A3A2A"/>
    <w:rsid w:val="009A3A40"/>
    <w:rsid w:val="009A3B32"/>
    <w:rsid w:val="009A3BC0"/>
    <w:rsid w:val="009A3BDE"/>
    <w:rsid w:val="009A3C76"/>
    <w:rsid w:val="009A3D58"/>
    <w:rsid w:val="009A41B5"/>
    <w:rsid w:val="009A41F5"/>
    <w:rsid w:val="009A44B5"/>
    <w:rsid w:val="009A454F"/>
    <w:rsid w:val="009A475F"/>
    <w:rsid w:val="009A487D"/>
    <w:rsid w:val="009A49FF"/>
    <w:rsid w:val="009A4C1B"/>
    <w:rsid w:val="009A4CB2"/>
    <w:rsid w:val="009A4CD4"/>
    <w:rsid w:val="009A4D1D"/>
    <w:rsid w:val="009A4D6B"/>
    <w:rsid w:val="009A4D8D"/>
    <w:rsid w:val="009A4D96"/>
    <w:rsid w:val="009A4EAA"/>
    <w:rsid w:val="009A4F03"/>
    <w:rsid w:val="009A50A0"/>
    <w:rsid w:val="009A516B"/>
    <w:rsid w:val="009A53AE"/>
    <w:rsid w:val="009A55B1"/>
    <w:rsid w:val="009A57C6"/>
    <w:rsid w:val="009A5822"/>
    <w:rsid w:val="009A5997"/>
    <w:rsid w:val="009A5AFB"/>
    <w:rsid w:val="009A5B05"/>
    <w:rsid w:val="009A5EA7"/>
    <w:rsid w:val="009A6026"/>
    <w:rsid w:val="009A60D0"/>
    <w:rsid w:val="009A62EC"/>
    <w:rsid w:val="009A663E"/>
    <w:rsid w:val="009A6647"/>
    <w:rsid w:val="009A6705"/>
    <w:rsid w:val="009A6741"/>
    <w:rsid w:val="009A6916"/>
    <w:rsid w:val="009A6F4D"/>
    <w:rsid w:val="009A71E3"/>
    <w:rsid w:val="009A7341"/>
    <w:rsid w:val="009A7578"/>
    <w:rsid w:val="009A77F6"/>
    <w:rsid w:val="009A795D"/>
    <w:rsid w:val="009A7AA4"/>
    <w:rsid w:val="009A7AC1"/>
    <w:rsid w:val="009A7CEA"/>
    <w:rsid w:val="009A7DAF"/>
    <w:rsid w:val="009A7DE5"/>
    <w:rsid w:val="009B0187"/>
    <w:rsid w:val="009B02FB"/>
    <w:rsid w:val="009B0344"/>
    <w:rsid w:val="009B03FF"/>
    <w:rsid w:val="009B0473"/>
    <w:rsid w:val="009B04BC"/>
    <w:rsid w:val="009B0725"/>
    <w:rsid w:val="009B0845"/>
    <w:rsid w:val="009B0AF2"/>
    <w:rsid w:val="009B0B60"/>
    <w:rsid w:val="009B0F65"/>
    <w:rsid w:val="009B104D"/>
    <w:rsid w:val="009B11D0"/>
    <w:rsid w:val="009B123F"/>
    <w:rsid w:val="009B1347"/>
    <w:rsid w:val="009B141C"/>
    <w:rsid w:val="009B1498"/>
    <w:rsid w:val="009B1503"/>
    <w:rsid w:val="009B157F"/>
    <w:rsid w:val="009B16B2"/>
    <w:rsid w:val="009B19CB"/>
    <w:rsid w:val="009B19D3"/>
    <w:rsid w:val="009B1A54"/>
    <w:rsid w:val="009B1DC0"/>
    <w:rsid w:val="009B240A"/>
    <w:rsid w:val="009B2475"/>
    <w:rsid w:val="009B255E"/>
    <w:rsid w:val="009B2601"/>
    <w:rsid w:val="009B29B7"/>
    <w:rsid w:val="009B2AB0"/>
    <w:rsid w:val="009B2B09"/>
    <w:rsid w:val="009B2F58"/>
    <w:rsid w:val="009B30B1"/>
    <w:rsid w:val="009B30C7"/>
    <w:rsid w:val="009B31DE"/>
    <w:rsid w:val="009B31EA"/>
    <w:rsid w:val="009B33C1"/>
    <w:rsid w:val="009B33F8"/>
    <w:rsid w:val="009B3529"/>
    <w:rsid w:val="009B3682"/>
    <w:rsid w:val="009B3699"/>
    <w:rsid w:val="009B36C0"/>
    <w:rsid w:val="009B3E66"/>
    <w:rsid w:val="009B3E85"/>
    <w:rsid w:val="009B3EA4"/>
    <w:rsid w:val="009B40C0"/>
    <w:rsid w:val="009B40EA"/>
    <w:rsid w:val="009B4223"/>
    <w:rsid w:val="009B435D"/>
    <w:rsid w:val="009B447D"/>
    <w:rsid w:val="009B45B7"/>
    <w:rsid w:val="009B47BE"/>
    <w:rsid w:val="009B4A0B"/>
    <w:rsid w:val="009B4B77"/>
    <w:rsid w:val="009B4D0A"/>
    <w:rsid w:val="009B4DD3"/>
    <w:rsid w:val="009B4FE6"/>
    <w:rsid w:val="009B50F5"/>
    <w:rsid w:val="009B51BA"/>
    <w:rsid w:val="009B5442"/>
    <w:rsid w:val="009B552D"/>
    <w:rsid w:val="009B5577"/>
    <w:rsid w:val="009B5782"/>
    <w:rsid w:val="009B58F6"/>
    <w:rsid w:val="009B5975"/>
    <w:rsid w:val="009B5995"/>
    <w:rsid w:val="009B5B12"/>
    <w:rsid w:val="009B5B69"/>
    <w:rsid w:val="009B5C7D"/>
    <w:rsid w:val="009B5DC0"/>
    <w:rsid w:val="009B5E16"/>
    <w:rsid w:val="009B5EC7"/>
    <w:rsid w:val="009B5FA9"/>
    <w:rsid w:val="009B605C"/>
    <w:rsid w:val="009B62DD"/>
    <w:rsid w:val="009B63E7"/>
    <w:rsid w:val="009B68AF"/>
    <w:rsid w:val="009B6BB5"/>
    <w:rsid w:val="009B6D6A"/>
    <w:rsid w:val="009B71FC"/>
    <w:rsid w:val="009B7320"/>
    <w:rsid w:val="009B75AC"/>
    <w:rsid w:val="009B75B9"/>
    <w:rsid w:val="009B76DA"/>
    <w:rsid w:val="009B776E"/>
    <w:rsid w:val="009B7808"/>
    <w:rsid w:val="009B7A3F"/>
    <w:rsid w:val="009B7A87"/>
    <w:rsid w:val="009B7CAB"/>
    <w:rsid w:val="009B7CDE"/>
    <w:rsid w:val="009B7CE6"/>
    <w:rsid w:val="009B7E91"/>
    <w:rsid w:val="009C0198"/>
    <w:rsid w:val="009C020C"/>
    <w:rsid w:val="009C05BF"/>
    <w:rsid w:val="009C05CB"/>
    <w:rsid w:val="009C05FC"/>
    <w:rsid w:val="009C065C"/>
    <w:rsid w:val="009C0AF0"/>
    <w:rsid w:val="009C0B01"/>
    <w:rsid w:val="009C0E95"/>
    <w:rsid w:val="009C1331"/>
    <w:rsid w:val="009C136A"/>
    <w:rsid w:val="009C140D"/>
    <w:rsid w:val="009C167B"/>
    <w:rsid w:val="009C170D"/>
    <w:rsid w:val="009C178D"/>
    <w:rsid w:val="009C17BA"/>
    <w:rsid w:val="009C1B38"/>
    <w:rsid w:val="009C1CE7"/>
    <w:rsid w:val="009C1E4F"/>
    <w:rsid w:val="009C2084"/>
    <w:rsid w:val="009C21D0"/>
    <w:rsid w:val="009C2224"/>
    <w:rsid w:val="009C22C2"/>
    <w:rsid w:val="009C25CE"/>
    <w:rsid w:val="009C2A51"/>
    <w:rsid w:val="009C2AAB"/>
    <w:rsid w:val="009C2B52"/>
    <w:rsid w:val="009C30CD"/>
    <w:rsid w:val="009C329E"/>
    <w:rsid w:val="009C341E"/>
    <w:rsid w:val="009C348E"/>
    <w:rsid w:val="009C3566"/>
    <w:rsid w:val="009C382C"/>
    <w:rsid w:val="009C38CE"/>
    <w:rsid w:val="009C393A"/>
    <w:rsid w:val="009C39F3"/>
    <w:rsid w:val="009C3A91"/>
    <w:rsid w:val="009C3B67"/>
    <w:rsid w:val="009C3E02"/>
    <w:rsid w:val="009C3EAE"/>
    <w:rsid w:val="009C3F32"/>
    <w:rsid w:val="009C3F4E"/>
    <w:rsid w:val="009C405B"/>
    <w:rsid w:val="009C42DE"/>
    <w:rsid w:val="009C4392"/>
    <w:rsid w:val="009C4527"/>
    <w:rsid w:val="009C457C"/>
    <w:rsid w:val="009C48DF"/>
    <w:rsid w:val="009C4959"/>
    <w:rsid w:val="009C49B8"/>
    <w:rsid w:val="009C4BEB"/>
    <w:rsid w:val="009C4CFC"/>
    <w:rsid w:val="009C5026"/>
    <w:rsid w:val="009C5041"/>
    <w:rsid w:val="009C5130"/>
    <w:rsid w:val="009C5170"/>
    <w:rsid w:val="009C5478"/>
    <w:rsid w:val="009C54A6"/>
    <w:rsid w:val="009C555F"/>
    <w:rsid w:val="009C55EE"/>
    <w:rsid w:val="009C5795"/>
    <w:rsid w:val="009C5A65"/>
    <w:rsid w:val="009C5B12"/>
    <w:rsid w:val="009C5C9C"/>
    <w:rsid w:val="009C5E4C"/>
    <w:rsid w:val="009C5F88"/>
    <w:rsid w:val="009C5FB6"/>
    <w:rsid w:val="009C6007"/>
    <w:rsid w:val="009C6008"/>
    <w:rsid w:val="009C6099"/>
    <w:rsid w:val="009C6239"/>
    <w:rsid w:val="009C6648"/>
    <w:rsid w:val="009C6716"/>
    <w:rsid w:val="009C683D"/>
    <w:rsid w:val="009C685F"/>
    <w:rsid w:val="009C6984"/>
    <w:rsid w:val="009C6AEA"/>
    <w:rsid w:val="009C6CBA"/>
    <w:rsid w:val="009C6DF9"/>
    <w:rsid w:val="009C7131"/>
    <w:rsid w:val="009C71A3"/>
    <w:rsid w:val="009C73F0"/>
    <w:rsid w:val="009C757A"/>
    <w:rsid w:val="009C75E0"/>
    <w:rsid w:val="009C7638"/>
    <w:rsid w:val="009C764E"/>
    <w:rsid w:val="009C78C7"/>
    <w:rsid w:val="009C79BA"/>
    <w:rsid w:val="009C7B8B"/>
    <w:rsid w:val="009C7CAA"/>
    <w:rsid w:val="009C7D27"/>
    <w:rsid w:val="009C7F77"/>
    <w:rsid w:val="009C7FA6"/>
    <w:rsid w:val="009C7FAC"/>
    <w:rsid w:val="009C7FE3"/>
    <w:rsid w:val="009D002D"/>
    <w:rsid w:val="009D0126"/>
    <w:rsid w:val="009D02D7"/>
    <w:rsid w:val="009D034A"/>
    <w:rsid w:val="009D0623"/>
    <w:rsid w:val="009D0D2C"/>
    <w:rsid w:val="009D1060"/>
    <w:rsid w:val="009D10AE"/>
    <w:rsid w:val="009D11EF"/>
    <w:rsid w:val="009D13A1"/>
    <w:rsid w:val="009D1527"/>
    <w:rsid w:val="009D156F"/>
    <w:rsid w:val="009D1586"/>
    <w:rsid w:val="009D15C4"/>
    <w:rsid w:val="009D1606"/>
    <w:rsid w:val="009D16F8"/>
    <w:rsid w:val="009D19AC"/>
    <w:rsid w:val="009D1A3A"/>
    <w:rsid w:val="009D1C9A"/>
    <w:rsid w:val="009D21E2"/>
    <w:rsid w:val="009D233D"/>
    <w:rsid w:val="009D2488"/>
    <w:rsid w:val="009D24B7"/>
    <w:rsid w:val="009D25B4"/>
    <w:rsid w:val="009D2642"/>
    <w:rsid w:val="009D269C"/>
    <w:rsid w:val="009D27AC"/>
    <w:rsid w:val="009D28AA"/>
    <w:rsid w:val="009D29C5"/>
    <w:rsid w:val="009D29D9"/>
    <w:rsid w:val="009D2B85"/>
    <w:rsid w:val="009D2BEC"/>
    <w:rsid w:val="009D2E7B"/>
    <w:rsid w:val="009D2EE6"/>
    <w:rsid w:val="009D2F5B"/>
    <w:rsid w:val="009D2F94"/>
    <w:rsid w:val="009D3168"/>
    <w:rsid w:val="009D32D3"/>
    <w:rsid w:val="009D33E4"/>
    <w:rsid w:val="009D33EA"/>
    <w:rsid w:val="009D34AC"/>
    <w:rsid w:val="009D35D9"/>
    <w:rsid w:val="009D3738"/>
    <w:rsid w:val="009D3746"/>
    <w:rsid w:val="009D383A"/>
    <w:rsid w:val="009D3855"/>
    <w:rsid w:val="009D38D7"/>
    <w:rsid w:val="009D39C0"/>
    <w:rsid w:val="009D39DC"/>
    <w:rsid w:val="009D39EC"/>
    <w:rsid w:val="009D3B1A"/>
    <w:rsid w:val="009D3FC0"/>
    <w:rsid w:val="009D41A6"/>
    <w:rsid w:val="009D4289"/>
    <w:rsid w:val="009D4462"/>
    <w:rsid w:val="009D450C"/>
    <w:rsid w:val="009D4536"/>
    <w:rsid w:val="009D45AB"/>
    <w:rsid w:val="009D4737"/>
    <w:rsid w:val="009D47DB"/>
    <w:rsid w:val="009D4930"/>
    <w:rsid w:val="009D4D41"/>
    <w:rsid w:val="009D4DF7"/>
    <w:rsid w:val="009D4E1F"/>
    <w:rsid w:val="009D4F54"/>
    <w:rsid w:val="009D5182"/>
    <w:rsid w:val="009D53C1"/>
    <w:rsid w:val="009D5687"/>
    <w:rsid w:val="009D58E1"/>
    <w:rsid w:val="009D5B94"/>
    <w:rsid w:val="009D5E79"/>
    <w:rsid w:val="009D5F04"/>
    <w:rsid w:val="009D60F2"/>
    <w:rsid w:val="009D6290"/>
    <w:rsid w:val="009D63AE"/>
    <w:rsid w:val="009D63E9"/>
    <w:rsid w:val="009D6536"/>
    <w:rsid w:val="009D6687"/>
    <w:rsid w:val="009D66A6"/>
    <w:rsid w:val="009D6A72"/>
    <w:rsid w:val="009D6AF8"/>
    <w:rsid w:val="009D6B54"/>
    <w:rsid w:val="009D6D3B"/>
    <w:rsid w:val="009D6FB7"/>
    <w:rsid w:val="009D7183"/>
    <w:rsid w:val="009D73F7"/>
    <w:rsid w:val="009D7567"/>
    <w:rsid w:val="009D7720"/>
    <w:rsid w:val="009D7919"/>
    <w:rsid w:val="009D7A38"/>
    <w:rsid w:val="009D7A40"/>
    <w:rsid w:val="009E01A0"/>
    <w:rsid w:val="009E024F"/>
    <w:rsid w:val="009E02BD"/>
    <w:rsid w:val="009E0362"/>
    <w:rsid w:val="009E070C"/>
    <w:rsid w:val="009E08E1"/>
    <w:rsid w:val="009E0A47"/>
    <w:rsid w:val="009E0B74"/>
    <w:rsid w:val="009E0DC5"/>
    <w:rsid w:val="009E0DDA"/>
    <w:rsid w:val="009E0E27"/>
    <w:rsid w:val="009E1091"/>
    <w:rsid w:val="009E10E6"/>
    <w:rsid w:val="009E1159"/>
    <w:rsid w:val="009E11B8"/>
    <w:rsid w:val="009E1294"/>
    <w:rsid w:val="009E1499"/>
    <w:rsid w:val="009E15B5"/>
    <w:rsid w:val="009E166A"/>
    <w:rsid w:val="009E1703"/>
    <w:rsid w:val="009E1886"/>
    <w:rsid w:val="009E18E2"/>
    <w:rsid w:val="009E19BF"/>
    <w:rsid w:val="009E1A2A"/>
    <w:rsid w:val="009E1CE6"/>
    <w:rsid w:val="009E1DE0"/>
    <w:rsid w:val="009E1E74"/>
    <w:rsid w:val="009E214B"/>
    <w:rsid w:val="009E217F"/>
    <w:rsid w:val="009E2455"/>
    <w:rsid w:val="009E2641"/>
    <w:rsid w:val="009E2883"/>
    <w:rsid w:val="009E28C1"/>
    <w:rsid w:val="009E2970"/>
    <w:rsid w:val="009E2A17"/>
    <w:rsid w:val="009E2AAC"/>
    <w:rsid w:val="009E2E34"/>
    <w:rsid w:val="009E30A4"/>
    <w:rsid w:val="009E3174"/>
    <w:rsid w:val="009E324E"/>
    <w:rsid w:val="009E327C"/>
    <w:rsid w:val="009E3438"/>
    <w:rsid w:val="009E3453"/>
    <w:rsid w:val="009E36EA"/>
    <w:rsid w:val="009E38E7"/>
    <w:rsid w:val="009E396C"/>
    <w:rsid w:val="009E3A27"/>
    <w:rsid w:val="009E3CEB"/>
    <w:rsid w:val="009E3CF2"/>
    <w:rsid w:val="009E3F00"/>
    <w:rsid w:val="009E3F6C"/>
    <w:rsid w:val="009E4104"/>
    <w:rsid w:val="009E4170"/>
    <w:rsid w:val="009E41F5"/>
    <w:rsid w:val="009E4242"/>
    <w:rsid w:val="009E436D"/>
    <w:rsid w:val="009E44EC"/>
    <w:rsid w:val="009E45C2"/>
    <w:rsid w:val="009E474F"/>
    <w:rsid w:val="009E478C"/>
    <w:rsid w:val="009E48BA"/>
    <w:rsid w:val="009E4971"/>
    <w:rsid w:val="009E4BFB"/>
    <w:rsid w:val="009E4C17"/>
    <w:rsid w:val="009E4C35"/>
    <w:rsid w:val="009E5140"/>
    <w:rsid w:val="009E54D4"/>
    <w:rsid w:val="009E5527"/>
    <w:rsid w:val="009E55A5"/>
    <w:rsid w:val="009E55FB"/>
    <w:rsid w:val="009E5799"/>
    <w:rsid w:val="009E5873"/>
    <w:rsid w:val="009E5B67"/>
    <w:rsid w:val="009E5DAE"/>
    <w:rsid w:val="009E5F3B"/>
    <w:rsid w:val="009E62E1"/>
    <w:rsid w:val="009E65E5"/>
    <w:rsid w:val="009E6620"/>
    <w:rsid w:val="009E66B6"/>
    <w:rsid w:val="009E675A"/>
    <w:rsid w:val="009E6809"/>
    <w:rsid w:val="009E684F"/>
    <w:rsid w:val="009E6B40"/>
    <w:rsid w:val="009E6C1F"/>
    <w:rsid w:val="009E6F3E"/>
    <w:rsid w:val="009E704F"/>
    <w:rsid w:val="009E73A5"/>
    <w:rsid w:val="009E7534"/>
    <w:rsid w:val="009E758F"/>
    <w:rsid w:val="009E768F"/>
    <w:rsid w:val="009E7952"/>
    <w:rsid w:val="009E7AE8"/>
    <w:rsid w:val="009E7D1D"/>
    <w:rsid w:val="009E7D70"/>
    <w:rsid w:val="009E7E3D"/>
    <w:rsid w:val="009E7ECD"/>
    <w:rsid w:val="009F010D"/>
    <w:rsid w:val="009F013B"/>
    <w:rsid w:val="009F02B2"/>
    <w:rsid w:val="009F02CE"/>
    <w:rsid w:val="009F045F"/>
    <w:rsid w:val="009F051D"/>
    <w:rsid w:val="009F053F"/>
    <w:rsid w:val="009F066A"/>
    <w:rsid w:val="009F06A6"/>
    <w:rsid w:val="009F0996"/>
    <w:rsid w:val="009F0A51"/>
    <w:rsid w:val="009F0CAE"/>
    <w:rsid w:val="009F1068"/>
    <w:rsid w:val="009F1437"/>
    <w:rsid w:val="009F151E"/>
    <w:rsid w:val="009F1549"/>
    <w:rsid w:val="009F18E9"/>
    <w:rsid w:val="009F1ACD"/>
    <w:rsid w:val="009F1AF7"/>
    <w:rsid w:val="009F1C05"/>
    <w:rsid w:val="009F1E57"/>
    <w:rsid w:val="009F206C"/>
    <w:rsid w:val="009F221A"/>
    <w:rsid w:val="009F24F1"/>
    <w:rsid w:val="009F2571"/>
    <w:rsid w:val="009F25F0"/>
    <w:rsid w:val="009F276E"/>
    <w:rsid w:val="009F2841"/>
    <w:rsid w:val="009F28DD"/>
    <w:rsid w:val="009F2986"/>
    <w:rsid w:val="009F29BB"/>
    <w:rsid w:val="009F2B3C"/>
    <w:rsid w:val="009F2E73"/>
    <w:rsid w:val="009F2E84"/>
    <w:rsid w:val="009F2F75"/>
    <w:rsid w:val="009F2FC4"/>
    <w:rsid w:val="009F39DC"/>
    <w:rsid w:val="009F3C44"/>
    <w:rsid w:val="009F3C5E"/>
    <w:rsid w:val="009F3D56"/>
    <w:rsid w:val="009F3EBD"/>
    <w:rsid w:val="009F3FF7"/>
    <w:rsid w:val="009F4030"/>
    <w:rsid w:val="009F48DF"/>
    <w:rsid w:val="009F4BA0"/>
    <w:rsid w:val="009F519A"/>
    <w:rsid w:val="009F5250"/>
    <w:rsid w:val="009F52C5"/>
    <w:rsid w:val="009F5424"/>
    <w:rsid w:val="009F54F5"/>
    <w:rsid w:val="009F5515"/>
    <w:rsid w:val="009F5645"/>
    <w:rsid w:val="009F573A"/>
    <w:rsid w:val="009F591B"/>
    <w:rsid w:val="009F603B"/>
    <w:rsid w:val="009F614B"/>
    <w:rsid w:val="009F61D7"/>
    <w:rsid w:val="009F62F9"/>
    <w:rsid w:val="009F6406"/>
    <w:rsid w:val="009F6541"/>
    <w:rsid w:val="009F659B"/>
    <w:rsid w:val="009F65AC"/>
    <w:rsid w:val="009F65BA"/>
    <w:rsid w:val="009F6653"/>
    <w:rsid w:val="009F67BD"/>
    <w:rsid w:val="009F6813"/>
    <w:rsid w:val="009F685C"/>
    <w:rsid w:val="009F6ABF"/>
    <w:rsid w:val="009F6B76"/>
    <w:rsid w:val="009F6C6B"/>
    <w:rsid w:val="009F6C76"/>
    <w:rsid w:val="009F6E01"/>
    <w:rsid w:val="009F6E2A"/>
    <w:rsid w:val="009F6F45"/>
    <w:rsid w:val="009F7070"/>
    <w:rsid w:val="009F71D2"/>
    <w:rsid w:val="009F72F1"/>
    <w:rsid w:val="009F7513"/>
    <w:rsid w:val="009F754F"/>
    <w:rsid w:val="009F76A3"/>
    <w:rsid w:val="009F76FB"/>
    <w:rsid w:val="009F77EE"/>
    <w:rsid w:val="009F785C"/>
    <w:rsid w:val="009F79D4"/>
    <w:rsid w:val="009F7A59"/>
    <w:rsid w:val="009F7DAB"/>
    <w:rsid w:val="00A00109"/>
    <w:rsid w:val="00A001FF"/>
    <w:rsid w:val="00A00335"/>
    <w:rsid w:val="00A006D2"/>
    <w:rsid w:val="00A00CC8"/>
    <w:rsid w:val="00A00CEE"/>
    <w:rsid w:val="00A00DD5"/>
    <w:rsid w:val="00A01068"/>
    <w:rsid w:val="00A012DA"/>
    <w:rsid w:val="00A0139A"/>
    <w:rsid w:val="00A0139B"/>
    <w:rsid w:val="00A013AA"/>
    <w:rsid w:val="00A016DC"/>
    <w:rsid w:val="00A017E6"/>
    <w:rsid w:val="00A018FC"/>
    <w:rsid w:val="00A01983"/>
    <w:rsid w:val="00A01A54"/>
    <w:rsid w:val="00A01ABA"/>
    <w:rsid w:val="00A01CDD"/>
    <w:rsid w:val="00A01E51"/>
    <w:rsid w:val="00A01E9E"/>
    <w:rsid w:val="00A01F3B"/>
    <w:rsid w:val="00A01FF8"/>
    <w:rsid w:val="00A02264"/>
    <w:rsid w:val="00A028EC"/>
    <w:rsid w:val="00A0291E"/>
    <w:rsid w:val="00A02943"/>
    <w:rsid w:val="00A02B4C"/>
    <w:rsid w:val="00A02BE7"/>
    <w:rsid w:val="00A02D75"/>
    <w:rsid w:val="00A03131"/>
    <w:rsid w:val="00A03210"/>
    <w:rsid w:val="00A03365"/>
    <w:rsid w:val="00A033E4"/>
    <w:rsid w:val="00A03624"/>
    <w:rsid w:val="00A03AD1"/>
    <w:rsid w:val="00A03BAC"/>
    <w:rsid w:val="00A03DF3"/>
    <w:rsid w:val="00A03DFD"/>
    <w:rsid w:val="00A04333"/>
    <w:rsid w:val="00A0437B"/>
    <w:rsid w:val="00A04658"/>
    <w:rsid w:val="00A04967"/>
    <w:rsid w:val="00A04BFA"/>
    <w:rsid w:val="00A04C63"/>
    <w:rsid w:val="00A04CE8"/>
    <w:rsid w:val="00A04EE3"/>
    <w:rsid w:val="00A04F6A"/>
    <w:rsid w:val="00A0512B"/>
    <w:rsid w:val="00A051D1"/>
    <w:rsid w:val="00A0537B"/>
    <w:rsid w:val="00A05422"/>
    <w:rsid w:val="00A05490"/>
    <w:rsid w:val="00A0580C"/>
    <w:rsid w:val="00A05A4E"/>
    <w:rsid w:val="00A05B4D"/>
    <w:rsid w:val="00A05BA3"/>
    <w:rsid w:val="00A05BE1"/>
    <w:rsid w:val="00A05FF2"/>
    <w:rsid w:val="00A06174"/>
    <w:rsid w:val="00A06330"/>
    <w:rsid w:val="00A06429"/>
    <w:rsid w:val="00A064F6"/>
    <w:rsid w:val="00A066E3"/>
    <w:rsid w:val="00A06866"/>
    <w:rsid w:val="00A068B7"/>
    <w:rsid w:val="00A069F0"/>
    <w:rsid w:val="00A06A55"/>
    <w:rsid w:val="00A06AF2"/>
    <w:rsid w:val="00A06AF5"/>
    <w:rsid w:val="00A06E77"/>
    <w:rsid w:val="00A06F3F"/>
    <w:rsid w:val="00A070E5"/>
    <w:rsid w:val="00A0726C"/>
    <w:rsid w:val="00A0754C"/>
    <w:rsid w:val="00A075FE"/>
    <w:rsid w:val="00A07A0E"/>
    <w:rsid w:val="00A07BCD"/>
    <w:rsid w:val="00A07DEC"/>
    <w:rsid w:val="00A07FE7"/>
    <w:rsid w:val="00A1010C"/>
    <w:rsid w:val="00A1019E"/>
    <w:rsid w:val="00A10576"/>
    <w:rsid w:val="00A10601"/>
    <w:rsid w:val="00A10932"/>
    <w:rsid w:val="00A10AB6"/>
    <w:rsid w:val="00A10B05"/>
    <w:rsid w:val="00A10B14"/>
    <w:rsid w:val="00A10B7C"/>
    <w:rsid w:val="00A10BF0"/>
    <w:rsid w:val="00A10C01"/>
    <w:rsid w:val="00A10C5C"/>
    <w:rsid w:val="00A10D22"/>
    <w:rsid w:val="00A10D87"/>
    <w:rsid w:val="00A10E25"/>
    <w:rsid w:val="00A11133"/>
    <w:rsid w:val="00A1117B"/>
    <w:rsid w:val="00A111C3"/>
    <w:rsid w:val="00A11406"/>
    <w:rsid w:val="00A1155F"/>
    <w:rsid w:val="00A1176F"/>
    <w:rsid w:val="00A117A8"/>
    <w:rsid w:val="00A117C7"/>
    <w:rsid w:val="00A117EC"/>
    <w:rsid w:val="00A11856"/>
    <w:rsid w:val="00A1190B"/>
    <w:rsid w:val="00A11B0C"/>
    <w:rsid w:val="00A11B46"/>
    <w:rsid w:val="00A11C79"/>
    <w:rsid w:val="00A11CB3"/>
    <w:rsid w:val="00A11E5B"/>
    <w:rsid w:val="00A11E6E"/>
    <w:rsid w:val="00A12339"/>
    <w:rsid w:val="00A12379"/>
    <w:rsid w:val="00A124D8"/>
    <w:rsid w:val="00A1261C"/>
    <w:rsid w:val="00A12756"/>
    <w:rsid w:val="00A12FBD"/>
    <w:rsid w:val="00A12FC3"/>
    <w:rsid w:val="00A135BE"/>
    <w:rsid w:val="00A13641"/>
    <w:rsid w:val="00A137E0"/>
    <w:rsid w:val="00A13865"/>
    <w:rsid w:val="00A13D63"/>
    <w:rsid w:val="00A13E9E"/>
    <w:rsid w:val="00A14095"/>
    <w:rsid w:val="00A140B7"/>
    <w:rsid w:val="00A143B8"/>
    <w:rsid w:val="00A145AE"/>
    <w:rsid w:val="00A147F7"/>
    <w:rsid w:val="00A14B95"/>
    <w:rsid w:val="00A14DA7"/>
    <w:rsid w:val="00A15374"/>
    <w:rsid w:val="00A1537D"/>
    <w:rsid w:val="00A156A8"/>
    <w:rsid w:val="00A15881"/>
    <w:rsid w:val="00A158B5"/>
    <w:rsid w:val="00A158CA"/>
    <w:rsid w:val="00A15933"/>
    <w:rsid w:val="00A15BF1"/>
    <w:rsid w:val="00A15D6D"/>
    <w:rsid w:val="00A15EEA"/>
    <w:rsid w:val="00A15EED"/>
    <w:rsid w:val="00A15EF5"/>
    <w:rsid w:val="00A16040"/>
    <w:rsid w:val="00A16052"/>
    <w:rsid w:val="00A1625F"/>
    <w:rsid w:val="00A166EF"/>
    <w:rsid w:val="00A167E9"/>
    <w:rsid w:val="00A16BA2"/>
    <w:rsid w:val="00A16E9A"/>
    <w:rsid w:val="00A16FC4"/>
    <w:rsid w:val="00A170D2"/>
    <w:rsid w:val="00A17120"/>
    <w:rsid w:val="00A17152"/>
    <w:rsid w:val="00A172AD"/>
    <w:rsid w:val="00A17342"/>
    <w:rsid w:val="00A1740A"/>
    <w:rsid w:val="00A176BC"/>
    <w:rsid w:val="00A17847"/>
    <w:rsid w:val="00A178D8"/>
    <w:rsid w:val="00A17CB7"/>
    <w:rsid w:val="00A2002E"/>
    <w:rsid w:val="00A20035"/>
    <w:rsid w:val="00A20541"/>
    <w:rsid w:val="00A20680"/>
    <w:rsid w:val="00A20700"/>
    <w:rsid w:val="00A20B05"/>
    <w:rsid w:val="00A20B97"/>
    <w:rsid w:val="00A213BE"/>
    <w:rsid w:val="00A2159A"/>
    <w:rsid w:val="00A21B4C"/>
    <w:rsid w:val="00A21B8C"/>
    <w:rsid w:val="00A21B97"/>
    <w:rsid w:val="00A21BC7"/>
    <w:rsid w:val="00A21CDD"/>
    <w:rsid w:val="00A21F01"/>
    <w:rsid w:val="00A21F10"/>
    <w:rsid w:val="00A21FC5"/>
    <w:rsid w:val="00A220C2"/>
    <w:rsid w:val="00A22248"/>
    <w:rsid w:val="00A2236D"/>
    <w:rsid w:val="00A22656"/>
    <w:rsid w:val="00A22AD6"/>
    <w:rsid w:val="00A22CFD"/>
    <w:rsid w:val="00A22DAF"/>
    <w:rsid w:val="00A22FFD"/>
    <w:rsid w:val="00A2309E"/>
    <w:rsid w:val="00A231B4"/>
    <w:rsid w:val="00A231D1"/>
    <w:rsid w:val="00A23A5C"/>
    <w:rsid w:val="00A23ABD"/>
    <w:rsid w:val="00A23EDA"/>
    <w:rsid w:val="00A23F1B"/>
    <w:rsid w:val="00A23FF3"/>
    <w:rsid w:val="00A24185"/>
    <w:rsid w:val="00A241A3"/>
    <w:rsid w:val="00A241E2"/>
    <w:rsid w:val="00A24360"/>
    <w:rsid w:val="00A24414"/>
    <w:rsid w:val="00A2451D"/>
    <w:rsid w:val="00A247D2"/>
    <w:rsid w:val="00A249C8"/>
    <w:rsid w:val="00A24A61"/>
    <w:rsid w:val="00A24A62"/>
    <w:rsid w:val="00A24FB9"/>
    <w:rsid w:val="00A250EF"/>
    <w:rsid w:val="00A25229"/>
    <w:rsid w:val="00A254F0"/>
    <w:rsid w:val="00A2560E"/>
    <w:rsid w:val="00A25670"/>
    <w:rsid w:val="00A258B3"/>
    <w:rsid w:val="00A258C5"/>
    <w:rsid w:val="00A25927"/>
    <w:rsid w:val="00A25C5E"/>
    <w:rsid w:val="00A25CCD"/>
    <w:rsid w:val="00A25E6B"/>
    <w:rsid w:val="00A25E75"/>
    <w:rsid w:val="00A25E78"/>
    <w:rsid w:val="00A25ED6"/>
    <w:rsid w:val="00A261F0"/>
    <w:rsid w:val="00A262A6"/>
    <w:rsid w:val="00A266EC"/>
    <w:rsid w:val="00A26D1C"/>
    <w:rsid w:val="00A26E0A"/>
    <w:rsid w:val="00A26E28"/>
    <w:rsid w:val="00A26FEE"/>
    <w:rsid w:val="00A2705F"/>
    <w:rsid w:val="00A2717B"/>
    <w:rsid w:val="00A27274"/>
    <w:rsid w:val="00A27370"/>
    <w:rsid w:val="00A2747E"/>
    <w:rsid w:val="00A27518"/>
    <w:rsid w:val="00A2753B"/>
    <w:rsid w:val="00A2770D"/>
    <w:rsid w:val="00A2782A"/>
    <w:rsid w:val="00A27B18"/>
    <w:rsid w:val="00A27BE3"/>
    <w:rsid w:val="00A27D11"/>
    <w:rsid w:val="00A27E58"/>
    <w:rsid w:val="00A27F0B"/>
    <w:rsid w:val="00A27F67"/>
    <w:rsid w:val="00A30049"/>
    <w:rsid w:val="00A301B3"/>
    <w:rsid w:val="00A30221"/>
    <w:rsid w:val="00A3030C"/>
    <w:rsid w:val="00A30568"/>
    <w:rsid w:val="00A306B0"/>
    <w:rsid w:val="00A30A22"/>
    <w:rsid w:val="00A30A99"/>
    <w:rsid w:val="00A30A9D"/>
    <w:rsid w:val="00A30F44"/>
    <w:rsid w:val="00A31187"/>
    <w:rsid w:val="00A31333"/>
    <w:rsid w:val="00A31437"/>
    <w:rsid w:val="00A314A5"/>
    <w:rsid w:val="00A319DC"/>
    <w:rsid w:val="00A31C35"/>
    <w:rsid w:val="00A31D3B"/>
    <w:rsid w:val="00A32187"/>
    <w:rsid w:val="00A321FF"/>
    <w:rsid w:val="00A32388"/>
    <w:rsid w:val="00A3283F"/>
    <w:rsid w:val="00A32C6B"/>
    <w:rsid w:val="00A32D56"/>
    <w:rsid w:val="00A32D69"/>
    <w:rsid w:val="00A33081"/>
    <w:rsid w:val="00A33103"/>
    <w:rsid w:val="00A331A1"/>
    <w:rsid w:val="00A331DF"/>
    <w:rsid w:val="00A331F4"/>
    <w:rsid w:val="00A33993"/>
    <w:rsid w:val="00A33ACD"/>
    <w:rsid w:val="00A33FFE"/>
    <w:rsid w:val="00A3434C"/>
    <w:rsid w:val="00A344F8"/>
    <w:rsid w:val="00A34508"/>
    <w:rsid w:val="00A3453A"/>
    <w:rsid w:val="00A349B0"/>
    <w:rsid w:val="00A349BF"/>
    <w:rsid w:val="00A349EB"/>
    <w:rsid w:val="00A34A8B"/>
    <w:rsid w:val="00A34ABC"/>
    <w:rsid w:val="00A34CEB"/>
    <w:rsid w:val="00A34F35"/>
    <w:rsid w:val="00A34F4B"/>
    <w:rsid w:val="00A35296"/>
    <w:rsid w:val="00A35767"/>
    <w:rsid w:val="00A3591C"/>
    <w:rsid w:val="00A35B28"/>
    <w:rsid w:val="00A35C59"/>
    <w:rsid w:val="00A35EBC"/>
    <w:rsid w:val="00A36072"/>
    <w:rsid w:val="00A360AD"/>
    <w:rsid w:val="00A361F5"/>
    <w:rsid w:val="00A362FB"/>
    <w:rsid w:val="00A362FC"/>
    <w:rsid w:val="00A36413"/>
    <w:rsid w:val="00A3641E"/>
    <w:rsid w:val="00A365C4"/>
    <w:rsid w:val="00A36694"/>
    <w:rsid w:val="00A366B8"/>
    <w:rsid w:val="00A36B9F"/>
    <w:rsid w:val="00A36BAC"/>
    <w:rsid w:val="00A36D44"/>
    <w:rsid w:val="00A36EDF"/>
    <w:rsid w:val="00A3736F"/>
    <w:rsid w:val="00A373C5"/>
    <w:rsid w:val="00A373E1"/>
    <w:rsid w:val="00A3749F"/>
    <w:rsid w:val="00A376D2"/>
    <w:rsid w:val="00A37806"/>
    <w:rsid w:val="00A37856"/>
    <w:rsid w:val="00A37954"/>
    <w:rsid w:val="00A37CCE"/>
    <w:rsid w:val="00A37FAB"/>
    <w:rsid w:val="00A404BE"/>
    <w:rsid w:val="00A407B3"/>
    <w:rsid w:val="00A408C9"/>
    <w:rsid w:val="00A40904"/>
    <w:rsid w:val="00A40A85"/>
    <w:rsid w:val="00A40C3E"/>
    <w:rsid w:val="00A40D11"/>
    <w:rsid w:val="00A41108"/>
    <w:rsid w:val="00A4121B"/>
    <w:rsid w:val="00A41459"/>
    <w:rsid w:val="00A418AD"/>
    <w:rsid w:val="00A418E6"/>
    <w:rsid w:val="00A41983"/>
    <w:rsid w:val="00A41D66"/>
    <w:rsid w:val="00A41D99"/>
    <w:rsid w:val="00A41EE2"/>
    <w:rsid w:val="00A41F70"/>
    <w:rsid w:val="00A4221D"/>
    <w:rsid w:val="00A42340"/>
    <w:rsid w:val="00A4234A"/>
    <w:rsid w:val="00A4246E"/>
    <w:rsid w:val="00A42490"/>
    <w:rsid w:val="00A4253D"/>
    <w:rsid w:val="00A4257B"/>
    <w:rsid w:val="00A425F5"/>
    <w:rsid w:val="00A428BB"/>
    <w:rsid w:val="00A42FC1"/>
    <w:rsid w:val="00A43037"/>
    <w:rsid w:val="00A432E4"/>
    <w:rsid w:val="00A433DE"/>
    <w:rsid w:val="00A43502"/>
    <w:rsid w:val="00A43574"/>
    <w:rsid w:val="00A43579"/>
    <w:rsid w:val="00A43BDC"/>
    <w:rsid w:val="00A43CBB"/>
    <w:rsid w:val="00A43FBB"/>
    <w:rsid w:val="00A44054"/>
    <w:rsid w:val="00A44188"/>
    <w:rsid w:val="00A44618"/>
    <w:rsid w:val="00A446F4"/>
    <w:rsid w:val="00A44712"/>
    <w:rsid w:val="00A44727"/>
    <w:rsid w:val="00A44849"/>
    <w:rsid w:val="00A44B2E"/>
    <w:rsid w:val="00A44B4D"/>
    <w:rsid w:val="00A44B7B"/>
    <w:rsid w:val="00A44BEE"/>
    <w:rsid w:val="00A44D81"/>
    <w:rsid w:val="00A44DA1"/>
    <w:rsid w:val="00A44DBA"/>
    <w:rsid w:val="00A44F63"/>
    <w:rsid w:val="00A455C1"/>
    <w:rsid w:val="00A457C8"/>
    <w:rsid w:val="00A45847"/>
    <w:rsid w:val="00A45B80"/>
    <w:rsid w:val="00A45C15"/>
    <w:rsid w:val="00A45DA0"/>
    <w:rsid w:val="00A4634C"/>
    <w:rsid w:val="00A4648B"/>
    <w:rsid w:val="00A465EA"/>
    <w:rsid w:val="00A46B3B"/>
    <w:rsid w:val="00A46BD6"/>
    <w:rsid w:val="00A4723D"/>
    <w:rsid w:val="00A47670"/>
    <w:rsid w:val="00A47731"/>
    <w:rsid w:val="00A477F3"/>
    <w:rsid w:val="00A47A77"/>
    <w:rsid w:val="00A47B00"/>
    <w:rsid w:val="00A47B2F"/>
    <w:rsid w:val="00A47E78"/>
    <w:rsid w:val="00A5019B"/>
    <w:rsid w:val="00A503F0"/>
    <w:rsid w:val="00A50402"/>
    <w:rsid w:val="00A505CA"/>
    <w:rsid w:val="00A506B7"/>
    <w:rsid w:val="00A508F4"/>
    <w:rsid w:val="00A50958"/>
    <w:rsid w:val="00A50C5F"/>
    <w:rsid w:val="00A50D90"/>
    <w:rsid w:val="00A50E8D"/>
    <w:rsid w:val="00A5130E"/>
    <w:rsid w:val="00A514A6"/>
    <w:rsid w:val="00A516AD"/>
    <w:rsid w:val="00A51A80"/>
    <w:rsid w:val="00A51E42"/>
    <w:rsid w:val="00A51EF9"/>
    <w:rsid w:val="00A51F33"/>
    <w:rsid w:val="00A51FC7"/>
    <w:rsid w:val="00A521AF"/>
    <w:rsid w:val="00A521C2"/>
    <w:rsid w:val="00A521F0"/>
    <w:rsid w:val="00A523E5"/>
    <w:rsid w:val="00A52924"/>
    <w:rsid w:val="00A52BB3"/>
    <w:rsid w:val="00A52C26"/>
    <w:rsid w:val="00A52C90"/>
    <w:rsid w:val="00A52DFC"/>
    <w:rsid w:val="00A53315"/>
    <w:rsid w:val="00A53339"/>
    <w:rsid w:val="00A5345B"/>
    <w:rsid w:val="00A53477"/>
    <w:rsid w:val="00A5359F"/>
    <w:rsid w:val="00A53646"/>
    <w:rsid w:val="00A53652"/>
    <w:rsid w:val="00A53748"/>
    <w:rsid w:val="00A538B1"/>
    <w:rsid w:val="00A538F6"/>
    <w:rsid w:val="00A53B04"/>
    <w:rsid w:val="00A53B26"/>
    <w:rsid w:val="00A53BDE"/>
    <w:rsid w:val="00A53D5C"/>
    <w:rsid w:val="00A53DE7"/>
    <w:rsid w:val="00A53EB7"/>
    <w:rsid w:val="00A544E5"/>
    <w:rsid w:val="00A54551"/>
    <w:rsid w:val="00A54616"/>
    <w:rsid w:val="00A54798"/>
    <w:rsid w:val="00A547AC"/>
    <w:rsid w:val="00A549E6"/>
    <w:rsid w:val="00A54A56"/>
    <w:rsid w:val="00A54B78"/>
    <w:rsid w:val="00A54C73"/>
    <w:rsid w:val="00A54DC7"/>
    <w:rsid w:val="00A54F13"/>
    <w:rsid w:val="00A55207"/>
    <w:rsid w:val="00A55431"/>
    <w:rsid w:val="00A554F4"/>
    <w:rsid w:val="00A5551D"/>
    <w:rsid w:val="00A555C2"/>
    <w:rsid w:val="00A5576A"/>
    <w:rsid w:val="00A55778"/>
    <w:rsid w:val="00A55B83"/>
    <w:rsid w:val="00A55D37"/>
    <w:rsid w:val="00A55F9C"/>
    <w:rsid w:val="00A55FF0"/>
    <w:rsid w:val="00A56102"/>
    <w:rsid w:val="00A56186"/>
    <w:rsid w:val="00A5628D"/>
    <w:rsid w:val="00A5673A"/>
    <w:rsid w:val="00A567F7"/>
    <w:rsid w:val="00A5682B"/>
    <w:rsid w:val="00A56970"/>
    <w:rsid w:val="00A5699C"/>
    <w:rsid w:val="00A56CA8"/>
    <w:rsid w:val="00A56ECF"/>
    <w:rsid w:val="00A57122"/>
    <w:rsid w:val="00A574F2"/>
    <w:rsid w:val="00A5777A"/>
    <w:rsid w:val="00A577F7"/>
    <w:rsid w:val="00A5782E"/>
    <w:rsid w:val="00A5787F"/>
    <w:rsid w:val="00A57931"/>
    <w:rsid w:val="00A57A13"/>
    <w:rsid w:val="00A57A41"/>
    <w:rsid w:val="00A57C11"/>
    <w:rsid w:val="00A57C96"/>
    <w:rsid w:val="00A57DD3"/>
    <w:rsid w:val="00A57F05"/>
    <w:rsid w:val="00A6004A"/>
    <w:rsid w:val="00A600C6"/>
    <w:rsid w:val="00A60119"/>
    <w:rsid w:val="00A6035E"/>
    <w:rsid w:val="00A60362"/>
    <w:rsid w:val="00A603F1"/>
    <w:rsid w:val="00A60652"/>
    <w:rsid w:val="00A606A6"/>
    <w:rsid w:val="00A606AA"/>
    <w:rsid w:val="00A60797"/>
    <w:rsid w:val="00A6097B"/>
    <w:rsid w:val="00A60A29"/>
    <w:rsid w:val="00A60A55"/>
    <w:rsid w:val="00A60AB3"/>
    <w:rsid w:val="00A60ADA"/>
    <w:rsid w:val="00A60DD4"/>
    <w:rsid w:val="00A60DDC"/>
    <w:rsid w:val="00A60E5B"/>
    <w:rsid w:val="00A613B7"/>
    <w:rsid w:val="00A61552"/>
    <w:rsid w:val="00A61AA1"/>
    <w:rsid w:val="00A61B09"/>
    <w:rsid w:val="00A61B4F"/>
    <w:rsid w:val="00A61BE3"/>
    <w:rsid w:val="00A61EF1"/>
    <w:rsid w:val="00A6203E"/>
    <w:rsid w:val="00A621AF"/>
    <w:rsid w:val="00A625AC"/>
    <w:rsid w:val="00A627C6"/>
    <w:rsid w:val="00A62843"/>
    <w:rsid w:val="00A62A97"/>
    <w:rsid w:val="00A62C48"/>
    <w:rsid w:val="00A62D57"/>
    <w:rsid w:val="00A62D85"/>
    <w:rsid w:val="00A62E76"/>
    <w:rsid w:val="00A62F0E"/>
    <w:rsid w:val="00A62FBB"/>
    <w:rsid w:val="00A63416"/>
    <w:rsid w:val="00A63430"/>
    <w:rsid w:val="00A6345A"/>
    <w:rsid w:val="00A636AA"/>
    <w:rsid w:val="00A639FF"/>
    <w:rsid w:val="00A63D3F"/>
    <w:rsid w:val="00A63E07"/>
    <w:rsid w:val="00A64162"/>
    <w:rsid w:val="00A6417B"/>
    <w:rsid w:val="00A642C2"/>
    <w:rsid w:val="00A64305"/>
    <w:rsid w:val="00A64456"/>
    <w:rsid w:val="00A64634"/>
    <w:rsid w:val="00A64B16"/>
    <w:rsid w:val="00A64B87"/>
    <w:rsid w:val="00A64E8A"/>
    <w:rsid w:val="00A64ED6"/>
    <w:rsid w:val="00A64FEE"/>
    <w:rsid w:val="00A6510B"/>
    <w:rsid w:val="00A651B3"/>
    <w:rsid w:val="00A651DF"/>
    <w:rsid w:val="00A65316"/>
    <w:rsid w:val="00A65730"/>
    <w:rsid w:val="00A658ED"/>
    <w:rsid w:val="00A659C4"/>
    <w:rsid w:val="00A65AD7"/>
    <w:rsid w:val="00A65C8B"/>
    <w:rsid w:val="00A65D1B"/>
    <w:rsid w:val="00A65EAE"/>
    <w:rsid w:val="00A65EBE"/>
    <w:rsid w:val="00A6616C"/>
    <w:rsid w:val="00A6625D"/>
    <w:rsid w:val="00A66306"/>
    <w:rsid w:val="00A665DD"/>
    <w:rsid w:val="00A665DF"/>
    <w:rsid w:val="00A666D6"/>
    <w:rsid w:val="00A6676A"/>
    <w:rsid w:val="00A66C11"/>
    <w:rsid w:val="00A66FB6"/>
    <w:rsid w:val="00A67040"/>
    <w:rsid w:val="00A67109"/>
    <w:rsid w:val="00A6736A"/>
    <w:rsid w:val="00A67455"/>
    <w:rsid w:val="00A67978"/>
    <w:rsid w:val="00A67B94"/>
    <w:rsid w:val="00A67C64"/>
    <w:rsid w:val="00A67E0F"/>
    <w:rsid w:val="00A67E15"/>
    <w:rsid w:val="00A67E7B"/>
    <w:rsid w:val="00A70091"/>
    <w:rsid w:val="00A70104"/>
    <w:rsid w:val="00A70185"/>
    <w:rsid w:val="00A7021E"/>
    <w:rsid w:val="00A70463"/>
    <w:rsid w:val="00A70540"/>
    <w:rsid w:val="00A70BF7"/>
    <w:rsid w:val="00A70D63"/>
    <w:rsid w:val="00A710A4"/>
    <w:rsid w:val="00A71260"/>
    <w:rsid w:val="00A71266"/>
    <w:rsid w:val="00A712AA"/>
    <w:rsid w:val="00A7130B"/>
    <w:rsid w:val="00A71957"/>
    <w:rsid w:val="00A71FCC"/>
    <w:rsid w:val="00A7214D"/>
    <w:rsid w:val="00A72214"/>
    <w:rsid w:val="00A72889"/>
    <w:rsid w:val="00A72F2C"/>
    <w:rsid w:val="00A73013"/>
    <w:rsid w:val="00A73148"/>
    <w:rsid w:val="00A7323C"/>
    <w:rsid w:val="00A7338D"/>
    <w:rsid w:val="00A73404"/>
    <w:rsid w:val="00A734B5"/>
    <w:rsid w:val="00A73530"/>
    <w:rsid w:val="00A73566"/>
    <w:rsid w:val="00A7371E"/>
    <w:rsid w:val="00A738AA"/>
    <w:rsid w:val="00A73C36"/>
    <w:rsid w:val="00A73D87"/>
    <w:rsid w:val="00A74253"/>
    <w:rsid w:val="00A7460F"/>
    <w:rsid w:val="00A74765"/>
    <w:rsid w:val="00A74849"/>
    <w:rsid w:val="00A74B32"/>
    <w:rsid w:val="00A7520C"/>
    <w:rsid w:val="00A7524A"/>
    <w:rsid w:val="00A75360"/>
    <w:rsid w:val="00A754DA"/>
    <w:rsid w:val="00A75584"/>
    <w:rsid w:val="00A75657"/>
    <w:rsid w:val="00A7573D"/>
    <w:rsid w:val="00A758A0"/>
    <w:rsid w:val="00A75AA4"/>
    <w:rsid w:val="00A75B37"/>
    <w:rsid w:val="00A75B74"/>
    <w:rsid w:val="00A75B95"/>
    <w:rsid w:val="00A75D15"/>
    <w:rsid w:val="00A76062"/>
    <w:rsid w:val="00A762DB"/>
    <w:rsid w:val="00A763ED"/>
    <w:rsid w:val="00A76545"/>
    <w:rsid w:val="00A76689"/>
    <w:rsid w:val="00A76EEF"/>
    <w:rsid w:val="00A77322"/>
    <w:rsid w:val="00A77BA5"/>
    <w:rsid w:val="00A77C61"/>
    <w:rsid w:val="00A77C95"/>
    <w:rsid w:val="00A77CD5"/>
    <w:rsid w:val="00A77D3D"/>
    <w:rsid w:val="00A77E7C"/>
    <w:rsid w:val="00A80094"/>
    <w:rsid w:val="00A80563"/>
    <w:rsid w:val="00A807B4"/>
    <w:rsid w:val="00A807D5"/>
    <w:rsid w:val="00A80875"/>
    <w:rsid w:val="00A80C57"/>
    <w:rsid w:val="00A80DDF"/>
    <w:rsid w:val="00A80DF0"/>
    <w:rsid w:val="00A80E73"/>
    <w:rsid w:val="00A80EC1"/>
    <w:rsid w:val="00A81103"/>
    <w:rsid w:val="00A8116D"/>
    <w:rsid w:val="00A81241"/>
    <w:rsid w:val="00A8136E"/>
    <w:rsid w:val="00A814BA"/>
    <w:rsid w:val="00A8153D"/>
    <w:rsid w:val="00A81600"/>
    <w:rsid w:val="00A81671"/>
    <w:rsid w:val="00A816F5"/>
    <w:rsid w:val="00A81A7D"/>
    <w:rsid w:val="00A81AC0"/>
    <w:rsid w:val="00A81B07"/>
    <w:rsid w:val="00A81E43"/>
    <w:rsid w:val="00A81ECA"/>
    <w:rsid w:val="00A821CB"/>
    <w:rsid w:val="00A823E0"/>
    <w:rsid w:val="00A8259D"/>
    <w:rsid w:val="00A8275B"/>
    <w:rsid w:val="00A82998"/>
    <w:rsid w:val="00A82A1E"/>
    <w:rsid w:val="00A82A4D"/>
    <w:rsid w:val="00A82A9E"/>
    <w:rsid w:val="00A82BF3"/>
    <w:rsid w:val="00A82E5B"/>
    <w:rsid w:val="00A83210"/>
    <w:rsid w:val="00A832AA"/>
    <w:rsid w:val="00A832E5"/>
    <w:rsid w:val="00A8330C"/>
    <w:rsid w:val="00A83333"/>
    <w:rsid w:val="00A83407"/>
    <w:rsid w:val="00A8344E"/>
    <w:rsid w:val="00A83470"/>
    <w:rsid w:val="00A838F4"/>
    <w:rsid w:val="00A83BA6"/>
    <w:rsid w:val="00A83F2E"/>
    <w:rsid w:val="00A83FCA"/>
    <w:rsid w:val="00A84087"/>
    <w:rsid w:val="00A8446D"/>
    <w:rsid w:val="00A84585"/>
    <w:rsid w:val="00A84590"/>
    <w:rsid w:val="00A846EF"/>
    <w:rsid w:val="00A84784"/>
    <w:rsid w:val="00A847A9"/>
    <w:rsid w:val="00A848E4"/>
    <w:rsid w:val="00A849A2"/>
    <w:rsid w:val="00A84C4E"/>
    <w:rsid w:val="00A84D5C"/>
    <w:rsid w:val="00A85289"/>
    <w:rsid w:val="00A854EC"/>
    <w:rsid w:val="00A8570F"/>
    <w:rsid w:val="00A8574A"/>
    <w:rsid w:val="00A85759"/>
    <w:rsid w:val="00A858D5"/>
    <w:rsid w:val="00A858FE"/>
    <w:rsid w:val="00A85BD8"/>
    <w:rsid w:val="00A85E88"/>
    <w:rsid w:val="00A86157"/>
    <w:rsid w:val="00A862A8"/>
    <w:rsid w:val="00A86346"/>
    <w:rsid w:val="00A86394"/>
    <w:rsid w:val="00A863C7"/>
    <w:rsid w:val="00A864EF"/>
    <w:rsid w:val="00A864F8"/>
    <w:rsid w:val="00A8679E"/>
    <w:rsid w:val="00A8694D"/>
    <w:rsid w:val="00A86A04"/>
    <w:rsid w:val="00A86BA2"/>
    <w:rsid w:val="00A86BCA"/>
    <w:rsid w:val="00A86BFF"/>
    <w:rsid w:val="00A87019"/>
    <w:rsid w:val="00A87782"/>
    <w:rsid w:val="00A87847"/>
    <w:rsid w:val="00A879F9"/>
    <w:rsid w:val="00A87AB4"/>
    <w:rsid w:val="00A87C14"/>
    <w:rsid w:val="00A87F96"/>
    <w:rsid w:val="00A90019"/>
    <w:rsid w:val="00A9050B"/>
    <w:rsid w:val="00A9056F"/>
    <w:rsid w:val="00A907F8"/>
    <w:rsid w:val="00A90882"/>
    <w:rsid w:val="00A908A3"/>
    <w:rsid w:val="00A90941"/>
    <w:rsid w:val="00A90B2C"/>
    <w:rsid w:val="00A90B3B"/>
    <w:rsid w:val="00A90DA0"/>
    <w:rsid w:val="00A90F60"/>
    <w:rsid w:val="00A91013"/>
    <w:rsid w:val="00A911F1"/>
    <w:rsid w:val="00A9121E"/>
    <w:rsid w:val="00A91376"/>
    <w:rsid w:val="00A917E7"/>
    <w:rsid w:val="00A91ABA"/>
    <w:rsid w:val="00A91D2C"/>
    <w:rsid w:val="00A91D4F"/>
    <w:rsid w:val="00A91E8B"/>
    <w:rsid w:val="00A91F26"/>
    <w:rsid w:val="00A92034"/>
    <w:rsid w:val="00A92535"/>
    <w:rsid w:val="00A9255F"/>
    <w:rsid w:val="00A928A4"/>
    <w:rsid w:val="00A929B3"/>
    <w:rsid w:val="00A92A9C"/>
    <w:rsid w:val="00A92BA7"/>
    <w:rsid w:val="00A92CC2"/>
    <w:rsid w:val="00A92D14"/>
    <w:rsid w:val="00A92E1C"/>
    <w:rsid w:val="00A92E82"/>
    <w:rsid w:val="00A92F63"/>
    <w:rsid w:val="00A93013"/>
    <w:rsid w:val="00A932F8"/>
    <w:rsid w:val="00A93422"/>
    <w:rsid w:val="00A93432"/>
    <w:rsid w:val="00A93B3F"/>
    <w:rsid w:val="00A93B48"/>
    <w:rsid w:val="00A9406C"/>
    <w:rsid w:val="00A941B2"/>
    <w:rsid w:val="00A941F4"/>
    <w:rsid w:val="00A9421A"/>
    <w:rsid w:val="00A945C5"/>
    <w:rsid w:val="00A94607"/>
    <w:rsid w:val="00A94668"/>
    <w:rsid w:val="00A9469A"/>
    <w:rsid w:val="00A94A8E"/>
    <w:rsid w:val="00A94B44"/>
    <w:rsid w:val="00A94C5D"/>
    <w:rsid w:val="00A94E4B"/>
    <w:rsid w:val="00A94EC8"/>
    <w:rsid w:val="00A94F7A"/>
    <w:rsid w:val="00A95233"/>
    <w:rsid w:val="00A95253"/>
    <w:rsid w:val="00A952E7"/>
    <w:rsid w:val="00A953F4"/>
    <w:rsid w:val="00A95449"/>
    <w:rsid w:val="00A954C0"/>
    <w:rsid w:val="00A95631"/>
    <w:rsid w:val="00A95636"/>
    <w:rsid w:val="00A95876"/>
    <w:rsid w:val="00A959AF"/>
    <w:rsid w:val="00A95A8B"/>
    <w:rsid w:val="00A95ABF"/>
    <w:rsid w:val="00A95E73"/>
    <w:rsid w:val="00A95F0D"/>
    <w:rsid w:val="00A95F9A"/>
    <w:rsid w:val="00A96123"/>
    <w:rsid w:val="00A961D2"/>
    <w:rsid w:val="00A961E6"/>
    <w:rsid w:val="00A96467"/>
    <w:rsid w:val="00A964D0"/>
    <w:rsid w:val="00A966D3"/>
    <w:rsid w:val="00A96B1D"/>
    <w:rsid w:val="00A96B4C"/>
    <w:rsid w:val="00A96F2A"/>
    <w:rsid w:val="00A96FA8"/>
    <w:rsid w:val="00A972F6"/>
    <w:rsid w:val="00A9730E"/>
    <w:rsid w:val="00A97574"/>
    <w:rsid w:val="00A975A8"/>
    <w:rsid w:val="00A97810"/>
    <w:rsid w:val="00A97814"/>
    <w:rsid w:val="00A979A3"/>
    <w:rsid w:val="00A97AFA"/>
    <w:rsid w:val="00A97B52"/>
    <w:rsid w:val="00A97B83"/>
    <w:rsid w:val="00A97CD6"/>
    <w:rsid w:val="00A97D6B"/>
    <w:rsid w:val="00A97F5C"/>
    <w:rsid w:val="00A97FC7"/>
    <w:rsid w:val="00AA0274"/>
    <w:rsid w:val="00AA03D0"/>
    <w:rsid w:val="00AA0595"/>
    <w:rsid w:val="00AA0B03"/>
    <w:rsid w:val="00AA0EAB"/>
    <w:rsid w:val="00AA0F4A"/>
    <w:rsid w:val="00AA1148"/>
    <w:rsid w:val="00AA1169"/>
    <w:rsid w:val="00AA11C0"/>
    <w:rsid w:val="00AA11E5"/>
    <w:rsid w:val="00AA1245"/>
    <w:rsid w:val="00AA1487"/>
    <w:rsid w:val="00AA1494"/>
    <w:rsid w:val="00AA155D"/>
    <w:rsid w:val="00AA159D"/>
    <w:rsid w:val="00AA16F8"/>
    <w:rsid w:val="00AA18AB"/>
    <w:rsid w:val="00AA18DF"/>
    <w:rsid w:val="00AA1A9E"/>
    <w:rsid w:val="00AA1B3B"/>
    <w:rsid w:val="00AA1B9B"/>
    <w:rsid w:val="00AA1E6D"/>
    <w:rsid w:val="00AA1FE4"/>
    <w:rsid w:val="00AA2589"/>
    <w:rsid w:val="00AA27F6"/>
    <w:rsid w:val="00AA2958"/>
    <w:rsid w:val="00AA2A2C"/>
    <w:rsid w:val="00AA2DA1"/>
    <w:rsid w:val="00AA2E64"/>
    <w:rsid w:val="00AA2E97"/>
    <w:rsid w:val="00AA2E9F"/>
    <w:rsid w:val="00AA3050"/>
    <w:rsid w:val="00AA3532"/>
    <w:rsid w:val="00AA360B"/>
    <w:rsid w:val="00AA3688"/>
    <w:rsid w:val="00AA368F"/>
    <w:rsid w:val="00AA3B40"/>
    <w:rsid w:val="00AA3BA9"/>
    <w:rsid w:val="00AA3D59"/>
    <w:rsid w:val="00AA3DD0"/>
    <w:rsid w:val="00AA3EFA"/>
    <w:rsid w:val="00AA401D"/>
    <w:rsid w:val="00AA415B"/>
    <w:rsid w:val="00AA45FC"/>
    <w:rsid w:val="00AA4641"/>
    <w:rsid w:val="00AA4663"/>
    <w:rsid w:val="00AA46CB"/>
    <w:rsid w:val="00AA4731"/>
    <w:rsid w:val="00AA473E"/>
    <w:rsid w:val="00AA4884"/>
    <w:rsid w:val="00AA48D1"/>
    <w:rsid w:val="00AA4A70"/>
    <w:rsid w:val="00AA5069"/>
    <w:rsid w:val="00AA54A3"/>
    <w:rsid w:val="00AA590F"/>
    <w:rsid w:val="00AA5CCF"/>
    <w:rsid w:val="00AA5D6B"/>
    <w:rsid w:val="00AA5FA2"/>
    <w:rsid w:val="00AA636C"/>
    <w:rsid w:val="00AA64AA"/>
    <w:rsid w:val="00AA65F9"/>
    <w:rsid w:val="00AA667C"/>
    <w:rsid w:val="00AA66C3"/>
    <w:rsid w:val="00AA67A6"/>
    <w:rsid w:val="00AA6AD6"/>
    <w:rsid w:val="00AA6D03"/>
    <w:rsid w:val="00AA6E4C"/>
    <w:rsid w:val="00AA703E"/>
    <w:rsid w:val="00AA71C7"/>
    <w:rsid w:val="00AA72D5"/>
    <w:rsid w:val="00AA72EE"/>
    <w:rsid w:val="00AA7423"/>
    <w:rsid w:val="00AA7528"/>
    <w:rsid w:val="00AA7698"/>
    <w:rsid w:val="00AA7820"/>
    <w:rsid w:val="00AA78AF"/>
    <w:rsid w:val="00AA7B1B"/>
    <w:rsid w:val="00AA7E9B"/>
    <w:rsid w:val="00AA7F69"/>
    <w:rsid w:val="00AA7FC5"/>
    <w:rsid w:val="00AB0037"/>
    <w:rsid w:val="00AB048F"/>
    <w:rsid w:val="00AB068D"/>
    <w:rsid w:val="00AB0842"/>
    <w:rsid w:val="00AB099D"/>
    <w:rsid w:val="00AB09DD"/>
    <w:rsid w:val="00AB0A5E"/>
    <w:rsid w:val="00AB0AE5"/>
    <w:rsid w:val="00AB0D0B"/>
    <w:rsid w:val="00AB0E21"/>
    <w:rsid w:val="00AB0ECD"/>
    <w:rsid w:val="00AB0FAD"/>
    <w:rsid w:val="00AB101B"/>
    <w:rsid w:val="00AB148A"/>
    <w:rsid w:val="00AB14F1"/>
    <w:rsid w:val="00AB154D"/>
    <w:rsid w:val="00AB17F7"/>
    <w:rsid w:val="00AB18BD"/>
    <w:rsid w:val="00AB1A05"/>
    <w:rsid w:val="00AB1BC9"/>
    <w:rsid w:val="00AB1BE1"/>
    <w:rsid w:val="00AB1D7B"/>
    <w:rsid w:val="00AB1E4E"/>
    <w:rsid w:val="00AB2012"/>
    <w:rsid w:val="00AB209C"/>
    <w:rsid w:val="00AB24E6"/>
    <w:rsid w:val="00AB25F6"/>
    <w:rsid w:val="00AB26C0"/>
    <w:rsid w:val="00AB26FB"/>
    <w:rsid w:val="00AB2928"/>
    <w:rsid w:val="00AB2A31"/>
    <w:rsid w:val="00AB2B04"/>
    <w:rsid w:val="00AB2BE1"/>
    <w:rsid w:val="00AB2C65"/>
    <w:rsid w:val="00AB2CF7"/>
    <w:rsid w:val="00AB2D85"/>
    <w:rsid w:val="00AB2E54"/>
    <w:rsid w:val="00AB2F1B"/>
    <w:rsid w:val="00AB3017"/>
    <w:rsid w:val="00AB3147"/>
    <w:rsid w:val="00AB33CD"/>
    <w:rsid w:val="00AB3432"/>
    <w:rsid w:val="00AB3631"/>
    <w:rsid w:val="00AB3848"/>
    <w:rsid w:val="00AB3964"/>
    <w:rsid w:val="00AB3D3C"/>
    <w:rsid w:val="00AB3E47"/>
    <w:rsid w:val="00AB3EFA"/>
    <w:rsid w:val="00AB3FDE"/>
    <w:rsid w:val="00AB41AD"/>
    <w:rsid w:val="00AB42D7"/>
    <w:rsid w:val="00AB44CC"/>
    <w:rsid w:val="00AB464E"/>
    <w:rsid w:val="00AB4834"/>
    <w:rsid w:val="00AB4925"/>
    <w:rsid w:val="00AB494B"/>
    <w:rsid w:val="00AB4977"/>
    <w:rsid w:val="00AB4B84"/>
    <w:rsid w:val="00AB4F1B"/>
    <w:rsid w:val="00AB503E"/>
    <w:rsid w:val="00AB5571"/>
    <w:rsid w:val="00AB55BB"/>
    <w:rsid w:val="00AB5897"/>
    <w:rsid w:val="00AB5A44"/>
    <w:rsid w:val="00AB5E68"/>
    <w:rsid w:val="00AB5FE3"/>
    <w:rsid w:val="00AB6093"/>
    <w:rsid w:val="00AB60BB"/>
    <w:rsid w:val="00AB60C3"/>
    <w:rsid w:val="00AB60F7"/>
    <w:rsid w:val="00AB612E"/>
    <w:rsid w:val="00AB6287"/>
    <w:rsid w:val="00AB67DF"/>
    <w:rsid w:val="00AB685E"/>
    <w:rsid w:val="00AB693B"/>
    <w:rsid w:val="00AB6BD2"/>
    <w:rsid w:val="00AB6C41"/>
    <w:rsid w:val="00AB6C82"/>
    <w:rsid w:val="00AB6DDB"/>
    <w:rsid w:val="00AB6F06"/>
    <w:rsid w:val="00AB7774"/>
    <w:rsid w:val="00AB77F7"/>
    <w:rsid w:val="00AB7A2C"/>
    <w:rsid w:val="00AB7FB1"/>
    <w:rsid w:val="00AB7FD2"/>
    <w:rsid w:val="00AC0378"/>
    <w:rsid w:val="00AC085F"/>
    <w:rsid w:val="00AC0B5E"/>
    <w:rsid w:val="00AC0C0A"/>
    <w:rsid w:val="00AC11BE"/>
    <w:rsid w:val="00AC128A"/>
    <w:rsid w:val="00AC162B"/>
    <w:rsid w:val="00AC16FB"/>
    <w:rsid w:val="00AC1BC9"/>
    <w:rsid w:val="00AC1CC1"/>
    <w:rsid w:val="00AC2084"/>
    <w:rsid w:val="00AC2184"/>
    <w:rsid w:val="00AC2512"/>
    <w:rsid w:val="00AC2A62"/>
    <w:rsid w:val="00AC2C96"/>
    <w:rsid w:val="00AC2DA2"/>
    <w:rsid w:val="00AC2EFB"/>
    <w:rsid w:val="00AC2F59"/>
    <w:rsid w:val="00AC3007"/>
    <w:rsid w:val="00AC325E"/>
    <w:rsid w:val="00AC332D"/>
    <w:rsid w:val="00AC33D3"/>
    <w:rsid w:val="00AC3568"/>
    <w:rsid w:val="00AC3873"/>
    <w:rsid w:val="00AC38AD"/>
    <w:rsid w:val="00AC39AC"/>
    <w:rsid w:val="00AC3CA7"/>
    <w:rsid w:val="00AC3EA3"/>
    <w:rsid w:val="00AC40C9"/>
    <w:rsid w:val="00AC4375"/>
    <w:rsid w:val="00AC453B"/>
    <w:rsid w:val="00AC4627"/>
    <w:rsid w:val="00AC4871"/>
    <w:rsid w:val="00AC495B"/>
    <w:rsid w:val="00AC4D08"/>
    <w:rsid w:val="00AC4D30"/>
    <w:rsid w:val="00AC4D65"/>
    <w:rsid w:val="00AC4E0D"/>
    <w:rsid w:val="00AC4E3E"/>
    <w:rsid w:val="00AC5410"/>
    <w:rsid w:val="00AC5719"/>
    <w:rsid w:val="00AC5770"/>
    <w:rsid w:val="00AC5876"/>
    <w:rsid w:val="00AC5988"/>
    <w:rsid w:val="00AC5A4E"/>
    <w:rsid w:val="00AC5A7E"/>
    <w:rsid w:val="00AC5AD5"/>
    <w:rsid w:val="00AC5B17"/>
    <w:rsid w:val="00AC5CDB"/>
    <w:rsid w:val="00AC5D50"/>
    <w:rsid w:val="00AC5DB6"/>
    <w:rsid w:val="00AC5F90"/>
    <w:rsid w:val="00AC63D4"/>
    <w:rsid w:val="00AC68C7"/>
    <w:rsid w:val="00AC68F4"/>
    <w:rsid w:val="00AC6917"/>
    <w:rsid w:val="00AC6CA2"/>
    <w:rsid w:val="00AC6E38"/>
    <w:rsid w:val="00AC72B2"/>
    <w:rsid w:val="00AC7896"/>
    <w:rsid w:val="00AC78AA"/>
    <w:rsid w:val="00AC79B9"/>
    <w:rsid w:val="00AC79FE"/>
    <w:rsid w:val="00AC7BB0"/>
    <w:rsid w:val="00AC7C72"/>
    <w:rsid w:val="00AC7E10"/>
    <w:rsid w:val="00AC7EF1"/>
    <w:rsid w:val="00AC7FCA"/>
    <w:rsid w:val="00AD053F"/>
    <w:rsid w:val="00AD0644"/>
    <w:rsid w:val="00AD0AE7"/>
    <w:rsid w:val="00AD0C3F"/>
    <w:rsid w:val="00AD0D29"/>
    <w:rsid w:val="00AD0E83"/>
    <w:rsid w:val="00AD0FAE"/>
    <w:rsid w:val="00AD1145"/>
    <w:rsid w:val="00AD1147"/>
    <w:rsid w:val="00AD1213"/>
    <w:rsid w:val="00AD1216"/>
    <w:rsid w:val="00AD133F"/>
    <w:rsid w:val="00AD137F"/>
    <w:rsid w:val="00AD146F"/>
    <w:rsid w:val="00AD15C0"/>
    <w:rsid w:val="00AD15CF"/>
    <w:rsid w:val="00AD1660"/>
    <w:rsid w:val="00AD1670"/>
    <w:rsid w:val="00AD1874"/>
    <w:rsid w:val="00AD19C7"/>
    <w:rsid w:val="00AD1B81"/>
    <w:rsid w:val="00AD1B9B"/>
    <w:rsid w:val="00AD1CBE"/>
    <w:rsid w:val="00AD1CFA"/>
    <w:rsid w:val="00AD1FA0"/>
    <w:rsid w:val="00AD223D"/>
    <w:rsid w:val="00AD22F2"/>
    <w:rsid w:val="00AD2385"/>
    <w:rsid w:val="00AD251E"/>
    <w:rsid w:val="00AD25C2"/>
    <w:rsid w:val="00AD267B"/>
    <w:rsid w:val="00AD2924"/>
    <w:rsid w:val="00AD2956"/>
    <w:rsid w:val="00AD2F19"/>
    <w:rsid w:val="00AD2F35"/>
    <w:rsid w:val="00AD3162"/>
    <w:rsid w:val="00AD325C"/>
    <w:rsid w:val="00AD32D1"/>
    <w:rsid w:val="00AD3648"/>
    <w:rsid w:val="00AD3663"/>
    <w:rsid w:val="00AD375B"/>
    <w:rsid w:val="00AD3A3F"/>
    <w:rsid w:val="00AD3B49"/>
    <w:rsid w:val="00AD3C9B"/>
    <w:rsid w:val="00AD3E71"/>
    <w:rsid w:val="00AD3F62"/>
    <w:rsid w:val="00AD3FD3"/>
    <w:rsid w:val="00AD46C8"/>
    <w:rsid w:val="00AD4892"/>
    <w:rsid w:val="00AD4900"/>
    <w:rsid w:val="00AD49B5"/>
    <w:rsid w:val="00AD4B2D"/>
    <w:rsid w:val="00AD4B81"/>
    <w:rsid w:val="00AD4DAA"/>
    <w:rsid w:val="00AD4E20"/>
    <w:rsid w:val="00AD4E49"/>
    <w:rsid w:val="00AD5001"/>
    <w:rsid w:val="00AD510F"/>
    <w:rsid w:val="00AD5237"/>
    <w:rsid w:val="00AD525F"/>
    <w:rsid w:val="00AD5313"/>
    <w:rsid w:val="00AD5398"/>
    <w:rsid w:val="00AD53D8"/>
    <w:rsid w:val="00AD56AC"/>
    <w:rsid w:val="00AD59D9"/>
    <w:rsid w:val="00AD5A38"/>
    <w:rsid w:val="00AD5ADB"/>
    <w:rsid w:val="00AD5D1B"/>
    <w:rsid w:val="00AD5D63"/>
    <w:rsid w:val="00AD5E40"/>
    <w:rsid w:val="00AD5F8E"/>
    <w:rsid w:val="00AD610F"/>
    <w:rsid w:val="00AD667B"/>
    <w:rsid w:val="00AD6692"/>
    <w:rsid w:val="00AD66F4"/>
    <w:rsid w:val="00AD69A4"/>
    <w:rsid w:val="00AD6A1E"/>
    <w:rsid w:val="00AD6B25"/>
    <w:rsid w:val="00AD6C59"/>
    <w:rsid w:val="00AD6CB9"/>
    <w:rsid w:val="00AD6CFE"/>
    <w:rsid w:val="00AD6D81"/>
    <w:rsid w:val="00AD6DBF"/>
    <w:rsid w:val="00AD6E3A"/>
    <w:rsid w:val="00AD731C"/>
    <w:rsid w:val="00AD7378"/>
    <w:rsid w:val="00AD7439"/>
    <w:rsid w:val="00AD74DD"/>
    <w:rsid w:val="00AD755E"/>
    <w:rsid w:val="00AD7615"/>
    <w:rsid w:val="00AD76C7"/>
    <w:rsid w:val="00AD7F69"/>
    <w:rsid w:val="00AE0007"/>
    <w:rsid w:val="00AE0043"/>
    <w:rsid w:val="00AE0483"/>
    <w:rsid w:val="00AE04B4"/>
    <w:rsid w:val="00AE05DD"/>
    <w:rsid w:val="00AE095E"/>
    <w:rsid w:val="00AE0A22"/>
    <w:rsid w:val="00AE0C9C"/>
    <w:rsid w:val="00AE0F9E"/>
    <w:rsid w:val="00AE1018"/>
    <w:rsid w:val="00AE1021"/>
    <w:rsid w:val="00AE11BF"/>
    <w:rsid w:val="00AE11F0"/>
    <w:rsid w:val="00AE130B"/>
    <w:rsid w:val="00AE13EB"/>
    <w:rsid w:val="00AE1743"/>
    <w:rsid w:val="00AE177E"/>
    <w:rsid w:val="00AE17DF"/>
    <w:rsid w:val="00AE183E"/>
    <w:rsid w:val="00AE1852"/>
    <w:rsid w:val="00AE1AA5"/>
    <w:rsid w:val="00AE1BD0"/>
    <w:rsid w:val="00AE1D84"/>
    <w:rsid w:val="00AE1ECA"/>
    <w:rsid w:val="00AE1F55"/>
    <w:rsid w:val="00AE224C"/>
    <w:rsid w:val="00AE22B9"/>
    <w:rsid w:val="00AE2414"/>
    <w:rsid w:val="00AE290C"/>
    <w:rsid w:val="00AE2ABD"/>
    <w:rsid w:val="00AE2D81"/>
    <w:rsid w:val="00AE2DDF"/>
    <w:rsid w:val="00AE2F18"/>
    <w:rsid w:val="00AE2FCD"/>
    <w:rsid w:val="00AE3081"/>
    <w:rsid w:val="00AE3117"/>
    <w:rsid w:val="00AE3254"/>
    <w:rsid w:val="00AE32CC"/>
    <w:rsid w:val="00AE3343"/>
    <w:rsid w:val="00AE3394"/>
    <w:rsid w:val="00AE35D0"/>
    <w:rsid w:val="00AE37D6"/>
    <w:rsid w:val="00AE3953"/>
    <w:rsid w:val="00AE3B02"/>
    <w:rsid w:val="00AE40C6"/>
    <w:rsid w:val="00AE4359"/>
    <w:rsid w:val="00AE4396"/>
    <w:rsid w:val="00AE43D3"/>
    <w:rsid w:val="00AE46E9"/>
    <w:rsid w:val="00AE493A"/>
    <w:rsid w:val="00AE49A6"/>
    <w:rsid w:val="00AE4B29"/>
    <w:rsid w:val="00AE4C9E"/>
    <w:rsid w:val="00AE51FE"/>
    <w:rsid w:val="00AE5400"/>
    <w:rsid w:val="00AE590D"/>
    <w:rsid w:val="00AE5A84"/>
    <w:rsid w:val="00AE5AB6"/>
    <w:rsid w:val="00AE5AD7"/>
    <w:rsid w:val="00AE5ADF"/>
    <w:rsid w:val="00AE5C4B"/>
    <w:rsid w:val="00AE5E1F"/>
    <w:rsid w:val="00AE669D"/>
    <w:rsid w:val="00AE6C7E"/>
    <w:rsid w:val="00AE6DD0"/>
    <w:rsid w:val="00AE6F5B"/>
    <w:rsid w:val="00AE7083"/>
    <w:rsid w:val="00AE71DF"/>
    <w:rsid w:val="00AE71E3"/>
    <w:rsid w:val="00AE73CB"/>
    <w:rsid w:val="00AE7507"/>
    <w:rsid w:val="00AE77B0"/>
    <w:rsid w:val="00AE7A57"/>
    <w:rsid w:val="00AE7C13"/>
    <w:rsid w:val="00AE7F0D"/>
    <w:rsid w:val="00AF0097"/>
    <w:rsid w:val="00AF0413"/>
    <w:rsid w:val="00AF046C"/>
    <w:rsid w:val="00AF072D"/>
    <w:rsid w:val="00AF078B"/>
    <w:rsid w:val="00AF07F6"/>
    <w:rsid w:val="00AF0B5C"/>
    <w:rsid w:val="00AF0BCC"/>
    <w:rsid w:val="00AF0FE9"/>
    <w:rsid w:val="00AF12B5"/>
    <w:rsid w:val="00AF1620"/>
    <w:rsid w:val="00AF18FF"/>
    <w:rsid w:val="00AF1A62"/>
    <w:rsid w:val="00AF1BCC"/>
    <w:rsid w:val="00AF1C41"/>
    <w:rsid w:val="00AF1D6E"/>
    <w:rsid w:val="00AF1DCF"/>
    <w:rsid w:val="00AF1F21"/>
    <w:rsid w:val="00AF1FD9"/>
    <w:rsid w:val="00AF21B7"/>
    <w:rsid w:val="00AF21BE"/>
    <w:rsid w:val="00AF2241"/>
    <w:rsid w:val="00AF235A"/>
    <w:rsid w:val="00AF2413"/>
    <w:rsid w:val="00AF246E"/>
    <w:rsid w:val="00AF2546"/>
    <w:rsid w:val="00AF2881"/>
    <w:rsid w:val="00AF2C11"/>
    <w:rsid w:val="00AF2C7B"/>
    <w:rsid w:val="00AF2C82"/>
    <w:rsid w:val="00AF2DCA"/>
    <w:rsid w:val="00AF3012"/>
    <w:rsid w:val="00AF3074"/>
    <w:rsid w:val="00AF30FA"/>
    <w:rsid w:val="00AF3263"/>
    <w:rsid w:val="00AF33DA"/>
    <w:rsid w:val="00AF34D4"/>
    <w:rsid w:val="00AF34ED"/>
    <w:rsid w:val="00AF3648"/>
    <w:rsid w:val="00AF3678"/>
    <w:rsid w:val="00AF3778"/>
    <w:rsid w:val="00AF37E0"/>
    <w:rsid w:val="00AF3E1D"/>
    <w:rsid w:val="00AF4107"/>
    <w:rsid w:val="00AF41BC"/>
    <w:rsid w:val="00AF4287"/>
    <w:rsid w:val="00AF45C2"/>
    <w:rsid w:val="00AF4800"/>
    <w:rsid w:val="00AF4A35"/>
    <w:rsid w:val="00AF4A71"/>
    <w:rsid w:val="00AF4B37"/>
    <w:rsid w:val="00AF4BEC"/>
    <w:rsid w:val="00AF4CC8"/>
    <w:rsid w:val="00AF4D49"/>
    <w:rsid w:val="00AF4E22"/>
    <w:rsid w:val="00AF51FC"/>
    <w:rsid w:val="00AF52AB"/>
    <w:rsid w:val="00AF541B"/>
    <w:rsid w:val="00AF542C"/>
    <w:rsid w:val="00AF567F"/>
    <w:rsid w:val="00AF5934"/>
    <w:rsid w:val="00AF5D6F"/>
    <w:rsid w:val="00AF5E7A"/>
    <w:rsid w:val="00AF61CD"/>
    <w:rsid w:val="00AF6379"/>
    <w:rsid w:val="00AF652F"/>
    <w:rsid w:val="00AF65C5"/>
    <w:rsid w:val="00AF6654"/>
    <w:rsid w:val="00AF6699"/>
    <w:rsid w:val="00AF66EF"/>
    <w:rsid w:val="00AF69FA"/>
    <w:rsid w:val="00AF6A07"/>
    <w:rsid w:val="00AF6B82"/>
    <w:rsid w:val="00AF6E55"/>
    <w:rsid w:val="00AF6E76"/>
    <w:rsid w:val="00AF6EBA"/>
    <w:rsid w:val="00AF6FBA"/>
    <w:rsid w:val="00AF6FC8"/>
    <w:rsid w:val="00AF7101"/>
    <w:rsid w:val="00AF71C2"/>
    <w:rsid w:val="00AF743E"/>
    <w:rsid w:val="00AF7524"/>
    <w:rsid w:val="00AF760B"/>
    <w:rsid w:val="00AF77D5"/>
    <w:rsid w:val="00AF7820"/>
    <w:rsid w:val="00AF782C"/>
    <w:rsid w:val="00AF7900"/>
    <w:rsid w:val="00AF79C1"/>
    <w:rsid w:val="00AF7AD0"/>
    <w:rsid w:val="00AF7B26"/>
    <w:rsid w:val="00AF7CA6"/>
    <w:rsid w:val="00AF7CBD"/>
    <w:rsid w:val="00AF7F63"/>
    <w:rsid w:val="00B0026D"/>
    <w:rsid w:val="00B002F2"/>
    <w:rsid w:val="00B0046C"/>
    <w:rsid w:val="00B004C3"/>
    <w:rsid w:val="00B0054E"/>
    <w:rsid w:val="00B005AE"/>
    <w:rsid w:val="00B00632"/>
    <w:rsid w:val="00B0096C"/>
    <w:rsid w:val="00B00A40"/>
    <w:rsid w:val="00B00C3D"/>
    <w:rsid w:val="00B00E23"/>
    <w:rsid w:val="00B00F4E"/>
    <w:rsid w:val="00B01173"/>
    <w:rsid w:val="00B01456"/>
    <w:rsid w:val="00B0149B"/>
    <w:rsid w:val="00B0156D"/>
    <w:rsid w:val="00B01740"/>
    <w:rsid w:val="00B0174B"/>
    <w:rsid w:val="00B01775"/>
    <w:rsid w:val="00B01803"/>
    <w:rsid w:val="00B0181B"/>
    <w:rsid w:val="00B0186B"/>
    <w:rsid w:val="00B018EB"/>
    <w:rsid w:val="00B019F1"/>
    <w:rsid w:val="00B01A84"/>
    <w:rsid w:val="00B01B1B"/>
    <w:rsid w:val="00B01B32"/>
    <w:rsid w:val="00B01CF2"/>
    <w:rsid w:val="00B01ECE"/>
    <w:rsid w:val="00B02028"/>
    <w:rsid w:val="00B02056"/>
    <w:rsid w:val="00B0209E"/>
    <w:rsid w:val="00B02551"/>
    <w:rsid w:val="00B02685"/>
    <w:rsid w:val="00B02737"/>
    <w:rsid w:val="00B02820"/>
    <w:rsid w:val="00B028E9"/>
    <w:rsid w:val="00B0292C"/>
    <w:rsid w:val="00B02BED"/>
    <w:rsid w:val="00B030D4"/>
    <w:rsid w:val="00B031EB"/>
    <w:rsid w:val="00B032D4"/>
    <w:rsid w:val="00B033E7"/>
    <w:rsid w:val="00B03585"/>
    <w:rsid w:val="00B036A5"/>
    <w:rsid w:val="00B03C52"/>
    <w:rsid w:val="00B03F08"/>
    <w:rsid w:val="00B03F15"/>
    <w:rsid w:val="00B03F66"/>
    <w:rsid w:val="00B04309"/>
    <w:rsid w:val="00B049BC"/>
    <w:rsid w:val="00B049CA"/>
    <w:rsid w:val="00B049E6"/>
    <w:rsid w:val="00B04A7F"/>
    <w:rsid w:val="00B04B90"/>
    <w:rsid w:val="00B04E1B"/>
    <w:rsid w:val="00B04E34"/>
    <w:rsid w:val="00B04F61"/>
    <w:rsid w:val="00B050CC"/>
    <w:rsid w:val="00B0515D"/>
    <w:rsid w:val="00B05A70"/>
    <w:rsid w:val="00B05C31"/>
    <w:rsid w:val="00B05C41"/>
    <w:rsid w:val="00B061EA"/>
    <w:rsid w:val="00B062F1"/>
    <w:rsid w:val="00B063F5"/>
    <w:rsid w:val="00B0649B"/>
    <w:rsid w:val="00B064BC"/>
    <w:rsid w:val="00B06618"/>
    <w:rsid w:val="00B0682C"/>
    <w:rsid w:val="00B06857"/>
    <w:rsid w:val="00B0687E"/>
    <w:rsid w:val="00B068C4"/>
    <w:rsid w:val="00B06A50"/>
    <w:rsid w:val="00B06A77"/>
    <w:rsid w:val="00B06AE1"/>
    <w:rsid w:val="00B06B53"/>
    <w:rsid w:val="00B06DCC"/>
    <w:rsid w:val="00B06E8F"/>
    <w:rsid w:val="00B070FE"/>
    <w:rsid w:val="00B07120"/>
    <w:rsid w:val="00B07304"/>
    <w:rsid w:val="00B07379"/>
    <w:rsid w:val="00B0756F"/>
    <w:rsid w:val="00B0762E"/>
    <w:rsid w:val="00B076D0"/>
    <w:rsid w:val="00B07766"/>
    <w:rsid w:val="00B0781C"/>
    <w:rsid w:val="00B07929"/>
    <w:rsid w:val="00B07971"/>
    <w:rsid w:val="00B07A5D"/>
    <w:rsid w:val="00B07AFA"/>
    <w:rsid w:val="00B07B91"/>
    <w:rsid w:val="00B07CD3"/>
    <w:rsid w:val="00B07F4A"/>
    <w:rsid w:val="00B100BB"/>
    <w:rsid w:val="00B10118"/>
    <w:rsid w:val="00B1031C"/>
    <w:rsid w:val="00B10598"/>
    <w:rsid w:val="00B1069C"/>
    <w:rsid w:val="00B10CCE"/>
    <w:rsid w:val="00B10EC9"/>
    <w:rsid w:val="00B10F2C"/>
    <w:rsid w:val="00B110A0"/>
    <w:rsid w:val="00B110D0"/>
    <w:rsid w:val="00B11419"/>
    <w:rsid w:val="00B1146C"/>
    <w:rsid w:val="00B11635"/>
    <w:rsid w:val="00B116F8"/>
    <w:rsid w:val="00B116FC"/>
    <w:rsid w:val="00B11711"/>
    <w:rsid w:val="00B11A08"/>
    <w:rsid w:val="00B11ADB"/>
    <w:rsid w:val="00B11AED"/>
    <w:rsid w:val="00B11DC2"/>
    <w:rsid w:val="00B11F2E"/>
    <w:rsid w:val="00B11FEF"/>
    <w:rsid w:val="00B120BA"/>
    <w:rsid w:val="00B1225D"/>
    <w:rsid w:val="00B1227D"/>
    <w:rsid w:val="00B12A86"/>
    <w:rsid w:val="00B12BC0"/>
    <w:rsid w:val="00B12D92"/>
    <w:rsid w:val="00B12EED"/>
    <w:rsid w:val="00B12F97"/>
    <w:rsid w:val="00B1307D"/>
    <w:rsid w:val="00B1309E"/>
    <w:rsid w:val="00B1323D"/>
    <w:rsid w:val="00B133B8"/>
    <w:rsid w:val="00B13437"/>
    <w:rsid w:val="00B1356A"/>
    <w:rsid w:val="00B13598"/>
    <w:rsid w:val="00B13760"/>
    <w:rsid w:val="00B13A32"/>
    <w:rsid w:val="00B13A58"/>
    <w:rsid w:val="00B13C3B"/>
    <w:rsid w:val="00B13C6E"/>
    <w:rsid w:val="00B13F99"/>
    <w:rsid w:val="00B1420C"/>
    <w:rsid w:val="00B14443"/>
    <w:rsid w:val="00B144DC"/>
    <w:rsid w:val="00B148E6"/>
    <w:rsid w:val="00B14BFE"/>
    <w:rsid w:val="00B14C1E"/>
    <w:rsid w:val="00B14D48"/>
    <w:rsid w:val="00B152A6"/>
    <w:rsid w:val="00B155FA"/>
    <w:rsid w:val="00B15856"/>
    <w:rsid w:val="00B1592E"/>
    <w:rsid w:val="00B15A79"/>
    <w:rsid w:val="00B15B67"/>
    <w:rsid w:val="00B1605B"/>
    <w:rsid w:val="00B16080"/>
    <w:rsid w:val="00B16361"/>
    <w:rsid w:val="00B163EE"/>
    <w:rsid w:val="00B16422"/>
    <w:rsid w:val="00B1662B"/>
    <w:rsid w:val="00B168B3"/>
    <w:rsid w:val="00B16A58"/>
    <w:rsid w:val="00B16D26"/>
    <w:rsid w:val="00B16E69"/>
    <w:rsid w:val="00B16E92"/>
    <w:rsid w:val="00B16FC7"/>
    <w:rsid w:val="00B1711C"/>
    <w:rsid w:val="00B17186"/>
    <w:rsid w:val="00B173A6"/>
    <w:rsid w:val="00B174F5"/>
    <w:rsid w:val="00B17858"/>
    <w:rsid w:val="00B17905"/>
    <w:rsid w:val="00B17D28"/>
    <w:rsid w:val="00B17DF2"/>
    <w:rsid w:val="00B17E38"/>
    <w:rsid w:val="00B17E4B"/>
    <w:rsid w:val="00B202A3"/>
    <w:rsid w:val="00B20610"/>
    <w:rsid w:val="00B20DDB"/>
    <w:rsid w:val="00B20E0F"/>
    <w:rsid w:val="00B20E5E"/>
    <w:rsid w:val="00B20EAB"/>
    <w:rsid w:val="00B21033"/>
    <w:rsid w:val="00B21036"/>
    <w:rsid w:val="00B21223"/>
    <w:rsid w:val="00B213BD"/>
    <w:rsid w:val="00B213CD"/>
    <w:rsid w:val="00B21514"/>
    <w:rsid w:val="00B21635"/>
    <w:rsid w:val="00B218F6"/>
    <w:rsid w:val="00B21CAE"/>
    <w:rsid w:val="00B21E4A"/>
    <w:rsid w:val="00B22049"/>
    <w:rsid w:val="00B22062"/>
    <w:rsid w:val="00B223BC"/>
    <w:rsid w:val="00B223E2"/>
    <w:rsid w:val="00B22555"/>
    <w:rsid w:val="00B2274C"/>
    <w:rsid w:val="00B22849"/>
    <w:rsid w:val="00B22906"/>
    <w:rsid w:val="00B229DA"/>
    <w:rsid w:val="00B22A4B"/>
    <w:rsid w:val="00B22A60"/>
    <w:rsid w:val="00B22AEA"/>
    <w:rsid w:val="00B22C1F"/>
    <w:rsid w:val="00B22D3B"/>
    <w:rsid w:val="00B22F18"/>
    <w:rsid w:val="00B22FC0"/>
    <w:rsid w:val="00B22FD1"/>
    <w:rsid w:val="00B2318D"/>
    <w:rsid w:val="00B23303"/>
    <w:rsid w:val="00B23487"/>
    <w:rsid w:val="00B234EE"/>
    <w:rsid w:val="00B237E9"/>
    <w:rsid w:val="00B23885"/>
    <w:rsid w:val="00B2388D"/>
    <w:rsid w:val="00B23923"/>
    <w:rsid w:val="00B23ACA"/>
    <w:rsid w:val="00B23B8C"/>
    <w:rsid w:val="00B23D87"/>
    <w:rsid w:val="00B23E32"/>
    <w:rsid w:val="00B23F62"/>
    <w:rsid w:val="00B23F8E"/>
    <w:rsid w:val="00B23FE5"/>
    <w:rsid w:val="00B2403D"/>
    <w:rsid w:val="00B24305"/>
    <w:rsid w:val="00B2449F"/>
    <w:rsid w:val="00B24778"/>
    <w:rsid w:val="00B2477C"/>
    <w:rsid w:val="00B24969"/>
    <w:rsid w:val="00B24CA9"/>
    <w:rsid w:val="00B24CC6"/>
    <w:rsid w:val="00B24D66"/>
    <w:rsid w:val="00B24E6B"/>
    <w:rsid w:val="00B24FFD"/>
    <w:rsid w:val="00B251B7"/>
    <w:rsid w:val="00B2520A"/>
    <w:rsid w:val="00B2532B"/>
    <w:rsid w:val="00B259DC"/>
    <w:rsid w:val="00B25AC1"/>
    <w:rsid w:val="00B25B78"/>
    <w:rsid w:val="00B25C7A"/>
    <w:rsid w:val="00B25D62"/>
    <w:rsid w:val="00B25E07"/>
    <w:rsid w:val="00B262F9"/>
    <w:rsid w:val="00B263EA"/>
    <w:rsid w:val="00B2657C"/>
    <w:rsid w:val="00B26695"/>
    <w:rsid w:val="00B266CE"/>
    <w:rsid w:val="00B267C7"/>
    <w:rsid w:val="00B268BF"/>
    <w:rsid w:val="00B26AC0"/>
    <w:rsid w:val="00B26AE6"/>
    <w:rsid w:val="00B26B5F"/>
    <w:rsid w:val="00B26D02"/>
    <w:rsid w:val="00B26D04"/>
    <w:rsid w:val="00B26E74"/>
    <w:rsid w:val="00B27045"/>
    <w:rsid w:val="00B271B5"/>
    <w:rsid w:val="00B2727C"/>
    <w:rsid w:val="00B2731B"/>
    <w:rsid w:val="00B275D5"/>
    <w:rsid w:val="00B2788B"/>
    <w:rsid w:val="00B278A3"/>
    <w:rsid w:val="00B2797D"/>
    <w:rsid w:val="00B27980"/>
    <w:rsid w:val="00B27EF6"/>
    <w:rsid w:val="00B27FC3"/>
    <w:rsid w:val="00B27FCB"/>
    <w:rsid w:val="00B300C3"/>
    <w:rsid w:val="00B300E4"/>
    <w:rsid w:val="00B3012C"/>
    <w:rsid w:val="00B3037D"/>
    <w:rsid w:val="00B30386"/>
    <w:rsid w:val="00B303DF"/>
    <w:rsid w:val="00B3064C"/>
    <w:rsid w:val="00B30686"/>
    <w:rsid w:val="00B30BDD"/>
    <w:rsid w:val="00B30D98"/>
    <w:rsid w:val="00B30EEA"/>
    <w:rsid w:val="00B311BF"/>
    <w:rsid w:val="00B31299"/>
    <w:rsid w:val="00B314CD"/>
    <w:rsid w:val="00B314DB"/>
    <w:rsid w:val="00B316B1"/>
    <w:rsid w:val="00B316EB"/>
    <w:rsid w:val="00B31783"/>
    <w:rsid w:val="00B317A4"/>
    <w:rsid w:val="00B317E4"/>
    <w:rsid w:val="00B31963"/>
    <w:rsid w:val="00B31C3B"/>
    <w:rsid w:val="00B31D21"/>
    <w:rsid w:val="00B31D41"/>
    <w:rsid w:val="00B3221A"/>
    <w:rsid w:val="00B3236C"/>
    <w:rsid w:val="00B3246E"/>
    <w:rsid w:val="00B325E1"/>
    <w:rsid w:val="00B328A0"/>
    <w:rsid w:val="00B32B33"/>
    <w:rsid w:val="00B32C52"/>
    <w:rsid w:val="00B32D6D"/>
    <w:rsid w:val="00B32DB3"/>
    <w:rsid w:val="00B32F2C"/>
    <w:rsid w:val="00B32F84"/>
    <w:rsid w:val="00B32F8C"/>
    <w:rsid w:val="00B33123"/>
    <w:rsid w:val="00B33425"/>
    <w:rsid w:val="00B337F4"/>
    <w:rsid w:val="00B33A56"/>
    <w:rsid w:val="00B33BF7"/>
    <w:rsid w:val="00B33C03"/>
    <w:rsid w:val="00B33C40"/>
    <w:rsid w:val="00B33D8F"/>
    <w:rsid w:val="00B34083"/>
    <w:rsid w:val="00B3424F"/>
    <w:rsid w:val="00B343F7"/>
    <w:rsid w:val="00B346F4"/>
    <w:rsid w:val="00B3474B"/>
    <w:rsid w:val="00B34B06"/>
    <w:rsid w:val="00B34C3B"/>
    <w:rsid w:val="00B34C8C"/>
    <w:rsid w:val="00B350FE"/>
    <w:rsid w:val="00B35116"/>
    <w:rsid w:val="00B3553B"/>
    <w:rsid w:val="00B3581D"/>
    <w:rsid w:val="00B35AA6"/>
    <w:rsid w:val="00B35CAC"/>
    <w:rsid w:val="00B36024"/>
    <w:rsid w:val="00B360EE"/>
    <w:rsid w:val="00B36147"/>
    <w:rsid w:val="00B3615F"/>
    <w:rsid w:val="00B36236"/>
    <w:rsid w:val="00B3641C"/>
    <w:rsid w:val="00B36697"/>
    <w:rsid w:val="00B366A2"/>
    <w:rsid w:val="00B366E8"/>
    <w:rsid w:val="00B36770"/>
    <w:rsid w:val="00B369F3"/>
    <w:rsid w:val="00B36AF4"/>
    <w:rsid w:val="00B36AF7"/>
    <w:rsid w:val="00B36D87"/>
    <w:rsid w:val="00B36DF7"/>
    <w:rsid w:val="00B36E03"/>
    <w:rsid w:val="00B36E31"/>
    <w:rsid w:val="00B371DC"/>
    <w:rsid w:val="00B3763F"/>
    <w:rsid w:val="00B37816"/>
    <w:rsid w:val="00B37899"/>
    <w:rsid w:val="00B3791D"/>
    <w:rsid w:val="00B37A0D"/>
    <w:rsid w:val="00B37AC4"/>
    <w:rsid w:val="00B37B08"/>
    <w:rsid w:val="00B37B31"/>
    <w:rsid w:val="00B37DA7"/>
    <w:rsid w:val="00B37DAC"/>
    <w:rsid w:val="00B400DC"/>
    <w:rsid w:val="00B40173"/>
    <w:rsid w:val="00B404A7"/>
    <w:rsid w:val="00B409C2"/>
    <w:rsid w:val="00B409F9"/>
    <w:rsid w:val="00B40AE8"/>
    <w:rsid w:val="00B40B54"/>
    <w:rsid w:val="00B40BDF"/>
    <w:rsid w:val="00B40C03"/>
    <w:rsid w:val="00B40DAA"/>
    <w:rsid w:val="00B41267"/>
    <w:rsid w:val="00B41304"/>
    <w:rsid w:val="00B41312"/>
    <w:rsid w:val="00B414B9"/>
    <w:rsid w:val="00B414CC"/>
    <w:rsid w:val="00B4161D"/>
    <w:rsid w:val="00B41A06"/>
    <w:rsid w:val="00B41B91"/>
    <w:rsid w:val="00B41CBF"/>
    <w:rsid w:val="00B41CEE"/>
    <w:rsid w:val="00B41D04"/>
    <w:rsid w:val="00B41D5B"/>
    <w:rsid w:val="00B41D8B"/>
    <w:rsid w:val="00B41E42"/>
    <w:rsid w:val="00B41F7F"/>
    <w:rsid w:val="00B4215E"/>
    <w:rsid w:val="00B421C4"/>
    <w:rsid w:val="00B42211"/>
    <w:rsid w:val="00B42241"/>
    <w:rsid w:val="00B4238B"/>
    <w:rsid w:val="00B423AF"/>
    <w:rsid w:val="00B42418"/>
    <w:rsid w:val="00B4271D"/>
    <w:rsid w:val="00B427D5"/>
    <w:rsid w:val="00B42A4A"/>
    <w:rsid w:val="00B42A4C"/>
    <w:rsid w:val="00B42AD8"/>
    <w:rsid w:val="00B42B06"/>
    <w:rsid w:val="00B42B6D"/>
    <w:rsid w:val="00B42BFB"/>
    <w:rsid w:val="00B42CB6"/>
    <w:rsid w:val="00B42D95"/>
    <w:rsid w:val="00B42EE5"/>
    <w:rsid w:val="00B43044"/>
    <w:rsid w:val="00B4323B"/>
    <w:rsid w:val="00B43276"/>
    <w:rsid w:val="00B433C7"/>
    <w:rsid w:val="00B433F9"/>
    <w:rsid w:val="00B43468"/>
    <w:rsid w:val="00B4352B"/>
    <w:rsid w:val="00B435E0"/>
    <w:rsid w:val="00B439F5"/>
    <w:rsid w:val="00B43A03"/>
    <w:rsid w:val="00B43B09"/>
    <w:rsid w:val="00B43B32"/>
    <w:rsid w:val="00B43F61"/>
    <w:rsid w:val="00B44398"/>
    <w:rsid w:val="00B443A9"/>
    <w:rsid w:val="00B443C6"/>
    <w:rsid w:val="00B443F1"/>
    <w:rsid w:val="00B44468"/>
    <w:rsid w:val="00B44494"/>
    <w:rsid w:val="00B4454D"/>
    <w:rsid w:val="00B44576"/>
    <w:rsid w:val="00B4475B"/>
    <w:rsid w:val="00B44762"/>
    <w:rsid w:val="00B44797"/>
    <w:rsid w:val="00B44D76"/>
    <w:rsid w:val="00B44D7C"/>
    <w:rsid w:val="00B450D6"/>
    <w:rsid w:val="00B4517B"/>
    <w:rsid w:val="00B4537C"/>
    <w:rsid w:val="00B45407"/>
    <w:rsid w:val="00B4567E"/>
    <w:rsid w:val="00B456C9"/>
    <w:rsid w:val="00B4590E"/>
    <w:rsid w:val="00B45952"/>
    <w:rsid w:val="00B45F89"/>
    <w:rsid w:val="00B4620B"/>
    <w:rsid w:val="00B46509"/>
    <w:rsid w:val="00B465CE"/>
    <w:rsid w:val="00B46704"/>
    <w:rsid w:val="00B4675A"/>
    <w:rsid w:val="00B46882"/>
    <w:rsid w:val="00B4698F"/>
    <w:rsid w:val="00B469FF"/>
    <w:rsid w:val="00B46B63"/>
    <w:rsid w:val="00B46C78"/>
    <w:rsid w:val="00B47018"/>
    <w:rsid w:val="00B471D4"/>
    <w:rsid w:val="00B4724F"/>
    <w:rsid w:val="00B475AA"/>
    <w:rsid w:val="00B4769E"/>
    <w:rsid w:val="00B476C9"/>
    <w:rsid w:val="00B477F1"/>
    <w:rsid w:val="00B479B5"/>
    <w:rsid w:val="00B47A8C"/>
    <w:rsid w:val="00B47AB9"/>
    <w:rsid w:val="00B47C98"/>
    <w:rsid w:val="00B47CFB"/>
    <w:rsid w:val="00B47EEB"/>
    <w:rsid w:val="00B47F23"/>
    <w:rsid w:val="00B47FA1"/>
    <w:rsid w:val="00B500C2"/>
    <w:rsid w:val="00B50302"/>
    <w:rsid w:val="00B50408"/>
    <w:rsid w:val="00B5044D"/>
    <w:rsid w:val="00B50457"/>
    <w:rsid w:val="00B5055B"/>
    <w:rsid w:val="00B507B8"/>
    <w:rsid w:val="00B50AA2"/>
    <w:rsid w:val="00B51147"/>
    <w:rsid w:val="00B511BC"/>
    <w:rsid w:val="00B51264"/>
    <w:rsid w:val="00B512F6"/>
    <w:rsid w:val="00B513A5"/>
    <w:rsid w:val="00B515A6"/>
    <w:rsid w:val="00B51650"/>
    <w:rsid w:val="00B51651"/>
    <w:rsid w:val="00B51769"/>
    <w:rsid w:val="00B518AB"/>
    <w:rsid w:val="00B51968"/>
    <w:rsid w:val="00B51DE5"/>
    <w:rsid w:val="00B51E64"/>
    <w:rsid w:val="00B523A4"/>
    <w:rsid w:val="00B523FE"/>
    <w:rsid w:val="00B524EA"/>
    <w:rsid w:val="00B5273B"/>
    <w:rsid w:val="00B52919"/>
    <w:rsid w:val="00B52932"/>
    <w:rsid w:val="00B52954"/>
    <w:rsid w:val="00B52B61"/>
    <w:rsid w:val="00B532B2"/>
    <w:rsid w:val="00B53393"/>
    <w:rsid w:val="00B533B1"/>
    <w:rsid w:val="00B53484"/>
    <w:rsid w:val="00B53920"/>
    <w:rsid w:val="00B53A67"/>
    <w:rsid w:val="00B53BC1"/>
    <w:rsid w:val="00B53C7A"/>
    <w:rsid w:val="00B53E3B"/>
    <w:rsid w:val="00B54084"/>
    <w:rsid w:val="00B542E0"/>
    <w:rsid w:val="00B544EA"/>
    <w:rsid w:val="00B54719"/>
    <w:rsid w:val="00B54861"/>
    <w:rsid w:val="00B548FC"/>
    <w:rsid w:val="00B54B6A"/>
    <w:rsid w:val="00B54BFF"/>
    <w:rsid w:val="00B54E4E"/>
    <w:rsid w:val="00B55080"/>
    <w:rsid w:val="00B5516B"/>
    <w:rsid w:val="00B55206"/>
    <w:rsid w:val="00B554D8"/>
    <w:rsid w:val="00B557B3"/>
    <w:rsid w:val="00B55ADA"/>
    <w:rsid w:val="00B55FFF"/>
    <w:rsid w:val="00B5606A"/>
    <w:rsid w:val="00B56076"/>
    <w:rsid w:val="00B5612C"/>
    <w:rsid w:val="00B56285"/>
    <w:rsid w:val="00B562DE"/>
    <w:rsid w:val="00B5680E"/>
    <w:rsid w:val="00B5695A"/>
    <w:rsid w:val="00B56AC5"/>
    <w:rsid w:val="00B56C90"/>
    <w:rsid w:val="00B56E95"/>
    <w:rsid w:val="00B5740E"/>
    <w:rsid w:val="00B5760D"/>
    <w:rsid w:val="00B576EF"/>
    <w:rsid w:val="00B577CA"/>
    <w:rsid w:val="00B57899"/>
    <w:rsid w:val="00B57906"/>
    <w:rsid w:val="00B57B04"/>
    <w:rsid w:val="00B57C44"/>
    <w:rsid w:val="00B57D3D"/>
    <w:rsid w:val="00B57F22"/>
    <w:rsid w:val="00B57FC2"/>
    <w:rsid w:val="00B60412"/>
    <w:rsid w:val="00B60599"/>
    <w:rsid w:val="00B60646"/>
    <w:rsid w:val="00B6077B"/>
    <w:rsid w:val="00B60877"/>
    <w:rsid w:val="00B608FA"/>
    <w:rsid w:val="00B60AEA"/>
    <w:rsid w:val="00B60F99"/>
    <w:rsid w:val="00B616C6"/>
    <w:rsid w:val="00B61790"/>
    <w:rsid w:val="00B617E4"/>
    <w:rsid w:val="00B6185E"/>
    <w:rsid w:val="00B61967"/>
    <w:rsid w:val="00B61AD8"/>
    <w:rsid w:val="00B61F5C"/>
    <w:rsid w:val="00B62284"/>
    <w:rsid w:val="00B62373"/>
    <w:rsid w:val="00B62424"/>
    <w:rsid w:val="00B62608"/>
    <w:rsid w:val="00B62A9C"/>
    <w:rsid w:val="00B62CA8"/>
    <w:rsid w:val="00B62E7D"/>
    <w:rsid w:val="00B62F4B"/>
    <w:rsid w:val="00B63129"/>
    <w:rsid w:val="00B6319A"/>
    <w:rsid w:val="00B63478"/>
    <w:rsid w:val="00B6361F"/>
    <w:rsid w:val="00B6387D"/>
    <w:rsid w:val="00B638E4"/>
    <w:rsid w:val="00B63948"/>
    <w:rsid w:val="00B639A3"/>
    <w:rsid w:val="00B63A7B"/>
    <w:rsid w:val="00B63DE7"/>
    <w:rsid w:val="00B63E42"/>
    <w:rsid w:val="00B63EFB"/>
    <w:rsid w:val="00B63F53"/>
    <w:rsid w:val="00B64257"/>
    <w:rsid w:val="00B647C7"/>
    <w:rsid w:val="00B6484F"/>
    <w:rsid w:val="00B649A4"/>
    <w:rsid w:val="00B64B73"/>
    <w:rsid w:val="00B64C1E"/>
    <w:rsid w:val="00B65582"/>
    <w:rsid w:val="00B655F9"/>
    <w:rsid w:val="00B657B5"/>
    <w:rsid w:val="00B657C2"/>
    <w:rsid w:val="00B6583F"/>
    <w:rsid w:val="00B659C5"/>
    <w:rsid w:val="00B65AA6"/>
    <w:rsid w:val="00B65B48"/>
    <w:rsid w:val="00B65C11"/>
    <w:rsid w:val="00B65DAC"/>
    <w:rsid w:val="00B6600A"/>
    <w:rsid w:val="00B6603F"/>
    <w:rsid w:val="00B6608B"/>
    <w:rsid w:val="00B6647B"/>
    <w:rsid w:val="00B66753"/>
    <w:rsid w:val="00B667F9"/>
    <w:rsid w:val="00B6687F"/>
    <w:rsid w:val="00B668DF"/>
    <w:rsid w:val="00B66A79"/>
    <w:rsid w:val="00B66B1C"/>
    <w:rsid w:val="00B66E41"/>
    <w:rsid w:val="00B67082"/>
    <w:rsid w:val="00B670E8"/>
    <w:rsid w:val="00B672A3"/>
    <w:rsid w:val="00B67371"/>
    <w:rsid w:val="00B678A6"/>
    <w:rsid w:val="00B679C4"/>
    <w:rsid w:val="00B67CD7"/>
    <w:rsid w:val="00B702B3"/>
    <w:rsid w:val="00B70306"/>
    <w:rsid w:val="00B7035E"/>
    <w:rsid w:val="00B703CB"/>
    <w:rsid w:val="00B705A3"/>
    <w:rsid w:val="00B705A4"/>
    <w:rsid w:val="00B70DFC"/>
    <w:rsid w:val="00B70F62"/>
    <w:rsid w:val="00B7105A"/>
    <w:rsid w:val="00B710DD"/>
    <w:rsid w:val="00B710F5"/>
    <w:rsid w:val="00B711B2"/>
    <w:rsid w:val="00B7175E"/>
    <w:rsid w:val="00B71952"/>
    <w:rsid w:val="00B719DA"/>
    <w:rsid w:val="00B71AAC"/>
    <w:rsid w:val="00B72132"/>
    <w:rsid w:val="00B7218D"/>
    <w:rsid w:val="00B7260E"/>
    <w:rsid w:val="00B72745"/>
    <w:rsid w:val="00B7285A"/>
    <w:rsid w:val="00B72B2A"/>
    <w:rsid w:val="00B72B99"/>
    <w:rsid w:val="00B72BCB"/>
    <w:rsid w:val="00B72C59"/>
    <w:rsid w:val="00B72DE7"/>
    <w:rsid w:val="00B72DF8"/>
    <w:rsid w:val="00B72F67"/>
    <w:rsid w:val="00B72F93"/>
    <w:rsid w:val="00B73175"/>
    <w:rsid w:val="00B731DD"/>
    <w:rsid w:val="00B732E9"/>
    <w:rsid w:val="00B7341C"/>
    <w:rsid w:val="00B73425"/>
    <w:rsid w:val="00B7347A"/>
    <w:rsid w:val="00B73559"/>
    <w:rsid w:val="00B736F2"/>
    <w:rsid w:val="00B73810"/>
    <w:rsid w:val="00B73A13"/>
    <w:rsid w:val="00B73ADC"/>
    <w:rsid w:val="00B73C71"/>
    <w:rsid w:val="00B73CBF"/>
    <w:rsid w:val="00B742B3"/>
    <w:rsid w:val="00B74357"/>
    <w:rsid w:val="00B74589"/>
    <w:rsid w:val="00B7469E"/>
    <w:rsid w:val="00B747BE"/>
    <w:rsid w:val="00B74959"/>
    <w:rsid w:val="00B74A9D"/>
    <w:rsid w:val="00B74B07"/>
    <w:rsid w:val="00B74B28"/>
    <w:rsid w:val="00B74BC6"/>
    <w:rsid w:val="00B74E63"/>
    <w:rsid w:val="00B74F8E"/>
    <w:rsid w:val="00B7518E"/>
    <w:rsid w:val="00B751D4"/>
    <w:rsid w:val="00B751F6"/>
    <w:rsid w:val="00B752E0"/>
    <w:rsid w:val="00B759A9"/>
    <w:rsid w:val="00B7619E"/>
    <w:rsid w:val="00B76356"/>
    <w:rsid w:val="00B764C3"/>
    <w:rsid w:val="00B764F2"/>
    <w:rsid w:val="00B7656D"/>
    <w:rsid w:val="00B76575"/>
    <w:rsid w:val="00B769BC"/>
    <w:rsid w:val="00B769EE"/>
    <w:rsid w:val="00B76C11"/>
    <w:rsid w:val="00B76E5B"/>
    <w:rsid w:val="00B76F16"/>
    <w:rsid w:val="00B779B8"/>
    <w:rsid w:val="00B77A29"/>
    <w:rsid w:val="00B77BDE"/>
    <w:rsid w:val="00B77EFA"/>
    <w:rsid w:val="00B7E453"/>
    <w:rsid w:val="00B8004F"/>
    <w:rsid w:val="00B800F3"/>
    <w:rsid w:val="00B80350"/>
    <w:rsid w:val="00B804D1"/>
    <w:rsid w:val="00B806B5"/>
    <w:rsid w:val="00B8082E"/>
    <w:rsid w:val="00B80941"/>
    <w:rsid w:val="00B80A9C"/>
    <w:rsid w:val="00B80D6F"/>
    <w:rsid w:val="00B80D72"/>
    <w:rsid w:val="00B80E0F"/>
    <w:rsid w:val="00B80F3B"/>
    <w:rsid w:val="00B81022"/>
    <w:rsid w:val="00B812FE"/>
    <w:rsid w:val="00B8138E"/>
    <w:rsid w:val="00B813F7"/>
    <w:rsid w:val="00B81422"/>
    <w:rsid w:val="00B8150E"/>
    <w:rsid w:val="00B8158F"/>
    <w:rsid w:val="00B816BE"/>
    <w:rsid w:val="00B81785"/>
    <w:rsid w:val="00B817A0"/>
    <w:rsid w:val="00B81B6E"/>
    <w:rsid w:val="00B81C63"/>
    <w:rsid w:val="00B81F13"/>
    <w:rsid w:val="00B81F23"/>
    <w:rsid w:val="00B81FA2"/>
    <w:rsid w:val="00B82021"/>
    <w:rsid w:val="00B820FC"/>
    <w:rsid w:val="00B824AB"/>
    <w:rsid w:val="00B82865"/>
    <w:rsid w:val="00B82AAC"/>
    <w:rsid w:val="00B82B4C"/>
    <w:rsid w:val="00B82D7B"/>
    <w:rsid w:val="00B8304A"/>
    <w:rsid w:val="00B8326C"/>
    <w:rsid w:val="00B83720"/>
    <w:rsid w:val="00B83842"/>
    <w:rsid w:val="00B83926"/>
    <w:rsid w:val="00B83ACA"/>
    <w:rsid w:val="00B83DF5"/>
    <w:rsid w:val="00B83F33"/>
    <w:rsid w:val="00B83F5A"/>
    <w:rsid w:val="00B84030"/>
    <w:rsid w:val="00B840A6"/>
    <w:rsid w:val="00B8416C"/>
    <w:rsid w:val="00B84274"/>
    <w:rsid w:val="00B843EA"/>
    <w:rsid w:val="00B84476"/>
    <w:rsid w:val="00B844A4"/>
    <w:rsid w:val="00B8484A"/>
    <w:rsid w:val="00B84A19"/>
    <w:rsid w:val="00B84A6A"/>
    <w:rsid w:val="00B84B5D"/>
    <w:rsid w:val="00B84C53"/>
    <w:rsid w:val="00B84D92"/>
    <w:rsid w:val="00B84E69"/>
    <w:rsid w:val="00B84EF0"/>
    <w:rsid w:val="00B84F80"/>
    <w:rsid w:val="00B85262"/>
    <w:rsid w:val="00B853D3"/>
    <w:rsid w:val="00B854A2"/>
    <w:rsid w:val="00B855EE"/>
    <w:rsid w:val="00B855F5"/>
    <w:rsid w:val="00B858B2"/>
    <w:rsid w:val="00B859D0"/>
    <w:rsid w:val="00B85E55"/>
    <w:rsid w:val="00B86072"/>
    <w:rsid w:val="00B8642D"/>
    <w:rsid w:val="00B864B2"/>
    <w:rsid w:val="00B86714"/>
    <w:rsid w:val="00B86816"/>
    <w:rsid w:val="00B86894"/>
    <w:rsid w:val="00B8696F"/>
    <w:rsid w:val="00B86D97"/>
    <w:rsid w:val="00B86F96"/>
    <w:rsid w:val="00B870A6"/>
    <w:rsid w:val="00B870C8"/>
    <w:rsid w:val="00B87233"/>
    <w:rsid w:val="00B872DB"/>
    <w:rsid w:val="00B872F6"/>
    <w:rsid w:val="00B87657"/>
    <w:rsid w:val="00B8779F"/>
    <w:rsid w:val="00B87909"/>
    <w:rsid w:val="00B8792B"/>
    <w:rsid w:val="00B87940"/>
    <w:rsid w:val="00B87957"/>
    <w:rsid w:val="00B87A2E"/>
    <w:rsid w:val="00B87C05"/>
    <w:rsid w:val="00B87DB3"/>
    <w:rsid w:val="00B87ED1"/>
    <w:rsid w:val="00B87F75"/>
    <w:rsid w:val="00B904FF"/>
    <w:rsid w:val="00B90612"/>
    <w:rsid w:val="00B90B00"/>
    <w:rsid w:val="00B90E79"/>
    <w:rsid w:val="00B9102C"/>
    <w:rsid w:val="00B910AF"/>
    <w:rsid w:val="00B910E8"/>
    <w:rsid w:val="00B9121C"/>
    <w:rsid w:val="00B91266"/>
    <w:rsid w:val="00B9139C"/>
    <w:rsid w:val="00B91664"/>
    <w:rsid w:val="00B9193F"/>
    <w:rsid w:val="00B91A06"/>
    <w:rsid w:val="00B91AC7"/>
    <w:rsid w:val="00B91D9F"/>
    <w:rsid w:val="00B91E5C"/>
    <w:rsid w:val="00B9212D"/>
    <w:rsid w:val="00B921F2"/>
    <w:rsid w:val="00B92240"/>
    <w:rsid w:val="00B92321"/>
    <w:rsid w:val="00B923BA"/>
    <w:rsid w:val="00B92574"/>
    <w:rsid w:val="00B92594"/>
    <w:rsid w:val="00B92BB4"/>
    <w:rsid w:val="00B92C2B"/>
    <w:rsid w:val="00B92C84"/>
    <w:rsid w:val="00B92CBF"/>
    <w:rsid w:val="00B92E1D"/>
    <w:rsid w:val="00B92E82"/>
    <w:rsid w:val="00B93072"/>
    <w:rsid w:val="00B931A6"/>
    <w:rsid w:val="00B931DD"/>
    <w:rsid w:val="00B932BE"/>
    <w:rsid w:val="00B93515"/>
    <w:rsid w:val="00B93748"/>
    <w:rsid w:val="00B93803"/>
    <w:rsid w:val="00B93CBC"/>
    <w:rsid w:val="00B93DF8"/>
    <w:rsid w:val="00B93F18"/>
    <w:rsid w:val="00B941D3"/>
    <w:rsid w:val="00B944C7"/>
    <w:rsid w:val="00B9453D"/>
    <w:rsid w:val="00B946BF"/>
    <w:rsid w:val="00B94764"/>
    <w:rsid w:val="00B94824"/>
    <w:rsid w:val="00B94D9A"/>
    <w:rsid w:val="00B94E5C"/>
    <w:rsid w:val="00B951A3"/>
    <w:rsid w:val="00B951FB"/>
    <w:rsid w:val="00B9536E"/>
    <w:rsid w:val="00B954A4"/>
    <w:rsid w:val="00B95592"/>
    <w:rsid w:val="00B957C1"/>
    <w:rsid w:val="00B95A77"/>
    <w:rsid w:val="00B96281"/>
    <w:rsid w:val="00B962EA"/>
    <w:rsid w:val="00B965E1"/>
    <w:rsid w:val="00B966AD"/>
    <w:rsid w:val="00B966F4"/>
    <w:rsid w:val="00B96790"/>
    <w:rsid w:val="00B9688F"/>
    <w:rsid w:val="00B96B9F"/>
    <w:rsid w:val="00B96BF0"/>
    <w:rsid w:val="00B96CAA"/>
    <w:rsid w:val="00B96DD1"/>
    <w:rsid w:val="00B97140"/>
    <w:rsid w:val="00B97241"/>
    <w:rsid w:val="00B972F8"/>
    <w:rsid w:val="00B9741F"/>
    <w:rsid w:val="00B97B0A"/>
    <w:rsid w:val="00B97B9A"/>
    <w:rsid w:val="00B97D56"/>
    <w:rsid w:val="00BA0179"/>
    <w:rsid w:val="00BA0275"/>
    <w:rsid w:val="00BA0319"/>
    <w:rsid w:val="00BA038E"/>
    <w:rsid w:val="00BA0412"/>
    <w:rsid w:val="00BA0726"/>
    <w:rsid w:val="00BA07AA"/>
    <w:rsid w:val="00BA09D2"/>
    <w:rsid w:val="00BA0A66"/>
    <w:rsid w:val="00BA0C96"/>
    <w:rsid w:val="00BA0CFF"/>
    <w:rsid w:val="00BA0F0C"/>
    <w:rsid w:val="00BA113E"/>
    <w:rsid w:val="00BA135B"/>
    <w:rsid w:val="00BA157B"/>
    <w:rsid w:val="00BA192D"/>
    <w:rsid w:val="00BA1B9B"/>
    <w:rsid w:val="00BA1D75"/>
    <w:rsid w:val="00BA1E11"/>
    <w:rsid w:val="00BA21D1"/>
    <w:rsid w:val="00BA287F"/>
    <w:rsid w:val="00BA29BB"/>
    <w:rsid w:val="00BA2B16"/>
    <w:rsid w:val="00BA2BAC"/>
    <w:rsid w:val="00BA2F2B"/>
    <w:rsid w:val="00BA2F7B"/>
    <w:rsid w:val="00BA31F2"/>
    <w:rsid w:val="00BA356F"/>
    <w:rsid w:val="00BA3626"/>
    <w:rsid w:val="00BA3735"/>
    <w:rsid w:val="00BA37C2"/>
    <w:rsid w:val="00BA3919"/>
    <w:rsid w:val="00BA3DC7"/>
    <w:rsid w:val="00BA3E10"/>
    <w:rsid w:val="00BA3E61"/>
    <w:rsid w:val="00BA406A"/>
    <w:rsid w:val="00BA4390"/>
    <w:rsid w:val="00BA4482"/>
    <w:rsid w:val="00BA45B4"/>
    <w:rsid w:val="00BA45FF"/>
    <w:rsid w:val="00BA498D"/>
    <w:rsid w:val="00BA49B0"/>
    <w:rsid w:val="00BA4A9A"/>
    <w:rsid w:val="00BA4B91"/>
    <w:rsid w:val="00BA4DDF"/>
    <w:rsid w:val="00BA50AF"/>
    <w:rsid w:val="00BA51AC"/>
    <w:rsid w:val="00BA52CC"/>
    <w:rsid w:val="00BA5481"/>
    <w:rsid w:val="00BA5605"/>
    <w:rsid w:val="00BA56A6"/>
    <w:rsid w:val="00BA56D2"/>
    <w:rsid w:val="00BA5AED"/>
    <w:rsid w:val="00BA5C8D"/>
    <w:rsid w:val="00BA5CBB"/>
    <w:rsid w:val="00BA5E09"/>
    <w:rsid w:val="00BA5E24"/>
    <w:rsid w:val="00BA606C"/>
    <w:rsid w:val="00BA61F7"/>
    <w:rsid w:val="00BA6287"/>
    <w:rsid w:val="00BA63B0"/>
    <w:rsid w:val="00BA6456"/>
    <w:rsid w:val="00BA66AF"/>
    <w:rsid w:val="00BA67C0"/>
    <w:rsid w:val="00BA6AAA"/>
    <w:rsid w:val="00BA6B56"/>
    <w:rsid w:val="00BA6E85"/>
    <w:rsid w:val="00BA7005"/>
    <w:rsid w:val="00BA70AA"/>
    <w:rsid w:val="00BA7105"/>
    <w:rsid w:val="00BA7160"/>
    <w:rsid w:val="00BA71BB"/>
    <w:rsid w:val="00BA748F"/>
    <w:rsid w:val="00BA761D"/>
    <w:rsid w:val="00BA76CE"/>
    <w:rsid w:val="00BA7839"/>
    <w:rsid w:val="00BA7967"/>
    <w:rsid w:val="00BA79AB"/>
    <w:rsid w:val="00BA7BA0"/>
    <w:rsid w:val="00BA7E13"/>
    <w:rsid w:val="00BB0022"/>
    <w:rsid w:val="00BB006E"/>
    <w:rsid w:val="00BB0156"/>
    <w:rsid w:val="00BB0167"/>
    <w:rsid w:val="00BB02B8"/>
    <w:rsid w:val="00BB02BD"/>
    <w:rsid w:val="00BB02D8"/>
    <w:rsid w:val="00BB0641"/>
    <w:rsid w:val="00BB085E"/>
    <w:rsid w:val="00BB0960"/>
    <w:rsid w:val="00BB09B2"/>
    <w:rsid w:val="00BB09E4"/>
    <w:rsid w:val="00BB0A66"/>
    <w:rsid w:val="00BB0AB6"/>
    <w:rsid w:val="00BB0D02"/>
    <w:rsid w:val="00BB1098"/>
    <w:rsid w:val="00BB10A6"/>
    <w:rsid w:val="00BB118D"/>
    <w:rsid w:val="00BB122A"/>
    <w:rsid w:val="00BB13FE"/>
    <w:rsid w:val="00BB179C"/>
    <w:rsid w:val="00BB1804"/>
    <w:rsid w:val="00BB182B"/>
    <w:rsid w:val="00BB18B3"/>
    <w:rsid w:val="00BB1AB7"/>
    <w:rsid w:val="00BB1C62"/>
    <w:rsid w:val="00BB1C99"/>
    <w:rsid w:val="00BB1E04"/>
    <w:rsid w:val="00BB1F3B"/>
    <w:rsid w:val="00BB2324"/>
    <w:rsid w:val="00BB2403"/>
    <w:rsid w:val="00BB247C"/>
    <w:rsid w:val="00BB2492"/>
    <w:rsid w:val="00BB25BB"/>
    <w:rsid w:val="00BB28AB"/>
    <w:rsid w:val="00BB2992"/>
    <w:rsid w:val="00BB2B0E"/>
    <w:rsid w:val="00BB2C84"/>
    <w:rsid w:val="00BB2D17"/>
    <w:rsid w:val="00BB2E31"/>
    <w:rsid w:val="00BB2F1F"/>
    <w:rsid w:val="00BB2F3D"/>
    <w:rsid w:val="00BB2F41"/>
    <w:rsid w:val="00BB304C"/>
    <w:rsid w:val="00BB3357"/>
    <w:rsid w:val="00BB33D3"/>
    <w:rsid w:val="00BB34E8"/>
    <w:rsid w:val="00BB3593"/>
    <w:rsid w:val="00BB360C"/>
    <w:rsid w:val="00BB3713"/>
    <w:rsid w:val="00BB38ED"/>
    <w:rsid w:val="00BB3D49"/>
    <w:rsid w:val="00BB3D59"/>
    <w:rsid w:val="00BB3DA9"/>
    <w:rsid w:val="00BB3DD7"/>
    <w:rsid w:val="00BB3E55"/>
    <w:rsid w:val="00BB4013"/>
    <w:rsid w:val="00BB44D0"/>
    <w:rsid w:val="00BB4754"/>
    <w:rsid w:val="00BB4A99"/>
    <w:rsid w:val="00BB4CF1"/>
    <w:rsid w:val="00BB4D54"/>
    <w:rsid w:val="00BB4DE4"/>
    <w:rsid w:val="00BB504A"/>
    <w:rsid w:val="00BB51D3"/>
    <w:rsid w:val="00BB5232"/>
    <w:rsid w:val="00BB529C"/>
    <w:rsid w:val="00BB53CF"/>
    <w:rsid w:val="00BB543D"/>
    <w:rsid w:val="00BB5C31"/>
    <w:rsid w:val="00BB5C39"/>
    <w:rsid w:val="00BB5CB5"/>
    <w:rsid w:val="00BB5CEB"/>
    <w:rsid w:val="00BB5F26"/>
    <w:rsid w:val="00BB6150"/>
    <w:rsid w:val="00BB6195"/>
    <w:rsid w:val="00BB61E2"/>
    <w:rsid w:val="00BB66F3"/>
    <w:rsid w:val="00BB6949"/>
    <w:rsid w:val="00BB6B71"/>
    <w:rsid w:val="00BB6CBC"/>
    <w:rsid w:val="00BB6D98"/>
    <w:rsid w:val="00BB6DA2"/>
    <w:rsid w:val="00BB7012"/>
    <w:rsid w:val="00BB70C7"/>
    <w:rsid w:val="00BB732D"/>
    <w:rsid w:val="00BB73BD"/>
    <w:rsid w:val="00BB740C"/>
    <w:rsid w:val="00BB7584"/>
    <w:rsid w:val="00BB7AAF"/>
    <w:rsid w:val="00BB7C56"/>
    <w:rsid w:val="00BB7D38"/>
    <w:rsid w:val="00BB7E59"/>
    <w:rsid w:val="00BB7F29"/>
    <w:rsid w:val="00BB7F56"/>
    <w:rsid w:val="00BC0037"/>
    <w:rsid w:val="00BC021A"/>
    <w:rsid w:val="00BC066E"/>
    <w:rsid w:val="00BC09EF"/>
    <w:rsid w:val="00BC0DB0"/>
    <w:rsid w:val="00BC0E33"/>
    <w:rsid w:val="00BC12A4"/>
    <w:rsid w:val="00BC159E"/>
    <w:rsid w:val="00BC1636"/>
    <w:rsid w:val="00BC1A99"/>
    <w:rsid w:val="00BC1ADC"/>
    <w:rsid w:val="00BC1B2A"/>
    <w:rsid w:val="00BC1CA9"/>
    <w:rsid w:val="00BC1FC7"/>
    <w:rsid w:val="00BC2542"/>
    <w:rsid w:val="00BC2855"/>
    <w:rsid w:val="00BC2A01"/>
    <w:rsid w:val="00BC2D3C"/>
    <w:rsid w:val="00BC3075"/>
    <w:rsid w:val="00BC30FC"/>
    <w:rsid w:val="00BC330F"/>
    <w:rsid w:val="00BC33FB"/>
    <w:rsid w:val="00BC3644"/>
    <w:rsid w:val="00BC398A"/>
    <w:rsid w:val="00BC3996"/>
    <w:rsid w:val="00BC39C2"/>
    <w:rsid w:val="00BC3ABF"/>
    <w:rsid w:val="00BC3C8C"/>
    <w:rsid w:val="00BC3D08"/>
    <w:rsid w:val="00BC3D29"/>
    <w:rsid w:val="00BC4042"/>
    <w:rsid w:val="00BC41E4"/>
    <w:rsid w:val="00BC44D9"/>
    <w:rsid w:val="00BC45C1"/>
    <w:rsid w:val="00BC469A"/>
    <w:rsid w:val="00BC4821"/>
    <w:rsid w:val="00BC48E1"/>
    <w:rsid w:val="00BC492A"/>
    <w:rsid w:val="00BC49D6"/>
    <w:rsid w:val="00BC4B3C"/>
    <w:rsid w:val="00BC4D31"/>
    <w:rsid w:val="00BC4D41"/>
    <w:rsid w:val="00BC4F3A"/>
    <w:rsid w:val="00BC4F97"/>
    <w:rsid w:val="00BC53D7"/>
    <w:rsid w:val="00BC555A"/>
    <w:rsid w:val="00BC5738"/>
    <w:rsid w:val="00BC587B"/>
    <w:rsid w:val="00BC591E"/>
    <w:rsid w:val="00BC5B83"/>
    <w:rsid w:val="00BC5B8D"/>
    <w:rsid w:val="00BC5E8C"/>
    <w:rsid w:val="00BC62E7"/>
    <w:rsid w:val="00BC63BF"/>
    <w:rsid w:val="00BC6609"/>
    <w:rsid w:val="00BC6629"/>
    <w:rsid w:val="00BC6AE2"/>
    <w:rsid w:val="00BC6CEF"/>
    <w:rsid w:val="00BC6EDB"/>
    <w:rsid w:val="00BC6FA6"/>
    <w:rsid w:val="00BC6FB3"/>
    <w:rsid w:val="00BC7009"/>
    <w:rsid w:val="00BC701C"/>
    <w:rsid w:val="00BC711A"/>
    <w:rsid w:val="00BC7167"/>
    <w:rsid w:val="00BC7306"/>
    <w:rsid w:val="00BC7340"/>
    <w:rsid w:val="00BC73C8"/>
    <w:rsid w:val="00BC742F"/>
    <w:rsid w:val="00BC758C"/>
    <w:rsid w:val="00BC7742"/>
    <w:rsid w:val="00BC7ABE"/>
    <w:rsid w:val="00BC7D5C"/>
    <w:rsid w:val="00BC7F4B"/>
    <w:rsid w:val="00BD01B1"/>
    <w:rsid w:val="00BD0739"/>
    <w:rsid w:val="00BD0786"/>
    <w:rsid w:val="00BD07C5"/>
    <w:rsid w:val="00BD07F4"/>
    <w:rsid w:val="00BD0925"/>
    <w:rsid w:val="00BD0AD6"/>
    <w:rsid w:val="00BD10CB"/>
    <w:rsid w:val="00BD12F6"/>
    <w:rsid w:val="00BD14C0"/>
    <w:rsid w:val="00BD1732"/>
    <w:rsid w:val="00BD1851"/>
    <w:rsid w:val="00BD18EF"/>
    <w:rsid w:val="00BD19C7"/>
    <w:rsid w:val="00BD1B95"/>
    <w:rsid w:val="00BD1C2F"/>
    <w:rsid w:val="00BD1EFB"/>
    <w:rsid w:val="00BD1F23"/>
    <w:rsid w:val="00BD217E"/>
    <w:rsid w:val="00BD24BA"/>
    <w:rsid w:val="00BD24EA"/>
    <w:rsid w:val="00BD2762"/>
    <w:rsid w:val="00BD279C"/>
    <w:rsid w:val="00BD2A26"/>
    <w:rsid w:val="00BD2A4F"/>
    <w:rsid w:val="00BD2E57"/>
    <w:rsid w:val="00BD2F16"/>
    <w:rsid w:val="00BD348E"/>
    <w:rsid w:val="00BD34BD"/>
    <w:rsid w:val="00BD35F4"/>
    <w:rsid w:val="00BD364A"/>
    <w:rsid w:val="00BD36D0"/>
    <w:rsid w:val="00BD389D"/>
    <w:rsid w:val="00BD38E4"/>
    <w:rsid w:val="00BD3B98"/>
    <w:rsid w:val="00BD3C95"/>
    <w:rsid w:val="00BD3E68"/>
    <w:rsid w:val="00BD3ECA"/>
    <w:rsid w:val="00BD408D"/>
    <w:rsid w:val="00BD418F"/>
    <w:rsid w:val="00BD4283"/>
    <w:rsid w:val="00BD4320"/>
    <w:rsid w:val="00BD432F"/>
    <w:rsid w:val="00BD4344"/>
    <w:rsid w:val="00BD43C7"/>
    <w:rsid w:val="00BD43F7"/>
    <w:rsid w:val="00BD4631"/>
    <w:rsid w:val="00BD4731"/>
    <w:rsid w:val="00BD4823"/>
    <w:rsid w:val="00BD48FB"/>
    <w:rsid w:val="00BD495C"/>
    <w:rsid w:val="00BD4987"/>
    <w:rsid w:val="00BD49D1"/>
    <w:rsid w:val="00BD4C46"/>
    <w:rsid w:val="00BD4DA3"/>
    <w:rsid w:val="00BD4DF1"/>
    <w:rsid w:val="00BD4ED3"/>
    <w:rsid w:val="00BD5057"/>
    <w:rsid w:val="00BD508E"/>
    <w:rsid w:val="00BD5133"/>
    <w:rsid w:val="00BD5142"/>
    <w:rsid w:val="00BD5275"/>
    <w:rsid w:val="00BD5336"/>
    <w:rsid w:val="00BD533F"/>
    <w:rsid w:val="00BD53C8"/>
    <w:rsid w:val="00BD55BA"/>
    <w:rsid w:val="00BD562E"/>
    <w:rsid w:val="00BD5788"/>
    <w:rsid w:val="00BD57F6"/>
    <w:rsid w:val="00BD5B62"/>
    <w:rsid w:val="00BD5C44"/>
    <w:rsid w:val="00BD5DF6"/>
    <w:rsid w:val="00BD61F0"/>
    <w:rsid w:val="00BD62C3"/>
    <w:rsid w:val="00BD642B"/>
    <w:rsid w:val="00BD66AE"/>
    <w:rsid w:val="00BD6AD8"/>
    <w:rsid w:val="00BD6AE9"/>
    <w:rsid w:val="00BD6C6F"/>
    <w:rsid w:val="00BD6C70"/>
    <w:rsid w:val="00BD6CE0"/>
    <w:rsid w:val="00BD6D84"/>
    <w:rsid w:val="00BD6DFA"/>
    <w:rsid w:val="00BD71F4"/>
    <w:rsid w:val="00BD7309"/>
    <w:rsid w:val="00BD7437"/>
    <w:rsid w:val="00BD7821"/>
    <w:rsid w:val="00BD79CF"/>
    <w:rsid w:val="00BD7A3D"/>
    <w:rsid w:val="00BD7AA9"/>
    <w:rsid w:val="00BD7AE9"/>
    <w:rsid w:val="00BD7B3F"/>
    <w:rsid w:val="00BD7EB6"/>
    <w:rsid w:val="00BE014C"/>
    <w:rsid w:val="00BE02C4"/>
    <w:rsid w:val="00BE040F"/>
    <w:rsid w:val="00BE050D"/>
    <w:rsid w:val="00BE05C1"/>
    <w:rsid w:val="00BE0921"/>
    <w:rsid w:val="00BE0B0D"/>
    <w:rsid w:val="00BE0B20"/>
    <w:rsid w:val="00BE0B46"/>
    <w:rsid w:val="00BE0CEF"/>
    <w:rsid w:val="00BE0FC5"/>
    <w:rsid w:val="00BE115C"/>
    <w:rsid w:val="00BE1369"/>
    <w:rsid w:val="00BE1633"/>
    <w:rsid w:val="00BE1645"/>
    <w:rsid w:val="00BE164C"/>
    <w:rsid w:val="00BE1816"/>
    <w:rsid w:val="00BE1B8F"/>
    <w:rsid w:val="00BE1CC3"/>
    <w:rsid w:val="00BE1D18"/>
    <w:rsid w:val="00BE1E07"/>
    <w:rsid w:val="00BE2557"/>
    <w:rsid w:val="00BE25D3"/>
    <w:rsid w:val="00BE2A11"/>
    <w:rsid w:val="00BE2A96"/>
    <w:rsid w:val="00BE2EF1"/>
    <w:rsid w:val="00BE3128"/>
    <w:rsid w:val="00BE316C"/>
    <w:rsid w:val="00BE3318"/>
    <w:rsid w:val="00BE3359"/>
    <w:rsid w:val="00BE3793"/>
    <w:rsid w:val="00BE386D"/>
    <w:rsid w:val="00BE3940"/>
    <w:rsid w:val="00BE3970"/>
    <w:rsid w:val="00BE3997"/>
    <w:rsid w:val="00BE3ABE"/>
    <w:rsid w:val="00BE3C00"/>
    <w:rsid w:val="00BE3C20"/>
    <w:rsid w:val="00BE3E0B"/>
    <w:rsid w:val="00BE41EF"/>
    <w:rsid w:val="00BE4506"/>
    <w:rsid w:val="00BE456A"/>
    <w:rsid w:val="00BE460B"/>
    <w:rsid w:val="00BE4709"/>
    <w:rsid w:val="00BE479C"/>
    <w:rsid w:val="00BE4835"/>
    <w:rsid w:val="00BE48F5"/>
    <w:rsid w:val="00BE4A0F"/>
    <w:rsid w:val="00BE4AFF"/>
    <w:rsid w:val="00BE5404"/>
    <w:rsid w:val="00BE54A2"/>
    <w:rsid w:val="00BE54B4"/>
    <w:rsid w:val="00BE561E"/>
    <w:rsid w:val="00BE57AE"/>
    <w:rsid w:val="00BE57BE"/>
    <w:rsid w:val="00BE57EF"/>
    <w:rsid w:val="00BE59E2"/>
    <w:rsid w:val="00BE5C94"/>
    <w:rsid w:val="00BE5E96"/>
    <w:rsid w:val="00BE5F14"/>
    <w:rsid w:val="00BE61FD"/>
    <w:rsid w:val="00BE623D"/>
    <w:rsid w:val="00BE629C"/>
    <w:rsid w:val="00BE63C1"/>
    <w:rsid w:val="00BE649D"/>
    <w:rsid w:val="00BE66AA"/>
    <w:rsid w:val="00BE6825"/>
    <w:rsid w:val="00BE68F2"/>
    <w:rsid w:val="00BE6C30"/>
    <w:rsid w:val="00BE6CE6"/>
    <w:rsid w:val="00BE6FD1"/>
    <w:rsid w:val="00BE7202"/>
    <w:rsid w:val="00BE73B0"/>
    <w:rsid w:val="00BE7488"/>
    <w:rsid w:val="00BE74AE"/>
    <w:rsid w:val="00BE7508"/>
    <w:rsid w:val="00BE75F2"/>
    <w:rsid w:val="00BE79C1"/>
    <w:rsid w:val="00BE7A1B"/>
    <w:rsid w:val="00BE7ACB"/>
    <w:rsid w:val="00BE7B04"/>
    <w:rsid w:val="00BE7BC3"/>
    <w:rsid w:val="00BE7BD3"/>
    <w:rsid w:val="00BE7C02"/>
    <w:rsid w:val="00BE7C37"/>
    <w:rsid w:val="00BE7F41"/>
    <w:rsid w:val="00BE7FAE"/>
    <w:rsid w:val="00BF032B"/>
    <w:rsid w:val="00BF0342"/>
    <w:rsid w:val="00BF0394"/>
    <w:rsid w:val="00BF0600"/>
    <w:rsid w:val="00BF0B3B"/>
    <w:rsid w:val="00BF0B67"/>
    <w:rsid w:val="00BF0C65"/>
    <w:rsid w:val="00BF0CF8"/>
    <w:rsid w:val="00BF0DE2"/>
    <w:rsid w:val="00BF1278"/>
    <w:rsid w:val="00BF127F"/>
    <w:rsid w:val="00BF1457"/>
    <w:rsid w:val="00BF14FF"/>
    <w:rsid w:val="00BF16DF"/>
    <w:rsid w:val="00BF17ED"/>
    <w:rsid w:val="00BF1876"/>
    <w:rsid w:val="00BF190F"/>
    <w:rsid w:val="00BF19EF"/>
    <w:rsid w:val="00BF1A69"/>
    <w:rsid w:val="00BF1A76"/>
    <w:rsid w:val="00BF1BEB"/>
    <w:rsid w:val="00BF1EB6"/>
    <w:rsid w:val="00BF1F3A"/>
    <w:rsid w:val="00BF2014"/>
    <w:rsid w:val="00BF242E"/>
    <w:rsid w:val="00BF249D"/>
    <w:rsid w:val="00BF261C"/>
    <w:rsid w:val="00BF26AD"/>
    <w:rsid w:val="00BF27A2"/>
    <w:rsid w:val="00BF2872"/>
    <w:rsid w:val="00BF294E"/>
    <w:rsid w:val="00BF29AE"/>
    <w:rsid w:val="00BF2A57"/>
    <w:rsid w:val="00BF2A75"/>
    <w:rsid w:val="00BF2AE1"/>
    <w:rsid w:val="00BF2B01"/>
    <w:rsid w:val="00BF2B13"/>
    <w:rsid w:val="00BF2B1E"/>
    <w:rsid w:val="00BF2CB5"/>
    <w:rsid w:val="00BF2DB8"/>
    <w:rsid w:val="00BF3218"/>
    <w:rsid w:val="00BF33A8"/>
    <w:rsid w:val="00BF35BD"/>
    <w:rsid w:val="00BF35D6"/>
    <w:rsid w:val="00BF3640"/>
    <w:rsid w:val="00BF3649"/>
    <w:rsid w:val="00BF3935"/>
    <w:rsid w:val="00BF39A1"/>
    <w:rsid w:val="00BF3B1E"/>
    <w:rsid w:val="00BF3C9C"/>
    <w:rsid w:val="00BF3D12"/>
    <w:rsid w:val="00BF4085"/>
    <w:rsid w:val="00BF4157"/>
    <w:rsid w:val="00BF420D"/>
    <w:rsid w:val="00BF42F8"/>
    <w:rsid w:val="00BF4451"/>
    <w:rsid w:val="00BF4A56"/>
    <w:rsid w:val="00BF4AA4"/>
    <w:rsid w:val="00BF4B6F"/>
    <w:rsid w:val="00BF4D7B"/>
    <w:rsid w:val="00BF5138"/>
    <w:rsid w:val="00BF52C8"/>
    <w:rsid w:val="00BF536C"/>
    <w:rsid w:val="00BF5654"/>
    <w:rsid w:val="00BF57E6"/>
    <w:rsid w:val="00BF5C00"/>
    <w:rsid w:val="00BF5C1C"/>
    <w:rsid w:val="00BF5C20"/>
    <w:rsid w:val="00BF5D46"/>
    <w:rsid w:val="00BF5F4E"/>
    <w:rsid w:val="00BF60BE"/>
    <w:rsid w:val="00BF619F"/>
    <w:rsid w:val="00BF64C0"/>
    <w:rsid w:val="00BF64FD"/>
    <w:rsid w:val="00BF66BC"/>
    <w:rsid w:val="00BF68D0"/>
    <w:rsid w:val="00BF6B7B"/>
    <w:rsid w:val="00BF6BA2"/>
    <w:rsid w:val="00BF6BD3"/>
    <w:rsid w:val="00BF6DEF"/>
    <w:rsid w:val="00BF6DF9"/>
    <w:rsid w:val="00BF6F7B"/>
    <w:rsid w:val="00BF7087"/>
    <w:rsid w:val="00BF70F6"/>
    <w:rsid w:val="00BF7159"/>
    <w:rsid w:val="00BF74A0"/>
    <w:rsid w:val="00BF7586"/>
    <w:rsid w:val="00BF76F0"/>
    <w:rsid w:val="00BF76FA"/>
    <w:rsid w:val="00BF775D"/>
    <w:rsid w:val="00BF7874"/>
    <w:rsid w:val="00BF7980"/>
    <w:rsid w:val="00BF7B1B"/>
    <w:rsid w:val="00BF7E90"/>
    <w:rsid w:val="00C0008E"/>
    <w:rsid w:val="00C004CF"/>
    <w:rsid w:val="00C00679"/>
    <w:rsid w:val="00C00AC8"/>
    <w:rsid w:val="00C00C48"/>
    <w:rsid w:val="00C00EEB"/>
    <w:rsid w:val="00C00F2A"/>
    <w:rsid w:val="00C00F8D"/>
    <w:rsid w:val="00C0101F"/>
    <w:rsid w:val="00C01052"/>
    <w:rsid w:val="00C014C2"/>
    <w:rsid w:val="00C01B0E"/>
    <w:rsid w:val="00C01B3B"/>
    <w:rsid w:val="00C01E6F"/>
    <w:rsid w:val="00C01EBC"/>
    <w:rsid w:val="00C020D0"/>
    <w:rsid w:val="00C020E2"/>
    <w:rsid w:val="00C0211F"/>
    <w:rsid w:val="00C021F2"/>
    <w:rsid w:val="00C02394"/>
    <w:rsid w:val="00C024A0"/>
    <w:rsid w:val="00C0274B"/>
    <w:rsid w:val="00C02881"/>
    <w:rsid w:val="00C0296B"/>
    <w:rsid w:val="00C02987"/>
    <w:rsid w:val="00C02B72"/>
    <w:rsid w:val="00C02BE5"/>
    <w:rsid w:val="00C02D81"/>
    <w:rsid w:val="00C02E24"/>
    <w:rsid w:val="00C03049"/>
    <w:rsid w:val="00C0309D"/>
    <w:rsid w:val="00C0316E"/>
    <w:rsid w:val="00C031AB"/>
    <w:rsid w:val="00C031C5"/>
    <w:rsid w:val="00C031F0"/>
    <w:rsid w:val="00C03229"/>
    <w:rsid w:val="00C033AF"/>
    <w:rsid w:val="00C03894"/>
    <w:rsid w:val="00C038AE"/>
    <w:rsid w:val="00C03A94"/>
    <w:rsid w:val="00C03BB0"/>
    <w:rsid w:val="00C03BF9"/>
    <w:rsid w:val="00C03DC8"/>
    <w:rsid w:val="00C0420E"/>
    <w:rsid w:val="00C043EB"/>
    <w:rsid w:val="00C04411"/>
    <w:rsid w:val="00C04608"/>
    <w:rsid w:val="00C04615"/>
    <w:rsid w:val="00C0470F"/>
    <w:rsid w:val="00C047F2"/>
    <w:rsid w:val="00C048BE"/>
    <w:rsid w:val="00C04909"/>
    <w:rsid w:val="00C04922"/>
    <w:rsid w:val="00C04AF5"/>
    <w:rsid w:val="00C04D57"/>
    <w:rsid w:val="00C04D9B"/>
    <w:rsid w:val="00C04F72"/>
    <w:rsid w:val="00C04FB4"/>
    <w:rsid w:val="00C04FFB"/>
    <w:rsid w:val="00C05105"/>
    <w:rsid w:val="00C05144"/>
    <w:rsid w:val="00C054E6"/>
    <w:rsid w:val="00C056C8"/>
    <w:rsid w:val="00C0570C"/>
    <w:rsid w:val="00C058C0"/>
    <w:rsid w:val="00C05939"/>
    <w:rsid w:val="00C05A27"/>
    <w:rsid w:val="00C05DA0"/>
    <w:rsid w:val="00C05DC5"/>
    <w:rsid w:val="00C05E11"/>
    <w:rsid w:val="00C05F12"/>
    <w:rsid w:val="00C05F5A"/>
    <w:rsid w:val="00C05FEB"/>
    <w:rsid w:val="00C06065"/>
    <w:rsid w:val="00C06129"/>
    <w:rsid w:val="00C06223"/>
    <w:rsid w:val="00C0639F"/>
    <w:rsid w:val="00C063BB"/>
    <w:rsid w:val="00C0652F"/>
    <w:rsid w:val="00C068F4"/>
    <w:rsid w:val="00C06AB5"/>
    <w:rsid w:val="00C06B84"/>
    <w:rsid w:val="00C06F30"/>
    <w:rsid w:val="00C06F51"/>
    <w:rsid w:val="00C06F86"/>
    <w:rsid w:val="00C06FE4"/>
    <w:rsid w:val="00C0700A"/>
    <w:rsid w:val="00C072F5"/>
    <w:rsid w:val="00C074E3"/>
    <w:rsid w:val="00C074F8"/>
    <w:rsid w:val="00C075EB"/>
    <w:rsid w:val="00C07913"/>
    <w:rsid w:val="00C0799C"/>
    <w:rsid w:val="00C07C27"/>
    <w:rsid w:val="00C07C9B"/>
    <w:rsid w:val="00C07CB6"/>
    <w:rsid w:val="00C07CF5"/>
    <w:rsid w:val="00C07D98"/>
    <w:rsid w:val="00C1059B"/>
    <w:rsid w:val="00C10793"/>
    <w:rsid w:val="00C109C9"/>
    <w:rsid w:val="00C109F8"/>
    <w:rsid w:val="00C10B57"/>
    <w:rsid w:val="00C10BA2"/>
    <w:rsid w:val="00C10BA3"/>
    <w:rsid w:val="00C10C69"/>
    <w:rsid w:val="00C11000"/>
    <w:rsid w:val="00C1146D"/>
    <w:rsid w:val="00C11514"/>
    <w:rsid w:val="00C1162C"/>
    <w:rsid w:val="00C11809"/>
    <w:rsid w:val="00C119D2"/>
    <w:rsid w:val="00C11C45"/>
    <w:rsid w:val="00C11FB3"/>
    <w:rsid w:val="00C1209D"/>
    <w:rsid w:val="00C1227D"/>
    <w:rsid w:val="00C122EA"/>
    <w:rsid w:val="00C122F2"/>
    <w:rsid w:val="00C12421"/>
    <w:rsid w:val="00C12455"/>
    <w:rsid w:val="00C1254A"/>
    <w:rsid w:val="00C12577"/>
    <w:rsid w:val="00C12596"/>
    <w:rsid w:val="00C125C5"/>
    <w:rsid w:val="00C127A1"/>
    <w:rsid w:val="00C12820"/>
    <w:rsid w:val="00C12969"/>
    <w:rsid w:val="00C129C5"/>
    <w:rsid w:val="00C12AB6"/>
    <w:rsid w:val="00C12AC4"/>
    <w:rsid w:val="00C12B5F"/>
    <w:rsid w:val="00C12BCA"/>
    <w:rsid w:val="00C12CE8"/>
    <w:rsid w:val="00C12D46"/>
    <w:rsid w:val="00C12FB3"/>
    <w:rsid w:val="00C13081"/>
    <w:rsid w:val="00C130AF"/>
    <w:rsid w:val="00C13227"/>
    <w:rsid w:val="00C13309"/>
    <w:rsid w:val="00C1333A"/>
    <w:rsid w:val="00C133AE"/>
    <w:rsid w:val="00C133D1"/>
    <w:rsid w:val="00C1363D"/>
    <w:rsid w:val="00C136CB"/>
    <w:rsid w:val="00C137AA"/>
    <w:rsid w:val="00C139B5"/>
    <w:rsid w:val="00C139F0"/>
    <w:rsid w:val="00C13A1B"/>
    <w:rsid w:val="00C13E29"/>
    <w:rsid w:val="00C1411C"/>
    <w:rsid w:val="00C1436D"/>
    <w:rsid w:val="00C14BF7"/>
    <w:rsid w:val="00C14D08"/>
    <w:rsid w:val="00C14DF9"/>
    <w:rsid w:val="00C150C9"/>
    <w:rsid w:val="00C15138"/>
    <w:rsid w:val="00C15181"/>
    <w:rsid w:val="00C15363"/>
    <w:rsid w:val="00C153DF"/>
    <w:rsid w:val="00C15415"/>
    <w:rsid w:val="00C1556F"/>
    <w:rsid w:val="00C15A2C"/>
    <w:rsid w:val="00C15C71"/>
    <w:rsid w:val="00C15CBE"/>
    <w:rsid w:val="00C15D09"/>
    <w:rsid w:val="00C15DC3"/>
    <w:rsid w:val="00C15EB3"/>
    <w:rsid w:val="00C163CE"/>
    <w:rsid w:val="00C16516"/>
    <w:rsid w:val="00C169C2"/>
    <w:rsid w:val="00C16AC2"/>
    <w:rsid w:val="00C16F4C"/>
    <w:rsid w:val="00C16FA3"/>
    <w:rsid w:val="00C170C1"/>
    <w:rsid w:val="00C170E7"/>
    <w:rsid w:val="00C1727D"/>
    <w:rsid w:val="00C178DE"/>
    <w:rsid w:val="00C17B8D"/>
    <w:rsid w:val="00C17CFC"/>
    <w:rsid w:val="00C17D0D"/>
    <w:rsid w:val="00C17FD4"/>
    <w:rsid w:val="00C20147"/>
    <w:rsid w:val="00C2045D"/>
    <w:rsid w:val="00C20472"/>
    <w:rsid w:val="00C208E8"/>
    <w:rsid w:val="00C20A90"/>
    <w:rsid w:val="00C20B55"/>
    <w:rsid w:val="00C20B6D"/>
    <w:rsid w:val="00C20DDE"/>
    <w:rsid w:val="00C210FE"/>
    <w:rsid w:val="00C21171"/>
    <w:rsid w:val="00C211A2"/>
    <w:rsid w:val="00C211C9"/>
    <w:rsid w:val="00C21328"/>
    <w:rsid w:val="00C213AF"/>
    <w:rsid w:val="00C215F8"/>
    <w:rsid w:val="00C21A3C"/>
    <w:rsid w:val="00C21C8C"/>
    <w:rsid w:val="00C21CEB"/>
    <w:rsid w:val="00C21D74"/>
    <w:rsid w:val="00C21E06"/>
    <w:rsid w:val="00C21E4B"/>
    <w:rsid w:val="00C21FB8"/>
    <w:rsid w:val="00C220B3"/>
    <w:rsid w:val="00C22126"/>
    <w:rsid w:val="00C22226"/>
    <w:rsid w:val="00C22393"/>
    <w:rsid w:val="00C22910"/>
    <w:rsid w:val="00C22937"/>
    <w:rsid w:val="00C22AF0"/>
    <w:rsid w:val="00C22B7E"/>
    <w:rsid w:val="00C22CED"/>
    <w:rsid w:val="00C22DF9"/>
    <w:rsid w:val="00C22EB5"/>
    <w:rsid w:val="00C22FD7"/>
    <w:rsid w:val="00C22FF7"/>
    <w:rsid w:val="00C232BF"/>
    <w:rsid w:val="00C23437"/>
    <w:rsid w:val="00C23578"/>
    <w:rsid w:val="00C2357A"/>
    <w:rsid w:val="00C23C01"/>
    <w:rsid w:val="00C23C21"/>
    <w:rsid w:val="00C23F12"/>
    <w:rsid w:val="00C24112"/>
    <w:rsid w:val="00C24205"/>
    <w:rsid w:val="00C24412"/>
    <w:rsid w:val="00C24422"/>
    <w:rsid w:val="00C2461E"/>
    <w:rsid w:val="00C24754"/>
    <w:rsid w:val="00C247DE"/>
    <w:rsid w:val="00C2490A"/>
    <w:rsid w:val="00C2497A"/>
    <w:rsid w:val="00C24B61"/>
    <w:rsid w:val="00C24B86"/>
    <w:rsid w:val="00C24BE4"/>
    <w:rsid w:val="00C24D03"/>
    <w:rsid w:val="00C24F01"/>
    <w:rsid w:val="00C25002"/>
    <w:rsid w:val="00C250FB"/>
    <w:rsid w:val="00C2513C"/>
    <w:rsid w:val="00C254EA"/>
    <w:rsid w:val="00C25568"/>
    <w:rsid w:val="00C25799"/>
    <w:rsid w:val="00C25B9B"/>
    <w:rsid w:val="00C25E96"/>
    <w:rsid w:val="00C26050"/>
    <w:rsid w:val="00C2605C"/>
    <w:rsid w:val="00C26160"/>
    <w:rsid w:val="00C26165"/>
    <w:rsid w:val="00C26289"/>
    <w:rsid w:val="00C26466"/>
    <w:rsid w:val="00C2666C"/>
    <w:rsid w:val="00C26679"/>
    <w:rsid w:val="00C26688"/>
    <w:rsid w:val="00C2674B"/>
    <w:rsid w:val="00C267AF"/>
    <w:rsid w:val="00C269D8"/>
    <w:rsid w:val="00C26E93"/>
    <w:rsid w:val="00C26EC9"/>
    <w:rsid w:val="00C270C5"/>
    <w:rsid w:val="00C27452"/>
    <w:rsid w:val="00C2748E"/>
    <w:rsid w:val="00C27497"/>
    <w:rsid w:val="00C27635"/>
    <w:rsid w:val="00C277DA"/>
    <w:rsid w:val="00C2784D"/>
    <w:rsid w:val="00C27861"/>
    <w:rsid w:val="00C27A68"/>
    <w:rsid w:val="00C27BB3"/>
    <w:rsid w:val="00C27BBD"/>
    <w:rsid w:val="00C27DF6"/>
    <w:rsid w:val="00C27F82"/>
    <w:rsid w:val="00C3047E"/>
    <w:rsid w:val="00C304A7"/>
    <w:rsid w:val="00C304A8"/>
    <w:rsid w:val="00C304B3"/>
    <w:rsid w:val="00C30552"/>
    <w:rsid w:val="00C30A78"/>
    <w:rsid w:val="00C30B06"/>
    <w:rsid w:val="00C30B07"/>
    <w:rsid w:val="00C30BFF"/>
    <w:rsid w:val="00C30CD4"/>
    <w:rsid w:val="00C30D4D"/>
    <w:rsid w:val="00C30D8A"/>
    <w:rsid w:val="00C30DBE"/>
    <w:rsid w:val="00C30E0E"/>
    <w:rsid w:val="00C30E6C"/>
    <w:rsid w:val="00C30E81"/>
    <w:rsid w:val="00C311BC"/>
    <w:rsid w:val="00C311F6"/>
    <w:rsid w:val="00C31401"/>
    <w:rsid w:val="00C3170D"/>
    <w:rsid w:val="00C3171C"/>
    <w:rsid w:val="00C317D6"/>
    <w:rsid w:val="00C317E3"/>
    <w:rsid w:val="00C31A43"/>
    <w:rsid w:val="00C31AA5"/>
    <w:rsid w:val="00C31AD4"/>
    <w:rsid w:val="00C31AE8"/>
    <w:rsid w:val="00C31C8E"/>
    <w:rsid w:val="00C31DD3"/>
    <w:rsid w:val="00C31E89"/>
    <w:rsid w:val="00C320DF"/>
    <w:rsid w:val="00C32170"/>
    <w:rsid w:val="00C321F5"/>
    <w:rsid w:val="00C3220C"/>
    <w:rsid w:val="00C324F7"/>
    <w:rsid w:val="00C3254C"/>
    <w:rsid w:val="00C32635"/>
    <w:rsid w:val="00C32833"/>
    <w:rsid w:val="00C3294D"/>
    <w:rsid w:val="00C329C5"/>
    <w:rsid w:val="00C329EC"/>
    <w:rsid w:val="00C32A15"/>
    <w:rsid w:val="00C32A61"/>
    <w:rsid w:val="00C32AD2"/>
    <w:rsid w:val="00C32FC6"/>
    <w:rsid w:val="00C33148"/>
    <w:rsid w:val="00C33191"/>
    <w:rsid w:val="00C33319"/>
    <w:rsid w:val="00C333C6"/>
    <w:rsid w:val="00C333F7"/>
    <w:rsid w:val="00C33487"/>
    <w:rsid w:val="00C3356F"/>
    <w:rsid w:val="00C33DF4"/>
    <w:rsid w:val="00C33F14"/>
    <w:rsid w:val="00C33F7E"/>
    <w:rsid w:val="00C34185"/>
    <w:rsid w:val="00C34443"/>
    <w:rsid w:val="00C34E7F"/>
    <w:rsid w:val="00C35015"/>
    <w:rsid w:val="00C3517E"/>
    <w:rsid w:val="00C3519B"/>
    <w:rsid w:val="00C351F6"/>
    <w:rsid w:val="00C3533C"/>
    <w:rsid w:val="00C358CE"/>
    <w:rsid w:val="00C359BA"/>
    <w:rsid w:val="00C35BE8"/>
    <w:rsid w:val="00C35D24"/>
    <w:rsid w:val="00C35E08"/>
    <w:rsid w:val="00C35E41"/>
    <w:rsid w:val="00C36841"/>
    <w:rsid w:val="00C36BB4"/>
    <w:rsid w:val="00C36F96"/>
    <w:rsid w:val="00C3708B"/>
    <w:rsid w:val="00C370DE"/>
    <w:rsid w:val="00C37140"/>
    <w:rsid w:val="00C3739A"/>
    <w:rsid w:val="00C374F3"/>
    <w:rsid w:val="00C37771"/>
    <w:rsid w:val="00C3786B"/>
    <w:rsid w:val="00C3794B"/>
    <w:rsid w:val="00C379C1"/>
    <w:rsid w:val="00C37A85"/>
    <w:rsid w:val="00C37C71"/>
    <w:rsid w:val="00C37D8C"/>
    <w:rsid w:val="00C37D90"/>
    <w:rsid w:val="00C37F36"/>
    <w:rsid w:val="00C40241"/>
    <w:rsid w:val="00C4047C"/>
    <w:rsid w:val="00C40528"/>
    <w:rsid w:val="00C40564"/>
    <w:rsid w:val="00C40811"/>
    <w:rsid w:val="00C40946"/>
    <w:rsid w:val="00C40989"/>
    <w:rsid w:val="00C40A74"/>
    <w:rsid w:val="00C40D91"/>
    <w:rsid w:val="00C40F7D"/>
    <w:rsid w:val="00C4103A"/>
    <w:rsid w:val="00C41171"/>
    <w:rsid w:val="00C412F4"/>
    <w:rsid w:val="00C413EE"/>
    <w:rsid w:val="00C41909"/>
    <w:rsid w:val="00C41B1C"/>
    <w:rsid w:val="00C41F6C"/>
    <w:rsid w:val="00C420CC"/>
    <w:rsid w:val="00C421E1"/>
    <w:rsid w:val="00C421E7"/>
    <w:rsid w:val="00C4227C"/>
    <w:rsid w:val="00C422B6"/>
    <w:rsid w:val="00C423BA"/>
    <w:rsid w:val="00C42667"/>
    <w:rsid w:val="00C42675"/>
    <w:rsid w:val="00C42ACF"/>
    <w:rsid w:val="00C42B2F"/>
    <w:rsid w:val="00C42C6D"/>
    <w:rsid w:val="00C42FD4"/>
    <w:rsid w:val="00C431B2"/>
    <w:rsid w:val="00C431E9"/>
    <w:rsid w:val="00C43378"/>
    <w:rsid w:val="00C43672"/>
    <w:rsid w:val="00C4390A"/>
    <w:rsid w:val="00C43A75"/>
    <w:rsid w:val="00C43A85"/>
    <w:rsid w:val="00C43AA8"/>
    <w:rsid w:val="00C43F43"/>
    <w:rsid w:val="00C43FEB"/>
    <w:rsid w:val="00C441F4"/>
    <w:rsid w:val="00C4426F"/>
    <w:rsid w:val="00C44397"/>
    <w:rsid w:val="00C44658"/>
    <w:rsid w:val="00C446B0"/>
    <w:rsid w:val="00C44865"/>
    <w:rsid w:val="00C448F6"/>
    <w:rsid w:val="00C44A5E"/>
    <w:rsid w:val="00C44C03"/>
    <w:rsid w:val="00C44C79"/>
    <w:rsid w:val="00C44D0F"/>
    <w:rsid w:val="00C44D99"/>
    <w:rsid w:val="00C45013"/>
    <w:rsid w:val="00C4532C"/>
    <w:rsid w:val="00C45438"/>
    <w:rsid w:val="00C455C1"/>
    <w:rsid w:val="00C45714"/>
    <w:rsid w:val="00C457F6"/>
    <w:rsid w:val="00C45AED"/>
    <w:rsid w:val="00C45B86"/>
    <w:rsid w:val="00C45C61"/>
    <w:rsid w:val="00C45DDD"/>
    <w:rsid w:val="00C463C4"/>
    <w:rsid w:val="00C463D6"/>
    <w:rsid w:val="00C469EB"/>
    <w:rsid w:val="00C46A31"/>
    <w:rsid w:val="00C46A62"/>
    <w:rsid w:val="00C46A6D"/>
    <w:rsid w:val="00C46CE1"/>
    <w:rsid w:val="00C46EC1"/>
    <w:rsid w:val="00C46F30"/>
    <w:rsid w:val="00C46F6F"/>
    <w:rsid w:val="00C470B2"/>
    <w:rsid w:val="00C47174"/>
    <w:rsid w:val="00C47199"/>
    <w:rsid w:val="00C47713"/>
    <w:rsid w:val="00C4779D"/>
    <w:rsid w:val="00C478AF"/>
    <w:rsid w:val="00C47ADE"/>
    <w:rsid w:val="00C47C9E"/>
    <w:rsid w:val="00C47E75"/>
    <w:rsid w:val="00C50055"/>
    <w:rsid w:val="00C502AB"/>
    <w:rsid w:val="00C503E5"/>
    <w:rsid w:val="00C5040C"/>
    <w:rsid w:val="00C5047A"/>
    <w:rsid w:val="00C506FD"/>
    <w:rsid w:val="00C50BBB"/>
    <w:rsid w:val="00C50E47"/>
    <w:rsid w:val="00C50EBC"/>
    <w:rsid w:val="00C50FBD"/>
    <w:rsid w:val="00C51328"/>
    <w:rsid w:val="00C51334"/>
    <w:rsid w:val="00C5134B"/>
    <w:rsid w:val="00C514B0"/>
    <w:rsid w:val="00C5186B"/>
    <w:rsid w:val="00C51AB8"/>
    <w:rsid w:val="00C51BBA"/>
    <w:rsid w:val="00C51D82"/>
    <w:rsid w:val="00C51E0B"/>
    <w:rsid w:val="00C51E87"/>
    <w:rsid w:val="00C51F92"/>
    <w:rsid w:val="00C52078"/>
    <w:rsid w:val="00C52214"/>
    <w:rsid w:val="00C52217"/>
    <w:rsid w:val="00C522F4"/>
    <w:rsid w:val="00C52474"/>
    <w:rsid w:val="00C52691"/>
    <w:rsid w:val="00C529A6"/>
    <w:rsid w:val="00C52BD9"/>
    <w:rsid w:val="00C52CBC"/>
    <w:rsid w:val="00C52CD5"/>
    <w:rsid w:val="00C52D47"/>
    <w:rsid w:val="00C52E9F"/>
    <w:rsid w:val="00C52F4B"/>
    <w:rsid w:val="00C52FB7"/>
    <w:rsid w:val="00C533C2"/>
    <w:rsid w:val="00C535C9"/>
    <w:rsid w:val="00C537AB"/>
    <w:rsid w:val="00C53C50"/>
    <w:rsid w:val="00C5407A"/>
    <w:rsid w:val="00C5420C"/>
    <w:rsid w:val="00C542BD"/>
    <w:rsid w:val="00C54426"/>
    <w:rsid w:val="00C5449C"/>
    <w:rsid w:val="00C5458B"/>
    <w:rsid w:val="00C54620"/>
    <w:rsid w:val="00C5470C"/>
    <w:rsid w:val="00C54717"/>
    <w:rsid w:val="00C547AD"/>
    <w:rsid w:val="00C54822"/>
    <w:rsid w:val="00C548F6"/>
    <w:rsid w:val="00C54A56"/>
    <w:rsid w:val="00C54AA6"/>
    <w:rsid w:val="00C54ABB"/>
    <w:rsid w:val="00C54B5E"/>
    <w:rsid w:val="00C54C43"/>
    <w:rsid w:val="00C54DFA"/>
    <w:rsid w:val="00C55128"/>
    <w:rsid w:val="00C5514F"/>
    <w:rsid w:val="00C55587"/>
    <w:rsid w:val="00C55725"/>
    <w:rsid w:val="00C5579B"/>
    <w:rsid w:val="00C558E7"/>
    <w:rsid w:val="00C55C88"/>
    <w:rsid w:val="00C55DA9"/>
    <w:rsid w:val="00C55F0A"/>
    <w:rsid w:val="00C55F64"/>
    <w:rsid w:val="00C56078"/>
    <w:rsid w:val="00C561DC"/>
    <w:rsid w:val="00C56210"/>
    <w:rsid w:val="00C5628A"/>
    <w:rsid w:val="00C562B2"/>
    <w:rsid w:val="00C563CF"/>
    <w:rsid w:val="00C566BF"/>
    <w:rsid w:val="00C5676F"/>
    <w:rsid w:val="00C567CE"/>
    <w:rsid w:val="00C5687E"/>
    <w:rsid w:val="00C56C1D"/>
    <w:rsid w:val="00C572D8"/>
    <w:rsid w:val="00C574F9"/>
    <w:rsid w:val="00C575ED"/>
    <w:rsid w:val="00C57713"/>
    <w:rsid w:val="00C5783E"/>
    <w:rsid w:val="00C578E9"/>
    <w:rsid w:val="00C57ADC"/>
    <w:rsid w:val="00C57B42"/>
    <w:rsid w:val="00C57C37"/>
    <w:rsid w:val="00C57C55"/>
    <w:rsid w:val="00C57DC6"/>
    <w:rsid w:val="00C57DDA"/>
    <w:rsid w:val="00C57EFF"/>
    <w:rsid w:val="00C57FDA"/>
    <w:rsid w:val="00C60001"/>
    <w:rsid w:val="00C602FC"/>
    <w:rsid w:val="00C603D3"/>
    <w:rsid w:val="00C6040B"/>
    <w:rsid w:val="00C605DF"/>
    <w:rsid w:val="00C607D8"/>
    <w:rsid w:val="00C60842"/>
    <w:rsid w:val="00C609FC"/>
    <w:rsid w:val="00C60AA0"/>
    <w:rsid w:val="00C60BF5"/>
    <w:rsid w:val="00C60F95"/>
    <w:rsid w:val="00C611B5"/>
    <w:rsid w:val="00C611E1"/>
    <w:rsid w:val="00C613C2"/>
    <w:rsid w:val="00C613EB"/>
    <w:rsid w:val="00C61465"/>
    <w:rsid w:val="00C614EC"/>
    <w:rsid w:val="00C61685"/>
    <w:rsid w:val="00C616B4"/>
    <w:rsid w:val="00C61810"/>
    <w:rsid w:val="00C61D50"/>
    <w:rsid w:val="00C61E4A"/>
    <w:rsid w:val="00C61E87"/>
    <w:rsid w:val="00C61FE6"/>
    <w:rsid w:val="00C6223B"/>
    <w:rsid w:val="00C6223E"/>
    <w:rsid w:val="00C628D3"/>
    <w:rsid w:val="00C629EF"/>
    <w:rsid w:val="00C62AAA"/>
    <w:rsid w:val="00C62BAD"/>
    <w:rsid w:val="00C62BEA"/>
    <w:rsid w:val="00C62D74"/>
    <w:rsid w:val="00C63186"/>
    <w:rsid w:val="00C63341"/>
    <w:rsid w:val="00C63380"/>
    <w:rsid w:val="00C6350E"/>
    <w:rsid w:val="00C63513"/>
    <w:rsid w:val="00C637A7"/>
    <w:rsid w:val="00C63857"/>
    <w:rsid w:val="00C639DC"/>
    <w:rsid w:val="00C63EE8"/>
    <w:rsid w:val="00C63F9A"/>
    <w:rsid w:val="00C64052"/>
    <w:rsid w:val="00C64073"/>
    <w:rsid w:val="00C6424C"/>
    <w:rsid w:val="00C64481"/>
    <w:rsid w:val="00C64509"/>
    <w:rsid w:val="00C6487D"/>
    <w:rsid w:val="00C64914"/>
    <w:rsid w:val="00C64ACA"/>
    <w:rsid w:val="00C64BC0"/>
    <w:rsid w:val="00C652BA"/>
    <w:rsid w:val="00C652C4"/>
    <w:rsid w:val="00C653A6"/>
    <w:rsid w:val="00C655E2"/>
    <w:rsid w:val="00C6566D"/>
    <w:rsid w:val="00C65D24"/>
    <w:rsid w:val="00C65DAF"/>
    <w:rsid w:val="00C65DC5"/>
    <w:rsid w:val="00C663B5"/>
    <w:rsid w:val="00C663C0"/>
    <w:rsid w:val="00C66566"/>
    <w:rsid w:val="00C669A6"/>
    <w:rsid w:val="00C66A81"/>
    <w:rsid w:val="00C66A87"/>
    <w:rsid w:val="00C66C49"/>
    <w:rsid w:val="00C66CA5"/>
    <w:rsid w:val="00C66DAD"/>
    <w:rsid w:val="00C6714D"/>
    <w:rsid w:val="00C67203"/>
    <w:rsid w:val="00C673E8"/>
    <w:rsid w:val="00C6743B"/>
    <w:rsid w:val="00C6762A"/>
    <w:rsid w:val="00C6764C"/>
    <w:rsid w:val="00C678EA"/>
    <w:rsid w:val="00C6793D"/>
    <w:rsid w:val="00C679F8"/>
    <w:rsid w:val="00C67A57"/>
    <w:rsid w:val="00C67CA7"/>
    <w:rsid w:val="00C67E9C"/>
    <w:rsid w:val="00C70089"/>
    <w:rsid w:val="00C700C5"/>
    <w:rsid w:val="00C70113"/>
    <w:rsid w:val="00C70239"/>
    <w:rsid w:val="00C707FD"/>
    <w:rsid w:val="00C7094B"/>
    <w:rsid w:val="00C70AC8"/>
    <w:rsid w:val="00C70B68"/>
    <w:rsid w:val="00C70CC3"/>
    <w:rsid w:val="00C70DAB"/>
    <w:rsid w:val="00C70DFD"/>
    <w:rsid w:val="00C7103F"/>
    <w:rsid w:val="00C71096"/>
    <w:rsid w:val="00C713F7"/>
    <w:rsid w:val="00C71462"/>
    <w:rsid w:val="00C717A4"/>
    <w:rsid w:val="00C71C30"/>
    <w:rsid w:val="00C71D4D"/>
    <w:rsid w:val="00C71D5C"/>
    <w:rsid w:val="00C71E4E"/>
    <w:rsid w:val="00C71F57"/>
    <w:rsid w:val="00C7205A"/>
    <w:rsid w:val="00C72695"/>
    <w:rsid w:val="00C7272F"/>
    <w:rsid w:val="00C72799"/>
    <w:rsid w:val="00C72987"/>
    <w:rsid w:val="00C729B6"/>
    <w:rsid w:val="00C72CA6"/>
    <w:rsid w:val="00C72F99"/>
    <w:rsid w:val="00C73024"/>
    <w:rsid w:val="00C7306E"/>
    <w:rsid w:val="00C73085"/>
    <w:rsid w:val="00C737F3"/>
    <w:rsid w:val="00C7390A"/>
    <w:rsid w:val="00C7397D"/>
    <w:rsid w:val="00C73B6C"/>
    <w:rsid w:val="00C73F1B"/>
    <w:rsid w:val="00C73F95"/>
    <w:rsid w:val="00C74067"/>
    <w:rsid w:val="00C74414"/>
    <w:rsid w:val="00C74550"/>
    <w:rsid w:val="00C7465D"/>
    <w:rsid w:val="00C74762"/>
    <w:rsid w:val="00C748C7"/>
    <w:rsid w:val="00C749E6"/>
    <w:rsid w:val="00C749F1"/>
    <w:rsid w:val="00C74A24"/>
    <w:rsid w:val="00C74C97"/>
    <w:rsid w:val="00C74F4C"/>
    <w:rsid w:val="00C75038"/>
    <w:rsid w:val="00C75100"/>
    <w:rsid w:val="00C7533F"/>
    <w:rsid w:val="00C75714"/>
    <w:rsid w:val="00C757E7"/>
    <w:rsid w:val="00C758BD"/>
    <w:rsid w:val="00C75914"/>
    <w:rsid w:val="00C759E0"/>
    <w:rsid w:val="00C759FE"/>
    <w:rsid w:val="00C75AED"/>
    <w:rsid w:val="00C75C4D"/>
    <w:rsid w:val="00C765F3"/>
    <w:rsid w:val="00C76677"/>
    <w:rsid w:val="00C76883"/>
    <w:rsid w:val="00C76937"/>
    <w:rsid w:val="00C7695A"/>
    <w:rsid w:val="00C76B9D"/>
    <w:rsid w:val="00C76CAB"/>
    <w:rsid w:val="00C76DD3"/>
    <w:rsid w:val="00C7704F"/>
    <w:rsid w:val="00C772F0"/>
    <w:rsid w:val="00C7730D"/>
    <w:rsid w:val="00C77873"/>
    <w:rsid w:val="00C77899"/>
    <w:rsid w:val="00C77AFB"/>
    <w:rsid w:val="00C77BA2"/>
    <w:rsid w:val="00C77C00"/>
    <w:rsid w:val="00C77D19"/>
    <w:rsid w:val="00C77DC6"/>
    <w:rsid w:val="00C802FF"/>
    <w:rsid w:val="00C80392"/>
    <w:rsid w:val="00C803C8"/>
    <w:rsid w:val="00C805AD"/>
    <w:rsid w:val="00C808AE"/>
    <w:rsid w:val="00C808E3"/>
    <w:rsid w:val="00C809EF"/>
    <w:rsid w:val="00C80A4D"/>
    <w:rsid w:val="00C80DF0"/>
    <w:rsid w:val="00C80F10"/>
    <w:rsid w:val="00C80FAE"/>
    <w:rsid w:val="00C810DA"/>
    <w:rsid w:val="00C8135A"/>
    <w:rsid w:val="00C815BA"/>
    <w:rsid w:val="00C816A4"/>
    <w:rsid w:val="00C816AA"/>
    <w:rsid w:val="00C817BE"/>
    <w:rsid w:val="00C81985"/>
    <w:rsid w:val="00C81A2A"/>
    <w:rsid w:val="00C81B6A"/>
    <w:rsid w:val="00C81C34"/>
    <w:rsid w:val="00C81F54"/>
    <w:rsid w:val="00C821DA"/>
    <w:rsid w:val="00C823EF"/>
    <w:rsid w:val="00C82632"/>
    <w:rsid w:val="00C82697"/>
    <w:rsid w:val="00C82811"/>
    <w:rsid w:val="00C82AA9"/>
    <w:rsid w:val="00C82B1F"/>
    <w:rsid w:val="00C82C61"/>
    <w:rsid w:val="00C82C96"/>
    <w:rsid w:val="00C82E49"/>
    <w:rsid w:val="00C82F99"/>
    <w:rsid w:val="00C8300F"/>
    <w:rsid w:val="00C833D9"/>
    <w:rsid w:val="00C8344B"/>
    <w:rsid w:val="00C834DD"/>
    <w:rsid w:val="00C83611"/>
    <w:rsid w:val="00C836BF"/>
    <w:rsid w:val="00C836DB"/>
    <w:rsid w:val="00C8388E"/>
    <w:rsid w:val="00C83BCD"/>
    <w:rsid w:val="00C83D04"/>
    <w:rsid w:val="00C83E59"/>
    <w:rsid w:val="00C83E7D"/>
    <w:rsid w:val="00C84003"/>
    <w:rsid w:val="00C8420F"/>
    <w:rsid w:val="00C8423B"/>
    <w:rsid w:val="00C84812"/>
    <w:rsid w:val="00C84B30"/>
    <w:rsid w:val="00C84B5E"/>
    <w:rsid w:val="00C84BFE"/>
    <w:rsid w:val="00C84CA3"/>
    <w:rsid w:val="00C84E8E"/>
    <w:rsid w:val="00C84F05"/>
    <w:rsid w:val="00C84FC2"/>
    <w:rsid w:val="00C850F1"/>
    <w:rsid w:val="00C8513D"/>
    <w:rsid w:val="00C85395"/>
    <w:rsid w:val="00C8553A"/>
    <w:rsid w:val="00C85542"/>
    <w:rsid w:val="00C8563C"/>
    <w:rsid w:val="00C8578E"/>
    <w:rsid w:val="00C8597C"/>
    <w:rsid w:val="00C85C25"/>
    <w:rsid w:val="00C85C7D"/>
    <w:rsid w:val="00C85E13"/>
    <w:rsid w:val="00C85F86"/>
    <w:rsid w:val="00C86214"/>
    <w:rsid w:val="00C86225"/>
    <w:rsid w:val="00C862A7"/>
    <w:rsid w:val="00C8674C"/>
    <w:rsid w:val="00C86883"/>
    <w:rsid w:val="00C86976"/>
    <w:rsid w:val="00C86AB6"/>
    <w:rsid w:val="00C86D92"/>
    <w:rsid w:val="00C86ECF"/>
    <w:rsid w:val="00C86EFC"/>
    <w:rsid w:val="00C86F9D"/>
    <w:rsid w:val="00C8702E"/>
    <w:rsid w:val="00C870A2"/>
    <w:rsid w:val="00C8734C"/>
    <w:rsid w:val="00C87378"/>
    <w:rsid w:val="00C87487"/>
    <w:rsid w:val="00C876CF"/>
    <w:rsid w:val="00C87835"/>
    <w:rsid w:val="00C879AB"/>
    <w:rsid w:val="00C87A0F"/>
    <w:rsid w:val="00C87B2D"/>
    <w:rsid w:val="00C87BB9"/>
    <w:rsid w:val="00C87C1C"/>
    <w:rsid w:val="00C87C64"/>
    <w:rsid w:val="00C87D3E"/>
    <w:rsid w:val="00C87D8F"/>
    <w:rsid w:val="00C901ED"/>
    <w:rsid w:val="00C904B0"/>
    <w:rsid w:val="00C9083B"/>
    <w:rsid w:val="00C9086C"/>
    <w:rsid w:val="00C90A61"/>
    <w:rsid w:val="00C90A7D"/>
    <w:rsid w:val="00C90E1A"/>
    <w:rsid w:val="00C90F10"/>
    <w:rsid w:val="00C90F1C"/>
    <w:rsid w:val="00C91174"/>
    <w:rsid w:val="00C911DA"/>
    <w:rsid w:val="00C91359"/>
    <w:rsid w:val="00C916C9"/>
    <w:rsid w:val="00C91798"/>
    <w:rsid w:val="00C917CF"/>
    <w:rsid w:val="00C91AAE"/>
    <w:rsid w:val="00C91B21"/>
    <w:rsid w:val="00C91B57"/>
    <w:rsid w:val="00C91D0E"/>
    <w:rsid w:val="00C91D8A"/>
    <w:rsid w:val="00C91DF4"/>
    <w:rsid w:val="00C91E4F"/>
    <w:rsid w:val="00C91E61"/>
    <w:rsid w:val="00C9205D"/>
    <w:rsid w:val="00C92132"/>
    <w:rsid w:val="00C9218C"/>
    <w:rsid w:val="00C921CA"/>
    <w:rsid w:val="00C92528"/>
    <w:rsid w:val="00C92588"/>
    <w:rsid w:val="00C926E3"/>
    <w:rsid w:val="00C927DB"/>
    <w:rsid w:val="00C928CD"/>
    <w:rsid w:val="00C92CF9"/>
    <w:rsid w:val="00C92D28"/>
    <w:rsid w:val="00C93248"/>
    <w:rsid w:val="00C9326B"/>
    <w:rsid w:val="00C93368"/>
    <w:rsid w:val="00C933B4"/>
    <w:rsid w:val="00C933CB"/>
    <w:rsid w:val="00C93530"/>
    <w:rsid w:val="00C93901"/>
    <w:rsid w:val="00C939F0"/>
    <w:rsid w:val="00C93A57"/>
    <w:rsid w:val="00C93A5A"/>
    <w:rsid w:val="00C93ABC"/>
    <w:rsid w:val="00C93BA5"/>
    <w:rsid w:val="00C93D98"/>
    <w:rsid w:val="00C93F4D"/>
    <w:rsid w:val="00C94034"/>
    <w:rsid w:val="00C94042"/>
    <w:rsid w:val="00C94234"/>
    <w:rsid w:val="00C94563"/>
    <w:rsid w:val="00C945BA"/>
    <w:rsid w:val="00C9477A"/>
    <w:rsid w:val="00C949AC"/>
    <w:rsid w:val="00C949D0"/>
    <w:rsid w:val="00C94AD7"/>
    <w:rsid w:val="00C94B1C"/>
    <w:rsid w:val="00C94C28"/>
    <w:rsid w:val="00C9507D"/>
    <w:rsid w:val="00C951E6"/>
    <w:rsid w:val="00C95756"/>
    <w:rsid w:val="00C95980"/>
    <w:rsid w:val="00C95D98"/>
    <w:rsid w:val="00C95FD5"/>
    <w:rsid w:val="00C9640C"/>
    <w:rsid w:val="00C96712"/>
    <w:rsid w:val="00C9686C"/>
    <w:rsid w:val="00C96F75"/>
    <w:rsid w:val="00C971DA"/>
    <w:rsid w:val="00C9740D"/>
    <w:rsid w:val="00C977C6"/>
    <w:rsid w:val="00C97821"/>
    <w:rsid w:val="00C97828"/>
    <w:rsid w:val="00C9784D"/>
    <w:rsid w:val="00C978DC"/>
    <w:rsid w:val="00C97965"/>
    <w:rsid w:val="00C97A72"/>
    <w:rsid w:val="00C97B0C"/>
    <w:rsid w:val="00C97F6C"/>
    <w:rsid w:val="00CA0053"/>
    <w:rsid w:val="00CA00A8"/>
    <w:rsid w:val="00CA01E7"/>
    <w:rsid w:val="00CA0293"/>
    <w:rsid w:val="00CA0297"/>
    <w:rsid w:val="00CA04AC"/>
    <w:rsid w:val="00CA062C"/>
    <w:rsid w:val="00CA07C0"/>
    <w:rsid w:val="00CA07E3"/>
    <w:rsid w:val="00CA08DD"/>
    <w:rsid w:val="00CA098C"/>
    <w:rsid w:val="00CA0A1D"/>
    <w:rsid w:val="00CA0B56"/>
    <w:rsid w:val="00CA0E13"/>
    <w:rsid w:val="00CA1473"/>
    <w:rsid w:val="00CA1AA1"/>
    <w:rsid w:val="00CA1E1D"/>
    <w:rsid w:val="00CA1E82"/>
    <w:rsid w:val="00CA1E85"/>
    <w:rsid w:val="00CA1E9D"/>
    <w:rsid w:val="00CA2047"/>
    <w:rsid w:val="00CA20F3"/>
    <w:rsid w:val="00CA23A2"/>
    <w:rsid w:val="00CA2596"/>
    <w:rsid w:val="00CA29A0"/>
    <w:rsid w:val="00CA2A86"/>
    <w:rsid w:val="00CA2D0A"/>
    <w:rsid w:val="00CA3108"/>
    <w:rsid w:val="00CA3315"/>
    <w:rsid w:val="00CA3478"/>
    <w:rsid w:val="00CA3737"/>
    <w:rsid w:val="00CA378B"/>
    <w:rsid w:val="00CA37A8"/>
    <w:rsid w:val="00CA38FB"/>
    <w:rsid w:val="00CA3DC2"/>
    <w:rsid w:val="00CA41CE"/>
    <w:rsid w:val="00CA421F"/>
    <w:rsid w:val="00CA43AD"/>
    <w:rsid w:val="00CA44F3"/>
    <w:rsid w:val="00CA457E"/>
    <w:rsid w:val="00CA4733"/>
    <w:rsid w:val="00CA488F"/>
    <w:rsid w:val="00CA4AC6"/>
    <w:rsid w:val="00CA4C32"/>
    <w:rsid w:val="00CA4CCB"/>
    <w:rsid w:val="00CA4DA5"/>
    <w:rsid w:val="00CA4ED0"/>
    <w:rsid w:val="00CA50AF"/>
    <w:rsid w:val="00CA568C"/>
    <w:rsid w:val="00CA56F3"/>
    <w:rsid w:val="00CA581D"/>
    <w:rsid w:val="00CA589E"/>
    <w:rsid w:val="00CA58E1"/>
    <w:rsid w:val="00CA59B7"/>
    <w:rsid w:val="00CA59D4"/>
    <w:rsid w:val="00CA5B00"/>
    <w:rsid w:val="00CA5BA6"/>
    <w:rsid w:val="00CA5BAC"/>
    <w:rsid w:val="00CA5C2F"/>
    <w:rsid w:val="00CA5F3E"/>
    <w:rsid w:val="00CA5F4A"/>
    <w:rsid w:val="00CA5FDB"/>
    <w:rsid w:val="00CA6170"/>
    <w:rsid w:val="00CA61FC"/>
    <w:rsid w:val="00CA63BC"/>
    <w:rsid w:val="00CA6552"/>
    <w:rsid w:val="00CA65B9"/>
    <w:rsid w:val="00CA6647"/>
    <w:rsid w:val="00CA664B"/>
    <w:rsid w:val="00CA6684"/>
    <w:rsid w:val="00CA6777"/>
    <w:rsid w:val="00CA6AD8"/>
    <w:rsid w:val="00CA6BF7"/>
    <w:rsid w:val="00CA6BF9"/>
    <w:rsid w:val="00CA6CA0"/>
    <w:rsid w:val="00CA6DA7"/>
    <w:rsid w:val="00CA6DD4"/>
    <w:rsid w:val="00CA6DF3"/>
    <w:rsid w:val="00CA6FB1"/>
    <w:rsid w:val="00CA7222"/>
    <w:rsid w:val="00CA7229"/>
    <w:rsid w:val="00CA7343"/>
    <w:rsid w:val="00CA73C8"/>
    <w:rsid w:val="00CA7482"/>
    <w:rsid w:val="00CA7520"/>
    <w:rsid w:val="00CA75C2"/>
    <w:rsid w:val="00CA7631"/>
    <w:rsid w:val="00CA7730"/>
    <w:rsid w:val="00CA79AC"/>
    <w:rsid w:val="00CA7BBE"/>
    <w:rsid w:val="00CA7C77"/>
    <w:rsid w:val="00CA7CA4"/>
    <w:rsid w:val="00CA7D12"/>
    <w:rsid w:val="00CB0068"/>
    <w:rsid w:val="00CB030E"/>
    <w:rsid w:val="00CB071F"/>
    <w:rsid w:val="00CB0778"/>
    <w:rsid w:val="00CB08BC"/>
    <w:rsid w:val="00CB09F8"/>
    <w:rsid w:val="00CB0A3C"/>
    <w:rsid w:val="00CB0B71"/>
    <w:rsid w:val="00CB0CCE"/>
    <w:rsid w:val="00CB0D37"/>
    <w:rsid w:val="00CB0D51"/>
    <w:rsid w:val="00CB0FA7"/>
    <w:rsid w:val="00CB1124"/>
    <w:rsid w:val="00CB12CF"/>
    <w:rsid w:val="00CB12FF"/>
    <w:rsid w:val="00CB13B5"/>
    <w:rsid w:val="00CB1402"/>
    <w:rsid w:val="00CB15B6"/>
    <w:rsid w:val="00CB1719"/>
    <w:rsid w:val="00CB1819"/>
    <w:rsid w:val="00CB1877"/>
    <w:rsid w:val="00CB18D5"/>
    <w:rsid w:val="00CB1917"/>
    <w:rsid w:val="00CB1F4A"/>
    <w:rsid w:val="00CB1FE4"/>
    <w:rsid w:val="00CB20D8"/>
    <w:rsid w:val="00CB213C"/>
    <w:rsid w:val="00CB23C9"/>
    <w:rsid w:val="00CB242D"/>
    <w:rsid w:val="00CB2641"/>
    <w:rsid w:val="00CB26B6"/>
    <w:rsid w:val="00CB2884"/>
    <w:rsid w:val="00CB2984"/>
    <w:rsid w:val="00CB2A4E"/>
    <w:rsid w:val="00CB2BA1"/>
    <w:rsid w:val="00CB2EAA"/>
    <w:rsid w:val="00CB3065"/>
    <w:rsid w:val="00CB3328"/>
    <w:rsid w:val="00CB348E"/>
    <w:rsid w:val="00CB3743"/>
    <w:rsid w:val="00CB374A"/>
    <w:rsid w:val="00CB39B5"/>
    <w:rsid w:val="00CB3C16"/>
    <w:rsid w:val="00CB3C71"/>
    <w:rsid w:val="00CB3D29"/>
    <w:rsid w:val="00CB3D34"/>
    <w:rsid w:val="00CB3F76"/>
    <w:rsid w:val="00CB406D"/>
    <w:rsid w:val="00CB40F8"/>
    <w:rsid w:val="00CB4250"/>
    <w:rsid w:val="00CB45C4"/>
    <w:rsid w:val="00CB463F"/>
    <w:rsid w:val="00CB4877"/>
    <w:rsid w:val="00CB48A2"/>
    <w:rsid w:val="00CB4A25"/>
    <w:rsid w:val="00CB4C76"/>
    <w:rsid w:val="00CB5091"/>
    <w:rsid w:val="00CB51E2"/>
    <w:rsid w:val="00CB53BC"/>
    <w:rsid w:val="00CB586A"/>
    <w:rsid w:val="00CB5A2B"/>
    <w:rsid w:val="00CB5A9B"/>
    <w:rsid w:val="00CB5B8A"/>
    <w:rsid w:val="00CB5BB8"/>
    <w:rsid w:val="00CB5C58"/>
    <w:rsid w:val="00CB5C98"/>
    <w:rsid w:val="00CB5DEF"/>
    <w:rsid w:val="00CB5E2B"/>
    <w:rsid w:val="00CB5E46"/>
    <w:rsid w:val="00CB5FB0"/>
    <w:rsid w:val="00CB66B3"/>
    <w:rsid w:val="00CB69CD"/>
    <w:rsid w:val="00CB6B90"/>
    <w:rsid w:val="00CB6F18"/>
    <w:rsid w:val="00CB75AB"/>
    <w:rsid w:val="00CB75D1"/>
    <w:rsid w:val="00CB769A"/>
    <w:rsid w:val="00CB7721"/>
    <w:rsid w:val="00CB77BE"/>
    <w:rsid w:val="00CB7A33"/>
    <w:rsid w:val="00CB7E9E"/>
    <w:rsid w:val="00CBA0E9"/>
    <w:rsid w:val="00CC00C7"/>
    <w:rsid w:val="00CC046D"/>
    <w:rsid w:val="00CC05DA"/>
    <w:rsid w:val="00CC07C2"/>
    <w:rsid w:val="00CC092B"/>
    <w:rsid w:val="00CC0949"/>
    <w:rsid w:val="00CC096D"/>
    <w:rsid w:val="00CC0FF4"/>
    <w:rsid w:val="00CC1243"/>
    <w:rsid w:val="00CC1340"/>
    <w:rsid w:val="00CC1493"/>
    <w:rsid w:val="00CC1576"/>
    <w:rsid w:val="00CC1596"/>
    <w:rsid w:val="00CC1853"/>
    <w:rsid w:val="00CC1871"/>
    <w:rsid w:val="00CC1A16"/>
    <w:rsid w:val="00CC1C7E"/>
    <w:rsid w:val="00CC1FD4"/>
    <w:rsid w:val="00CC22AF"/>
    <w:rsid w:val="00CC28D5"/>
    <w:rsid w:val="00CC29E3"/>
    <w:rsid w:val="00CC29F6"/>
    <w:rsid w:val="00CC2D54"/>
    <w:rsid w:val="00CC2E35"/>
    <w:rsid w:val="00CC2EE0"/>
    <w:rsid w:val="00CC2FB0"/>
    <w:rsid w:val="00CC3267"/>
    <w:rsid w:val="00CC328B"/>
    <w:rsid w:val="00CC350D"/>
    <w:rsid w:val="00CC357D"/>
    <w:rsid w:val="00CC39B3"/>
    <w:rsid w:val="00CC3B53"/>
    <w:rsid w:val="00CC3D51"/>
    <w:rsid w:val="00CC3F30"/>
    <w:rsid w:val="00CC40C5"/>
    <w:rsid w:val="00CC42BF"/>
    <w:rsid w:val="00CC4377"/>
    <w:rsid w:val="00CC4450"/>
    <w:rsid w:val="00CC455F"/>
    <w:rsid w:val="00CC46C4"/>
    <w:rsid w:val="00CC4ABB"/>
    <w:rsid w:val="00CC4C01"/>
    <w:rsid w:val="00CC4C7D"/>
    <w:rsid w:val="00CC5246"/>
    <w:rsid w:val="00CC53A2"/>
    <w:rsid w:val="00CC55D3"/>
    <w:rsid w:val="00CC57F3"/>
    <w:rsid w:val="00CC5893"/>
    <w:rsid w:val="00CC58A7"/>
    <w:rsid w:val="00CC5933"/>
    <w:rsid w:val="00CC5C75"/>
    <w:rsid w:val="00CC5DF3"/>
    <w:rsid w:val="00CC5E32"/>
    <w:rsid w:val="00CC5E70"/>
    <w:rsid w:val="00CC603F"/>
    <w:rsid w:val="00CC60BC"/>
    <w:rsid w:val="00CC6156"/>
    <w:rsid w:val="00CC6259"/>
    <w:rsid w:val="00CC6276"/>
    <w:rsid w:val="00CC634B"/>
    <w:rsid w:val="00CC634D"/>
    <w:rsid w:val="00CC6504"/>
    <w:rsid w:val="00CC651A"/>
    <w:rsid w:val="00CC666E"/>
    <w:rsid w:val="00CC6712"/>
    <w:rsid w:val="00CC67E1"/>
    <w:rsid w:val="00CC6917"/>
    <w:rsid w:val="00CC6A4C"/>
    <w:rsid w:val="00CC6AD4"/>
    <w:rsid w:val="00CC6B5C"/>
    <w:rsid w:val="00CC6BC2"/>
    <w:rsid w:val="00CC6CA5"/>
    <w:rsid w:val="00CC6D22"/>
    <w:rsid w:val="00CC6E22"/>
    <w:rsid w:val="00CC6FC7"/>
    <w:rsid w:val="00CC70CD"/>
    <w:rsid w:val="00CC7351"/>
    <w:rsid w:val="00CC763F"/>
    <w:rsid w:val="00CC76D4"/>
    <w:rsid w:val="00CC7A7C"/>
    <w:rsid w:val="00CC7DF5"/>
    <w:rsid w:val="00CC7F67"/>
    <w:rsid w:val="00CC7F8B"/>
    <w:rsid w:val="00CD00F3"/>
    <w:rsid w:val="00CD0176"/>
    <w:rsid w:val="00CD01B7"/>
    <w:rsid w:val="00CD04AA"/>
    <w:rsid w:val="00CD05D3"/>
    <w:rsid w:val="00CD06E7"/>
    <w:rsid w:val="00CD08B4"/>
    <w:rsid w:val="00CD0968"/>
    <w:rsid w:val="00CD09CF"/>
    <w:rsid w:val="00CD0DCC"/>
    <w:rsid w:val="00CD0E21"/>
    <w:rsid w:val="00CD0FB7"/>
    <w:rsid w:val="00CD119F"/>
    <w:rsid w:val="00CD1382"/>
    <w:rsid w:val="00CD1400"/>
    <w:rsid w:val="00CD14AE"/>
    <w:rsid w:val="00CD14D9"/>
    <w:rsid w:val="00CD152C"/>
    <w:rsid w:val="00CD1555"/>
    <w:rsid w:val="00CD15FC"/>
    <w:rsid w:val="00CD16BA"/>
    <w:rsid w:val="00CD18A9"/>
    <w:rsid w:val="00CD1AB1"/>
    <w:rsid w:val="00CD1B48"/>
    <w:rsid w:val="00CD1F69"/>
    <w:rsid w:val="00CD2292"/>
    <w:rsid w:val="00CD23DB"/>
    <w:rsid w:val="00CD24D5"/>
    <w:rsid w:val="00CD253A"/>
    <w:rsid w:val="00CD256A"/>
    <w:rsid w:val="00CD25EA"/>
    <w:rsid w:val="00CD2622"/>
    <w:rsid w:val="00CD2722"/>
    <w:rsid w:val="00CD2775"/>
    <w:rsid w:val="00CD2877"/>
    <w:rsid w:val="00CD287A"/>
    <w:rsid w:val="00CD28D1"/>
    <w:rsid w:val="00CD2AF0"/>
    <w:rsid w:val="00CD2C4E"/>
    <w:rsid w:val="00CD2C7F"/>
    <w:rsid w:val="00CD304C"/>
    <w:rsid w:val="00CD31AC"/>
    <w:rsid w:val="00CD31F5"/>
    <w:rsid w:val="00CD3583"/>
    <w:rsid w:val="00CD3624"/>
    <w:rsid w:val="00CD3656"/>
    <w:rsid w:val="00CD3B10"/>
    <w:rsid w:val="00CD3DFC"/>
    <w:rsid w:val="00CD3ED6"/>
    <w:rsid w:val="00CD4086"/>
    <w:rsid w:val="00CD4327"/>
    <w:rsid w:val="00CD4345"/>
    <w:rsid w:val="00CD4521"/>
    <w:rsid w:val="00CD4BE3"/>
    <w:rsid w:val="00CD4CEF"/>
    <w:rsid w:val="00CD4D75"/>
    <w:rsid w:val="00CD4D86"/>
    <w:rsid w:val="00CD4DA1"/>
    <w:rsid w:val="00CD4F2A"/>
    <w:rsid w:val="00CD5418"/>
    <w:rsid w:val="00CD557D"/>
    <w:rsid w:val="00CD5642"/>
    <w:rsid w:val="00CD57E1"/>
    <w:rsid w:val="00CD59BD"/>
    <w:rsid w:val="00CD5E63"/>
    <w:rsid w:val="00CD5EA8"/>
    <w:rsid w:val="00CD5F7D"/>
    <w:rsid w:val="00CD5F9F"/>
    <w:rsid w:val="00CD6140"/>
    <w:rsid w:val="00CD6361"/>
    <w:rsid w:val="00CD6AEC"/>
    <w:rsid w:val="00CD6C31"/>
    <w:rsid w:val="00CD6C66"/>
    <w:rsid w:val="00CD6CA2"/>
    <w:rsid w:val="00CD6D87"/>
    <w:rsid w:val="00CD6E31"/>
    <w:rsid w:val="00CD6E93"/>
    <w:rsid w:val="00CD6FDD"/>
    <w:rsid w:val="00CD6FF6"/>
    <w:rsid w:val="00CD71B8"/>
    <w:rsid w:val="00CD726D"/>
    <w:rsid w:val="00CD75DA"/>
    <w:rsid w:val="00CD777D"/>
    <w:rsid w:val="00CD78B4"/>
    <w:rsid w:val="00CD7A3D"/>
    <w:rsid w:val="00CD7C2C"/>
    <w:rsid w:val="00CD7CE0"/>
    <w:rsid w:val="00CE04AC"/>
    <w:rsid w:val="00CE074B"/>
    <w:rsid w:val="00CE078D"/>
    <w:rsid w:val="00CE0900"/>
    <w:rsid w:val="00CE0A0D"/>
    <w:rsid w:val="00CE10B4"/>
    <w:rsid w:val="00CE1120"/>
    <w:rsid w:val="00CE114B"/>
    <w:rsid w:val="00CE114E"/>
    <w:rsid w:val="00CE1281"/>
    <w:rsid w:val="00CE150C"/>
    <w:rsid w:val="00CE1614"/>
    <w:rsid w:val="00CE1690"/>
    <w:rsid w:val="00CE1745"/>
    <w:rsid w:val="00CE19C8"/>
    <w:rsid w:val="00CE1BA4"/>
    <w:rsid w:val="00CE1D25"/>
    <w:rsid w:val="00CE2101"/>
    <w:rsid w:val="00CE21E1"/>
    <w:rsid w:val="00CE22DD"/>
    <w:rsid w:val="00CE23E2"/>
    <w:rsid w:val="00CE246B"/>
    <w:rsid w:val="00CE2484"/>
    <w:rsid w:val="00CE24D6"/>
    <w:rsid w:val="00CE281C"/>
    <w:rsid w:val="00CE29E6"/>
    <w:rsid w:val="00CE2A66"/>
    <w:rsid w:val="00CE2C84"/>
    <w:rsid w:val="00CE2D0C"/>
    <w:rsid w:val="00CE3052"/>
    <w:rsid w:val="00CE311B"/>
    <w:rsid w:val="00CE31F0"/>
    <w:rsid w:val="00CE32FC"/>
    <w:rsid w:val="00CE33BE"/>
    <w:rsid w:val="00CE34DC"/>
    <w:rsid w:val="00CE357D"/>
    <w:rsid w:val="00CE36F9"/>
    <w:rsid w:val="00CE3780"/>
    <w:rsid w:val="00CE3784"/>
    <w:rsid w:val="00CE3975"/>
    <w:rsid w:val="00CE3A71"/>
    <w:rsid w:val="00CE3B17"/>
    <w:rsid w:val="00CE3D56"/>
    <w:rsid w:val="00CE3DC3"/>
    <w:rsid w:val="00CE3E7C"/>
    <w:rsid w:val="00CE3F13"/>
    <w:rsid w:val="00CE407A"/>
    <w:rsid w:val="00CE4163"/>
    <w:rsid w:val="00CE41CB"/>
    <w:rsid w:val="00CE4235"/>
    <w:rsid w:val="00CE4245"/>
    <w:rsid w:val="00CE4281"/>
    <w:rsid w:val="00CE4466"/>
    <w:rsid w:val="00CE446A"/>
    <w:rsid w:val="00CE49A2"/>
    <w:rsid w:val="00CE4B39"/>
    <w:rsid w:val="00CE4BE2"/>
    <w:rsid w:val="00CE4F48"/>
    <w:rsid w:val="00CE5049"/>
    <w:rsid w:val="00CE50AF"/>
    <w:rsid w:val="00CE5234"/>
    <w:rsid w:val="00CE52A4"/>
    <w:rsid w:val="00CE5685"/>
    <w:rsid w:val="00CE586F"/>
    <w:rsid w:val="00CE58EC"/>
    <w:rsid w:val="00CE59E8"/>
    <w:rsid w:val="00CE5A28"/>
    <w:rsid w:val="00CE5E68"/>
    <w:rsid w:val="00CE5EFE"/>
    <w:rsid w:val="00CE5EFF"/>
    <w:rsid w:val="00CE6089"/>
    <w:rsid w:val="00CE610B"/>
    <w:rsid w:val="00CE643C"/>
    <w:rsid w:val="00CE6909"/>
    <w:rsid w:val="00CE6A1B"/>
    <w:rsid w:val="00CE6A27"/>
    <w:rsid w:val="00CE6B3B"/>
    <w:rsid w:val="00CE6BCF"/>
    <w:rsid w:val="00CE6DD9"/>
    <w:rsid w:val="00CE6EF2"/>
    <w:rsid w:val="00CE6FAA"/>
    <w:rsid w:val="00CE702F"/>
    <w:rsid w:val="00CE71DE"/>
    <w:rsid w:val="00CE722E"/>
    <w:rsid w:val="00CE73EE"/>
    <w:rsid w:val="00CE744B"/>
    <w:rsid w:val="00CE79A3"/>
    <w:rsid w:val="00CE7A0B"/>
    <w:rsid w:val="00CE7B07"/>
    <w:rsid w:val="00CE7BB0"/>
    <w:rsid w:val="00CE7BBA"/>
    <w:rsid w:val="00CE7CB1"/>
    <w:rsid w:val="00CE7DEB"/>
    <w:rsid w:val="00CF0236"/>
    <w:rsid w:val="00CF02EB"/>
    <w:rsid w:val="00CF0319"/>
    <w:rsid w:val="00CF050F"/>
    <w:rsid w:val="00CF0C53"/>
    <w:rsid w:val="00CF0E36"/>
    <w:rsid w:val="00CF10E6"/>
    <w:rsid w:val="00CF1296"/>
    <w:rsid w:val="00CF1647"/>
    <w:rsid w:val="00CF16FD"/>
    <w:rsid w:val="00CF18D4"/>
    <w:rsid w:val="00CF1B06"/>
    <w:rsid w:val="00CF1C6B"/>
    <w:rsid w:val="00CF1D6E"/>
    <w:rsid w:val="00CF1E54"/>
    <w:rsid w:val="00CF2118"/>
    <w:rsid w:val="00CF2236"/>
    <w:rsid w:val="00CF2256"/>
    <w:rsid w:val="00CF2444"/>
    <w:rsid w:val="00CF2532"/>
    <w:rsid w:val="00CF27AC"/>
    <w:rsid w:val="00CF2A7D"/>
    <w:rsid w:val="00CF2B04"/>
    <w:rsid w:val="00CF2B1F"/>
    <w:rsid w:val="00CF2C51"/>
    <w:rsid w:val="00CF2CFB"/>
    <w:rsid w:val="00CF2D89"/>
    <w:rsid w:val="00CF2E7E"/>
    <w:rsid w:val="00CF2FC7"/>
    <w:rsid w:val="00CF3022"/>
    <w:rsid w:val="00CF3186"/>
    <w:rsid w:val="00CF3318"/>
    <w:rsid w:val="00CF3893"/>
    <w:rsid w:val="00CF3A97"/>
    <w:rsid w:val="00CF3AC5"/>
    <w:rsid w:val="00CF3B8C"/>
    <w:rsid w:val="00CF3D32"/>
    <w:rsid w:val="00CF3D5A"/>
    <w:rsid w:val="00CF3EA2"/>
    <w:rsid w:val="00CF426F"/>
    <w:rsid w:val="00CF4409"/>
    <w:rsid w:val="00CF4675"/>
    <w:rsid w:val="00CF46E0"/>
    <w:rsid w:val="00CF4891"/>
    <w:rsid w:val="00CF4A39"/>
    <w:rsid w:val="00CF4E05"/>
    <w:rsid w:val="00CF5016"/>
    <w:rsid w:val="00CF52F5"/>
    <w:rsid w:val="00CF5474"/>
    <w:rsid w:val="00CF557E"/>
    <w:rsid w:val="00CF55CB"/>
    <w:rsid w:val="00CF5613"/>
    <w:rsid w:val="00CF5821"/>
    <w:rsid w:val="00CF5C27"/>
    <w:rsid w:val="00CF5E84"/>
    <w:rsid w:val="00CF5EEF"/>
    <w:rsid w:val="00CF5F10"/>
    <w:rsid w:val="00CF618A"/>
    <w:rsid w:val="00CF661F"/>
    <w:rsid w:val="00CF6811"/>
    <w:rsid w:val="00CF6993"/>
    <w:rsid w:val="00CF6ADD"/>
    <w:rsid w:val="00CF6F56"/>
    <w:rsid w:val="00CF705D"/>
    <w:rsid w:val="00CF70CF"/>
    <w:rsid w:val="00CF73CE"/>
    <w:rsid w:val="00CF746B"/>
    <w:rsid w:val="00CF750F"/>
    <w:rsid w:val="00CF77E4"/>
    <w:rsid w:val="00CF7A3A"/>
    <w:rsid w:val="00CF7B1D"/>
    <w:rsid w:val="00CF7F2D"/>
    <w:rsid w:val="00CF7FD0"/>
    <w:rsid w:val="00D0027B"/>
    <w:rsid w:val="00D004D2"/>
    <w:rsid w:val="00D007E1"/>
    <w:rsid w:val="00D00BC6"/>
    <w:rsid w:val="00D00BEF"/>
    <w:rsid w:val="00D00DCF"/>
    <w:rsid w:val="00D0101F"/>
    <w:rsid w:val="00D010C3"/>
    <w:rsid w:val="00D01135"/>
    <w:rsid w:val="00D011F5"/>
    <w:rsid w:val="00D01411"/>
    <w:rsid w:val="00D015B4"/>
    <w:rsid w:val="00D015C2"/>
    <w:rsid w:val="00D015E4"/>
    <w:rsid w:val="00D0161B"/>
    <w:rsid w:val="00D0163A"/>
    <w:rsid w:val="00D01862"/>
    <w:rsid w:val="00D01A1C"/>
    <w:rsid w:val="00D01DDD"/>
    <w:rsid w:val="00D01F3B"/>
    <w:rsid w:val="00D020CB"/>
    <w:rsid w:val="00D020F9"/>
    <w:rsid w:val="00D024A0"/>
    <w:rsid w:val="00D025BA"/>
    <w:rsid w:val="00D027EE"/>
    <w:rsid w:val="00D02848"/>
    <w:rsid w:val="00D02905"/>
    <w:rsid w:val="00D029CC"/>
    <w:rsid w:val="00D02A0F"/>
    <w:rsid w:val="00D02F81"/>
    <w:rsid w:val="00D02F89"/>
    <w:rsid w:val="00D03025"/>
    <w:rsid w:val="00D03381"/>
    <w:rsid w:val="00D033DD"/>
    <w:rsid w:val="00D035C3"/>
    <w:rsid w:val="00D037F8"/>
    <w:rsid w:val="00D03D3F"/>
    <w:rsid w:val="00D03DD1"/>
    <w:rsid w:val="00D03E8F"/>
    <w:rsid w:val="00D03F72"/>
    <w:rsid w:val="00D04287"/>
    <w:rsid w:val="00D04955"/>
    <w:rsid w:val="00D04993"/>
    <w:rsid w:val="00D04D06"/>
    <w:rsid w:val="00D04D16"/>
    <w:rsid w:val="00D04DEF"/>
    <w:rsid w:val="00D04E02"/>
    <w:rsid w:val="00D04ECA"/>
    <w:rsid w:val="00D04F8F"/>
    <w:rsid w:val="00D0502E"/>
    <w:rsid w:val="00D05123"/>
    <w:rsid w:val="00D05179"/>
    <w:rsid w:val="00D05200"/>
    <w:rsid w:val="00D05222"/>
    <w:rsid w:val="00D052FD"/>
    <w:rsid w:val="00D0545D"/>
    <w:rsid w:val="00D054DC"/>
    <w:rsid w:val="00D0556A"/>
    <w:rsid w:val="00D05609"/>
    <w:rsid w:val="00D0567D"/>
    <w:rsid w:val="00D057F5"/>
    <w:rsid w:val="00D05803"/>
    <w:rsid w:val="00D05825"/>
    <w:rsid w:val="00D05A73"/>
    <w:rsid w:val="00D05C84"/>
    <w:rsid w:val="00D05CD5"/>
    <w:rsid w:val="00D05E1F"/>
    <w:rsid w:val="00D05F0E"/>
    <w:rsid w:val="00D05F88"/>
    <w:rsid w:val="00D06433"/>
    <w:rsid w:val="00D065AB"/>
    <w:rsid w:val="00D066C3"/>
    <w:rsid w:val="00D06714"/>
    <w:rsid w:val="00D0671F"/>
    <w:rsid w:val="00D06867"/>
    <w:rsid w:val="00D0694A"/>
    <w:rsid w:val="00D06989"/>
    <w:rsid w:val="00D06A3F"/>
    <w:rsid w:val="00D06AB2"/>
    <w:rsid w:val="00D06CE1"/>
    <w:rsid w:val="00D06D82"/>
    <w:rsid w:val="00D06FD4"/>
    <w:rsid w:val="00D07037"/>
    <w:rsid w:val="00D071CC"/>
    <w:rsid w:val="00D0728E"/>
    <w:rsid w:val="00D07331"/>
    <w:rsid w:val="00D074CF"/>
    <w:rsid w:val="00D075DE"/>
    <w:rsid w:val="00D076AE"/>
    <w:rsid w:val="00D077C4"/>
    <w:rsid w:val="00D077FF"/>
    <w:rsid w:val="00D07871"/>
    <w:rsid w:val="00D07AD0"/>
    <w:rsid w:val="00D07BED"/>
    <w:rsid w:val="00D07CDE"/>
    <w:rsid w:val="00D07CFE"/>
    <w:rsid w:val="00D100CA"/>
    <w:rsid w:val="00D10128"/>
    <w:rsid w:val="00D10359"/>
    <w:rsid w:val="00D10460"/>
    <w:rsid w:val="00D10491"/>
    <w:rsid w:val="00D104DC"/>
    <w:rsid w:val="00D1075C"/>
    <w:rsid w:val="00D10A32"/>
    <w:rsid w:val="00D10A84"/>
    <w:rsid w:val="00D10A92"/>
    <w:rsid w:val="00D10CDF"/>
    <w:rsid w:val="00D10CEF"/>
    <w:rsid w:val="00D10DBE"/>
    <w:rsid w:val="00D10DDF"/>
    <w:rsid w:val="00D10E24"/>
    <w:rsid w:val="00D11075"/>
    <w:rsid w:val="00D11210"/>
    <w:rsid w:val="00D1123E"/>
    <w:rsid w:val="00D11279"/>
    <w:rsid w:val="00D11408"/>
    <w:rsid w:val="00D11888"/>
    <w:rsid w:val="00D11AE6"/>
    <w:rsid w:val="00D11CB7"/>
    <w:rsid w:val="00D12072"/>
    <w:rsid w:val="00D1207E"/>
    <w:rsid w:val="00D122B9"/>
    <w:rsid w:val="00D122E9"/>
    <w:rsid w:val="00D126F7"/>
    <w:rsid w:val="00D127B9"/>
    <w:rsid w:val="00D128E9"/>
    <w:rsid w:val="00D12B55"/>
    <w:rsid w:val="00D12BAC"/>
    <w:rsid w:val="00D12DAD"/>
    <w:rsid w:val="00D12DEF"/>
    <w:rsid w:val="00D12EEA"/>
    <w:rsid w:val="00D12F4A"/>
    <w:rsid w:val="00D134E1"/>
    <w:rsid w:val="00D1382D"/>
    <w:rsid w:val="00D139F2"/>
    <w:rsid w:val="00D13A06"/>
    <w:rsid w:val="00D13A8A"/>
    <w:rsid w:val="00D13BB2"/>
    <w:rsid w:val="00D13CBC"/>
    <w:rsid w:val="00D13D67"/>
    <w:rsid w:val="00D13E9B"/>
    <w:rsid w:val="00D13FED"/>
    <w:rsid w:val="00D14126"/>
    <w:rsid w:val="00D142B6"/>
    <w:rsid w:val="00D142D4"/>
    <w:rsid w:val="00D14304"/>
    <w:rsid w:val="00D1433C"/>
    <w:rsid w:val="00D143D0"/>
    <w:rsid w:val="00D1455A"/>
    <w:rsid w:val="00D14703"/>
    <w:rsid w:val="00D14873"/>
    <w:rsid w:val="00D14A53"/>
    <w:rsid w:val="00D14A90"/>
    <w:rsid w:val="00D14B70"/>
    <w:rsid w:val="00D14B83"/>
    <w:rsid w:val="00D14C38"/>
    <w:rsid w:val="00D14D92"/>
    <w:rsid w:val="00D14E34"/>
    <w:rsid w:val="00D14F1B"/>
    <w:rsid w:val="00D14F66"/>
    <w:rsid w:val="00D15255"/>
    <w:rsid w:val="00D15329"/>
    <w:rsid w:val="00D15546"/>
    <w:rsid w:val="00D15A9B"/>
    <w:rsid w:val="00D15AAA"/>
    <w:rsid w:val="00D15B07"/>
    <w:rsid w:val="00D15DDB"/>
    <w:rsid w:val="00D15E5B"/>
    <w:rsid w:val="00D15F20"/>
    <w:rsid w:val="00D15F32"/>
    <w:rsid w:val="00D15F35"/>
    <w:rsid w:val="00D16069"/>
    <w:rsid w:val="00D16070"/>
    <w:rsid w:val="00D162E6"/>
    <w:rsid w:val="00D166ED"/>
    <w:rsid w:val="00D1682C"/>
    <w:rsid w:val="00D16A2B"/>
    <w:rsid w:val="00D16D2D"/>
    <w:rsid w:val="00D16E44"/>
    <w:rsid w:val="00D16F74"/>
    <w:rsid w:val="00D17012"/>
    <w:rsid w:val="00D171FD"/>
    <w:rsid w:val="00D172BE"/>
    <w:rsid w:val="00D17322"/>
    <w:rsid w:val="00D173DC"/>
    <w:rsid w:val="00D17881"/>
    <w:rsid w:val="00D17959"/>
    <w:rsid w:val="00D17B3E"/>
    <w:rsid w:val="00D17BF6"/>
    <w:rsid w:val="00D17C56"/>
    <w:rsid w:val="00D17D7F"/>
    <w:rsid w:val="00D2015B"/>
    <w:rsid w:val="00D203A6"/>
    <w:rsid w:val="00D2048B"/>
    <w:rsid w:val="00D205F8"/>
    <w:rsid w:val="00D20655"/>
    <w:rsid w:val="00D20748"/>
    <w:rsid w:val="00D20870"/>
    <w:rsid w:val="00D208F9"/>
    <w:rsid w:val="00D2098F"/>
    <w:rsid w:val="00D20B40"/>
    <w:rsid w:val="00D20BC5"/>
    <w:rsid w:val="00D20BCE"/>
    <w:rsid w:val="00D20BDC"/>
    <w:rsid w:val="00D20EC6"/>
    <w:rsid w:val="00D20F04"/>
    <w:rsid w:val="00D20F09"/>
    <w:rsid w:val="00D20F67"/>
    <w:rsid w:val="00D21086"/>
    <w:rsid w:val="00D211BA"/>
    <w:rsid w:val="00D212C3"/>
    <w:rsid w:val="00D213A4"/>
    <w:rsid w:val="00D21431"/>
    <w:rsid w:val="00D214B9"/>
    <w:rsid w:val="00D214D6"/>
    <w:rsid w:val="00D2162A"/>
    <w:rsid w:val="00D2173A"/>
    <w:rsid w:val="00D21755"/>
    <w:rsid w:val="00D21A7A"/>
    <w:rsid w:val="00D21B4D"/>
    <w:rsid w:val="00D21BC9"/>
    <w:rsid w:val="00D21BEE"/>
    <w:rsid w:val="00D21C1B"/>
    <w:rsid w:val="00D21C76"/>
    <w:rsid w:val="00D21D79"/>
    <w:rsid w:val="00D22181"/>
    <w:rsid w:val="00D22215"/>
    <w:rsid w:val="00D22435"/>
    <w:rsid w:val="00D22715"/>
    <w:rsid w:val="00D22888"/>
    <w:rsid w:val="00D228BE"/>
    <w:rsid w:val="00D22C0E"/>
    <w:rsid w:val="00D22D00"/>
    <w:rsid w:val="00D22D98"/>
    <w:rsid w:val="00D22FA8"/>
    <w:rsid w:val="00D23141"/>
    <w:rsid w:val="00D232BD"/>
    <w:rsid w:val="00D23532"/>
    <w:rsid w:val="00D2374A"/>
    <w:rsid w:val="00D23892"/>
    <w:rsid w:val="00D2391D"/>
    <w:rsid w:val="00D23991"/>
    <w:rsid w:val="00D23AD4"/>
    <w:rsid w:val="00D23DCE"/>
    <w:rsid w:val="00D23E26"/>
    <w:rsid w:val="00D241B1"/>
    <w:rsid w:val="00D243FE"/>
    <w:rsid w:val="00D24562"/>
    <w:rsid w:val="00D246EE"/>
    <w:rsid w:val="00D249C4"/>
    <w:rsid w:val="00D24ADB"/>
    <w:rsid w:val="00D24B57"/>
    <w:rsid w:val="00D24DE1"/>
    <w:rsid w:val="00D251A1"/>
    <w:rsid w:val="00D2529F"/>
    <w:rsid w:val="00D253F2"/>
    <w:rsid w:val="00D25583"/>
    <w:rsid w:val="00D258EB"/>
    <w:rsid w:val="00D25958"/>
    <w:rsid w:val="00D25A98"/>
    <w:rsid w:val="00D25E5C"/>
    <w:rsid w:val="00D262CD"/>
    <w:rsid w:val="00D2644D"/>
    <w:rsid w:val="00D26527"/>
    <w:rsid w:val="00D2658E"/>
    <w:rsid w:val="00D268BC"/>
    <w:rsid w:val="00D26BD5"/>
    <w:rsid w:val="00D26FB4"/>
    <w:rsid w:val="00D27235"/>
    <w:rsid w:val="00D2744A"/>
    <w:rsid w:val="00D277CC"/>
    <w:rsid w:val="00D278A2"/>
    <w:rsid w:val="00D279EE"/>
    <w:rsid w:val="00D27AB7"/>
    <w:rsid w:val="00D27C6E"/>
    <w:rsid w:val="00D27D6E"/>
    <w:rsid w:val="00D27DA6"/>
    <w:rsid w:val="00D27E5E"/>
    <w:rsid w:val="00D27EF1"/>
    <w:rsid w:val="00D3029D"/>
    <w:rsid w:val="00D302AD"/>
    <w:rsid w:val="00D30394"/>
    <w:rsid w:val="00D30423"/>
    <w:rsid w:val="00D3048B"/>
    <w:rsid w:val="00D3093C"/>
    <w:rsid w:val="00D30AFE"/>
    <w:rsid w:val="00D30F95"/>
    <w:rsid w:val="00D31462"/>
    <w:rsid w:val="00D31515"/>
    <w:rsid w:val="00D3181D"/>
    <w:rsid w:val="00D31A2F"/>
    <w:rsid w:val="00D31A3B"/>
    <w:rsid w:val="00D31A99"/>
    <w:rsid w:val="00D31D72"/>
    <w:rsid w:val="00D320EE"/>
    <w:rsid w:val="00D32944"/>
    <w:rsid w:val="00D32991"/>
    <w:rsid w:val="00D32E84"/>
    <w:rsid w:val="00D33008"/>
    <w:rsid w:val="00D33249"/>
    <w:rsid w:val="00D334A0"/>
    <w:rsid w:val="00D3366B"/>
    <w:rsid w:val="00D337DF"/>
    <w:rsid w:val="00D33876"/>
    <w:rsid w:val="00D339FB"/>
    <w:rsid w:val="00D33A37"/>
    <w:rsid w:val="00D33C1C"/>
    <w:rsid w:val="00D33D04"/>
    <w:rsid w:val="00D33F1D"/>
    <w:rsid w:val="00D33FB7"/>
    <w:rsid w:val="00D342BB"/>
    <w:rsid w:val="00D342DF"/>
    <w:rsid w:val="00D34334"/>
    <w:rsid w:val="00D3443D"/>
    <w:rsid w:val="00D345D5"/>
    <w:rsid w:val="00D34777"/>
    <w:rsid w:val="00D348D8"/>
    <w:rsid w:val="00D34911"/>
    <w:rsid w:val="00D349E7"/>
    <w:rsid w:val="00D34DD1"/>
    <w:rsid w:val="00D34FA9"/>
    <w:rsid w:val="00D35180"/>
    <w:rsid w:val="00D351C1"/>
    <w:rsid w:val="00D35220"/>
    <w:rsid w:val="00D3528C"/>
    <w:rsid w:val="00D35325"/>
    <w:rsid w:val="00D35411"/>
    <w:rsid w:val="00D3545B"/>
    <w:rsid w:val="00D356EA"/>
    <w:rsid w:val="00D3573D"/>
    <w:rsid w:val="00D35901"/>
    <w:rsid w:val="00D359B8"/>
    <w:rsid w:val="00D35DB3"/>
    <w:rsid w:val="00D35F0D"/>
    <w:rsid w:val="00D360F4"/>
    <w:rsid w:val="00D36241"/>
    <w:rsid w:val="00D3626F"/>
    <w:rsid w:val="00D3646C"/>
    <w:rsid w:val="00D36577"/>
    <w:rsid w:val="00D36BBC"/>
    <w:rsid w:val="00D36D2B"/>
    <w:rsid w:val="00D37082"/>
    <w:rsid w:val="00D370C7"/>
    <w:rsid w:val="00D375F0"/>
    <w:rsid w:val="00D37720"/>
    <w:rsid w:val="00D37826"/>
    <w:rsid w:val="00D37A3D"/>
    <w:rsid w:val="00D37AC9"/>
    <w:rsid w:val="00D37AF7"/>
    <w:rsid w:val="00D37B92"/>
    <w:rsid w:val="00D37CFE"/>
    <w:rsid w:val="00D37DD5"/>
    <w:rsid w:val="00D37FB2"/>
    <w:rsid w:val="00D40147"/>
    <w:rsid w:val="00D404E4"/>
    <w:rsid w:val="00D40518"/>
    <w:rsid w:val="00D4055A"/>
    <w:rsid w:val="00D40668"/>
    <w:rsid w:val="00D40898"/>
    <w:rsid w:val="00D408E1"/>
    <w:rsid w:val="00D40B48"/>
    <w:rsid w:val="00D40B5E"/>
    <w:rsid w:val="00D40D84"/>
    <w:rsid w:val="00D40DCF"/>
    <w:rsid w:val="00D4125C"/>
    <w:rsid w:val="00D412B1"/>
    <w:rsid w:val="00D4185E"/>
    <w:rsid w:val="00D41D22"/>
    <w:rsid w:val="00D41F83"/>
    <w:rsid w:val="00D41FC0"/>
    <w:rsid w:val="00D42125"/>
    <w:rsid w:val="00D422A2"/>
    <w:rsid w:val="00D42316"/>
    <w:rsid w:val="00D42331"/>
    <w:rsid w:val="00D4242B"/>
    <w:rsid w:val="00D425D3"/>
    <w:rsid w:val="00D42734"/>
    <w:rsid w:val="00D42737"/>
    <w:rsid w:val="00D4296F"/>
    <w:rsid w:val="00D42A5F"/>
    <w:rsid w:val="00D42F1B"/>
    <w:rsid w:val="00D4320D"/>
    <w:rsid w:val="00D4328B"/>
    <w:rsid w:val="00D432B8"/>
    <w:rsid w:val="00D435F5"/>
    <w:rsid w:val="00D4375F"/>
    <w:rsid w:val="00D43782"/>
    <w:rsid w:val="00D43A9C"/>
    <w:rsid w:val="00D43AA4"/>
    <w:rsid w:val="00D43B86"/>
    <w:rsid w:val="00D43B9B"/>
    <w:rsid w:val="00D43BB2"/>
    <w:rsid w:val="00D442AA"/>
    <w:rsid w:val="00D44361"/>
    <w:rsid w:val="00D44685"/>
    <w:rsid w:val="00D446F7"/>
    <w:rsid w:val="00D44784"/>
    <w:rsid w:val="00D447C6"/>
    <w:rsid w:val="00D44978"/>
    <w:rsid w:val="00D44A68"/>
    <w:rsid w:val="00D44C93"/>
    <w:rsid w:val="00D44E47"/>
    <w:rsid w:val="00D44FAF"/>
    <w:rsid w:val="00D455A7"/>
    <w:rsid w:val="00D45AAC"/>
    <w:rsid w:val="00D45F0D"/>
    <w:rsid w:val="00D4605A"/>
    <w:rsid w:val="00D460A8"/>
    <w:rsid w:val="00D46139"/>
    <w:rsid w:val="00D461EF"/>
    <w:rsid w:val="00D46675"/>
    <w:rsid w:val="00D466CE"/>
    <w:rsid w:val="00D46C72"/>
    <w:rsid w:val="00D46E7F"/>
    <w:rsid w:val="00D46F35"/>
    <w:rsid w:val="00D4736F"/>
    <w:rsid w:val="00D4749E"/>
    <w:rsid w:val="00D47673"/>
    <w:rsid w:val="00D47D85"/>
    <w:rsid w:val="00D5007C"/>
    <w:rsid w:val="00D50532"/>
    <w:rsid w:val="00D505A6"/>
    <w:rsid w:val="00D50615"/>
    <w:rsid w:val="00D507EA"/>
    <w:rsid w:val="00D50918"/>
    <w:rsid w:val="00D50A24"/>
    <w:rsid w:val="00D50B77"/>
    <w:rsid w:val="00D50D0A"/>
    <w:rsid w:val="00D510C8"/>
    <w:rsid w:val="00D51392"/>
    <w:rsid w:val="00D514AB"/>
    <w:rsid w:val="00D514C4"/>
    <w:rsid w:val="00D51643"/>
    <w:rsid w:val="00D51725"/>
    <w:rsid w:val="00D5188D"/>
    <w:rsid w:val="00D51A1A"/>
    <w:rsid w:val="00D51CBD"/>
    <w:rsid w:val="00D51F07"/>
    <w:rsid w:val="00D51FB5"/>
    <w:rsid w:val="00D52119"/>
    <w:rsid w:val="00D521DE"/>
    <w:rsid w:val="00D523FC"/>
    <w:rsid w:val="00D5252A"/>
    <w:rsid w:val="00D5296F"/>
    <w:rsid w:val="00D52D19"/>
    <w:rsid w:val="00D52DAD"/>
    <w:rsid w:val="00D52E33"/>
    <w:rsid w:val="00D530C7"/>
    <w:rsid w:val="00D53124"/>
    <w:rsid w:val="00D53163"/>
    <w:rsid w:val="00D531BF"/>
    <w:rsid w:val="00D53445"/>
    <w:rsid w:val="00D53492"/>
    <w:rsid w:val="00D535CE"/>
    <w:rsid w:val="00D537CA"/>
    <w:rsid w:val="00D537E4"/>
    <w:rsid w:val="00D539C6"/>
    <w:rsid w:val="00D53BE4"/>
    <w:rsid w:val="00D53D28"/>
    <w:rsid w:val="00D54020"/>
    <w:rsid w:val="00D541EE"/>
    <w:rsid w:val="00D5472F"/>
    <w:rsid w:val="00D54795"/>
    <w:rsid w:val="00D54A9E"/>
    <w:rsid w:val="00D54AA7"/>
    <w:rsid w:val="00D54B99"/>
    <w:rsid w:val="00D54BB7"/>
    <w:rsid w:val="00D54DA6"/>
    <w:rsid w:val="00D55096"/>
    <w:rsid w:val="00D550C7"/>
    <w:rsid w:val="00D5516F"/>
    <w:rsid w:val="00D551FA"/>
    <w:rsid w:val="00D55209"/>
    <w:rsid w:val="00D552A7"/>
    <w:rsid w:val="00D55353"/>
    <w:rsid w:val="00D553D8"/>
    <w:rsid w:val="00D55809"/>
    <w:rsid w:val="00D55857"/>
    <w:rsid w:val="00D55951"/>
    <w:rsid w:val="00D559EE"/>
    <w:rsid w:val="00D55CC2"/>
    <w:rsid w:val="00D55EBB"/>
    <w:rsid w:val="00D55F67"/>
    <w:rsid w:val="00D55F72"/>
    <w:rsid w:val="00D55F85"/>
    <w:rsid w:val="00D55FCA"/>
    <w:rsid w:val="00D55FF3"/>
    <w:rsid w:val="00D560FE"/>
    <w:rsid w:val="00D563AA"/>
    <w:rsid w:val="00D563DF"/>
    <w:rsid w:val="00D56489"/>
    <w:rsid w:val="00D5662A"/>
    <w:rsid w:val="00D566F0"/>
    <w:rsid w:val="00D567B6"/>
    <w:rsid w:val="00D571B3"/>
    <w:rsid w:val="00D57312"/>
    <w:rsid w:val="00D573A2"/>
    <w:rsid w:val="00D5759D"/>
    <w:rsid w:val="00D576F7"/>
    <w:rsid w:val="00D5775C"/>
    <w:rsid w:val="00D57841"/>
    <w:rsid w:val="00D5789B"/>
    <w:rsid w:val="00D578EF"/>
    <w:rsid w:val="00D578F9"/>
    <w:rsid w:val="00D57A29"/>
    <w:rsid w:val="00D57B99"/>
    <w:rsid w:val="00D6003E"/>
    <w:rsid w:val="00D60076"/>
    <w:rsid w:val="00D60095"/>
    <w:rsid w:val="00D60237"/>
    <w:rsid w:val="00D604B5"/>
    <w:rsid w:val="00D60656"/>
    <w:rsid w:val="00D606E8"/>
    <w:rsid w:val="00D6076F"/>
    <w:rsid w:val="00D60825"/>
    <w:rsid w:val="00D609D3"/>
    <w:rsid w:val="00D60B36"/>
    <w:rsid w:val="00D60BD0"/>
    <w:rsid w:val="00D60D0E"/>
    <w:rsid w:val="00D6103D"/>
    <w:rsid w:val="00D611C2"/>
    <w:rsid w:val="00D615E2"/>
    <w:rsid w:val="00D615F3"/>
    <w:rsid w:val="00D6161A"/>
    <w:rsid w:val="00D61623"/>
    <w:rsid w:val="00D61B2F"/>
    <w:rsid w:val="00D61DBD"/>
    <w:rsid w:val="00D61FA1"/>
    <w:rsid w:val="00D61FBE"/>
    <w:rsid w:val="00D6229C"/>
    <w:rsid w:val="00D622EC"/>
    <w:rsid w:val="00D62301"/>
    <w:rsid w:val="00D6259E"/>
    <w:rsid w:val="00D625D3"/>
    <w:rsid w:val="00D6287D"/>
    <w:rsid w:val="00D62946"/>
    <w:rsid w:val="00D6295F"/>
    <w:rsid w:val="00D62B48"/>
    <w:rsid w:val="00D62CA0"/>
    <w:rsid w:val="00D62DED"/>
    <w:rsid w:val="00D62FC5"/>
    <w:rsid w:val="00D62FFD"/>
    <w:rsid w:val="00D63002"/>
    <w:rsid w:val="00D63177"/>
    <w:rsid w:val="00D632B1"/>
    <w:rsid w:val="00D63392"/>
    <w:rsid w:val="00D633EE"/>
    <w:rsid w:val="00D634B5"/>
    <w:rsid w:val="00D63794"/>
    <w:rsid w:val="00D639EB"/>
    <w:rsid w:val="00D63A1A"/>
    <w:rsid w:val="00D63CF9"/>
    <w:rsid w:val="00D63D3C"/>
    <w:rsid w:val="00D63DD2"/>
    <w:rsid w:val="00D63F43"/>
    <w:rsid w:val="00D64249"/>
    <w:rsid w:val="00D64321"/>
    <w:rsid w:val="00D64431"/>
    <w:rsid w:val="00D6474E"/>
    <w:rsid w:val="00D647E9"/>
    <w:rsid w:val="00D6491A"/>
    <w:rsid w:val="00D64B25"/>
    <w:rsid w:val="00D64BF4"/>
    <w:rsid w:val="00D64C82"/>
    <w:rsid w:val="00D64DEE"/>
    <w:rsid w:val="00D65201"/>
    <w:rsid w:val="00D6535C"/>
    <w:rsid w:val="00D654D6"/>
    <w:rsid w:val="00D657D6"/>
    <w:rsid w:val="00D658BE"/>
    <w:rsid w:val="00D65D2E"/>
    <w:rsid w:val="00D65E2A"/>
    <w:rsid w:val="00D660FA"/>
    <w:rsid w:val="00D66553"/>
    <w:rsid w:val="00D666D3"/>
    <w:rsid w:val="00D66751"/>
    <w:rsid w:val="00D667F6"/>
    <w:rsid w:val="00D66909"/>
    <w:rsid w:val="00D66E6C"/>
    <w:rsid w:val="00D66F25"/>
    <w:rsid w:val="00D672FB"/>
    <w:rsid w:val="00D6734C"/>
    <w:rsid w:val="00D673D7"/>
    <w:rsid w:val="00D6767E"/>
    <w:rsid w:val="00D67800"/>
    <w:rsid w:val="00D67857"/>
    <w:rsid w:val="00D6789A"/>
    <w:rsid w:val="00D6792A"/>
    <w:rsid w:val="00D6794F"/>
    <w:rsid w:val="00D67A3B"/>
    <w:rsid w:val="00D67D07"/>
    <w:rsid w:val="00D67F37"/>
    <w:rsid w:val="00D7045D"/>
    <w:rsid w:val="00D7061D"/>
    <w:rsid w:val="00D707C7"/>
    <w:rsid w:val="00D707D6"/>
    <w:rsid w:val="00D708C0"/>
    <w:rsid w:val="00D70A59"/>
    <w:rsid w:val="00D70B26"/>
    <w:rsid w:val="00D70C48"/>
    <w:rsid w:val="00D70DB3"/>
    <w:rsid w:val="00D70E48"/>
    <w:rsid w:val="00D7115C"/>
    <w:rsid w:val="00D7120F"/>
    <w:rsid w:val="00D7192C"/>
    <w:rsid w:val="00D719E8"/>
    <w:rsid w:val="00D71AEE"/>
    <w:rsid w:val="00D71DF5"/>
    <w:rsid w:val="00D71F49"/>
    <w:rsid w:val="00D72225"/>
    <w:rsid w:val="00D72255"/>
    <w:rsid w:val="00D72387"/>
    <w:rsid w:val="00D724FB"/>
    <w:rsid w:val="00D72AFD"/>
    <w:rsid w:val="00D72EE7"/>
    <w:rsid w:val="00D73100"/>
    <w:rsid w:val="00D7328A"/>
    <w:rsid w:val="00D7335B"/>
    <w:rsid w:val="00D73541"/>
    <w:rsid w:val="00D737E0"/>
    <w:rsid w:val="00D73A5A"/>
    <w:rsid w:val="00D73AF4"/>
    <w:rsid w:val="00D73B0C"/>
    <w:rsid w:val="00D73E58"/>
    <w:rsid w:val="00D73F2D"/>
    <w:rsid w:val="00D73F64"/>
    <w:rsid w:val="00D74177"/>
    <w:rsid w:val="00D74555"/>
    <w:rsid w:val="00D7471C"/>
    <w:rsid w:val="00D74727"/>
    <w:rsid w:val="00D747A4"/>
    <w:rsid w:val="00D74800"/>
    <w:rsid w:val="00D7486D"/>
    <w:rsid w:val="00D74D1F"/>
    <w:rsid w:val="00D74DDA"/>
    <w:rsid w:val="00D75001"/>
    <w:rsid w:val="00D75094"/>
    <w:rsid w:val="00D750C2"/>
    <w:rsid w:val="00D7519C"/>
    <w:rsid w:val="00D75310"/>
    <w:rsid w:val="00D75655"/>
    <w:rsid w:val="00D7567C"/>
    <w:rsid w:val="00D756B7"/>
    <w:rsid w:val="00D75869"/>
    <w:rsid w:val="00D75B33"/>
    <w:rsid w:val="00D75E6C"/>
    <w:rsid w:val="00D762F2"/>
    <w:rsid w:val="00D76436"/>
    <w:rsid w:val="00D76494"/>
    <w:rsid w:val="00D765A4"/>
    <w:rsid w:val="00D76693"/>
    <w:rsid w:val="00D76969"/>
    <w:rsid w:val="00D769B0"/>
    <w:rsid w:val="00D76A3B"/>
    <w:rsid w:val="00D76B55"/>
    <w:rsid w:val="00D76B83"/>
    <w:rsid w:val="00D76EBC"/>
    <w:rsid w:val="00D76FC4"/>
    <w:rsid w:val="00D77012"/>
    <w:rsid w:val="00D77024"/>
    <w:rsid w:val="00D77044"/>
    <w:rsid w:val="00D77162"/>
    <w:rsid w:val="00D772F1"/>
    <w:rsid w:val="00D77571"/>
    <w:rsid w:val="00D776B0"/>
    <w:rsid w:val="00D777E8"/>
    <w:rsid w:val="00D77943"/>
    <w:rsid w:val="00D77976"/>
    <w:rsid w:val="00D779CC"/>
    <w:rsid w:val="00D77AF1"/>
    <w:rsid w:val="00D77B45"/>
    <w:rsid w:val="00D801C7"/>
    <w:rsid w:val="00D8023E"/>
    <w:rsid w:val="00D80451"/>
    <w:rsid w:val="00D80473"/>
    <w:rsid w:val="00D804D9"/>
    <w:rsid w:val="00D805E3"/>
    <w:rsid w:val="00D80607"/>
    <w:rsid w:val="00D8066A"/>
    <w:rsid w:val="00D80805"/>
    <w:rsid w:val="00D8086E"/>
    <w:rsid w:val="00D80B32"/>
    <w:rsid w:val="00D80C12"/>
    <w:rsid w:val="00D80C1E"/>
    <w:rsid w:val="00D80C6D"/>
    <w:rsid w:val="00D80CA9"/>
    <w:rsid w:val="00D80CE8"/>
    <w:rsid w:val="00D80F0A"/>
    <w:rsid w:val="00D81071"/>
    <w:rsid w:val="00D81100"/>
    <w:rsid w:val="00D81161"/>
    <w:rsid w:val="00D8116E"/>
    <w:rsid w:val="00D811EE"/>
    <w:rsid w:val="00D811FD"/>
    <w:rsid w:val="00D8128C"/>
    <w:rsid w:val="00D81298"/>
    <w:rsid w:val="00D813E6"/>
    <w:rsid w:val="00D815A9"/>
    <w:rsid w:val="00D8188A"/>
    <w:rsid w:val="00D81915"/>
    <w:rsid w:val="00D81CFE"/>
    <w:rsid w:val="00D81ED4"/>
    <w:rsid w:val="00D82047"/>
    <w:rsid w:val="00D82238"/>
    <w:rsid w:val="00D829A3"/>
    <w:rsid w:val="00D829F4"/>
    <w:rsid w:val="00D82C62"/>
    <w:rsid w:val="00D82D43"/>
    <w:rsid w:val="00D82E49"/>
    <w:rsid w:val="00D82E6F"/>
    <w:rsid w:val="00D8318D"/>
    <w:rsid w:val="00D831D8"/>
    <w:rsid w:val="00D8331D"/>
    <w:rsid w:val="00D83339"/>
    <w:rsid w:val="00D83495"/>
    <w:rsid w:val="00D834EF"/>
    <w:rsid w:val="00D83834"/>
    <w:rsid w:val="00D83B8E"/>
    <w:rsid w:val="00D83BF2"/>
    <w:rsid w:val="00D83D01"/>
    <w:rsid w:val="00D83D56"/>
    <w:rsid w:val="00D83DC0"/>
    <w:rsid w:val="00D83F16"/>
    <w:rsid w:val="00D83FA8"/>
    <w:rsid w:val="00D84072"/>
    <w:rsid w:val="00D840E5"/>
    <w:rsid w:val="00D842FF"/>
    <w:rsid w:val="00D843C8"/>
    <w:rsid w:val="00D8454F"/>
    <w:rsid w:val="00D84912"/>
    <w:rsid w:val="00D84B52"/>
    <w:rsid w:val="00D84D79"/>
    <w:rsid w:val="00D84EAA"/>
    <w:rsid w:val="00D8510B"/>
    <w:rsid w:val="00D85209"/>
    <w:rsid w:val="00D85262"/>
    <w:rsid w:val="00D855C9"/>
    <w:rsid w:val="00D856BC"/>
    <w:rsid w:val="00D85A38"/>
    <w:rsid w:val="00D85B52"/>
    <w:rsid w:val="00D85C38"/>
    <w:rsid w:val="00D85CAB"/>
    <w:rsid w:val="00D85CD5"/>
    <w:rsid w:val="00D85CF0"/>
    <w:rsid w:val="00D85D46"/>
    <w:rsid w:val="00D85D52"/>
    <w:rsid w:val="00D85F45"/>
    <w:rsid w:val="00D86131"/>
    <w:rsid w:val="00D862C2"/>
    <w:rsid w:val="00D863BD"/>
    <w:rsid w:val="00D86401"/>
    <w:rsid w:val="00D866F0"/>
    <w:rsid w:val="00D86753"/>
    <w:rsid w:val="00D867C7"/>
    <w:rsid w:val="00D867C9"/>
    <w:rsid w:val="00D86873"/>
    <w:rsid w:val="00D86A8E"/>
    <w:rsid w:val="00D86EFF"/>
    <w:rsid w:val="00D870A8"/>
    <w:rsid w:val="00D87171"/>
    <w:rsid w:val="00D87178"/>
    <w:rsid w:val="00D87226"/>
    <w:rsid w:val="00D87443"/>
    <w:rsid w:val="00D8774D"/>
    <w:rsid w:val="00D877F2"/>
    <w:rsid w:val="00D877F3"/>
    <w:rsid w:val="00D8784A"/>
    <w:rsid w:val="00D879EF"/>
    <w:rsid w:val="00D87A16"/>
    <w:rsid w:val="00D87A95"/>
    <w:rsid w:val="00D88E26"/>
    <w:rsid w:val="00D9001A"/>
    <w:rsid w:val="00D90128"/>
    <w:rsid w:val="00D9015C"/>
    <w:rsid w:val="00D901D7"/>
    <w:rsid w:val="00D902F2"/>
    <w:rsid w:val="00D9045F"/>
    <w:rsid w:val="00D9049A"/>
    <w:rsid w:val="00D905BD"/>
    <w:rsid w:val="00D908D1"/>
    <w:rsid w:val="00D909E6"/>
    <w:rsid w:val="00D90B17"/>
    <w:rsid w:val="00D90CBE"/>
    <w:rsid w:val="00D90F19"/>
    <w:rsid w:val="00D91293"/>
    <w:rsid w:val="00D91376"/>
    <w:rsid w:val="00D9140A"/>
    <w:rsid w:val="00D914A9"/>
    <w:rsid w:val="00D91517"/>
    <w:rsid w:val="00D91539"/>
    <w:rsid w:val="00D916A4"/>
    <w:rsid w:val="00D916B4"/>
    <w:rsid w:val="00D9191D"/>
    <w:rsid w:val="00D91AFB"/>
    <w:rsid w:val="00D91B0D"/>
    <w:rsid w:val="00D91C83"/>
    <w:rsid w:val="00D91CF9"/>
    <w:rsid w:val="00D9215E"/>
    <w:rsid w:val="00D921DE"/>
    <w:rsid w:val="00D92213"/>
    <w:rsid w:val="00D926D3"/>
    <w:rsid w:val="00D92A0A"/>
    <w:rsid w:val="00D92D24"/>
    <w:rsid w:val="00D92DAB"/>
    <w:rsid w:val="00D93245"/>
    <w:rsid w:val="00D932E6"/>
    <w:rsid w:val="00D9354E"/>
    <w:rsid w:val="00D9399B"/>
    <w:rsid w:val="00D93A54"/>
    <w:rsid w:val="00D93CE1"/>
    <w:rsid w:val="00D93F79"/>
    <w:rsid w:val="00D941B9"/>
    <w:rsid w:val="00D9428C"/>
    <w:rsid w:val="00D9445C"/>
    <w:rsid w:val="00D94527"/>
    <w:rsid w:val="00D94666"/>
    <w:rsid w:val="00D9489B"/>
    <w:rsid w:val="00D94B92"/>
    <w:rsid w:val="00D94CD3"/>
    <w:rsid w:val="00D94E13"/>
    <w:rsid w:val="00D94F08"/>
    <w:rsid w:val="00D95137"/>
    <w:rsid w:val="00D95502"/>
    <w:rsid w:val="00D95513"/>
    <w:rsid w:val="00D955F9"/>
    <w:rsid w:val="00D96050"/>
    <w:rsid w:val="00D9608A"/>
    <w:rsid w:val="00D96633"/>
    <w:rsid w:val="00D96853"/>
    <w:rsid w:val="00D96B0B"/>
    <w:rsid w:val="00D96B92"/>
    <w:rsid w:val="00D96D30"/>
    <w:rsid w:val="00D96E05"/>
    <w:rsid w:val="00D97049"/>
    <w:rsid w:val="00D970D5"/>
    <w:rsid w:val="00D9710C"/>
    <w:rsid w:val="00D97492"/>
    <w:rsid w:val="00D974A5"/>
    <w:rsid w:val="00D976A9"/>
    <w:rsid w:val="00D976F9"/>
    <w:rsid w:val="00D97745"/>
    <w:rsid w:val="00D978AD"/>
    <w:rsid w:val="00D97AC8"/>
    <w:rsid w:val="00D97DFB"/>
    <w:rsid w:val="00D9CAA8"/>
    <w:rsid w:val="00DA0005"/>
    <w:rsid w:val="00DA018F"/>
    <w:rsid w:val="00DA0255"/>
    <w:rsid w:val="00DA02B5"/>
    <w:rsid w:val="00DA02E1"/>
    <w:rsid w:val="00DA0420"/>
    <w:rsid w:val="00DA04E5"/>
    <w:rsid w:val="00DA0529"/>
    <w:rsid w:val="00DA052A"/>
    <w:rsid w:val="00DA0696"/>
    <w:rsid w:val="00DA06C1"/>
    <w:rsid w:val="00DA07C2"/>
    <w:rsid w:val="00DA0836"/>
    <w:rsid w:val="00DA08BE"/>
    <w:rsid w:val="00DA0AAA"/>
    <w:rsid w:val="00DA0AD5"/>
    <w:rsid w:val="00DA0B77"/>
    <w:rsid w:val="00DA0C28"/>
    <w:rsid w:val="00DA0D3E"/>
    <w:rsid w:val="00DA0DAA"/>
    <w:rsid w:val="00DA0E8C"/>
    <w:rsid w:val="00DA0F4A"/>
    <w:rsid w:val="00DA0FA6"/>
    <w:rsid w:val="00DA0FC5"/>
    <w:rsid w:val="00DA1083"/>
    <w:rsid w:val="00DA10E7"/>
    <w:rsid w:val="00DA1137"/>
    <w:rsid w:val="00DA1317"/>
    <w:rsid w:val="00DA139E"/>
    <w:rsid w:val="00DA1599"/>
    <w:rsid w:val="00DA1862"/>
    <w:rsid w:val="00DA1CA6"/>
    <w:rsid w:val="00DA1CEB"/>
    <w:rsid w:val="00DA1D2A"/>
    <w:rsid w:val="00DA1D30"/>
    <w:rsid w:val="00DA25BB"/>
    <w:rsid w:val="00DA2626"/>
    <w:rsid w:val="00DA2702"/>
    <w:rsid w:val="00DA2823"/>
    <w:rsid w:val="00DA2849"/>
    <w:rsid w:val="00DA28F6"/>
    <w:rsid w:val="00DA293B"/>
    <w:rsid w:val="00DA2B3A"/>
    <w:rsid w:val="00DA2BEE"/>
    <w:rsid w:val="00DA2CDF"/>
    <w:rsid w:val="00DA2D45"/>
    <w:rsid w:val="00DA2DA0"/>
    <w:rsid w:val="00DA2E12"/>
    <w:rsid w:val="00DA305C"/>
    <w:rsid w:val="00DA3131"/>
    <w:rsid w:val="00DA32A6"/>
    <w:rsid w:val="00DA3346"/>
    <w:rsid w:val="00DA3A4F"/>
    <w:rsid w:val="00DA3C91"/>
    <w:rsid w:val="00DA3D32"/>
    <w:rsid w:val="00DA3FA0"/>
    <w:rsid w:val="00DA414C"/>
    <w:rsid w:val="00DA44B7"/>
    <w:rsid w:val="00DA44F3"/>
    <w:rsid w:val="00DA4577"/>
    <w:rsid w:val="00DA4693"/>
    <w:rsid w:val="00DA4794"/>
    <w:rsid w:val="00DA4AB3"/>
    <w:rsid w:val="00DA4AF2"/>
    <w:rsid w:val="00DA4C65"/>
    <w:rsid w:val="00DA4C68"/>
    <w:rsid w:val="00DA4D04"/>
    <w:rsid w:val="00DA4DC6"/>
    <w:rsid w:val="00DA4F09"/>
    <w:rsid w:val="00DA4F62"/>
    <w:rsid w:val="00DA4FD2"/>
    <w:rsid w:val="00DA4FFF"/>
    <w:rsid w:val="00DA531A"/>
    <w:rsid w:val="00DA53A1"/>
    <w:rsid w:val="00DA5567"/>
    <w:rsid w:val="00DA5A4E"/>
    <w:rsid w:val="00DA5C6F"/>
    <w:rsid w:val="00DA5D2E"/>
    <w:rsid w:val="00DA5D9B"/>
    <w:rsid w:val="00DA5DDB"/>
    <w:rsid w:val="00DA5EBB"/>
    <w:rsid w:val="00DA5EBF"/>
    <w:rsid w:val="00DA5FD0"/>
    <w:rsid w:val="00DA5FD3"/>
    <w:rsid w:val="00DA6091"/>
    <w:rsid w:val="00DA62E1"/>
    <w:rsid w:val="00DA6344"/>
    <w:rsid w:val="00DA650F"/>
    <w:rsid w:val="00DA6517"/>
    <w:rsid w:val="00DA65E8"/>
    <w:rsid w:val="00DA664F"/>
    <w:rsid w:val="00DA6675"/>
    <w:rsid w:val="00DA6759"/>
    <w:rsid w:val="00DA682E"/>
    <w:rsid w:val="00DA694B"/>
    <w:rsid w:val="00DA69A7"/>
    <w:rsid w:val="00DA70D7"/>
    <w:rsid w:val="00DA744A"/>
    <w:rsid w:val="00DA76C7"/>
    <w:rsid w:val="00DA77B4"/>
    <w:rsid w:val="00DA77E9"/>
    <w:rsid w:val="00DA7839"/>
    <w:rsid w:val="00DA7A06"/>
    <w:rsid w:val="00DA7B72"/>
    <w:rsid w:val="00DA7E73"/>
    <w:rsid w:val="00DB014B"/>
    <w:rsid w:val="00DB0189"/>
    <w:rsid w:val="00DB051A"/>
    <w:rsid w:val="00DB0BDE"/>
    <w:rsid w:val="00DB0DE8"/>
    <w:rsid w:val="00DB0E6D"/>
    <w:rsid w:val="00DB0E9A"/>
    <w:rsid w:val="00DB0FC9"/>
    <w:rsid w:val="00DB0FDA"/>
    <w:rsid w:val="00DB12F2"/>
    <w:rsid w:val="00DB13C8"/>
    <w:rsid w:val="00DB1520"/>
    <w:rsid w:val="00DB1646"/>
    <w:rsid w:val="00DB17F9"/>
    <w:rsid w:val="00DB189D"/>
    <w:rsid w:val="00DB19C0"/>
    <w:rsid w:val="00DB1B2B"/>
    <w:rsid w:val="00DB1B57"/>
    <w:rsid w:val="00DB1E43"/>
    <w:rsid w:val="00DB2021"/>
    <w:rsid w:val="00DB211C"/>
    <w:rsid w:val="00DB2ABB"/>
    <w:rsid w:val="00DB2B92"/>
    <w:rsid w:val="00DB2F10"/>
    <w:rsid w:val="00DB3339"/>
    <w:rsid w:val="00DB33BC"/>
    <w:rsid w:val="00DB33D8"/>
    <w:rsid w:val="00DB344A"/>
    <w:rsid w:val="00DB35F4"/>
    <w:rsid w:val="00DB36B3"/>
    <w:rsid w:val="00DB374E"/>
    <w:rsid w:val="00DB392D"/>
    <w:rsid w:val="00DB393E"/>
    <w:rsid w:val="00DB3B57"/>
    <w:rsid w:val="00DB418D"/>
    <w:rsid w:val="00DB4200"/>
    <w:rsid w:val="00DB4368"/>
    <w:rsid w:val="00DB4430"/>
    <w:rsid w:val="00DB4431"/>
    <w:rsid w:val="00DB449A"/>
    <w:rsid w:val="00DB44DA"/>
    <w:rsid w:val="00DB47B2"/>
    <w:rsid w:val="00DB482C"/>
    <w:rsid w:val="00DB488C"/>
    <w:rsid w:val="00DB496A"/>
    <w:rsid w:val="00DB4B09"/>
    <w:rsid w:val="00DB4BFD"/>
    <w:rsid w:val="00DB4E40"/>
    <w:rsid w:val="00DB4FD5"/>
    <w:rsid w:val="00DB502A"/>
    <w:rsid w:val="00DB50D3"/>
    <w:rsid w:val="00DB5610"/>
    <w:rsid w:val="00DB5C61"/>
    <w:rsid w:val="00DB5D1C"/>
    <w:rsid w:val="00DB5F04"/>
    <w:rsid w:val="00DB5FF7"/>
    <w:rsid w:val="00DB6002"/>
    <w:rsid w:val="00DB611E"/>
    <w:rsid w:val="00DB6426"/>
    <w:rsid w:val="00DB6595"/>
    <w:rsid w:val="00DB6674"/>
    <w:rsid w:val="00DB66CD"/>
    <w:rsid w:val="00DB6888"/>
    <w:rsid w:val="00DB6913"/>
    <w:rsid w:val="00DB6C41"/>
    <w:rsid w:val="00DB6E07"/>
    <w:rsid w:val="00DB7014"/>
    <w:rsid w:val="00DB72EF"/>
    <w:rsid w:val="00DB72F8"/>
    <w:rsid w:val="00DB73C2"/>
    <w:rsid w:val="00DB7780"/>
    <w:rsid w:val="00DB786D"/>
    <w:rsid w:val="00DB7EB8"/>
    <w:rsid w:val="00DC00CB"/>
    <w:rsid w:val="00DC013F"/>
    <w:rsid w:val="00DC0554"/>
    <w:rsid w:val="00DC0927"/>
    <w:rsid w:val="00DC0AB5"/>
    <w:rsid w:val="00DC11C2"/>
    <w:rsid w:val="00DC11DD"/>
    <w:rsid w:val="00DC138F"/>
    <w:rsid w:val="00DC1397"/>
    <w:rsid w:val="00DC1569"/>
    <w:rsid w:val="00DC1766"/>
    <w:rsid w:val="00DC17E0"/>
    <w:rsid w:val="00DC180A"/>
    <w:rsid w:val="00DC183E"/>
    <w:rsid w:val="00DC1860"/>
    <w:rsid w:val="00DC18A5"/>
    <w:rsid w:val="00DC1AD9"/>
    <w:rsid w:val="00DC1B0A"/>
    <w:rsid w:val="00DC1CFB"/>
    <w:rsid w:val="00DC1E94"/>
    <w:rsid w:val="00DC1EFE"/>
    <w:rsid w:val="00DC23DD"/>
    <w:rsid w:val="00DC2438"/>
    <w:rsid w:val="00DC2529"/>
    <w:rsid w:val="00DC2912"/>
    <w:rsid w:val="00DC2A47"/>
    <w:rsid w:val="00DC2A9A"/>
    <w:rsid w:val="00DC2F11"/>
    <w:rsid w:val="00DC304A"/>
    <w:rsid w:val="00DC35C0"/>
    <w:rsid w:val="00DC3749"/>
    <w:rsid w:val="00DC3BF6"/>
    <w:rsid w:val="00DC3C82"/>
    <w:rsid w:val="00DC3E09"/>
    <w:rsid w:val="00DC40CA"/>
    <w:rsid w:val="00DC41A4"/>
    <w:rsid w:val="00DC43ED"/>
    <w:rsid w:val="00DC47B7"/>
    <w:rsid w:val="00DC4929"/>
    <w:rsid w:val="00DC4D9E"/>
    <w:rsid w:val="00DC4FD4"/>
    <w:rsid w:val="00DC5270"/>
    <w:rsid w:val="00DC5433"/>
    <w:rsid w:val="00DC5595"/>
    <w:rsid w:val="00DC562C"/>
    <w:rsid w:val="00DC5A4B"/>
    <w:rsid w:val="00DC5A5C"/>
    <w:rsid w:val="00DC5F36"/>
    <w:rsid w:val="00DC608E"/>
    <w:rsid w:val="00DC62AE"/>
    <w:rsid w:val="00DC6316"/>
    <w:rsid w:val="00DC64FE"/>
    <w:rsid w:val="00DC654C"/>
    <w:rsid w:val="00DC663B"/>
    <w:rsid w:val="00DC68E3"/>
    <w:rsid w:val="00DC6955"/>
    <w:rsid w:val="00DC6972"/>
    <w:rsid w:val="00DC6A40"/>
    <w:rsid w:val="00DC6AC5"/>
    <w:rsid w:val="00DC6CE2"/>
    <w:rsid w:val="00DC6D41"/>
    <w:rsid w:val="00DC6E36"/>
    <w:rsid w:val="00DC73F9"/>
    <w:rsid w:val="00DC7505"/>
    <w:rsid w:val="00DC75F7"/>
    <w:rsid w:val="00DC771E"/>
    <w:rsid w:val="00DC7B16"/>
    <w:rsid w:val="00DC7B66"/>
    <w:rsid w:val="00DC7BCC"/>
    <w:rsid w:val="00DC7CB8"/>
    <w:rsid w:val="00DC7DC4"/>
    <w:rsid w:val="00DC7F4B"/>
    <w:rsid w:val="00DD0336"/>
    <w:rsid w:val="00DD05BA"/>
    <w:rsid w:val="00DD05FD"/>
    <w:rsid w:val="00DD0694"/>
    <w:rsid w:val="00DD06A1"/>
    <w:rsid w:val="00DD0957"/>
    <w:rsid w:val="00DD09B6"/>
    <w:rsid w:val="00DD0AE9"/>
    <w:rsid w:val="00DD0B07"/>
    <w:rsid w:val="00DD0B25"/>
    <w:rsid w:val="00DD0C22"/>
    <w:rsid w:val="00DD0D0B"/>
    <w:rsid w:val="00DD1281"/>
    <w:rsid w:val="00DD173F"/>
    <w:rsid w:val="00DD18E4"/>
    <w:rsid w:val="00DD1A3A"/>
    <w:rsid w:val="00DD1C3F"/>
    <w:rsid w:val="00DD1C41"/>
    <w:rsid w:val="00DD1D9C"/>
    <w:rsid w:val="00DD1E5B"/>
    <w:rsid w:val="00DD2092"/>
    <w:rsid w:val="00DD23FC"/>
    <w:rsid w:val="00DD2547"/>
    <w:rsid w:val="00DD2658"/>
    <w:rsid w:val="00DD2D12"/>
    <w:rsid w:val="00DD2D25"/>
    <w:rsid w:val="00DD2D2D"/>
    <w:rsid w:val="00DD2FEF"/>
    <w:rsid w:val="00DD3280"/>
    <w:rsid w:val="00DD3463"/>
    <w:rsid w:val="00DD362C"/>
    <w:rsid w:val="00DD38B5"/>
    <w:rsid w:val="00DD38CC"/>
    <w:rsid w:val="00DD3ABE"/>
    <w:rsid w:val="00DD3F50"/>
    <w:rsid w:val="00DD408F"/>
    <w:rsid w:val="00DD40D4"/>
    <w:rsid w:val="00DD41BD"/>
    <w:rsid w:val="00DD44D8"/>
    <w:rsid w:val="00DD4638"/>
    <w:rsid w:val="00DD485C"/>
    <w:rsid w:val="00DD4975"/>
    <w:rsid w:val="00DD49CD"/>
    <w:rsid w:val="00DD4DBF"/>
    <w:rsid w:val="00DD4EC2"/>
    <w:rsid w:val="00DD4EE3"/>
    <w:rsid w:val="00DD5034"/>
    <w:rsid w:val="00DD55AC"/>
    <w:rsid w:val="00DD5669"/>
    <w:rsid w:val="00DD595C"/>
    <w:rsid w:val="00DD5A54"/>
    <w:rsid w:val="00DD5B68"/>
    <w:rsid w:val="00DD5E40"/>
    <w:rsid w:val="00DD6078"/>
    <w:rsid w:val="00DD607E"/>
    <w:rsid w:val="00DD62AF"/>
    <w:rsid w:val="00DD6365"/>
    <w:rsid w:val="00DD6389"/>
    <w:rsid w:val="00DD64E2"/>
    <w:rsid w:val="00DD6603"/>
    <w:rsid w:val="00DD662C"/>
    <w:rsid w:val="00DD67D5"/>
    <w:rsid w:val="00DD6B07"/>
    <w:rsid w:val="00DD6FC1"/>
    <w:rsid w:val="00DD708F"/>
    <w:rsid w:val="00DD712A"/>
    <w:rsid w:val="00DD75CA"/>
    <w:rsid w:val="00DD7742"/>
    <w:rsid w:val="00DD784D"/>
    <w:rsid w:val="00DD7AA2"/>
    <w:rsid w:val="00DD7BEA"/>
    <w:rsid w:val="00DD7CF9"/>
    <w:rsid w:val="00DD7F79"/>
    <w:rsid w:val="00DE02AD"/>
    <w:rsid w:val="00DE0642"/>
    <w:rsid w:val="00DE07E6"/>
    <w:rsid w:val="00DE089C"/>
    <w:rsid w:val="00DE0D9A"/>
    <w:rsid w:val="00DE0DEA"/>
    <w:rsid w:val="00DE0EEC"/>
    <w:rsid w:val="00DE10D1"/>
    <w:rsid w:val="00DE11B1"/>
    <w:rsid w:val="00DE16E1"/>
    <w:rsid w:val="00DE17C9"/>
    <w:rsid w:val="00DE1ADD"/>
    <w:rsid w:val="00DE1B0A"/>
    <w:rsid w:val="00DE1BF6"/>
    <w:rsid w:val="00DE1C10"/>
    <w:rsid w:val="00DE1C2C"/>
    <w:rsid w:val="00DE1C4C"/>
    <w:rsid w:val="00DE1D97"/>
    <w:rsid w:val="00DE1E1D"/>
    <w:rsid w:val="00DE1E6E"/>
    <w:rsid w:val="00DE20AD"/>
    <w:rsid w:val="00DE21B1"/>
    <w:rsid w:val="00DE270C"/>
    <w:rsid w:val="00DE2762"/>
    <w:rsid w:val="00DE27FE"/>
    <w:rsid w:val="00DE293E"/>
    <w:rsid w:val="00DE2983"/>
    <w:rsid w:val="00DE2B4B"/>
    <w:rsid w:val="00DE2B6A"/>
    <w:rsid w:val="00DE2F98"/>
    <w:rsid w:val="00DE30CA"/>
    <w:rsid w:val="00DE32BC"/>
    <w:rsid w:val="00DE36AF"/>
    <w:rsid w:val="00DE36C7"/>
    <w:rsid w:val="00DE3768"/>
    <w:rsid w:val="00DE38B1"/>
    <w:rsid w:val="00DE38F3"/>
    <w:rsid w:val="00DE3AF3"/>
    <w:rsid w:val="00DE3D7A"/>
    <w:rsid w:val="00DE3E06"/>
    <w:rsid w:val="00DE3F34"/>
    <w:rsid w:val="00DE412A"/>
    <w:rsid w:val="00DE427B"/>
    <w:rsid w:val="00DE431F"/>
    <w:rsid w:val="00DE43B8"/>
    <w:rsid w:val="00DE447D"/>
    <w:rsid w:val="00DE4918"/>
    <w:rsid w:val="00DE49FF"/>
    <w:rsid w:val="00DE4AF9"/>
    <w:rsid w:val="00DE4CC9"/>
    <w:rsid w:val="00DE4D5A"/>
    <w:rsid w:val="00DE4FAA"/>
    <w:rsid w:val="00DE52B0"/>
    <w:rsid w:val="00DE56DD"/>
    <w:rsid w:val="00DE58B7"/>
    <w:rsid w:val="00DE5951"/>
    <w:rsid w:val="00DE5A84"/>
    <w:rsid w:val="00DE5B52"/>
    <w:rsid w:val="00DE5B6C"/>
    <w:rsid w:val="00DE5CEA"/>
    <w:rsid w:val="00DE5D07"/>
    <w:rsid w:val="00DE5DDA"/>
    <w:rsid w:val="00DE5DFF"/>
    <w:rsid w:val="00DE625B"/>
    <w:rsid w:val="00DE65EA"/>
    <w:rsid w:val="00DE669D"/>
    <w:rsid w:val="00DE67A3"/>
    <w:rsid w:val="00DE687E"/>
    <w:rsid w:val="00DE6882"/>
    <w:rsid w:val="00DE6EB4"/>
    <w:rsid w:val="00DE7083"/>
    <w:rsid w:val="00DE718E"/>
    <w:rsid w:val="00DE7248"/>
    <w:rsid w:val="00DE731C"/>
    <w:rsid w:val="00DE73B8"/>
    <w:rsid w:val="00DE741A"/>
    <w:rsid w:val="00DE761D"/>
    <w:rsid w:val="00DE790B"/>
    <w:rsid w:val="00DE791C"/>
    <w:rsid w:val="00DE79ED"/>
    <w:rsid w:val="00DE7D06"/>
    <w:rsid w:val="00DE7F9C"/>
    <w:rsid w:val="00DF00E6"/>
    <w:rsid w:val="00DF044B"/>
    <w:rsid w:val="00DF05FA"/>
    <w:rsid w:val="00DF06F1"/>
    <w:rsid w:val="00DF0761"/>
    <w:rsid w:val="00DF0776"/>
    <w:rsid w:val="00DF07CF"/>
    <w:rsid w:val="00DF08AA"/>
    <w:rsid w:val="00DF0CBD"/>
    <w:rsid w:val="00DF0D3E"/>
    <w:rsid w:val="00DF0D9E"/>
    <w:rsid w:val="00DF0E3E"/>
    <w:rsid w:val="00DF0E79"/>
    <w:rsid w:val="00DF1135"/>
    <w:rsid w:val="00DF1149"/>
    <w:rsid w:val="00DF121B"/>
    <w:rsid w:val="00DF1533"/>
    <w:rsid w:val="00DF19E5"/>
    <w:rsid w:val="00DF1B37"/>
    <w:rsid w:val="00DF1BA3"/>
    <w:rsid w:val="00DF1D78"/>
    <w:rsid w:val="00DF2206"/>
    <w:rsid w:val="00DF24B6"/>
    <w:rsid w:val="00DF2570"/>
    <w:rsid w:val="00DF27E5"/>
    <w:rsid w:val="00DF2B59"/>
    <w:rsid w:val="00DF2C5B"/>
    <w:rsid w:val="00DF2CCE"/>
    <w:rsid w:val="00DF2F38"/>
    <w:rsid w:val="00DF2FA9"/>
    <w:rsid w:val="00DF302C"/>
    <w:rsid w:val="00DF307F"/>
    <w:rsid w:val="00DF3250"/>
    <w:rsid w:val="00DF35BB"/>
    <w:rsid w:val="00DF3B29"/>
    <w:rsid w:val="00DF3C40"/>
    <w:rsid w:val="00DF3D15"/>
    <w:rsid w:val="00DF3E7C"/>
    <w:rsid w:val="00DF3F65"/>
    <w:rsid w:val="00DF402B"/>
    <w:rsid w:val="00DF4191"/>
    <w:rsid w:val="00DF4227"/>
    <w:rsid w:val="00DF4233"/>
    <w:rsid w:val="00DF434F"/>
    <w:rsid w:val="00DF4367"/>
    <w:rsid w:val="00DF465E"/>
    <w:rsid w:val="00DF4723"/>
    <w:rsid w:val="00DF47EE"/>
    <w:rsid w:val="00DF4A71"/>
    <w:rsid w:val="00DF52DC"/>
    <w:rsid w:val="00DF538A"/>
    <w:rsid w:val="00DF552E"/>
    <w:rsid w:val="00DF5693"/>
    <w:rsid w:val="00DF586F"/>
    <w:rsid w:val="00DF5A17"/>
    <w:rsid w:val="00DF5A2C"/>
    <w:rsid w:val="00DF5D43"/>
    <w:rsid w:val="00DF5D55"/>
    <w:rsid w:val="00DF5D5A"/>
    <w:rsid w:val="00DF5EC3"/>
    <w:rsid w:val="00DF5F68"/>
    <w:rsid w:val="00DF6247"/>
    <w:rsid w:val="00DF6349"/>
    <w:rsid w:val="00DF661B"/>
    <w:rsid w:val="00DF6CAB"/>
    <w:rsid w:val="00DF7566"/>
    <w:rsid w:val="00DF760D"/>
    <w:rsid w:val="00DF7615"/>
    <w:rsid w:val="00DF7694"/>
    <w:rsid w:val="00DF7BEE"/>
    <w:rsid w:val="00DF7C82"/>
    <w:rsid w:val="00DF7E5A"/>
    <w:rsid w:val="00DF7FE7"/>
    <w:rsid w:val="00E0005F"/>
    <w:rsid w:val="00E002C1"/>
    <w:rsid w:val="00E003D7"/>
    <w:rsid w:val="00E0044F"/>
    <w:rsid w:val="00E00527"/>
    <w:rsid w:val="00E005A5"/>
    <w:rsid w:val="00E006CA"/>
    <w:rsid w:val="00E0082D"/>
    <w:rsid w:val="00E00BFF"/>
    <w:rsid w:val="00E00DAB"/>
    <w:rsid w:val="00E0143C"/>
    <w:rsid w:val="00E01553"/>
    <w:rsid w:val="00E01716"/>
    <w:rsid w:val="00E01821"/>
    <w:rsid w:val="00E018BB"/>
    <w:rsid w:val="00E01911"/>
    <w:rsid w:val="00E01940"/>
    <w:rsid w:val="00E01A14"/>
    <w:rsid w:val="00E01BC7"/>
    <w:rsid w:val="00E01BF0"/>
    <w:rsid w:val="00E01D2E"/>
    <w:rsid w:val="00E01D70"/>
    <w:rsid w:val="00E0248D"/>
    <w:rsid w:val="00E0249E"/>
    <w:rsid w:val="00E024F4"/>
    <w:rsid w:val="00E02964"/>
    <w:rsid w:val="00E02FA1"/>
    <w:rsid w:val="00E030AE"/>
    <w:rsid w:val="00E032EE"/>
    <w:rsid w:val="00E0342C"/>
    <w:rsid w:val="00E03A33"/>
    <w:rsid w:val="00E03B37"/>
    <w:rsid w:val="00E03B8C"/>
    <w:rsid w:val="00E03BC3"/>
    <w:rsid w:val="00E03C47"/>
    <w:rsid w:val="00E03E60"/>
    <w:rsid w:val="00E0400E"/>
    <w:rsid w:val="00E04105"/>
    <w:rsid w:val="00E04262"/>
    <w:rsid w:val="00E04431"/>
    <w:rsid w:val="00E0458E"/>
    <w:rsid w:val="00E046C1"/>
    <w:rsid w:val="00E0471F"/>
    <w:rsid w:val="00E04C42"/>
    <w:rsid w:val="00E04D0D"/>
    <w:rsid w:val="00E04DDE"/>
    <w:rsid w:val="00E04F67"/>
    <w:rsid w:val="00E04F71"/>
    <w:rsid w:val="00E04F86"/>
    <w:rsid w:val="00E05173"/>
    <w:rsid w:val="00E051B8"/>
    <w:rsid w:val="00E05279"/>
    <w:rsid w:val="00E05301"/>
    <w:rsid w:val="00E05312"/>
    <w:rsid w:val="00E0539F"/>
    <w:rsid w:val="00E0543B"/>
    <w:rsid w:val="00E0562D"/>
    <w:rsid w:val="00E05954"/>
    <w:rsid w:val="00E05A51"/>
    <w:rsid w:val="00E05C59"/>
    <w:rsid w:val="00E05C95"/>
    <w:rsid w:val="00E05CAB"/>
    <w:rsid w:val="00E0603F"/>
    <w:rsid w:val="00E06098"/>
    <w:rsid w:val="00E06476"/>
    <w:rsid w:val="00E06725"/>
    <w:rsid w:val="00E0678E"/>
    <w:rsid w:val="00E068E6"/>
    <w:rsid w:val="00E069E9"/>
    <w:rsid w:val="00E06A66"/>
    <w:rsid w:val="00E07399"/>
    <w:rsid w:val="00E0739D"/>
    <w:rsid w:val="00E0765A"/>
    <w:rsid w:val="00E0779D"/>
    <w:rsid w:val="00E077CE"/>
    <w:rsid w:val="00E0792B"/>
    <w:rsid w:val="00E07BFD"/>
    <w:rsid w:val="00E07C0C"/>
    <w:rsid w:val="00E07C29"/>
    <w:rsid w:val="00E07F4B"/>
    <w:rsid w:val="00E07FD7"/>
    <w:rsid w:val="00E10239"/>
    <w:rsid w:val="00E104EC"/>
    <w:rsid w:val="00E1050D"/>
    <w:rsid w:val="00E107C2"/>
    <w:rsid w:val="00E10928"/>
    <w:rsid w:val="00E10994"/>
    <w:rsid w:val="00E10A9F"/>
    <w:rsid w:val="00E10B37"/>
    <w:rsid w:val="00E10BA9"/>
    <w:rsid w:val="00E10EB9"/>
    <w:rsid w:val="00E110CA"/>
    <w:rsid w:val="00E1114A"/>
    <w:rsid w:val="00E11633"/>
    <w:rsid w:val="00E116EF"/>
    <w:rsid w:val="00E1171A"/>
    <w:rsid w:val="00E11BF9"/>
    <w:rsid w:val="00E11E44"/>
    <w:rsid w:val="00E1231C"/>
    <w:rsid w:val="00E12394"/>
    <w:rsid w:val="00E123A4"/>
    <w:rsid w:val="00E12507"/>
    <w:rsid w:val="00E12580"/>
    <w:rsid w:val="00E12883"/>
    <w:rsid w:val="00E129AB"/>
    <w:rsid w:val="00E12A73"/>
    <w:rsid w:val="00E12F70"/>
    <w:rsid w:val="00E130EC"/>
    <w:rsid w:val="00E130F0"/>
    <w:rsid w:val="00E13136"/>
    <w:rsid w:val="00E13187"/>
    <w:rsid w:val="00E131B0"/>
    <w:rsid w:val="00E134DE"/>
    <w:rsid w:val="00E13568"/>
    <w:rsid w:val="00E13649"/>
    <w:rsid w:val="00E13697"/>
    <w:rsid w:val="00E139B0"/>
    <w:rsid w:val="00E13B42"/>
    <w:rsid w:val="00E13D50"/>
    <w:rsid w:val="00E13D72"/>
    <w:rsid w:val="00E13F0B"/>
    <w:rsid w:val="00E14110"/>
    <w:rsid w:val="00E141A3"/>
    <w:rsid w:val="00E143A5"/>
    <w:rsid w:val="00E144D6"/>
    <w:rsid w:val="00E14561"/>
    <w:rsid w:val="00E145C5"/>
    <w:rsid w:val="00E14615"/>
    <w:rsid w:val="00E14C57"/>
    <w:rsid w:val="00E14D84"/>
    <w:rsid w:val="00E14DED"/>
    <w:rsid w:val="00E14F85"/>
    <w:rsid w:val="00E152AD"/>
    <w:rsid w:val="00E15B46"/>
    <w:rsid w:val="00E15FE7"/>
    <w:rsid w:val="00E15FF1"/>
    <w:rsid w:val="00E1604F"/>
    <w:rsid w:val="00E160D2"/>
    <w:rsid w:val="00E16196"/>
    <w:rsid w:val="00E163A4"/>
    <w:rsid w:val="00E16485"/>
    <w:rsid w:val="00E1656C"/>
    <w:rsid w:val="00E16765"/>
    <w:rsid w:val="00E16A39"/>
    <w:rsid w:val="00E16AE4"/>
    <w:rsid w:val="00E16B70"/>
    <w:rsid w:val="00E16BE6"/>
    <w:rsid w:val="00E16C76"/>
    <w:rsid w:val="00E16CCF"/>
    <w:rsid w:val="00E16D16"/>
    <w:rsid w:val="00E16D57"/>
    <w:rsid w:val="00E172D2"/>
    <w:rsid w:val="00E17576"/>
    <w:rsid w:val="00E17699"/>
    <w:rsid w:val="00E177E5"/>
    <w:rsid w:val="00E1785A"/>
    <w:rsid w:val="00E17BBB"/>
    <w:rsid w:val="00E20049"/>
    <w:rsid w:val="00E20105"/>
    <w:rsid w:val="00E20114"/>
    <w:rsid w:val="00E2033D"/>
    <w:rsid w:val="00E20837"/>
    <w:rsid w:val="00E209CE"/>
    <w:rsid w:val="00E20AA1"/>
    <w:rsid w:val="00E20B5A"/>
    <w:rsid w:val="00E20C02"/>
    <w:rsid w:val="00E20CD7"/>
    <w:rsid w:val="00E20F56"/>
    <w:rsid w:val="00E20FB7"/>
    <w:rsid w:val="00E2103A"/>
    <w:rsid w:val="00E21266"/>
    <w:rsid w:val="00E212CA"/>
    <w:rsid w:val="00E215F2"/>
    <w:rsid w:val="00E21828"/>
    <w:rsid w:val="00E21A7C"/>
    <w:rsid w:val="00E21F11"/>
    <w:rsid w:val="00E21F39"/>
    <w:rsid w:val="00E21F94"/>
    <w:rsid w:val="00E2214C"/>
    <w:rsid w:val="00E2238D"/>
    <w:rsid w:val="00E22691"/>
    <w:rsid w:val="00E2281E"/>
    <w:rsid w:val="00E22923"/>
    <w:rsid w:val="00E229D0"/>
    <w:rsid w:val="00E22A81"/>
    <w:rsid w:val="00E22B68"/>
    <w:rsid w:val="00E22BC9"/>
    <w:rsid w:val="00E22BD1"/>
    <w:rsid w:val="00E22C2F"/>
    <w:rsid w:val="00E22CBB"/>
    <w:rsid w:val="00E22D17"/>
    <w:rsid w:val="00E22D57"/>
    <w:rsid w:val="00E22DFD"/>
    <w:rsid w:val="00E22E82"/>
    <w:rsid w:val="00E22ECE"/>
    <w:rsid w:val="00E22ED9"/>
    <w:rsid w:val="00E230EF"/>
    <w:rsid w:val="00E2320D"/>
    <w:rsid w:val="00E23262"/>
    <w:rsid w:val="00E232A0"/>
    <w:rsid w:val="00E23375"/>
    <w:rsid w:val="00E237E6"/>
    <w:rsid w:val="00E23801"/>
    <w:rsid w:val="00E23857"/>
    <w:rsid w:val="00E238DB"/>
    <w:rsid w:val="00E23A00"/>
    <w:rsid w:val="00E23A72"/>
    <w:rsid w:val="00E23BA2"/>
    <w:rsid w:val="00E23CCD"/>
    <w:rsid w:val="00E23E4F"/>
    <w:rsid w:val="00E23EF9"/>
    <w:rsid w:val="00E24084"/>
    <w:rsid w:val="00E2409F"/>
    <w:rsid w:val="00E240BC"/>
    <w:rsid w:val="00E242BE"/>
    <w:rsid w:val="00E243B5"/>
    <w:rsid w:val="00E2440D"/>
    <w:rsid w:val="00E24453"/>
    <w:rsid w:val="00E244A8"/>
    <w:rsid w:val="00E24501"/>
    <w:rsid w:val="00E24564"/>
    <w:rsid w:val="00E24577"/>
    <w:rsid w:val="00E245CC"/>
    <w:rsid w:val="00E246D3"/>
    <w:rsid w:val="00E247A0"/>
    <w:rsid w:val="00E248C4"/>
    <w:rsid w:val="00E249AA"/>
    <w:rsid w:val="00E249BD"/>
    <w:rsid w:val="00E24A66"/>
    <w:rsid w:val="00E24B3A"/>
    <w:rsid w:val="00E24C98"/>
    <w:rsid w:val="00E24F28"/>
    <w:rsid w:val="00E252CD"/>
    <w:rsid w:val="00E252E5"/>
    <w:rsid w:val="00E2532C"/>
    <w:rsid w:val="00E25350"/>
    <w:rsid w:val="00E25610"/>
    <w:rsid w:val="00E2572A"/>
    <w:rsid w:val="00E25777"/>
    <w:rsid w:val="00E25C2E"/>
    <w:rsid w:val="00E25C6B"/>
    <w:rsid w:val="00E25F5E"/>
    <w:rsid w:val="00E2626A"/>
    <w:rsid w:val="00E26361"/>
    <w:rsid w:val="00E26461"/>
    <w:rsid w:val="00E266A8"/>
    <w:rsid w:val="00E266BF"/>
    <w:rsid w:val="00E267FC"/>
    <w:rsid w:val="00E2685D"/>
    <w:rsid w:val="00E269CD"/>
    <w:rsid w:val="00E26A01"/>
    <w:rsid w:val="00E26B01"/>
    <w:rsid w:val="00E26B3F"/>
    <w:rsid w:val="00E26B66"/>
    <w:rsid w:val="00E26C54"/>
    <w:rsid w:val="00E26C93"/>
    <w:rsid w:val="00E26CEF"/>
    <w:rsid w:val="00E26D46"/>
    <w:rsid w:val="00E26E08"/>
    <w:rsid w:val="00E26F2D"/>
    <w:rsid w:val="00E26F7A"/>
    <w:rsid w:val="00E26FC3"/>
    <w:rsid w:val="00E26FF7"/>
    <w:rsid w:val="00E2721B"/>
    <w:rsid w:val="00E27407"/>
    <w:rsid w:val="00E27462"/>
    <w:rsid w:val="00E27637"/>
    <w:rsid w:val="00E27665"/>
    <w:rsid w:val="00E276BE"/>
    <w:rsid w:val="00E2780F"/>
    <w:rsid w:val="00E27CD9"/>
    <w:rsid w:val="00E27CF2"/>
    <w:rsid w:val="00E27F77"/>
    <w:rsid w:val="00E300FF"/>
    <w:rsid w:val="00E301BE"/>
    <w:rsid w:val="00E301E9"/>
    <w:rsid w:val="00E30598"/>
    <w:rsid w:val="00E3063D"/>
    <w:rsid w:val="00E307F5"/>
    <w:rsid w:val="00E30998"/>
    <w:rsid w:val="00E309BB"/>
    <w:rsid w:val="00E30A1F"/>
    <w:rsid w:val="00E30BF4"/>
    <w:rsid w:val="00E30C65"/>
    <w:rsid w:val="00E30DEA"/>
    <w:rsid w:val="00E30F23"/>
    <w:rsid w:val="00E31149"/>
    <w:rsid w:val="00E311A9"/>
    <w:rsid w:val="00E315CE"/>
    <w:rsid w:val="00E31657"/>
    <w:rsid w:val="00E3165C"/>
    <w:rsid w:val="00E316F6"/>
    <w:rsid w:val="00E31B40"/>
    <w:rsid w:val="00E31DEC"/>
    <w:rsid w:val="00E31DFC"/>
    <w:rsid w:val="00E32209"/>
    <w:rsid w:val="00E3242F"/>
    <w:rsid w:val="00E32460"/>
    <w:rsid w:val="00E3258B"/>
    <w:rsid w:val="00E325D1"/>
    <w:rsid w:val="00E3291A"/>
    <w:rsid w:val="00E32B15"/>
    <w:rsid w:val="00E32B93"/>
    <w:rsid w:val="00E32CA3"/>
    <w:rsid w:val="00E32FE8"/>
    <w:rsid w:val="00E336EC"/>
    <w:rsid w:val="00E33859"/>
    <w:rsid w:val="00E339AC"/>
    <w:rsid w:val="00E33F85"/>
    <w:rsid w:val="00E33FA0"/>
    <w:rsid w:val="00E34189"/>
    <w:rsid w:val="00E3433D"/>
    <w:rsid w:val="00E34377"/>
    <w:rsid w:val="00E34476"/>
    <w:rsid w:val="00E344C4"/>
    <w:rsid w:val="00E34601"/>
    <w:rsid w:val="00E3475F"/>
    <w:rsid w:val="00E34772"/>
    <w:rsid w:val="00E347AC"/>
    <w:rsid w:val="00E34921"/>
    <w:rsid w:val="00E34983"/>
    <w:rsid w:val="00E349C1"/>
    <w:rsid w:val="00E34B3A"/>
    <w:rsid w:val="00E34BCE"/>
    <w:rsid w:val="00E34D5E"/>
    <w:rsid w:val="00E34FF4"/>
    <w:rsid w:val="00E35408"/>
    <w:rsid w:val="00E35455"/>
    <w:rsid w:val="00E3548A"/>
    <w:rsid w:val="00E358A9"/>
    <w:rsid w:val="00E358E7"/>
    <w:rsid w:val="00E35A62"/>
    <w:rsid w:val="00E35BB7"/>
    <w:rsid w:val="00E35BDA"/>
    <w:rsid w:val="00E35F33"/>
    <w:rsid w:val="00E36064"/>
    <w:rsid w:val="00E36153"/>
    <w:rsid w:val="00E362D9"/>
    <w:rsid w:val="00E36540"/>
    <w:rsid w:val="00E36A50"/>
    <w:rsid w:val="00E36B0F"/>
    <w:rsid w:val="00E36B57"/>
    <w:rsid w:val="00E36E80"/>
    <w:rsid w:val="00E3715D"/>
    <w:rsid w:val="00E37222"/>
    <w:rsid w:val="00E37288"/>
    <w:rsid w:val="00E373B4"/>
    <w:rsid w:val="00E374D5"/>
    <w:rsid w:val="00E37540"/>
    <w:rsid w:val="00E37620"/>
    <w:rsid w:val="00E37DDC"/>
    <w:rsid w:val="00E37F41"/>
    <w:rsid w:val="00E4005E"/>
    <w:rsid w:val="00E40167"/>
    <w:rsid w:val="00E40181"/>
    <w:rsid w:val="00E40288"/>
    <w:rsid w:val="00E40294"/>
    <w:rsid w:val="00E40457"/>
    <w:rsid w:val="00E406DF"/>
    <w:rsid w:val="00E40818"/>
    <w:rsid w:val="00E4094D"/>
    <w:rsid w:val="00E40AB3"/>
    <w:rsid w:val="00E40B39"/>
    <w:rsid w:val="00E40B6B"/>
    <w:rsid w:val="00E40B6F"/>
    <w:rsid w:val="00E40C50"/>
    <w:rsid w:val="00E40D0D"/>
    <w:rsid w:val="00E40E3F"/>
    <w:rsid w:val="00E40EBC"/>
    <w:rsid w:val="00E41257"/>
    <w:rsid w:val="00E41282"/>
    <w:rsid w:val="00E414BE"/>
    <w:rsid w:val="00E416E3"/>
    <w:rsid w:val="00E4182F"/>
    <w:rsid w:val="00E419E0"/>
    <w:rsid w:val="00E41B6A"/>
    <w:rsid w:val="00E41C65"/>
    <w:rsid w:val="00E41ED9"/>
    <w:rsid w:val="00E4207A"/>
    <w:rsid w:val="00E4214C"/>
    <w:rsid w:val="00E42579"/>
    <w:rsid w:val="00E427D6"/>
    <w:rsid w:val="00E428BA"/>
    <w:rsid w:val="00E42A6E"/>
    <w:rsid w:val="00E42CB1"/>
    <w:rsid w:val="00E42D22"/>
    <w:rsid w:val="00E42D9C"/>
    <w:rsid w:val="00E42F55"/>
    <w:rsid w:val="00E43030"/>
    <w:rsid w:val="00E4304B"/>
    <w:rsid w:val="00E4328C"/>
    <w:rsid w:val="00E43366"/>
    <w:rsid w:val="00E4343C"/>
    <w:rsid w:val="00E4366C"/>
    <w:rsid w:val="00E43674"/>
    <w:rsid w:val="00E43BB3"/>
    <w:rsid w:val="00E43C4F"/>
    <w:rsid w:val="00E4402E"/>
    <w:rsid w:val="00E4414E"/>
    <w:rsid w:val="00E44390"/>
    <w:rsid w:val="00E44440"/>
    <w:rsid w:val="00E44662"/>
    <w:rsid w:val="00E4474C"/>
    <w:rsid w:val="00E44A6C"/>
    <w:rsid w:val="00E44A81"/>
    <w:rsid w:val="00E44CE9"/>
    <w:rsid w:val="00E45178"/>
    <w:rsid w:val="00E45335"/>
    <w:rsid w:val="00E4545E"/>
    <w:rsid w:val="00E45869"/>
    <w:rsid w:val="00E45985"/>
    <w:rsid w:val="00E45D71"/>
    <w:rsid w:val="00E45E6F"/>
    <w:rsid w:val="00E460BD"/>
    <w:rsid w:val="00E46171"/>
    <w:rsid w:val="00E46210"/>
    <w:rsid w:val="00E463A4"/>
    <w:rsid w:val="00E4644B"/>
    <w:rsid w:val="00E46555"/>
    <w:rsid w:val="00E46715"/>
    <w:rsid w:val="00E46F6F"/>
    <w:rsid w:val="00E47026"/>
    <w:rsid w:val="00E47423"/>
    <w:rsid w:val="00E47584"/>
    <w:rsid w:val="00E475A9"/>
    <w:rsid w:val="00E4764D"/>
    <w:rsid w:val="00E4771D"/>
    <w:rsid w:val="00E47734"/>
    <w:rsid w:val="00E4797F"/>
    <w:rsid w:val="00E479CF"/>
    <w:rsid w:val="00E47A80"/>
    <w:rsid w:val="00E47D80"/>
    <w:rsid w:val="00E47E2D"/>
    <w:rsid w:val="00E47FBA"/>
    <w:rsid w:val="00E47FF8"/>
    <w:rsid w:val="00E50692"/>
    <w:rsid w:val="00E506E0"/>
    <w:rsid w:val="00E50719"/>
    <w:rsid w:val="00E50A5C"/>
    <w:rsid w:val="00E50B12"/>
    <w:rsid w:val="00E50C72"/>
    <w:rsid w:val="00E50F00"/>
    <w:rsid w:val="00E51397"/>
    <w:rsid w:val="00E51732"/>
    <w:rsid w:val="00E51B1D"/>
    <w:rsid w:val="00E51CCE"/>
    <w:rsid w:val="00E51CD0"/>
    <w:rsid w:val="00E51D0C"/>
    <w:rsid w:val="00E51D17"/>
    <w:rsid w:val="00E51E21"/>
    <w:rsid w:val="00E51E5A"/>
    <w:rsid w:val="00E523FB"/>
    <w:rsid w:val="00E52416"/>
    <w:rsid w:val="00E5244E"/>
    <w:rsid w:val="00E5284C"/>
    <w:rsid w:val="00E5286B"/>
    <w:rsid w:val="00E52D6C"/>
    <w:rsid w:val="00E52ED0"/>
    <w:rsid w:val="00E5302A"/>
    <w:rsid w:val="00E532B7"/>
    <w:rsid w:val="00E53476"/>
    <w:rsid w:val="00E534E5"/>
    <w:rsid w:val="00E536A0"/>
    <w:rsid w:val="00E536B4"/>
    <w:rsid w:val="00E536BD"/>
    <w:rsid w:val="00E5383F"/>
    <w:rsid w:val="00E539F2"/>
    <w:rsid w:val="00E53FAA"/>
    <w:rsid w:val="00E53FE9"/>
    <w:rsid w:val="00E5400B"/>
    <w:rsid w:val="00E54206"/>
    <w:rsid w:val="00E542CC"/>
    <w:rsid w:val="00E542D8"/>
    <w:rsid w:val="00E54342"/>
    <w:rsid w:val="00E54563"/>
    <w:rsid w:val="00E5459A"/>
    <w:rsid w:val="00E54609"/>
    <w:rsid w:val="00E54AE8"/>
    <w:rsid w:val="00E54ED2"/>
    <w:rsid w:val="00E54F96"/>
    <w:rsid w:val="00E55321"/>
    <w:rsid w:val="00E553D9"/>
    <w:rsid w:val="00E5559B"/>
    <w:rsid w:val="00E55608"/>
    <w:rsid w:val="00E556A9"/>
    <w:rsid w:val="00E557D3"/>
    <w:rsid w:val="00E55913"/>
    <w:rsid w:val="00E55B80"/>
    <w:rsid w:val="00E55C23"/>
    <w:rsid w:val="00E55C29"/>
    <w:rsid w:val="00E55E07"/>
    <w:rsid w:val="00E55E9C"/>
    <w:rsid w:val="00E55EE6"/>
    <w:rsid w:val="00E55FB3"/>
    <w:rsid w:val="00E560D2"/>
    <w:rsid w:val="00E5641C"/>
    <w:rsid w:val="00E566BB"/>
    <w:rsid w:val="00E56748"/>
    <w:rsid w:val="00E56AD6"/>
    <w:rsid w:val="00E56ADF"/>
    <w:rsid w:val="00E56B4F"/>
    <w:rsid w:val="00E56C2C"/>
    <w:rsid w:val="00E56DDA"/>
    <w:rsid w:val="00E56E15"/>
    <w:rsid w:val="00E570DB"/>
    <w:rsid w:val="00E572C1"/>
    <w:rsid w:val="00E57374"/>
    <w:rsid w:val="00E573BE"/>
    <w:rsid w:val="00E574EF"/>
    <w:rsid w:val="00E57573"/>
    <w:rsid w:val="00E575EF"/>
    <w:rsid w:val="00E578AD"/>
    <w:rsid w:val="00E57994"/>
    <w:rsid w:val="00E57A7F"/>
    <w:rsid w:val="00E57B27"/>
    <w:rsid w:val="00E57FB6"/>
    <w:rsid w:val="00E60078"/>
    <w:rsid w:val="00E600B3"/>
    <w:rsid w:val="00E60149"/>
    <w:rsid w:val="00E603DD"/>
    <w:rsid w:val="00E60405"/>
    <w:rsid w:val="00E60423"/>
    <w:rsid w:val="00E607C7"/>
    <w:rsid w:val="00E608B9"/>
    <w:rsid w:val="00E60978"/>
    <w:rsid w:val="00E60C5E"/>
    <w:rsid w:val="00E60DF7"/>
    <w:rsid w:val="00E60E7D"/>
    <w:rsid w:val="00E61266"/>
    <w:rsid w:val="00E616CE"/>
    <w:rsid w:val="00E61787"/>
    <w:rsid w:val="00E617A7"/>
    <w:rsid w:val="00E619BE"/>
    <w:rsid w:val="00E61A22"/>
    <w:rsid w:val="00E61A3E"/>
    <w:rsid w:val="00E61A54"/>
    <w:rsid w:val="00E61D50"/>
    <w:rsid w:val="00E61E55"/>
    <w:rsid w:val="00E61E6F"/>
    <w:rsid w:val="00E61EC3"/>
    <w:rsid w:val="00E6231B"/>
    <w:rsid w:val="00E6235F"/>
    <w:rsid w:val="00E62632"/>
    <w:rsid w:val="00E62931"/>
    <w:rsid w:val="00E62951"/>
    <w:rsid w:val="00E629C9"/>
    <w:rsid w:val="00E62AFF"/>
    <w:rsid w:val="00E62CFF"/>
    <w:rsid w:val="00E62DCE"/>
    <w:rsid w:val="00E62EB5"/>
    <w:rsid w:val="00E62F87"/>
    <w:rsid w:val="00E630AB"/>
    <w:rsid w:val="00E6311A"/>
    <w:rsid w:val="00E6319F"/>
    <w:rsid w:val="00E631F7"/>
    <w:rsid w:val="00E63283"/>
    <w:rsid w:val="00E63485"/>
    <w:rsid w:val="00E634F4"/>
    <w:rsid w:val="00E63560"/>
    <w:rsid w:val="00E635B8"/>
    <w:rsid w:val="00E635FF"/>
    <w:rsid w:val="00E63605"/>
    <w:rsid w:val="00E636E7"/>
    <w:rsid w:val="00E636F4"/>
    <w:rsid w:val="00E63709"/>
    <w:rsid w:val="00E638A2"/>
    <w:rsid w:val="00E63AEE"/>
    <w:rsid w:val="00E64285"/>
    <w:rsid w:val="00E64508"/>
    <w:rsid w:val="00E64637"/>
    <w:rsid w:val="00E646D2"/>
    <w:rsid w:val="00E64A2B"/>
    <w:rsid w:val="00E64B45"/>
    <w:rsid w:val="00E64E4A"/>
    <w:rsid w:val="00E64FB2"/>
    <w:rsid w:val="00E650DD"/>
    <w:rsid w:val="00E653FD"/>
    <w:rsid w:val="00E656C0"/>
    <w:rsid w:val="00E657AB"/>
    <w:rsid w:val="00E65B30"/>
    <w:rsid w:val="00E65B56"/>
    <w:rsid w:val="00E65BA2"/>
    <w:rsid w:val="00E65C9C"/>
    <w:rsid w:val="00E65D58"/>
    <w:rsid w:val="00E65F89"/>
    <w:rsid w:val="00E66032"/>
    <w:rsid w:val="00E66104"/>
    <w:rsid w:val="00E66312"/>
    <w:rsid w:val="00E663AE"/>
    <w:rsid w:val="00E6644C"/>
    <w:rsid w:val="00E666EE"/>
    <w:rsid w:val="00E6688C"/>
    <w:rsid w:val="00E66A49"/>
    <w:rsid w:val="00E66B78"/>
    <w:rsid w:val="00E66E37"/>
    <w:rsid w:val="00E66E9D"/>
    <w:rsid w:val="00E670C5"/>
    <w:rsid w:val="00E670E7"/>
    <w:rsid w:val="00E67858"/>
    <w:rsid w:val="00E67B32"/>
    <w:rsid w:val="00E67D6F"/>
    <w:rsid w:val="00E67E64"/>
    <w:rsid w:val="00E67FBE"/>
    <w:rsid w:val="00E70011"/>
    <w:rsid w:val="00E70020"/>
    <w:rsid w:val="00E700FB"/>
    <w:rsid w:val="00E7034D"/>
    <w:rsid w:val="00E70906"/>
    <w:rsid w:val="00E70B2E"/>
    <w:rsid w:val="00E710E2"/>
    <w:rsid w:val="00E711D6"/>
    <w:rsid w:val="00E7125F"/>
    <w:rsid w:val="00E71398"/>
    <w:rsid w:val="00E71538"/>
    <w:rsid w:val="00E71647"/>
    <w:rsid w:val="00E717EA"/>
    <w:rsid w:val="00E71898"/>
    <w:rsid w:val="00E71A2A"/>
    <w:rsid w:val="00E71A95"/>
    <w:rsid w:val="00E71B5C"/>
    <w:rsid w:val="00E71BC2"/>
    <w:rsid w:val="00E71FBD"/>
    <w:rsid w:val="00E72088"/>
    <w:rsid w:val="00E720CE"/>
    <w:rsid w:val="00E72260"/>
    <w:rsid w:val="00E723F9"/>
    <w:rsid w:val="00E724DA"/>
    <w:rsid w:val="00E725B4"/>
    <w:rsid w:val="00E72923"/>
    <w:rsid w:val="00E72A6E"/>
    <w:rsid w:val="00E72A9F"/>
    <w:rsid w:val="00E72D8B"/>
    <w:rsid w:val="00E7306A"/>
    <w:rsid w:val="00E732B5"/>
    <w:rsid w:val="00E732C5"/>
    <w:rsid w:val="00E73310"/>
    <w:rsid w:val="00E73361"/>
    <w:rsid w:val="00E734EF"/>
    <w:rsid w:val="00E735D2"/>
    <w:rsid w:val="00E736B8"/>
    <w:rsid w:val="00E7383D"/>
    <w:rsid w:val="00E73AFD"/>
    <w:rsid w:val="00E73B2C"/>
    <w:rsid w:val="00E73B3D"/>
    <w:rsid w:val="00E73C13"/>
    <w:rsid w:val="00E73D88"/>
    <w:rsid w:val="00E73F4B"/>
    <w:rsid w:val="00E73F56"/>
    <w:rsid w:val="00E73F6D"/>
    <w:rsid w:val="00E74065"/>
    <w:rsid w:val="00E74385"/>
    <w:rsid w:val="00E7445C"/>
    <w:rsid w:val="00E745D5"/>
    <w:rsid w:val="00E74739"/>
    <w:rsid w:val="00E74C4A"/>
    <w:rsid w:val="00E74C76"/>
    <w:rsid w:val="00E7541A"/>
    <w:rsid w:val="00E75451"/>
    <w:rsid w:val="00E75592"/>
    <w:rsid w:val="00E755ED"/>
    <w:rsid w:val="00E7573B"/>
    <w:rsid w:val="00E758A2"/>
    <w:rsid w:val="00E75C54"/>
    <w:rsid w:val="00E75FB7"/>
    <w:rsid w:val="00E7641D"/>
    <w:rsid w:val="00E76450"/>
    <w:rsid w:val="00E768EF"/>
    <w:rsid w:val="00E76BEC"/>
    <w:rsid w:val="00E76F95"/>
    <w:rsid w:val="00E77043"/>
    <w:rsid w:val="00E77553"/>
    <w:rsid w:val="00E775B1"/>
    <w:rsid w:val="00E77696"/>
    <w:rsid w:val="00E77BE3"/>
    <w:rsid w:val="00E77C9C"/>
    <w:rsid w:val="00E77C9F"/>
    <w:rsid w:val="00E77E67"/>
    <w:rsid w:val="00E80007"/>
    <w:rsid w:val="00E8034A"/>
    <w:rsid w:val="00E80445"/>
    <w:rsid w:val="00E807FC"/>
    <w:rsid w:val="00E808B2"/>
    <w:rsid w:val="00E808B3"/>
    <w:rsid w:val="00E80967"/>
    <w:rsid w:val="00E80A78"/>
    <w:rsid w:val="00E80D13"/>
    <w:rsid w:val="00E8197D"/>
    <w:rsid w:val="00E81A1A"/>
    <w:rsid w:val="00E81EF2"/>
    <w:rsid w:val="00E81F38"/>
    <w:rsid w:val="00E8212B"/>
    <w:rsid w:val="00E821AE"/>
    <w:rsid w:val="00E824AA"/>
    <w:rsid w:val="00E824FA"/>
    <w:rsid w:val="00E8264B"/>
    <w:rsid w:val="00E82725"/>
    <w:rsid w:val="00E82A06"/>
    <w:rsid w:val="00E82A0F"/>
    <w:rsid w:val="00E830B9"/>
    <w:rsid w:val="00E83263"/>
    <w:rsid w:val="00E83419"/>
    <w:rsid w:val="00E834A3"/>
    <w:rsid w:val="00E83540"/>
    <w:rsid w:val="00E83D4F"/>
    <w:rsid w:val="00E83E00"/>
    <w:rsid w:val="00E83EAA"/>
    <w:rsid w:val="00E83EF1"/>
    <w:rsid w:val="00E83F3A"/>
    <w:rsid w:val="00E83F9A"/>
    <w:rsid w:val="00E8400C"/>
    <w:rsid w:val="00E84079"/>
    <w:rsid w:val="00E84099"/>
    <w:rsid w:val="00E843B4"/>
    <w:rsid w:val="00E8477F"/>
    <w:rsid w:val="00E84A5C"/>
    <w:rsid w:val="00E84BC0"/>
    <w:rsid w:val="00E84D14"/>
    <w:rsid w:val="00E84DF7"/>
    <w:rsid w:val="00E84E88"/>
    <w:rsid w:val="00E84FCC"/>
    <w:rsid w:val="00E85555"/>
    <w:rsid w:val="00E85866"/>
    <w:rsid w:val="00E858F9"/>
    <w:rsid w:val="00E85983"/>
    <w:rsid w:val="00E85AF0"/>
    <w:rsid w:val="00E85DD5"/>
    <w:rsid w:val="00E86044"/>
    <w:rsid w:val="00E86082"/>
    <w:rsid w:val="00E860C9"/>
    <w:rsid w:val="00E86139"/>
    <w:rsid w:val="00E8618B"/>
    <w:rsid w:val="00E861C5"/>
    <w:rsid w:val="00E861DB"/>
    <w:rsid w:val="00E86317"/>
    <w:rsid w:val="00E8651D"/>
    <w:rsid w:val="00E86621"/>
    <w:rsid w:val="00E869F1"/>
    <w:rsid w:val="00E86BE7"/>
    <w:rsid w:val="00E86DF1"/>
    <w:rsid w:val="00E86E19"/>
    <w:rsid w:val="00E870EB"/>
    <w:rsid w:val="00E870F5"/>
    <w:rsid w:val="00E8710D"/>
    <w:rsid w:val="00E87416"/>
    <w:rsid w:val="00E8744E"/>
    <w:rsid w:val="00E87787"/>
    <w:rsid w:val="00E87970"/>
    <w:rsid w:val="00E87BC1"/>
    <w:rsid w:val="00E87DC7"/>
    <w:rsid w:val="00E87F9A"/>
    <w:rsid w:val="00E900EE"/>
    <w:rsid w:val="00E9029A"/>
    <w:rsid w:val="00E9042B"/>
    <w:rsid w:val="00E90618"/>
    <w:rsid w:val="00E90689"/>
    <w:rsid w:val="00E90741"/>
    <w:rsid w:val="00E9093A"/>
    <w:rsid w:val="00E9094A"/>
    <w:rsid w:val="00E909D6"/>
    <w:rsid w:val="00E909F5"/>
    <w:rsid w:val="00E90D27"/>
    <w:rsid w:val="00E91152"/>
    <w:rsid w:val="00E916EB"/>
    <w:rsid w:val="00E91DE1"/>
    <w:rsid w:val="00E91F47"/>
    <w:rsid w:val="00E922C8"/>
    <w:rsid w:val="00E92365"/>
    <w:rsid w:val="00E926F4"/>
    <w:rsid w:val="00E9279C"/>
    <w:rsid w:val="00E927CA"/>
    <w:rsid w:val="00E92828"/>
    <w:rsid w:val="00E928CE"/>
    <w:rsid w:val="00E92B7D"/>
    <w:rsid w:val="00E92E68"/>
    <w:rsid w:val="00E93192"/>
    <w:rsid w:val="00E9328F"/>
    <w:rsid w:val="00E932F4"/>
    <w:rsid w:val="00E933A7"/>
    <w:rsid w:val="00E933FD"/>
    <w:rsid w:val="00E935BA"/>
    <w:rsid w:val="00E938A6"/>
    <w:rsid w:val="00E93CF4"/>
    <w:rsid w:val="00E93D19"/>
    <w:rsid w:val="00E94084"/>
    <w:rsid w:val="00E94140"/>
    <w:rsid w:val="00E9427E"/>
    <w:rsid w:val="00E9459D"/>
    <w:rsid w:val="00E945A9"/>
    <w:rsid w:val="00E94607"/>
    <w:rsid w:val="00E9469F"/>
    <w:rsid w:val="00E946AE"/>
    <w:rsid w:val="00E94734"/>
    <w:rsid w:val="00E948F5"/>
    <w:rsid w:val="00E9497A"/>
    <w:rsid w:val="00E94AD7"/>
    <w:rsid w:val="00E94CB7"/>
    <w:rsid w:val="00E94E23"/>
    <w:rsid w:val="00E94EA1"/>
    <w:rsid w:val="00E95366"/>
    <w:rsid w:val="00E953B2"/>
    <w:rsid w:val="00E953C0"/>
    <w:rsid w:val="00E9548B"/>
    <w:rsid w:val="00E95589"/>
    <w:rsid w:val="00E95607"/>
    <w:rsid w:val="00E95A69"/>
    <w:rsid w:val="00E95D2D"/>
    <w:rsid w:val="00E96019"/>
    <w:rsid w:val="00E9635A"/>
    <w:rsid w:val="00E963DC"/>
    <w:rsid w:val="00E96728"/>
    <w:rsid w:val="00E9680F"/>
    <w:rsid w:val="00E96897"/>
    <w:rsid w:val="00E969C3"/>
    <w:rsid w:val="00E96BB6"/>
    <w:rsid w:val="00E97029"/>
    <w:rsid w:val="00E9707D"/>
    <w:rsid w:val="00E97135"/>
    <w:rsid w:val="00E97160"/>
    <w:rsid w:val="00E97239"/>
    <w:rsid w:val="00E9731C"/>
    <w:rsid w:val="00E973B1"/>
    <w:rsid w:val="00E97402"/>
    <w:rsid w:val="00E974DD"/>
    <w:rsid w:val="00E975E5"/>
    <w:rsid w:val="00E976E0"/>
    <w:rsid w:val="00E978C1"/>
    <w:rsid w:val="00E97A3F"/>
    <w:rsid w:val="00E97A54"/>
    <w:rsid w:val="00E97AC9"/>
    <w:rsid w:val="00E97BEA"/>
    <w:rsid w:val="00E97CBE"/>
    <w:rsid w:val="00E97CF5"/>
    <w:rsid w:val="00E97F23"/>
    <w:rsid w:val="00E97F58"/>
    <w:rsid w:val="00EA011C"/>
    <w:rsid w:val="00EA0256"/>
    <w:rsid w:val="00EA0307"/>
    <w:rsid w:val="00EA060B"/>
    <w:rsid w:val="00EA065F"/>
    <w:rsid w:val="00EA06B6"/>
    <w:rsid w:val="00EA09B8"/>
    <w:rsid w:val="00EA0BDB"/>
    <w:rsid w:val="00EA0C53"/>
    <w:rsid w:val="00EA0C87"/>
    <w:rsid w:val="00EA0D88"/>
    <w:rsid w:val="00EA0DEC"/>
    <w:rsid w:val="00EA0DEF"/>
    <w:rsid w:val="00EA0E17"/>
    <w:rsid w:val="00EA0FFA"/>
    <w:rsid w:val="00EA126B"/>
    <w:rsid w:val="00EA134E"/>
    <w:rsid w:val="00EA1363"/>
    <w:rsid w:val="00EA137C"/>
    <w:rsid w:val="00EA1407"/>
    <w:rsid w:val="00EA140A"/>
    <w:rsid w:val="00EA152D"/>
    <w:rsid w:val="00EA15AD"/>
    <w:rsid w:val="00EA15AF"/>
    <w:rsid w:val="00EA1A3F"/>
    <w:rsid w:val="00EA1B1A"/>
    <w:rsid w:val="00EA1B6C"/>
    <w:rsid w:val="00EA1B9A"/>
    <w:rsid w:val="00EA1D6C"/>
    <w:rsid w:val="00EA1E60"/>
    <w:rsid w:val="00EA1EB0"/>
    <w:rsid w:val="00EA2003"/>
    <w:rsid w:val="00EA209F"/>
    <w:rsid w:val="00EA2191"/>
    <w:rsid w:val="00EA22D6"/>
    <w:rsid w:val="00EA2429"/>
    <w:rsid w:val="00EA286F"/>
    <w:rsid w:val="00EA28E2"/>
    <w:rsid w:val="00EA2B2B"/>
    <w:rsid w:val="00EA2C3B"/>
    <w:rsid w:val="00EA2CC9"/>
    <w:rsid w:val="00EA3021"/>
    <w:rsid w:val="00EA30A0"/>
    <w:rsid w:val="00EA3120"/>
    <w:rsid w:val="00EA321F"/>
    <w:rsid w:val="00EA32EB"/>
    <w:rsid w:val="00EA3315"/>
    <w:rsid w:val="00EA338B"/>
    <w:rsid w:val="00EA3403"/>
    <w:rsid w:val="00EA38D1"/>
    <w:rsid w:val="00EA3924"/>
    <w:rsid w:val="00EA39D4"/>
    <w:rsid w:val="00EA3A0E"/>
    <w:rsid w:val="00EA3C40"/>
    <w:rsid w:val="00EA3E3A"/>
    <w:rsid w:val="00EA3F49"/>
    <w:rsid w:val="00EA4025"/>
    <w:rsid w:val="00EA4045"/>
    <w:rsid w:val="00EA4147"/>
    <w:rsid w:val="00EA426E"/>
    <w:rsid w:val="00EA4350"/>
    <w:rsid w:val="00EA4456"/>
    <w:rsid w:val="00EA44A7"/>
    <w:rsid w:val="00EA4534"/>
    <w:rsid w:val="00EA4644"/>
    <w:rsid w:val="00EA4668"/>
    <w:rsid w:val="00EA48D2"/>
    <w:rsid w:val="00EA4C4B"/>
    <w:rsid w:val="00EA4D5B"/>
    <w:rsid w:val="00EA4D68"/>
    <w:rsid w:val="00EA4F14"/>
    <w:rsid w:val="00EA505B"/>
    <w:rsid w:val="00EA526B"/>
    <w:rsid w:val="00EA52AD"/>
    <w:rsid w:val="00EA5566"/>
    <w:rsid w:val="00EA5743"/>
    <w:rsid w:val="00EA57C5"/>
    <w:rsid w:val="00EA5856"/>
    <w:rsid w:val="00EA5875"/>
    <w:rsid w:val="00EA58B7"/>
    <w:rsid w:val="00EA595B"/>
    <w:rsid w:val="00EA5CA3"/>
    <w:rsid w:val="00EA61A4"/>
    <w:rsid w:val="00EA62AF"/>
    <w:rsid w:val="00EA640C"/>
    <w:rsid w:val="00EA65E3"/>
    <w:rsid w:val="00EA6A04"/>
    <w:rsid w:val="00EA6B64"/>
    <w:rsid w:val="00EA6C37"/>
    <w:rsid w:val="00EA6D67"/>
    <w:rsid w:val="00EA6E9B"/>
    <w:rsid w:val="00EA6EA0"/>
    <w:rsid w:val="00EA6EDC"/>
    <w:rsid w:val="00EA708A"/>
    <w:rsid w:val="00EA7371"/>
    <w:rsid w:val="00EA787A"/>
    <w:rsid w:val="00EA7A11"/>
    <w:rsid w:val="00EA7A44"/>
    <w:rsid w:val="00EA7A86"/>
    <w:rsid w:val="00EA7AB1"/>
    <w:rsid w:val="00EA7BC3"/>
    <w:rsid w:val="00EA7CD7"/>
    <w:rsid w:val="00EA7D77"/>
    <w:rsid w:val="00EA7E2E"/>
    <w:rsid w:val="00EA7E8D"/>
    <w:rsid w:val="00EA7E9F"/>
    <w:rsid w:val="00EA7FEE"/>
    <w:rsid w:val="00EB04B2"/>
    <w:rsid w:val="00EB07A0"/>
    <w:rsid w:val="00EB08FE"/>
    <w:rsid w:val="00EB0960"/>
    <w:rsid w:val="00EB0AFF"/>
    <w:rsid w:val="00EB0CF9"/>
    <w:rsid w:val="00EB0D37"/>
    <w:rsid w:val="00EB0E44"/>
    <w:rsid w:val="00EB10AF"/>
    <w:rsid w:val="00EB11CA"/>
    <w:rsid w:val="00EB1366"/>
    <w:rsid w:val="00EB1492"/>
    <w:rsid w:val="00EB176A"/>
    <w:rsid w:val="00EB1C5A"/>
    <w:rsid w:val="00EB1CFB"/>
    <w:rsid w:val="00EB2117"/>
    <w:rsid w:val="00EB2267"/>
    <w:rsid w:val="00EB2487"/>
    <w:rsid w:val="00EB2694"/>
    <w:rsid w:val="00EB2779"/>
    <w:rsid w:val="00EB285C"/>
    <w:rsid w:val="00EB286E"/>
    <w:rsid w:val="00EB28DC"/>
    <w:rsid w:val="00EB290C"/>
    <w:rsid w:val="00EB2A61"/>
    <w:rsid w:val="00EB2AC0"/>
    <w:rsid w:val="00EB2CFE"/>
    <w:rsid w:val="00EB2D5E"/>
    <w:rsid w:val="00EB2E9C"/>
    <w:rsid w:val="00EB3146"/>
    <w:rsid w:val="00EB315F"/>
    <w:rsid w:val="00EB31C5"/>
    <w:rsid w:val="00EB31D5"/>
    <w:rsid w:val="00EB3318"/>
    <w:rsid w:val="00EB35A6"/>
    <w:rsid w:val="00EB3A00"/>
    <w:rsid w:val="00EB3C88"/>
    <w:rsid w:val="00EB3E26"/>
    <w:rsid w:val="00EB3EEE"/>
    <w:rsid w:val="00EB4010"/>
    <w:rsid w:val="00EB4048"/>
    <w:rsid w:val="00EB40EA"/>
    <w:rsid w:val="00EB417E"/>
    <w:rsid w:val="00EB4297"/>
    <w:rsid w:val="00EB4407"/>
    <w:rsid w:val="00EB443B"/>
    <w:rsid w:val="00EB4500"/>
    <w:rsid w:val="00EB472B"/>
    <w:rsid w:val="00EB474B"/>
    <w:rsid w:val="00EB48E2"/>
    <w:rsid w:val="00EB4985"/>
    <w:rsid w:val="00EB4A5D"/>
    <w:rsid w:val="00EB4B3C"/>
    <w:rsid w:val="00EB4CBF"/>
    <w:rsid w:val="00EB4D88"/>
    <w:rsid w:val="00EB4E8E"/>
    <w:rsid w:val="00EB4E94"/>
    <w:rsid w:val="00EB50BA"/>
    <w:rsid w:val="00EB5164"/>
    <w:rsid w:val="00EB52D9"/>
    <w:rsid w:val="00EB530D"/>
    <w:rsid w:val="00EB5393"/>
    <w:rsid w:val="00EB54D2"/>
    <w:rsid w:val="00EB5630"/>
    <w:rsid w:val="00EB5765"/>
    <w:rsid w:val="00EB57B0"/>
    <w:rsid w:val="00EB57B2"/>
    <w:rsid w:val="00EB57DB"/>
    <w:rsid w:val="00EB57DC"/>
    <w:rsid w:val="00EB57E8"/>
    <w:rsid w:val="00EB5892"/>
    <w:rsid w:val="00EB591D"/>
    <w:rsid w:val="00EB59CF"/>
    <w:rsid w:val="00EB59E3"/>
    <w:rsid w:val="00EB5A50"/>
    <w:rsid w:val="00EB5A83"/>
    <w:rsid w:val="00EB5ACD"/>
    <w:rsid w:val="00EB5E82"/>
    <w:rsid w:val="00EB613D"/>
    <w:rsid w:val="00EB6255"/>
    <w:rsid w:val="00EB6265"/>
    <w:rsid w:val="00EB63D9"/>
    <w:rsid w:val="00EB6497"/>
    <w:rsid w:val="00EB663B"/>
    <w:rsid w:val="00EB69E9"/>
    <w:rsid w:val="00EB69EC"/>
    <w:rsid w:val="00EB6A85"/>
    <w:rsid w:val="00EB6C12"/>
    <w:rsid w:val="00EB6CB3"/>
    <w:rsid w:val="00EB6D29"/>
    <w:rsid w:val="00EB715E"/>
    <w:rsid w:val="00EB7446"/>
    <w:rsid w:val="00EB766D"/>
    <w:rsid w:val="00EB790A"/>
    <w:rsid w:val="00EB795B"/>
    <w:rsid w:val="00EB79E0"/>
    <w:rsid w:val="00EB7A0B"/>
    <w:rsid w:val="00EB7D75"/>
    <w:rsid w:val="00EB7E9C"/>
    <w:rsid w:val="00EC0034"/>
    <w:rsid w:val="00EC00EE"/>
    <w:rsid w:val="00EC0254"/>
    <w:rsid w:val="00EC032B"/>
    <w:rsid w:val="00EC0719"/>
    <w:rsid w:val="00EC07B4"/>
    <w:rsid w:val="00EC09C2"/>
    <w:rsid w:val="00EC0B94"/>
    <w:rsid w:val="00EC0BE2"/>
    <w:rsid w:val="00EC10FC"/>
    <w:rsid w:val="00EC1167"/>
    <w:rsid w:val="00EC1171"/>
    <w:rsid w:val="00EC1296"/>
    <w:rsid w:val="00EC12AD"/>
    <w:rsid w:val="00EC12CE"/>
    <w:rsid w:val="00EC1741"/>
    <w:rsid w:val="00EC1747"/>
    <w:rsid w:val="00EC185B"/>
    <w:rsid w:val="00EC1865"/>
    <w:rsid w:val="00EC1AC7"/>
    <w:rsid w:val="00EC1E28"/>
    <w:rsid w:val="00EC1FC9"/>
    <w:rsid w:val="00EC228A"/>
    <w:rsid w:val="00EC2332"/>
    <w:rsid w:val="00EC2480"/>
    <w:rsid w:val="00EC2530"/>
    <w:rsid w:val="00EC2721"/>
    <w:rsid w:val="00EC27C2"/>
    <w:rsid w:val="00EC28D1"/>
    <w:rsid w:val="00EC290C"/>
    <w:rsid w:val="00EC2A15"/>
    <w:rsid w:val="00EC2BE4"/>
    <w:rsid w:val="00EC2C91"/>
    <w:rsid w:val="00EC2EE5"/>
    <w:rsid w:val="00EC2F8D"/>
    <w:rsid w:val="00EC32D3"/>
    <w:rsid w:val="00EC32DD"/>
    <w:rsid w:val="00EC335D"/>
    <w:rsid w:val="00EC34F4"/>
    <w:rsid w:val="00EC354C"/>
    <w:rsid w:val="00EC38B3"/>
    <w:rsid w:val="00EC39AD"/>
    <w:rsid w:val="00EC3BAA"/>
    <w:rsid w:val="00EC3C82"/>
    <w:rsid w:val="00EC3CDB"/>
    <w:rsid w:val="00EC3DF8"/>
    <w:rsid w:val="00EC3E7F"/>
    <w:rsid w:val="00EC4062"/>
    <w:rsid w:val="00EC41E3"/>
    <w:rsid w:val="00EC4235"/>
    <w:rsid w:val="00EC42F9"/>
    <w:rsid w:val="00EC4625"/>
    <w:rsid w:val="00EC4A3B"/>
    <w:rsid w:val="00EC4AF6"/>
    <w:rsid w:val="00EC5219"/>
    <w:rsid w:val="00EC5605"/>
    <w:rsid w:val="00EC5848"/>
    <w:rsid w:val="00EC5B46"/>
    <w:rsid w:val="00EC5E60"/>
    <w:rsid w:val="00EC5EFA"/>
    <w:rsid w:val="00EC63CE"/>
    <w:rsid w:val="00EC6403"/>
    <w:rsid w:val="00EC669F"/>
    <w:rsid w:val="00EC6766"/>
    <w:rsid w:val="00EC6ADF"/>
    <w:rsid w:val="00EC6B1D"/>
    <w:rsid w:val="00EC6D70"/>
    <w:rsid w:val="00EC727E"/>
    <w:rsid w:val="00EC7373"/>
    <w:rsid w:val="00EC752D"/>
    <w:rsid w:val="00EC759F"/>
    <w:rsid w:val="00EC7622"/>
    <w:rsid w:val="00EC76B0"/>
    <w:rsid w:val="00EC76CB"/>
    <w:rsid w:val="00EC77F1"/>
    <w:rsid w:val="00EC7825"/>
    <w:rsid w:val="00EC799C"/>
    <w:rsid w:val="00EC7C23"/>
    <w:rsid w:val="00EC7CA2"/>
    <w:rsid w:val="00EC7D5D"/>
    <w:rsid w:val="00EC7F17"/>
    <w:rsid w:val="00ED00E7"/>
    <w:rsid w:val="00ED02F9"/>
    <w:rsid w:val="00ED03C0"/>
    <w:rsid w:val="00ED04AF"/>
    <w:rsid w:val="00ED04B1"/>
    <w:rsid w:val="00ED05B3"/>
    <w:rsid w:val="00ED070B"/>
    <w:rsid w:val="00ED0765"/>
    <w:rsid w:val="00ED07ED"/>
    <w:rsid w:val="00ED0D84"/>
    <w:rsid w:val="00ED0FE9"/>
    <w:rsid w:val="00ED10BB"/>
    <w:rsid w:val="00ED1181"/>
    <w:rsid w:val="00ED11A0"/>
    <w:rsid w:val="00ED159B"/>
    <w:rsid w:val="00ED1615"/>
    <w:rsid w:val="00ED18A2"/>
    <w:rsid w:val="00ED1A2B"/>
    <w:rsid w:val="00ED1B7D"/>
    <w:rsid w:val="00ED1C21"/>
    <w:rsid w:val="00ED1CF3"/>
    <w:rsid w:val="00ED1DD7"/>
    <w:rsid w:val="00ED1FA8"/>
    <w:rsid w:val="00ED21BF"/>
    <w:rsid w:val="00ED2568"/>
    <w:rsid w:val="00ED25F6"/>
    <w:rsid w:val="00ED277D"/>
    <w:rsid w:val="00ED2885"/>
    <w:rsid w:val="00ED2942"/>
    <w:rsid w:val="00ED2952"/>
    <w:rsid w:val="00ED2987"/>
    <w:rsid w:val="00ED2A02"/>
    <w:rsid w:val="00ED2A8E"/>
    <w:rsid w:val="00ED2B62"/>
    <w:rsid w:val="00ED2CF6"/>
    <w:rsid w:val="00ED2FD0"/>
    <w:rsid w:val="00ED3260"/>
    <w:rsid w:val="00ED3281"/>
    <w:rsid w:val="00ED32E4"/>
    <w:rsid w:val="00ED3365"/>
    <w:rsid w:val="00ED352B"/>
    <w:rsid w:val="00ED3588"/>
    <w:rsid w:val="00ED35C3"/>
    <w:rsid w:val="00ED35D7"/>
    <w:rsid w:val="00ED37FB"/>
    <w:rsid w:val="00ED3B1F"/>
    <w:rsid w:val="00ED3B45"/>
    <w:rsid w:val="00ED3EAE"/>
    <w:rsid w:val="00ED410F"/>
    <w:rsid w:val="00ED419B"/>
    <w:rsid w:val="00ED42D6"/>
    <w:rsid w:val="00ED4319"/>
    <w:rsid w:val="00ED46F3"/>
    <w:rsid w:val="00ED4AC6"/>
    <w:rsid w:val="00ED4CB5"/>
    <w:rsid w:val="00ED4DF3"/>
    <w:rsid w:val="00ED4F26"/>
    <w:rsid w:val="00ED4F34"/>
    <w:rsid w:val="00ED5038"/>
    <w:rsid w:val="00ED5083"/>
    <w:rsid w:val="00ED517B"/>
    <w:rsid w:val="00ED524D"/>
    <w:rsid w:val="00ED52AA"/>
    <w:rsid w:val="00ED5426"/>
    <w:rsid w:val="00ED556C"/>
    <w:rsid w:val="00ED56A3"/>
    <w:rsid w:val="00ED5759"/>
    <w:rsid w:val="00ED57DF"/>
    <w:rsid w:val="00ED5BC0"/>
    <w:rsid w:val="00ED5BEB"/>
    <w:rsid w:val="00ED5D63"/>
    <w:rsid w:val="00ED5FB2"/>
    <w:rsid w:val="00ED60CF"/>
    <w:rsid w:val="00ED613A"/>
    <w:rsid w:val="00ED641B"/>
    <w:rsid w:val="00ED6499"/>
    <w:rsid w:val="00ED66CD"/>
    <w:rsid w:val="00ED6852"/>
    <w:rsid w:val="00ED6956"/>
    <w:rsid w:val="00ED7270"/>
    <w:rsid w:val="00ED72E6"/>
    <w:rsid w:val="00ED73F7"/>
    <w:rsid w:val="00ED7589"/>
    <w:rsid w:val="00ED77D0"/>
    <w:rsid w:val="00ED7880"/>
    <w:rsid w:val="00ED7903"/>
    <w:rsid w:val="00ED7924"/>
    <w:rsid w:val="00ED7B3A"/>
    <w:rsid w:val="00ED7B4A"/>
    <w:rsid w:val="00ED7BE5"/>
    <w:rsid w:val="00ED7E4B"/>
    <w:rsid w:val="00ED7E56"/>
    <w:rsid w:val="00ED7E73"/>
    <w:rsid w:val="00EE0504"/>
    <w:rsid w:val="00EE064F"/>
    <w:rsid w:val="00EE087D"/>
    <w:rsid w:val="00EE087F"/>
    <w:rsid w:val="00EE0882"/>
    <w:rsid w:val="00EE096C"/>
    <w:rsid w:val="00EE0CA3"/>
    <w:rsid w:val="00EE124B"/>
    <w:rsid w:val="00EE150F"/>
    <w:rsid w:val="00EE179E"/>
    <w:rsid w:val="00EE1D50"/>
    <w:rsid w:val="00EE1F0F"/>
    <w:rsid w:val="00EE1FC2"/>
    <w:rsid w:val="00EE21CA"/>
    <w:rsid w:val="00EE2322"/>
    <w:rsid w:val="00EE24D7"/>
    <w:rsid w:val="00EE250D"/>
    <w:rsid w:val="00EE27A7"/>
    <w:rsid w:val="00EE29E1"/>
    <w:rsid w:val="00EE2A69"/>
    <w:rsid w:val="00EE2C25"/>
    <w:rsid w:val="00EE2C3B"/>
    <w:rsid w:val="00EE2C49"/>
    <w:rsid w:val="00EE2C50"/>
    <w:rsid w:val="00EE2D72"/>
    <w:rsid w:val="00EE2EDA"/>
    <w:rsid w:val="00EE2F85"/>
    <w:rsid w:val="00EE30D4"/>
    <w:rsid w:val="00EE31A9"/>
    <w:rsid w:val="00EE31C4"/>
    <w:rsid w:val="00EE3379"/>
    <w:rsid w:val="00EE33B2"/>
    <w:rsid w:val="00EE3400"/>
    <w:rsid w:val="00EE3BBB"/>
    <w:rsid w:val="00EE3D4C"/>
    <w:rsid w:val="00EE3FA5"/>
    <w:rsid w:val="00EE4070"/>
    <w:rsid w:val="00EE4247"/>
    <w:rsid w:val="00EE42AC"/>
    <w:rsid w:val="00EE44FF"/>
    <w:rsid w:val="00EE4623"/>
    <w:rsid w:val="00EE47D2"/>
    <w:rsid w:val="00EE48CE"/>
    <w:rsid w:val="00EE4B36"/>
    <w:rsid w:val="00EE5077"/>
    <w:rsid w:val="00EE50B2"/>
    <w:rsid w:val="00EE5126"/>
    <w:rsid w:val="00EE5629"/>
    <w:rsid w:val="00EE5713"/>
    <w:rsid w:val="00EE5734"/>
    <w:rsid w:val="00EE58FB"/>
    <w:rsid w:val="00EE5B1C"/>
    <w:rsid w:val="00EE5E80"/>
    <w:rsid w:val="00EE5E9B"/>
    <w:rsid w:val="00EE5EFD"/>
    <w:rsid w:val="00EE5F8B"/>
    <w:rsid w:val="00EE61DC"/>
    <w:rsid w:val="00EE61E6"/>
    <w:rsid w:val="00EE6285"/>
    <w:rsid w:val="00EE6732"/>
    <w:rsid w:val="00EE68BD"/>
    <w:rsid w:val="00EE6C29"/>
    <w:rsid w:val="00EE6C4D"/>
    <w:rsid w:val="00EE6E22"/>
    <w:rsid w:val="00EE6F5A"/>
    <w:rsid w:val="00EE71D2"/>
    <w:rsid w:val="00EE7241"/>
    <w:rsid w:val="00EE7881"/>
    <w:rsid w:val="00EE79D5"/>
    <w:rsid w:val="00EE7BD9"/>
    <w:rsid w:val="00EE7F06"/>
    <w:rsid w:val="00EF00A4"/>
    <w:rsid w:val="00EF0391"/>
    <w:rsid w:val="00EF05DB"/>
    <w:rsid w:val="00EF0911"/>
    <w:rsid w:val="00EF0943"/>
    <w:rsid w:val="00EF0B98"/>
    <w:rsid w:val="00EF0C4C"/>
    <w:rsid w:val="00EF0DD6"/>
    <w:rsid w:val="00EF0E79"/>
    <w:rsid w:val="00EF100C"/>
    <w:rsid w:val="00EF1219"/>
    <w:rsid w:val="00EF1563"/>
    <w:rsid w:val="00EF17B9"/>
    <w:rsid w:val="00EF1F96"/>
    <w:rsid w:val="00EF1FB4"/>
    <w:rsid w:val="00EF2431"/>
    <w:rsid w:val="00EF265C"/>
    <w:rsid w:val="00EF26BF"/>
    <w:rsid w:val="00EF28F9"/>
    <w:rsid w:val="00EF2C0E"/>
    <w:rsid w:val="00EF2C87"/>
    <w:rsid w:val="00EF2D58"/>
    <w:rsid w:val="00EF337A"/>
    <w:rsid w:val="00EF36FC"/>
    <w:rsid w:val="00EF386D"/>
    <w:rsid w:val="00EF3A30"/>
    <w:rsid w:val="00EF3A7B"/>
    <w:rsid w:val="00EF3DB5"/>
    <w:rsid w:val="00EF3F20"/>
    <w:rsid w:val="00EF3FBE"/>
    <w:rsid w:val="00EF3FE4"/>
    <w:rsid w:val="00EF416E"/>
    <w:rsid w:val="00EF41D8"/>
    <w:rsid w:val="00EF41FA"/>
    <w:rsid w:val="00EF42C2"/>
    <w:rsid w:val="00EF45EF"/>
    <w:rsid w:val="00EF4667"/>
    <w:rsid w:val="00EF48C4"/>
    <w:rsid w:val="00EF494F"/>
    <w:rsid w:val="00EF497C"/>
    <w:rsid w:val="00EF4A82"/>
    <w:rsid w:val="00EF4AC3"/>
    <w:rsid w:val="00EF4CFB"/>
    <w:rsid w:val="00EF4D77"/>
    <w:rsid w:val="00EF4E4B"/>
    <w:rsid w:val="00EF4EA4"/>
    <w:rsid w:val="00EF4F3C"/>
    <w:rsid w:val="00EF51F1"/>
    <w:rsid w:val="00EF527F"/>
    <w:rsid w:val="00EF54D7"/>
    <w:rsid w:val="00EF55E9"/>
    <w:rsid w:val="00EF560D"/>
    <w:rsid w:val="00EF5911"/>
    <w:rsid w:val="00EF5955"/>
    <w:rsid w:val="00EF5B3A"/>
    <w:rsid w:val="00EF5B54"/>
    <w:rsid w:val="00EF5BDA"/>
    <w:rsid w:val="00EF5D9C"/>
    <w:rsid w:val="00EF5DDD"/>
    <w:rsid w:val="00EF5E97"/>
    <w:rsid w:val="00EF5EC5"/>
    <w:rsid w:val="00EF621C"/>
    <w:rsid w:val="00EF62C6"/>
    <w:rsid w:val="00EF6608"/>
    <w:rsid w:val="00EF6954"/>
    <w:rsid w:val="00EF69D1"/>
    <w:rsid w:val="00EF6A8A"/>
    <w:rsid w:val="00EF6B6E"/>
    <w:rsid w:val="00EF6C7E"/>
    <w:rsid w:val="00EF6E4B"/>
    <w:rsid w:val="00EF6EC1"/>
    <w:rsid w:val="00EF6F03"/>
    <w:rsid w:val="00EF6F53"/>
    <w:rsid w:val="00EF6FD9"/>
    <w:rsid w:val="00EF7033"/>
    <w:rsid w:val="00EF7063"/>
    <w:rsid w:val="00EF70D0"/>
    <w:rsid w:val="00EF7235"/>
    <w:rsid w:val="00EF7513"/>
    <w:rsid w:val="00EF77A7"/>
    <w:rsid w:val="00EF7913"/>
    <w:rsid w:val="00EF7A7B"/>
    <w:rsid w:val="00EF7AA1"/>
    <w:rsid w:val="00EF7C46"/>
    <w:rsid w:val="00EF7C66"/>
    <w:rsid w:val="00F0007A"/>
    <w:rsid w:val="00F000CA"/>
    <w:rsid w:val="00F0031B"/>
    <w:rsid w:val="00F00470"/>
    <w:rsid w:val="00F004A0"/>
    <w:rsid w:val="00F007B3"/>
    <w:rsid w:val="00F00ABC"/>
    <w:rsid w:val="00F00BA5"/>
    <w:rsid w:val="00F00DEC"/>
    <w:rsid w:val="00F00E0B"/>
    <w:rsid w:val="00F00EFB"/>
    <w:rsid w:val="00F00FF0"/>
    <w:rsid w:val="00F0103C"/>
    <w:rsid w:val="00F011D7"/>
    <w:rsid w:val="00F016F2"/>
    <w:rsid w:val="00F0171A"/>
    <w:rsid w:val="00F01720"/>
    <w:rsid w:val="00F018DD"/>
    <w:rsid w:val="00F01980"/>
    <w:rsid w:val="00F01A37"/>
    <w:rsid w:val="00F01CB3"/>
    <w:rsid w:val="00F01D37"/>
    <w:rsid w:val="00F01E6B"/>
    <w:rsid w:val="00F020BC"/>
    <w:rsid w:val="00F021D7"/>
    <w:rsid w:val="00F02581"/>
    <w:rsid w:val="00F0289F"/>
    <w:rsid w:val="00F029A8"/>
    <w:rsid w:val="00F02CB8"/>
    <w:rsid w:val="00F02D17"/>
    <w:rsid w:val="00F02D56"/>
    <w:rsid w:val="00F031DC"/>
    <w:rsid w:val="00F031E8"/>
    <w:rsid w:val="00F03552"/>
    <w:rsid w:val="00F03674"/>
    <w:rsid w:val="00F036AA"/>
    <w:rsid w:val="00F0388E"/>
    <w:rsid w:val="00F03BA6"/>
    <w:rsid w:val="00F03CE5"/>
    <w:rsid w:val="00F03D9C"/>
    <w:rsid w:val="00F03DED"/>
    <w:rsid w:val="00F03EB8"/>
    <w:rsid w:val="00F03F99"/>
    <w:rsid w:val="00F03FF1"/>
    <w:rsid w:val="00F0403D"/>
    <w:rsid w:val="00F04180"/>
    <w:rsid w:val="00F04807"/>
    <w:rsid w:val="00F04920"/>
    <w:rsid w:val="00F049AA"/>
    <w:rsid w:val="00F04A01"/>
    <w:rsid w:val="00F04E14"/>
    <w:rsid w:val="00F04EAE"/>
    <w:rsid w:val="00F04FD5"/>
    <w:rsid w:val="00F05048"/>
    <w:rsid w:val="00F05051"/>
    <w:rsid w:val="00F05176"/>
    <w:rsid w:val="00F052CE"/>
    <w:rsid w:val="00F052EF"/>
    <w:rsid w:val="00F054F1"/>
    <w:rsid w:val="00F057B3"/>
    <w:rsid w:val="00F058A9"/>
    <w:rsid w:val="00F05A8B"/>
    <w:rsid w:val="00F05C21"/>
    <w:rsid w:val="00F05D24"/>
    <w:rsid w:val="00F05E77"/>
    <w:rsid w:val="00F060BE"/>
    <w:rsid w:val="00F06199"/>
    <w:rsid w:val="00F062E3"/>
    <w:rsid w:val="00F06499"/>
    <w:rsid w:val="00F064FA"/>
    <w:rsid w:val="00F06578"/>
    <w:rsid w:val="00F06670"/>
    <w:rsid w:val="00F06A6C"/>
    <w:rsid w:val="00F06BCA"/>
    <w:rsid w:val="00F06C3C"/>
    <w:rsid w:val="00F06C58"/>
    <w:rsid w:val="00F06CF9"/>
    <w:rsid w:val="00F06D1C"/>
    <w:rsid w:val="00F06D8E"/>
    <w:rsid w:val="00F06F23"/>
    <w:rsid w:val="00F07069"/>
    <w:rsid w:val="00F070AD"/>
    <w:rsid w:val="00F07293"/>
    <w:rsid w:val="00F072F7"/>
    <w:rsid w:val="00F07550"/>
    <w:rsid w:val="00F07620"/>
    <w:rsid w:val="00F076C1"/>
    <w:rsid w:val="00F076D9"/>
    <w:rsid w:val="00F078C8"/>
    <w:rsid w:val="00F07B44"/>
    <w:rsid w:val="00F07C59"/>
    <w:rsid w:val="00F07D1A"/>
    <w:rsid w:val="00F07D52"/>
    <w:rsid w:val="00F07EF5"/>
    <w:rsid w:val="00F07F04"/>
    <w:rsid w:val="00F07FD3"/>
    <w:rsid w:val="00F100F3"/>
    <w:rsid w:val="00F1036D"/>
    <w:rsid w:val="00F103FA"/>
    <w:rsid w:val="00F104C8"/>
    <w:rsid w:val="00F1051C"/>
    <w:rsid w:val="00F1071E"/>
    <w:rsid w:val="00F10754"/>
    <w:rsid w:val="00F10801"/>
    <w:rsid w:val="00F10824"/>
    <w:rsid w:val="00F108A3"/>
    <w:rsid w:val="00F10B4B"/>
    <w:rsid w:val="00F10D22"/>
    <w:rsid w:val="00F10E02"/>
    <w:rsid w:val="00F11324"/>
    <w:rsid w:val="00F1144D"/>
    <w:rsid w:val="00F117EC"/>
    <w:rsid w:val="00F118A0"/>
    <w:rsid w:val="00F1199A"/>
    <w:rsid w:val="00F11A6C"/>
    <w:rsid w:val="00F11D90"/>
    <w:rsid w:val="00F11F08"/>
    <w:rsid w:val="00F12272"/>
    <w:rsid w:val="00F12457"/>
    <w:rsid w:val="00F12482"/>
    <w:rsid w:val="00F1254E"/>
    <w:rsid w:val="00F12849"/>
    <w:rsid w:val="00F128E8"/>
    <w:rsid w:val="00F129A7"/>
    <w:rsid w:val="00F12B6C"/>
    <w:rsid w:val="00F12BD0"/>
    <w:rsid w:val="00F12DED"/>
    <w:rsid w:val="00F132AB"/>
    <w:rsid w:val="00F133C7"/>
    <w:rsid w:val="00F13669"/>
    <w:rsid w:val="00F1374B"/>
    <w:rsid w:val="00F1384B"/>
    <w:rsid w:val="00F13A2F"/>
    <w:rsid w:val="00F140DA"/>
    <w:rsid w:val="00F14667"/>
    <w:rsid w:val="00F1478F"/>
    <w:rsid w:val="00F148E4"/>
    <w:rsid w:val="00F14DAD"/>
    <w:rsid w:val="00F150F3"/>
    <w:rsid w:val="00F15161"/>
    <w:rsid w:val="00F15398"/>
    <w:rsid w:val="00F1566B"/>
    <w:rsid w:val="00F159A9"/>
    <w:rsid w:val="00F15A75"/>
    <w:rsid w:val="00F15B6C"/>
    <w:rsid w:val="00F15D62"/>
    <w:rsid w:val="00F15DA2"/>
    <w:rsid w:val="00F15EEA"/>
    <w:rsid w:val="00F15F0C"/>
    <w:rsid w:val="00F16061"/>
    <w:rsid w:val="00F1622A"/>
    <w:rsid w:val="00F16262"/>
    <w:rsid w:val="00F16D4F"/>
    <w:rsid w:val="00F16D97"/>
    <w:rsid w:val="00F170CD"/>
    <w:rsid w:val="00F17188"/>
    <w:rsid w:val="00F171FC"/>
    <w:rsid w:val="00F1724B"/>
    <w:rsid w:val="00F17308"/>
    <w:rsid w:val="00F173B9"/>
    <w:rsid w:val="00F17772"/>
    <w:rsid w:val="00F178B7"/>
    <w:rsid w:val="00F1791F"/>
    <w:rsid w:val="00F17A19"/>
    <w:rsid w:val="00F17AEB"/>
    <w:rsid w:val="00F17B82"/>
    <w:rsid w:val="00F17E81"/>
    <w:rsid w:val="00F17F31"/>
    <w:rsid w:val="00F17FDD"/>
    <w:rsid w:val="00F2000F"/>
    <w:rsid w:val="00F20041"/>
    <w:rsid w:val="00F201FB"/>
    <w:rsid w:val="00F2043E"/>
    <w:rsid w:val="00F205E0"/>
    <w:rsid w:val="00F208F2"/>
    <w:rsid w:val="00F20F0A"/>
    <w:rsid w:val="00F21157"/>
    <w:rsid w:val="00F2121B"/>
    <w:rsid w:val="00F214A2"/>
    <w:rsid w:val="00F21690"/>
    <w:rsid w:val="00F21717"/>
    <w:rsid w:val="00F2188C"/>
    <w:rsid w:val="00F218C2"/>
    <w:rsid w:val="00F21A67"/>
    <w:rsid w:val="00F21B98"/>
    <w:rsid w:val="00F21BE2"/>
    <w:rsid w:val="00F21BF3"/>
    <w:rsid w:val="00F21C40"/>
    <w:rsid w:val="00F21CA0"/>
    <w:rsid w:val="00F2203E"/>
    <w:rsid w:val="00F22041"/>
    <w:rsid w:val="00F222E3"/>
    <w:rsid w:val="00F2243B"/>
    <w:rsid w:val="00F2245B"/>
    <w:rsid w:val="00F2268A"/>
    <w:rsid w:val="00F22910"/>
    <w:rsid w:val="00F22BA5"/>
    <w:rsid w:val="00F22DE4"/>
    <w:rsid w:val="00F2300C"/>
    <w:rsid w:val="00F231AA"/>
    <w:rsid w:val="00F23238"/>
    <w:rsid w:val="00F232AD"/>
    <w:rsid w:val="00F232D1"/>
    <w:rsid w:val="00F23307"/>
    <w:rsid w:val="00F234AA"/>
    <w:rsid w:val="00F23533"/>
    <w:rsid w:val="00F2355C"/>
    <w:rsid w:val="00F23871"/>
    <w:rsid w:val="00F23CC2"/>
    <w:rsid w:val="00F241BE"/>
    <w:rsid w:val="00F242E9"/>
    <w:rsid w:val="00F243CB"/>
    <w:rsid w:val="00F243E2"/>
    <w:rsid w:val="00F24413"/>
    <w:rsid w:val="00F247D2"/>
    <w:rsid w:val="00F24864"/>
    <w:rsid w:val="00F2491F"/>
    <w:rsid w:val="00F24CD9"/>
    <w:rsid w:val="00F24D44"/>
    <w:rsid w:val="00F24D4F"/>
    <w:rsid w:val="00F24E87"/>
    <w:rsid w:val="00F25080"/>
    <w:rsid w:val="00F2510A"/>
    <w:rsid w:val="00F256E8"/>
    <w:rsid w:val="00F258F2"/>
    <w:rsid w:val="00F25A31"/>
    <w:rsid w:val="00F25A62"/>
    <w:rsid w:val="00F25D57"/>
    <w:rsid w:val="00F25D69"/>
    <w:rsid w:val="00F25EA3"/>
    <w:rsid w:val="00F26080"/>
    <w:rsid w:val="00F260C2"/>
    <w:rsid w:val="00F260D1"/>
    <w:rsid w:val="00F26364"/>
    <w:rsid w:val="00F26A69"/>
    <w:rsid w:val="00F26BA6"/>
    <w:rsid w:val="00F26F5A"/>
    <w:rsid w:val="00F27168"/>
    <w:rsid w:val="00F271B0"/>
    <w:rsid w:val="00F27272"/>
    <w:rsid w:val="00F274E1"/>
    <w:rsid w:val="00F2770D"/>
    <w:rsid w:val="00F27ADD"/>
    <w:rsid w:val="00F27ADF"/>
    <w:rsid w:val="00F3011D"/>
    <w:rsid w:val="00F302BF"/>
    <w:rsid w:val="00F3030A"/>
    <w:rsid w:val="00F303CC"/>
    <w:rsid w:val="00F30776"/>
    <w:rsid w:val="00F30AC7"/>
    <w:rsid w:val="00F3141B"/>
    <w:rsid w:val="00F31460"/>
    <w:rsid w:val="00F315B0"/>
    <w:rsid w:val="00F318AC"/>
    <w:rsid w:val="00F31926"/>
    <w:rsid w:val="00F31AB4"/>
    <w:rsid w:val="00F31C61"/>
    <w:rsid w:val="00F31CDF"/>
    <w:rsid w:val="00F31DF5"/>
    <w:rsid w:val="00F31E53"/>
    <w:rsid w:val="00F31EC5"/>
    <w:rsid w:val="00F31EF6"/>
    <w:rsid w:val="00F31F3B"/>
    <w:rsid w:val="00F32000"/>
    <w:rsid w:val="00F32029"/>
    <w:rsid w:val="00F3248B"/>
    <w:rsid w:val="00F32514"/>
    <w:rsid w:val="00F3271B"/>
    <w:rsid w:val="00F32744"/>
    <w:rsid w:val="00F32810"/>
    <w:rsid w:val="00F32879"/>
    <w:rsid w:val="00F329F4"/>
    <w:rsid w:val="00F32BBA"/>
    <w:rsid w:val="00F32D1C"/>
    <w:rsid w:val="00F33084"/>
    <w:rsid w:val="00F33129"/>
    <w:rsid w:val="00F33394"/>
    <w:rsid w:val="00F33619"/>
    <w:rsid w:val="00F336FB"/>
    <w:rsid w:val="00F338A2"/>
    <w:rsid w:val="00F339AC"/>
    <w:rsid w:val="00F33AD5"/>
    <w:rsid w:val="00F33BA1"/>
    <w:rsid w:val="00F33CA4"/>
    <w:rsid w:val="00F33D34"/>
    <w:rsid w:val="00F33DDB"/>
    <w:rsid w:val="00F3410E"/>
    <w:rsid w:val="00F34282"/>
    <w:rsid w:val="00F343C8"/>
    <w:rsid w:val="00F3447A"/>
    <w:rsid w:val="00F34A63"/>
    <w:rsid w:val="00F34AAC"/>
    <w:rsid w:val="00F34BAA"/>
    <w:rsid w:val="00F34BC9"/>
    <w:rsid w:val="00F35034"/>
    <w:rsid w:val="00F35207"/>
    <w:rsid w:val="00F35371"/>
    <w:rsid w:val="00F3541A"/>
    <w:rsid w:val="00F355ED"/>
    <w:rsid w:val="00F356B4"/>
    <w:rsid w:val="00F35754"/>
    <w:rsid w:val="00F35AA1"/>
    <w:rsid w:val="00F35B22"/>
    <w:rsid w:val="00F35DC4"/>
    <w:rsid w:val="00F35E93"/>
    <w:rsid w:val="00F3616C"/>
    <w:rsid w:val="00F362BA"/>
    <w:rsid w:val="00F36304"/>
    <w:rsid w:val="00F36355"/>
    <w:rsid w:val="00F363BE"/>
    <w:rsid w:val="00F36726"/>
    <w:rsid w:val="00F36836"/>
    <w:rsid w:val="00F36A0D"/>
    <w:rsid w:val="00F36A9E"/>
    <w:rsid w:val="00F36AC0"/>
    <w:rsid w:val="00F36D20"/>
    <w:rsid w:val="00F36D21"/>
    <w:rsid w:val="00F36ED1"/>
    <w:rsid w:val="00F36FE2"/>
    <w:rsid w:val="00F37214"/>
    <w:rsid w:val="00F37267"/>
    <w:rsid w:val="00F374F3"/>
    <w:rsid w:val="00F375D2"/>
    <w:rsid w:val="00F37766"/>
    <w:rsid w:val="00F378F0"/>
    <w:rsid w:val="00F37A98"/>
    <w:rsid w:val="00F37C39"/>
    <w:rsid w:val="00F4022F"/>
    <w:rsid w:val="00F40298"/>
    <w:rsid w:val="00F403C6"/>
    <w:rsid w:val="00F40450"/>
    <w:rsid w:val="00F405E3"/>
    <w:rsid w:val="00F405F0"/>
    <w:rsid w:val="00F4099C"/>
    <w:rsid w:val="00F40B41"/>
    <w:rsid w:val="00F40B58"/>
    <w:rsid w:val="00F40C24"/>
    <w:rsid w:val="00F40E8E"/>
    <w:rsid w:val="00F413C9"/>
    <w:rsid w:val="00F413DA"/>
    <w:rsid w:val="00F41459"/>
    <w:rsid w:val="00F4151F"/>
    <w:rsid w:val="00F415C0"/>
    <w:rsid w:val="00F4170E"/>
    <w:rsid w:val="00F4177F"/>
    <w:rsid w:val="00F41AFF"/>
    <w:rsid w:val="00F41B10"/>
    <w:rsid w:val="00F41BFD"/>
    <w:rsid w:val="00F41C5B"/>
    <w:rsid w:val="00F41CD1"/>
    <w:rsid w:val="00F4243D"/>
    <w:rsid w:val="00F42443"/>
    <w:rsid w:val="00F4280F"/>
    <w:rsid w:val="00F428DE"/>
    <w:rsid w:val="00F42CD0"/>
    <w:rsid w:val="00F42DEE"/>
    <w:rsid w:val="00F43030"/>
    <w:rsid w:val="00F43069"/>
    <w:rsid w:val="00F4328E"/>
    <w:rsid w:val="00F4346E"/>
    <w:rsid w:val="00F434A6"/>
    <w:rsid w:val="00F43939"/>
    <w:rsid w:val="00F4393A"/>
    <w:rsid w:val="00F43A25"/>
    <w:rsid w:val="00F43A5B"/>
    <w:rsid w:val="00F43BC2"/>
    <w:rsid w:val="00F43C17"/>
    <w:rsid w:val="00F43CB0"/>
    <w:rsid w:val="00F43FF4"/>
    <w:rsid w:val="00F44255"/>
    <w:rsid w:val="00F44388"/>
    <w:rsid w:val="00F44516"/>
    <w:rsid w:val="00F446F1"/>
    <w:rsid w:val="00F447A7"/>
    <w:rsid w:val="00F448BB"/>
    <w:rsid w:val="00F44A67"/>
    <w:rsid w:val="00F44B98"/>
    <w:rsid w:val="00F44C73"/>
    <w:rsid w:val="00F44C8A"/>
    <w:rsid w:val="00F45068"/>
    <w:rsid w:val="00F45135"/>
    <w:rsid w:val="00F453B6"/>
    <w:rsid w:val="00F453C3"/>
    <w:rsid w:val="00F454C9"/>
    <w:rsid w:val="00F457ED"/>
    <w:rsid w:val="00F45C65"/>
    <w:rsid w:val="00F45CB2"/>
    <w:rsid w:val="00F45CEA"/>
    <w:rsid w:val="00F45E20"/>
    <w:rsid w:val="00F45E64"/>
    <w:rsid w:val="00F4609C"/>
    <w:rsid w:val="00F46297"/>
    <w:rsid w:val="00F462A9"/>
    <w:rsid w:val="00F4632D"/>
    <w:rsid w:val="00F46723"/>
    <w:rsid w:val="00F467A9"/>
    <w:rsid w:val="00F46AA3"/>
    <w:rsid w:val="00F46AF8"/>
    <w:rsid w:val="00F46B83"/>
    <w:rsid w:val="00F46B8F"/>
    <w:rsid w:val="00F46C2D"/>
    <w:rsid w:val="00F46C43"/>
    <w:rsid w:val="00F46CF5"/>
    <w:rsid w:val="00F471FA"/>
    <w:rsid w:val="00F471FE"/>
    <w:rsid w:val="00F4774A"/>
    <w:rsid w:val="00F47930"/>
    <w:rsid w:val="00F47AAF"/>
    <w:rsid w:val="00F47BB6"/>
    <w:rsid w:val="00F47CB8"/>
    <w:rsid w:val="00F47D5B"/>
    <w:rsid w:val="00F5023B"/>
    <w:rsid w:val="00F50474"/>
    <w:rsid w:val="00F507BF"/>
    <w:rsid w:val="00F507D3"/>
    <w:rsid w:val="00F50804"/>
    <w:rsid w:val="00F50912"/>
    <w:rsid w:val="00F50CEF"/>
    <w:rsid w:val="00F50EA4"/>
    <w:rsid w:val="00F51017"/>
    <w:rsid w:val="00F510DA"/>
    <w:rsid w:val="00F512E9"/>
    <w:rsid w:val="00F5132F"/>
    <w:rsid w:val="00F51493"/>
    <w:rsid w:val="00F516B8"/>
    <w:rsid w:val="00F51B7F"/>
    <w:rsid w:val="00F51B89"/>
    <w:rsid w:val="00F51F7C"/>
    <w:rsid w:val="00F51FC4"/>
    <w:rsid w:val="00F52364"/>
    <w:rsid w:val="00F52377"/>
    <w:rsid w:val="00F527E8"/>
    <w:rsid w:val="00F529A2"/>
    <w:rsid w:val="00F52ACF"/>
    <w:rsid w:val="00F52DED"/>
    <w:rsid w:val="00F52E23"/>
    <w:rsid w:val="00F530F4"/>
    <w:rsid w:val="00F532C3"/>
    <w:rsid w:val="00F5331F"/>
    <w:rsid w:val="00F5334B"/>
    <w:rsid w:val="00F533D1"/>
    <w:rsid w:val="00F5363A"/>
    <w:rsid w:val="00F539AF"/>
    <w:rsid w:val="00F53A56"/>
    <w:rsid w:val="00F53D02"/>
    <w:rsid w:val="00F53D3D"/>
    <w:rsid w:val="00F53E0B"/>
    <w:rsid w:val="00F54109"/>
    <w:rsid w:val="00F54438"/>
    <w:rsid w:val="00F545BE"/>
    <w:rsid w:val="00F54606"/>
    <w:rsid w:val="00F54718"/>
    <w:rsid w:val="00F54770"/>
    <w:rsid w:val="00F549F9"/>
    <w:rsid w:val="00F54ADB"/>
    <w:rsid w:val="00F54B8E"/>
    <w:rsid w:val="00F54C93"/>
    <w:rsid w:val="00F54D3E"/>
    <w:rsid w:val="00F54EE4"/>
    <w:rsid w:val="00F54F69"/>
    <w:rsid w:val="00F55192"/>
    <w:rsid w:val="00F55313"/>
    <w:rsid w:val="00F55590"/>
    <w:rsid w:val="00F555D9"/>
    <w:rsid w:val="00F555E6"/>
    <w:rsid w:val="00F5586F"/>
    <w:rsid w:val="00F5594D"/>
    <w:rsid w:val="00F560F8"/>
    <w:rsid w:val="00F56244"/>
    <w:rsid w:val="00F56407"/>
    <w:rsid w:val="00F564BB"/>
    <w:rsid w:val="00F566DF"/>
    <w:rsid w:val="00F56B2A"/>
    <w:rsid w:val="00F57047"/>
    <w:rsid w:val="00F570DD"/>
    <w:rsid w:val="00F570F2"/>
    <w:rsid w:val="00F570F4"/>
    <w:rsid w:val="00F57103"/>
    <w:rsid w:val="00F57592"/>
    <w:rsid w:val="00F57783"/>
    <w:rsid w:val="00F57C32"/>
    <w:rsid w:val="00F57C8C"/>
    <w:rsid w:val="00F57CB8"/>
    <w:rsid w:val="00F57D01"/>
    <w:rsid w:val="00F57E0C"/>
    <w:rsid w:val="00F57EF0"/>
    <w:rsid w:val="00F57F61"/>
    <w:rsid w:val="00F60328"/>
    <w:rsid w:val="00F6041E"/>
    <w:rsid w:val="00F60C10"/>
    <w:rsid w:val="00F60EE8"/>
    <w:rsid w:val="00F60FF7"/>
    <w:rsid w:val="00F61066"/>
    <w:rsid w:val="00F611B4"/>
    <w:rsid w:val="00F6133A"/>
    <w:rsid w:val="00F61ACE"/>
    <w:rsid w:val="00F61CD3"/>
    <w:rsid w:val="00F61F39"/>
    <w:rsid w:val="00F61F92"/>
    <w:rsid w:val="00F62250"/>
    <w:rsid w:val="00F6238E"/>
    <w:rsid w:val="00F6253D"/>
    <w:rsid w:val="00F62567"/>
    <w:rsid w:val="00F626FF"/>
    <w:rsid w:val="00F628FC"/>
    <w:rsid w:val="00F62A86"/>
    <w:rsid w:val="00F62B3C"/>
    <w:rsid w:val="00F62C70"/>
    <w:rsid w:val="00F62C76"/>
    <w:rsid w:val="00F62EEA"/>
    <w:rsid w:val="00F62F71"/>
    <w:rsid w:val="00F62F8E"/>
    <w:rsid w:val="00F63085"/>
    <w:rsid w:val="00F632CA"/>
    <w:rsid w:val="00F63338"/>
    <w:rsid w:val="00F634AF"/>
    <w:rsid w:val="00F6358B"/>
    <w:rsid w:val="00F635E6"/>
    <w:rsid w:val="00F635E8"/>
    <w:rsid w:val="00F6371D"/>
    <w:rsid w:val="00F63724"/>
    <w:rsid w:val="00F638C6"/>
    <w:rsid w:val="00F63990"/>
    <w:rsid w:val="00F63A5C"/>
    <w:rsid w:val="00F63CC3"/>
    <w:rsid w:val="00F63EC1"/>
    <w:rsid w:val="00F63F2C"/>
    <w:rsid w:val="00F64062"/>
    <w:rsid w:val="00F64116"/>
    <w:rsid w:val="00F642E7"/>
    <w:rsid w:val="00F64311"/>
    <w:rsid w:val="00F6471F"/>
    <w:rsid w:val="00F64853"/>
    <w:rsid w:val="00F6488D"/>
    <w:rsid w:val="00F64A78"/>
    <w:rsid w:val="00F64CB3"/>
    <w:rsid w:val="00F6513D"/>
    <w:rsid w:val="00F6530E"/>
    <w:rsid w:val="00F65342"/>
    <w:rsid w:val="00F6553E"/>
    <w:rsid w:val="00F65546"/>
    <w:rsid w:val="00F656DE"/>
    <w:rsid w:val="00F657B3"/>
    <w:rsid w:val="00F657E0"/>
    <w:rsid w:val="00F658E7"/>
    <w:rsid w:val="00F6597F"/>
    <w:rsid w:val="00F659FA"/>
    <w:rsid w:val="00F65A8A"/>
    <w:rsid w:val="00F65B90"/>
    <w:rsid w:val="00F65BB1"/>
    <w:rsid w:val="00F65C20"/>
    <w:rsid w:val="00F65D1C"/>
    <w:rsid w:val="00F65DCD"/>
    <w:rsid w:val="00F65E9A"/>
    <w:rsid w:val="00F65F02"/>
    <w:rsid w:val="00F6638C"/>
    <w:rsid w:val="00F66737"/>
    <w:rsid w:val="00F66774"/>
    <w:rsid w:val="00F66775"/>
    <w:rsid w:val="00F669F2"/>
    <w:rsid w:val="00F66BA8"/>
    <w:rsid w:val="00F66CEA"/>
    <w:rsid w:val="00F66E3D"/>
    <w:rsid w:val="00F67326"/>
    <w:rsid w:val="00F67396"/>
    <w:rsid w:val="00F67778"/>
    <w:rsid w:val="00F677BA"/>
    <w:rsid w:val="00F67927"/>
    <w:rsid w:val="00F67A82"/>
    <w:rsid w:val="00F67B7E"/>
    <w:rsid w:val="00F7002A"/>
    <w:rsid w:val="00F701E5"/>
    <w:rsid w:val="00F7052A"/>
    <w:rsid w:val="00F7053F"/>
    <w:rsid w:val="00F7057E"/>
    <w:rsid w:val="00F70823"/>
    <w:rsid w:val="00F7088E"/>
    <w:rsid w:val="00F70975"/>
    <w:rsid w:val="00F709B9"/>
    <w:rsid w:val="00F70A65"/>
    <w:rsid w:val="00F70AB3"/>
    <w:rsid w:val="00F70AC5"/>
    <w:rsid w:val="00F70DDF"/>
    <w:rsid w:val="00F70E30"/>
    <w:rsid w:val="00F70F63"/>
    <w:rsid w:val="00F71082"/>
    <w:rsid w:val="00F712D0"/>
    <w:rsid w:val="00F71653"/>
    <w:rsid w:val="00F717E0"/>
    <w:rsid w:val="00F71A15"/>
    <w:rsid w:val="00F71AB6"/>
    <w:rsid w:val="00F71C6B"/>
    <w:rsid w:val="00F71CF2"/>
    <w:rsid w:val="00F71D33"/>
    <w:rsid w:val="00F71E16"/>
    <w:rsid w:val="00F71E4A"/>
    <w:rsid w:val="00F71ECE"/>
    <w:rsid w:val="00F7213C"/>
    <w:rsid w:val="00F721F0"/>
    <w:rsid w:val="00F72294"/>
    <w:rsid w:val="00F72338"/>
    <w:rsid w:val="00F72555"/>
    <w:rsid w:val="00F726E5"/>
    <w:rsid w:val="00F72826"/>
    <w:rsid w:val="00F72A0F"/>
    <w:rsid w:val="00F72B58"/>
    <w:rsid w:val="00F72C24"/>
    <w:rsid w:val="00F72D39"/>
    <w:rsid w:val="00F72E36"/>
    <w:rsid w:val="00F72F91"/>
    <w:rsid w:val="00F72FBE"/>
    <w:rsid w:val="00F730FE"/>
    <w:rsid w:val="00F732C1"/>
    <w:rsid w:val="00F73385"/>
    <w:rsid w:val="00F7356B"/>
    <w:rsid w:val="00F7394D"/>
    <w:rsid w:val="00F73EFC"/>
    <w:rsid w:val="00F740DC"/>
    <w:rsid w:val="00F741A6"/>
    <w:rsid w:val="00F741D3"/>
    <w:rsid w:val="00F74287"/>
    <w:rsid w:val="00F74298"/>
    <w:rsid w:val="00F742AC"/>
    <w:rsid w:val="00F745C4"/>
    <w:rsid w:val="00F74667"/>
    <w:rsid w:val="00F747D9"/>
    <w:rsid w:val="00F749B2"/>
    <w:rsid w:val="00F74A7A"/>
    <w:rsid w:val="00F74DFF"/>
    <w:rsid w:val="00F74E11"/>
    <w:rsid w:val="00F74E36"/>
    <w:rsid w:val="00F74E6D"/>
    <w:rsid w:val="00F74EAF"/>
    <w:rsid w:val="00F750D1"/>
    <w:rsid w:val="00F752CE"/>
    <w:rsid w:val="00F752DE"/>
    <w:rsid w:val="00F752F0"/>
    <w:rsid w:val="00F7535D"/>
    <w:rsid w:val="00F754EF"/>
    <w:rsid w:val="00F7570A"/>
    <w:rsid w:val="00F75747"/>
    <w:rsid w:val="00F757AA"/>
    <w:rsid w:val="00F75BBA"/>
    <w:rsid w:val="00F75BD0"/>
    <w:rsid w:val="00F75E69"/>
    <w:rsid w:val="00F75ED4"/>
    <w:rsid w:val="00F75F3C"/>
    <w:rsid w:val="00F75F79"/>
    <w:rsid w:val="00F76079"/>
    <w:rsid w:val="00F76687"/>
    <w:rsid w:val="00F76734"/>
    <w:rsid w:val="00F76C20"/>
    <w:rsid w:val="00F77027"/>
    <w:rsid w:val="00F77136"/>
    <w:rsid w:val="00F773BA"/>
    <w:rsid w:val="00F77494"/>
    <w:rsid w:val="00F7760C"/>
    <w:rsid w:val="00F779B1"/>
    <w:rsid w:val="00F77C30"/>
    <w:rsid w:val="00F800FB"/>
    <w:rsid w:val="00F8014B"/>
    <w:rsid w:val="00F80291"/>
    <w:rsid w:val="00F8045F"/>
    <w:rsid w:val="00F8066C"/>
    <w:rsid w:val="00F806E1"/>
    <w:rsid w:val="00F80703"/>
    <w:rsid w:val="00F80900"/>
    <w:rsid w:val="00F809C4"/>
    <w:rsid w:val="00F80AAA"/>
    <w:rsid w:val="00F80B4D"/>
    <w:rsid w:val="00F80B79"/>
    <w:rsid w:val="00F80BC8"/>
    <w:rsid w:val="00F80E20"/>
    <w:rsid w:val="00F80E22"/>
    <w:rsid w:val="00F80F3D"/>
    <w:rsid w:val="00F8123B"/>
    <w:rsid w:val="00F81497"/>
    <w:rsid w:val="00F81523"/>
    <w:rsid w:val="00F81583"/>
    <w:rsid w:val="00F81643"/>
    <w:rsid w:val="00F81649"/>
    <w:rsid w:val="00F81B99"/>
    <w:rsid w:val="00F81BC1"/>
    <w:rsid w:val="00F81D6D"/>
    <w:rsid w:val="00F81F83"/>
    <w:rsid w:val="00F8200F"/>
    <w:rsid w:val="00F82012"/>
    <w:rsid w:val="00F822D3"/>
    <w:rsid w:val="00F824AC"/>
    <w:rsid w:val="00F8256A"/>
    <w:rsid w:val="00F82675"/>
    <w:rsid w:val="00F8268F"/>
    <w:rsid w:val="00F82832"/>
    <w:rsid w:val="00F82947"/>
    <w:rsid w:val="00F82A74"/>
    <w:rsid w:val="00F82C6B"/>
    <w:rsid w:val="00F82C87"/>
    <w:rsid w:val="00F82C9A"/>
    <w:rsid w:val="00F82CE4"/>
    <w:rsid w:val="00F830CC"/>
    <w:rsid w:val="00F83374"/>
    <w:rsid w:val="00F834C6"/>
    <w:rsid w:val="00F834D5"/>
    <w:rsid w:val="00F836CE"/>
    <w:rsid w:val="00F83755"/>
    <w:rsid w:val="00F837C1"/>
    <w:rsid w:val="00F8383B"/>
    <w:rsid w:val="00F8398A"/>
    <w:rsid w:val="00F83AA5"/>
    <w:rsid w:val="00F83B2A"/>
    <w:rsid w:val="00F83B6E"/>
    <w:rsid w:val="00F83BE4"/>
    <w:rsid w:val="00F83E74"/>
    <w:rsid w:val="00F83E90"/>
    <w:rsid w:val="00F83F97"/>
    <w:rsid w:val="00F840FF"/>
    <w:rsid w:val="00F842B4"/>
    <w:rsid w:val="00F843A0"/>
    <w:rsid w:val="00F84494"/>
    <w:rsid w:val="00F84551"/>
    <w:rsid w:val="00F847DC"/>
    <w:rsid w:val="00F84850"/>
    <w:rsid w:val="00F84901"/>
    <w:rsid w:val="00F84A13"/>
    <w:rsid w:val="00F84BE9"/>
    <w:rsid w:val="00F84E31"/>
    <w:rsid w:val="00F84E32"/>
    <w:rsid w:val="00F85057"/>
    <w:rsid w:val="00F85061"/>
    <w:rsid w:val="00F85257"/>
    <w:rsid w:val="00F8525D"/>
    <w:rsid w:val="00F85287"/>
    <w:rsid w:val="00F85615"/>
    <w:rsid w:val="00F85881"/>
    <w:rsid w:val="00F858FB"/>
    <w:rsid w:val="00F859A3"/>
    <w:rsid w:val="00F859F1"/>
    <w:rsid w:val="00F85BC2"/>
    <w:rsid w:val="00F85C1E"/>
    <w:rsid w:val="00F85F72"/>
    <w:rsid w:val="00F85FB2"/>
    <w:rsid w:val="00F86012"/>
    <w:rsid w:val="00F8608D"/>
    <w:rsid w:val="00F8643C"/>
    <w:rsid w:val="00F8643D"/>
    <w:rsid w:val="00F86471"/>
    <w:rsid w:val="00F8652F"/>
    <w:rsid w:val="00F866FD"/>
    <w:rsid w:val="00F8673D"/>
    <w:rsid w:val="00F8694D"/>
    <w:rsid w:val="00F869BF"/>
    <w:rsid w:val="00F86A32"/>
    <w:rsid w:val="00F86A3D"/>
    <w:rsid w:val="00F86BAD"/>
    <w:rsid w:val="00F86BCD"/>
    <w:rsid w:val="00F86C54"/>
    <w:rsid w:val="00F86DE5"/>
    <w:rsid w:val="00F87092"/>
    <w:rsid w:val="00F8714D"/>
    <w:rsid w:val="00F871C8"/>
    <w:rsid w:val="00F872D6"/>
    <w:rsid w:val="00F87339"/>
    <w:rsid w:val="00F8770D"/>
    <w:rsid w:val="00F87758"/>
    <w:rsid w:val="00F87E34"/>
    <w:rsid w:val="00F901C0"/>
    <w:rsid w:val="00F9039C"/>
    <w:rsid w:val="00F90405"/>
    <w:rsid w:val="00F90437"/>
    <w:rsid w:val="00F905D9"/>
    <w:rsid w:val="00F905F5"/>
    <w:rsid w:val="00F907C5"/>
    <w:rsid w:val="00F909CD"/>
    <w:rsid w:val="00F90FD7"/>
    <w:rsid w:val="00F910D1"/>
    <w:rsid w:val="00F911B6"/>
    <w:rsid w:val="00F913DD"/>
    <w:rsid w:val="00F91476"/>
    <w:rsid w:val="00F915FD"/>
    <w:rsid w:val="00F91956"/>
    <w:rsid w:val="00F91BE2"/>
    <w:rsid w:val="00F91D0E"/>
    <w:rsid w:val="00F91ED9"/>
    <w:rsid w:val="00F91F32"/>
    <w:rsid w:val="00F92587"/>
    <w:rsid w:val="00F92689"/>
    <w:rsid w:val="00F92717"/>
    <w:rsid w:val="00F92779"/>
    <w:rsid w:val="00F92790"/>
    <w:rsid w:val="00F927B9"/>
    <w:rsid w:val="00F92890"/>
    <w:rsid w:val="00F92925"/>
    <w:rsid w:val="00F929AE"/>
    <w:rsid w:val="00F929BB"/>
    <w:rsid w:val="00F92AF8"/>
    <w:rsid w:val="00F92BDE"/>
    <w:rsid w:val="00F92CA2"/>
    <w:rsid w:val="00F92D84"/>
    <w:rsid w:val="00F92E17"/>
    <w:rsid w:val="00F92F0E"/>
    <w:rsid w:val="00F93051"/>
    <w:rsid w:val="00F930AA"/>
    <w:rsid w:val="00F9331E"/>
    <w:rsid w:val="00F93358"/>
    <w:rsid w:val="00F93397"/>
    <w:rsid w:val="00F933C8"/>
    <w:rsid w:val="00F9356A"/>
    <w:rsid w:val="00F935D1"/>
    <w:rsid w:val="00F936EE"/>
    <w:rsid w:val="00F9385F"/>
    <w:rsid w:val="00F9387B"/>
    <w:rsid w:val="00F93AAC"/>
    <w:rsid w:val="00F93B7B"/>
    <w:rsid w:val="00F93E6E"/>
    <w:rsid w:val="00F93FD6"/>
    <w:rsid w:val="00F9411E"/>
    <w:rsid w:val="00F94338"/>
    <w:rsid w:val="00F945AE"/>
    <w:rsid w:val="00F94700"/>
    <w:rsid w:val="00F9490A"/>
    <w:rsid w:val="00F94A70"/>
    <w:rsid w:val="00F94B8B"/>
    <w:rsid w:val="00F94BCD"/>
    <w:rsid w:val="00F94C9F"/>
    <w:rsid w:val="00F94E11"/>
    <w:rsid w:val="00F9540B"/>
    <w:rsid w:val="00F95413"/>
    <w:rsid w:val="00F954E7"/>
    <w:rsid w:val="00F95888"/>
    <w:rsid w:val="00F95C38"/>
    <w:rsid w:val="00F95CA2"/>
    <w:rsid w:val="00F95CB4"/>
    <w:rsid w:val="00F95CC3"/>
    <w:rsid w:val="00F95E8B"/>
    <w:rsid w:val="00F95EE9"/>
    <w:rsid w:val="00F962A4"/>
    <w:rsid w:val="00F9635D"/>
    <w:rsid w:val="00F9645D"/>
    <w:rsid w:val="00F96498"/>
    <w:rsid w:val="00F967E4"/>
    <w:rsid w:val="00F967F1"/>
    <w:rsid w:val="00F96A47"/>
    <w:rsid w:val="00F96C1C"/>
    <w:rsid w:val="00F971CC"/>
    <w:rsid w:val="00F9727E"/>
    <w:rsid w:val="00F972AB"/>
    <w:rsid w:val="00F973A4"/>
    <w:rsid w:val="00F9767C"/>
    <w:rsid w:val="00F9769D"/>
    <w:rsid w:val="00F97972"/>
    <w:rsid w:val="00F979F2"/>
    <w:rsid w:val="00F97CA2"/>
    <w:rsid w:val="00F97D90"/>
    <w:rsid w:val="00F97EDE"/>
    <w:rsid w:val="00F97F1E"/>
    <w:rsid w:val="00FA00B7"/>
    <w:rsid w:val="00FA0148"/>
    <w:rsid w:val="00FA022A"/>
    <w:rsid w:val="00FA0332"/>
    <w:rsid w:val="00FA0467"/>
    <w:rsid w:val="00FA04C0"/>
    <w:rsid w:val="00FA0624"/>
    <w:rsid w:val="00FA07AF"/>
    <w:rsid w:val="00FA0812"/>
    <w:rsid w:val="00FA09B2"/>
    <w:rsid w:val="00FA0DCA"/>
    <w:rsid w:val="00FA130E"/>
    <w:rsid w:val="00FA137A"/>
    <w:rsid w:val="00FA15CD"/>
    <w:rsid w:val="00FA16CA"/>
    <w:rsid w:val="00FA1820"/>
    <w:rsid w:val="00FA19C3"/>
    <w:rsid w:val="00FA1A34"/>
    <w:rsid w:val="00FA1C64"/>
    <w:rsid w:val="00FA1D06"/>
    <w:rsid w:val="00FA1DCA"/>
    <w:rsid w:val="00FA1E82"/>
    <w:rsid w:val="00FA1F2C"/>
    <w:rsid w:val="00FA2009"/>
    <w:rsid w:val="00FA2021"/>
    <w:rsid w:val="00FA20BF"/>
    <w:rsid w:val="00FA238A"/>
    <w:rsid w:val="00FA2580"/>
    <w:rsid w:val="00FA2661"/>
    <w:rsid w:val="00FA26FB"/>
    <w:rsid w:val="00FA29FA"/>
    <w:rsid w:val="00FA2B91"/>
    <w:rsid w:val="00FA2D10"/>
    <w:rsid w:val="00FA3071"/>
    <w:rsid w:val="00FA31E3"/>
    <w:rsid w:val="00FA344A"/>
    <w:rsid w:val="00FA3566"/>
    <w:rsid w:val="00FA361C"/>
    <w:rsid w:val="00FA3659"/>
    <w:rsid w:val="00FA3688"/>
    <w:rsid w:val="00FA36A0"/>
    <w:rsid w:val="00FA39FD"/>
    <w:rsid w:val="00FA3BB1"/>
    <w:rsid w:val="00FA3BD8"/>
    <w:rsid w:val="00FA3F84"/>
    <w:rsid w:val="00FA3FFD"/>
    <w:rsid w:val="00FA434D"/>
    <w:rsid w:val="00FA4EA9"/>
    <w:rsid w:val="00FA53D8"/>
    <w:rsid w:val="00FA54EE"/>
    <w:rsid w:val="00FA5879"/>
    <w:rsid w:val="00FA5C01"/>
    <w:rsid w:val="00FA5D99"/>
    <w:rsid w:val="00FA5DFC"/>
    <w:rsid w:val="00FA5E38"/>
    <w:rsid w:val="00FA5ED5"/>
    <w:rsid w:val="00FA5F19"/>
    <w:rsid w:val="00FA61FB"/>
    <w:rsid w:val="00FA6210"/>
    <w:rsid w:val="00FA63A6"/>
    <w:rsid w:val="00FA6755"/>
    <w:rsid w:val="00FA683E"/>
    <w:rsid w:val="00FA6B30"/>
    <w:rsid w:val="00FA6ED2"/>
    <w:rsid w:val="00FA7A4E"/>
    <w:rsid w:val="00FA7BBF"/>
    <w:rsid w:val="00FA7D8C"/>
    <w:rsid w:val="00FA7EC3"/>
    <w:rsid w:val="00FA7EED"/>
    <w:rsid w:val="00FB00D9"/>
    <w:rsid w:val="00FB0118"/>
    <w:rsid w:val="00FB0234"/>
    <w:rsid w:val="00FB06DC"/>
    <w:rsid w:val="00FB06F8"/>
    <w:rsid w:val="00FB0A00"/>
    <w:rsid w:val="00FB0A9B"/>
    <w:rsid w:val="00FB0CC1"/>
    <w:rsid w:val="00FB0D3A"/>
    <w:rsid w:val="00FB0E2B"/>
    <w:rsid w:val="00FB13D0"/>
    <w:rsid w:val="00FB1490"/>
    <w:rsid w:val="00FB1571"/>
    <w:rsid w:val="00FB177A"/>
    <w:rsid w:val="00FB17D0"/>
    <w:rsid w:val="00FB1995"/>
    <w:rsid w:val="00FB1BEB"/>
    <w:rsid w:val="00FB1CEE"/>
    <w:rsid w:val="00FB1D9B"/>
    <w:rsid w:val="00FB1DD6"/>
    <w:rsid w:val="00FB22B2"/>
    <w:rsid w:val="00FB2320"/>
    <w:rsid w:val="00FB254C"/>
    <w:rsid w:val="00FB262B"/>
    <w:rsid w:val="00FB27B5"/>
    <w:rsid w:val="00FB28D1"/>
    <w:rsid w:val="00FB28FA"/>
    <w:rsid w:val="00FB29F2"/>
    <w:rsid w:val="00FB2D56"/>
    <w:rsid w:val="00FB2DEA"/>
    <w:rsid w:val="00FB3099"/>
    <w:rsid w:val="00FB30A1"/>
    <w:rsid w:val="00FB3207"/>
    <w:rsid w:val="00FB3354"/>
    <w:rsid w:val="00FB3466"/>
    <w:rsid w:val="00FB34CD"/>
    <w:rsid w:val="00FB3513"/>
    <w:rsid w:val="00FB3618"/>
    <w:rsid w:val="00FB36F3"/>
    <w:rsid w:val="00FB37EA"/>
    <w:rsid w:val="00FB38BA"/>
    <w:rsid w:val="00FB3946"/>
    <w:rsid w:val="00FB3C16"/>
    <w:rsid w:val="00FB3CE1"/>
    <w:rsid w:val="00FB3DA5"/>
    <w:rsid w:val="00FB3E6F"/>
    <w:rsid w:val="00FB3F3D"/>
    <w:rsid w:val="00FB4182"/>
    <w:rsid w:val="00FB42E8"/>
    <w:rsid w:val="00FB45FD"/>
    <w:rsid w:val="00FB48D0"/>
    <w:rsid w:val="00FB492B"/>
    <w:rsid w:val="00FB4E43"/>
    <w:rsid w:val="00FB4F5C"/>
    <w:rsid w:val="00FB4FA7"/>
    <w:rsid w:val="00FB51B3"/>
    <w:rsid w:val="00FB551A"/>
    <w:rsid w:val="00FB55A3"/>
    <w:rsid w:val="00FB55E9"/>
    <w:rsid w:val="00FB560E"/>
    <w:rsid w:val="00FB571D"/>
    <w:rsid w:val="00FB5A42"/>
    <w:rsid w:val="00FB5A4F"/>
    <w:rsid w:val="00FB5B80"/>
    <w:rsid w:val="00FB5CD1"/>
    <w:rsid w:val="00FB5D20"/>
    <w:rsid w:val="00FB5D2E"/>
    <w:rsid w:val="00FB62D9"/>
    <w:rsid w:val="00FB63A6"/>
    <w:rsid w:val="00FB642C"/>
    <w:rsid w:val="00FB644C"/>
    <w:rsid w:val="00FB67B5"/>
    <w:rsid w:val="00FB68AA"/>
    <w:rsid w:val="00FB692B"/>
    <w:rsid w:val="00FB6E34"/>
    <w:rsid w:val="00FB7031"/>
    <w:rsid w:val="00FB7762"/>
    <w:rsid w:val="00FB777F"/>
    <w:rsid w:val="00FB7787"/>
    <w:rsid w:val="00FB7800"/>
    <w:rsid w:val="00FB7814"/>
    <w:rsid w:val="00FB78E5"/>
    <w:rsid w:val="00FB7C5A"/>
    <w:rsid w:val="00FB7C63"/>
    <w:rsid w:val="00FB7F43"/>
    <w:rsid w:val="00FB7F7F"/>
    <w:rsid w:val="00FB7FE0"/>
    <w:rsid w:val="00FBE1CD"/>
    <w:rsid w:val="00FC01EC"/>
    <w:rsid w:val="00FC030C"/>
    <w:rsid w:val="00FC03B0"/>
    <w:rsid w:val="00FC05EE"/>
    <w:rsid w:val="00FC084F"/>
    <w:rsid w:val="00FC0860"/>
    <w:rsid w:val="00FC0DCC"/>
    <w:rsid w:val="00FC10AC"/>
    <w:rsid w:val="00FC11C2"/>
    <w:rsid w:val="00FC1704"/>
    <w:rsid w:val="00FC1B8B"/>
    <w:rsid w:val="00FC1BA7"/>
    <w:rsid w:val="00FC1D88"/>
    <w:rsid w:val="00FC1D9D"/>
    <w:rsid w:val="00FC1DFA"/>
    <w:rsid w:val="00FC1E07"/>
    <w:rsid w:val="00FC1E70"/>
    <w:rsid w:val="00FC269D"/>
    <w:rsid w:val="00FC2762"/>
    <w:rsid w:val="00FC287F"/>
    <w:rsid w:val="00FC297B"/>
    <w:rsid w:val="00FC2AE4"/>
    <w:rsid w:val="00FC2CC0"/>
    <w:rsid w:val="00FC2D98"/>
    <w:rsid w:val="00FC2F02"/>
    <w:rsid w:val="00FC300E"/>
    <w:rsid w:val="00FC30DF"/>
    <w:rsid w:val="00FC3115"/>
    <w:rsid w:val="00FC32D8"/>
    <w:rsid w:val="00FC3339"/>
    <w:rsid w:val="00FC3379"/>
    <w:rsid w:val="00FC33BD"/>
    <w:rsid w:val="00FC34B8"/>
    <w:rsid w:val="00FC353F"/>
    <w:rsid w:val="00FC3782"/>
    <w:rsid w:val="00FC3908"/>
    <w:rsid w:val="00FC394F"/>
    <w:rsid w:val="00FC3A52"/>
    <w:rsid w:val="00FC3B99"/>
    <w:rsid w:val="00FC3C9F"/>
    <w:rsid w:val="00FC407B"/>
    <w:rsid w:val="00FC4095"/>
    <w:rsid w:val="00FC4175"/>
    <w:rsid w:val="00FC42B6"/>
    <w:rsid w:val="00FC4496"/>
    <w:rsid w:val="00FC4768"/>
    <w:rsid w:val="00FC4A10"/>
    <w:rsid w:val="00FC4B61"/>
    <w:rsid w:val="00FC4BAD"/>
    <w:rsid w:val="00FC4C31"/>
    <w:rsid w:val="00FC4EB9"/>
    <w:rsid w:val="00FC514C"/>
    <w:rsid w:val="00FC5239"/>
    <w:rsid w:val="00FC54FC"/>
    <w:rsid w:val="00FC557E"/>
    <w:rsid w:val="00FC55B4"/>
    <w:rsid w:val="00FC5720"/>
    <w:rsid w:val="00FC57CA"/>
    <w:rsid w:val="00FC57F4"/>
    <w:rsid w:val="00FC5CF4"/>
    <w:rsid w:val="00FC5F33"/>
    <w:rsid w:val="00FC6064"/>
    <w:rsid w:val="00FC6096"/>
    <w:rsid w:val="00FC6158"/>
    <w:rsid w:val="00FC63D2"/>
    <w:rsid w:val="00FC64AD"/>
    <w:rsid w:val="00FC671E"/>
    <w:rsid w:val="00FC6B0F"/>
    <w:rsid w:val="00FC6BAD"/>
    <w:rsid w:val="00FC6C49"/>
    <w:rsid w:val="00FC6D02"/>
    <w:rsid w:val="00FC6D24"/>
    <w:rsid w:val="00FC70A0"/>
    <w:rsid w:val="00FC7213"/>
    <w:rsid w:val="00FC734F"/>
    <w:rsid w:val="00FC79C1"/>
    <w:rsid w:val="00FC7C10"/>
    <w:rsid w:val="00FC7CAC"/>
    <w:rsid w:val="00FC7E74"/>
    <w:rsid w:val="00FC7F24"/>
    <w:rsid w:val="00FD0273"/>
    <w:rsid w:val="00FD02C9"/>
    <w:rsid w:val="00FD0502"/>
    <w:rsid w:val="00FD077F"/>
    <w:rsid w:val="00FD082E"/>
    <w:rsid w:val="00FD0980"/>
    <w:rsid w:val="00FD09F7"/>
    <w:rsid w:val="00FD09FE"/>
    <w:rsid w:val="00FD0A58"/>
    <w:rsid w:val="00FD0B84"/>
    <w:rsid w:val="00FD0C58"/>
    <w:rsid w:val="00FD0E10"/>
    <w:rsid w:val="00FD0F11"/>
    <w:rsid w:val="00FD113A"/>
    <w:rsid w:val="00FD1143"/>
    <w:rsid w:val="00FD13E4"/>
    <w:rsid w:val="00FD17F2"/>
    <w:rsid w:val="00FD1954"/>
    <w:rsid w:val="00FD1D45"/>
    <w:rsid w:val="00FD1F08"/>
    <w:rsid w:val="00FD1F3C"/>
    <w:rsid w:val="00FD1FED"/>
    <w:rsid w:val="00FD2166"/>
    <w:rsid w:val="00FD2332"/>
    <w:rsid w:val="00FD24AC"/>
    <w:rsid w:val="00FD267D"/>
    <w:rsid w:val="00FD298A"/>
    <w:rsid w:val="00FD2A25"/>
    <w:rsid w:val="00FD2B02"/>
    <w:rsid w:val="00FD2B82"/>
    <w:rsid w:val="00FD2BBA"/>
    <w:rsid w:val="00FD2F03"/>
    <w:rsid w:val="00FD2F92"/>
    <w:rsid w:val="00FD3026"/>
    <w:rsid w:val="00FD3073"/>
    <w:rsid w:val="00FD3191"/>
    <w:rsid w:val="00FD341B"/>
    <w:rsid w:val="00FD341E"/>
    <w:rsid w:val="00FD35D7"/>
    <w:rsid w:val="00FD3AC6"/>
    <w:rsid w:val="00FD3B9F"/>
    <w:rsid w:val="00FD3CAF"/>
    <w:rsid w:val="00FD3D0F"/>
    <w:rsid w:val="00FD3E90"/>
    <w:rsid w:val="00FD4167"/>
    <w:rsid w:val="00FD45F2"/>
    <w:rsid w:val="00FD46D5"/>
    <w:rsid w:val="00FD4771"/>
    <w:rsid w:val="00FD47CD"/>
    <w:rsid w:val="00FD4870"/>
    <w:rsid w:val="00FD4B76"/>
    <w:rsid w:val="00FD4BD5"/>
    <w:rsid w:val="00FD4C1B"/>
    <w:rsid w:val="00FD4C9B"/>
    <w:rsid w:val="00FD4CB4"/>
    <w:rsid w:val="00FD4D28"/>
    <w:rsid w:val="00FD4DEF"/>
    <w:rsid w:val="00FD4FB9"/>
    <w:rsid w:val="00FD525C"/>
    <w:rsid w:val="00FD538C"/>
    <w:rsid w:val="00FD5404"/>
    <w:rsid w:val="00FD543F"/>
    <w:rsid w:val="00FD5517"/>
    <w:rsid w:val="00FD552E"/>
    <w:rsid w:val="00FD5531"/>
    <w:rsid w:val="00FD56E9"/>
    <w:rsid w:val="00FD589E"/>
    <w:rsid w:val="00FD595D"/>
    <w:rsid w:val="00FD5AC4"/>
    <w:rsid w:val="00FD5AEF"/>
    <w:rsid w:val="00FD5D1C"/>
    <w:rsid w:val="00FD5D45"/>
    <w:rsid w:val="00FD6238"/>
    <w:rsid w:val="00FD62D6"/>
    <w:rsid w:val="00FD6627"/>
    <w:rsid w:val="00FD6687"/>
    <w:rsid w:val="00FD66DE"/>
    <w:rsid w:val="00FD6767"/>
    <w:rsid w:val="00FD6895"/>
    <w:rsid w:val="00FD6BCF"/>
    <w:rsid w:val="00FD7197"/>
    <w:rsid w:val="00FD71BD"/>
    <w:rsid w:val="00FD7708"/>
    <w:rsid w:val="00FD770A"/>
    <w:rsid w:val="00FD775F"/>
    <w:rsid w:val="00FD7824"/>
    <w:rsid w:val="00FD7AA2"/>
    <w:rsid w:val="00FD7BB8"/>
    <w:rsid w:val="00FD7FC1"/>
    <w:rsid w:val="00FD7FC2"/>
    <w:rsid w:val="00FE041B"/>
    <w:rsid w:val="00FE05B9"/>
    <w:rsid w:val="00FE0670"/>
    <w:rsid w:val="00FE070B"/>
    <w:rsid w:val="00FE08DB"/>
    <w:rsid w:val="00FE09D9"/>
    <w:rsid w:val="00FE0C9A"/>
    <w:rsid w:val="00FE0DD0"/>
    <w:rsid w:val="00FE10A8"/>
    <w:rsid w:val="00FE1207"/>
    <w:rsid w:val="00FE169A"/>
    <w:rsid w:val="00FE1746"/>
    <w:rsid w:val="00FE19A7"/>
    <w:rsid w:val="00FE1A4F"/>
    <w:rsid w:val="00FE1F65"/>
    <w:rsid w:val="00FE2030"/>
    <w:rsid w:val="00FE218F"/>
    <w:rsid w:val="00FE264F"/>
    <w:rsid w:val="00FE292E"/>
    <w:rsid w:val="00FE2CAD"/>
    <w:rsid w:val="00FE2DFE"/>
    <w:rsid w:val="00FE2E18"/>
    <w:rsid w:val="00FE2E41"/>
    <w:rsid w:val="00FE310A"/>
    <w:rsid w:val="00FE31DD"/>
    <w:rsid w:val="00FE321D"/>
    <w:rsid w:val="00FE3233"/>
    <w:rsid w:val="00FE33B6"/>
    <w:rsid w:val="00FE342B"/>
    <w:rsid w:val="00FE348D"/>
    <w:rsid w:val="00FE3697"/>
    <w:rsid w:val="00FE37CE"/>
    <w:rsid w:val="00FE37EF"/>
    <w:rsid w:val="00FE38D3"/>
    <w:rsid w:val="00FE39BC"/>
    <w:rsid w:val="00FE3A3F"/>
    <w:rsid w:val="00FE3CB5"/>
    <w:rsid w:val="00FE3CD5"/>
    <w:rsid w:val="00FE3F5F"/>
    <w:rsid w:val="00FE3F81"/>
    <w:rsid w:val="00FE41C2"/>
    <w:rsid w:val="00FE4464"/>
    <w:rsid w:val="00FE4496"/>
    <w:rsid w:val="00FE4554"/>
    <w:rsid w:val="00FE4614"/>
    <w:rsid w:val="00FE486E"/>
    <w:rsid w:val="00FE4976"/>
    <w:rsid w:val="00FE4996"/>
    <w:rsid w:val="00FE49F8"/>
    <w:rsid w:val="00FE4A26"/>
    <w:rsid w:val="00FE4A45"/>
    <w:rsid w:val="00FE4B16"/>
    <w:rsid w:val="00FE4BF3"/>
    <w:rsid w:val="00FE4CC3"/>
    <w:rsid w:val="00FE4D27"/>
    <w:rsid w:val="00FE4DA3"/>
    <w:rsid w:val="00FE4DC2"/>
    <w:rsid w:val="00FE4DCF"/>
    <w:rsid w:val="00FE4FC2"/>
    <w:rsid w:val="00FE50C5"/>
    <w:rsid w:val="00FE51A1"/>
    <w:rsid w:val="00FE5262"/>
    <w:rsid w:val="00FE526E"/>
    <w:rsid w:val="00FE55DB"/>
    <w:rsid w:val="00FE5893"/>
    <w:rsid w:val="00FE58DC"/>
    <w:rsid w:val="00FE5C10"/>
    <w:rsid w:val="00FE5C69"/>
    <w:rsid w:val="00FE5CE7"/>
    <w:rsid w:val="00FE5D21"/>
    <w:rsid w:val="00FE5D9C"/>
    <w:rsid w:val="00FE5DBD"/>
    <w:rsid w:val="00FE5E95"/>
    <w:rsid w:val="00FE5F9F"/>
    <w:rsid w:val="00FE600F"/>
    <w:rsid w:val="00FE610A"/>
    <w:rsid w:val="00FE6170"/>
    <w:rsid w:val="00FE6698"/>
    <w:rsid w:val="00FE66A9"/>
    <w:rsid w:val="00FE6852"/>
    <w:rsid w:val="00FE6906"/>
    <w:rsid w:val="00FE6BD4"/>
    <w:rsid w:val="00FE6D82"/>
    <w:rsid w:val="00FE6FAB"/>
    <w:rsid w:val="00FE70E2"/>
    <w:rsid w:val="00FE72AD"/>
    <w:rsid w:val="00FE72B3"/>
    <w:rsid w:val="00FE75B3"/>
    <w:rsid w:val="00FE75FD"/>
    <w:rsid w:val="00FE7A31"/>
    <w:rsid w:val="00FE7B98"/>
    <w:rsid w:val="00FE7BCC"/>
    <w:rsid w:val="00FE7ED6"/>
    <w:rsid w:val="00FE7FC6"/>
    <w:rsid w:val="00FF0027"/>
    <w:rsid w:val="00FF01D6"/>
    <w:rsid w:val="00FF0204"/>
    <w:rsid w:val="00FF022C"/>
    <w:rsid w:val="00FF024A"/>
    <w:rsid w:val="00FF0408"/>
    <w:rsid w:val="00FF055D"/>
    <w:rsid w:val="00FF06DF"/>
    <w:rsid w:val="00FF07F5"/>
    <w:rsid w:val="00FF0867"/>
    <w:rsid w:val="00FF0963"/>
    <w:rsid w:val="00FF0A42"/>
    <w:rsid w:val="00FF0C6D"/>
    <w:rsid w:val="00FF0C7E"/>
    <w:rsid w:val="00FF0D47"/>
    <w:rsid w:val="00FF1199"/>
    <w:rsid w:val="00FF1373"/>
    <w:rsid w:val="00FF1651"/>
    <w:rsid w:val="00FF19FE"/>
    <w:rsid w:val="00FF1C4F"/>
    <w:rsid w:val="00FF1CEA"/>
    <w:rsid w:val="00FF1FC9"/>
    <w:rsid w:val="00FF2154"/>
    <w:rsid w:val="00FF2289"/>
    <w:rsid w:val="00FF22DB"/>
    <w:rsid w:val="00FF246F"/>
    <w:rsid w:val="00FF281C"/>
    <w:rsid w:val="00FF2830"/>
    <w:rsid w:val="00FF2894"/>
    <w:rsid w:val="00FF29E7"/>
    <w:rsid w:val="00FF2A75"/>
    <w:rsid w:val="00FF2EC3"/>
    <w:rsid w:val="00FF3019"/>
    <w:rsid w:val="00FF3087"/>
    <w:rsid w:val="00FF3412"/>
    <w:rsid w:val="00FF3623"/>
    <w:rsid w:val="00FF3D4A"/>
    <w:rsid w:val="00FF40F3"/>
    <w:rsid w:val="00FF428D"/>
    <w:rsid w:val="00FF479F"/>
    <w:rsid w:val="00FF4838"/>
    <w:rsid w:val="00FF4AEA"/>
    <w:rsid w:val="00FF4B28"/>
    <w:rsid w:val="00FF4BDD"/>
    <w:rsid w:val="00FF4C0C"/>
    <w:rsid w:val="00FF4E3F"/>
    <w:rsid w:val="00FF4FB3"/>
    <w:rsid w:val="00FF50DE"/>
    <w:rsid w:val="00FF53D4"/>
    <w:rsid w:val="00FF5433"/>
    <w:rsid w:val="00FF59B5"/>
    <w:rsid w:val="00FF5B3D"/>
    <w:rsid w:val="00FF6067"/>
    <w:rsid w:val="00FF6093"/>
    <w:rsid w:val="00FF6172"/>
    <w:rsid w:val="00FF6219"/>
    <w:rsid w:val="00FF6AFC"/>
    <w:rsid w:val="00FF6B1F"/>
    <w:rsid w:val="00FF6BEB"/>
    <w:rsid w:val="00FF6BEE"/>
    <w:rsid w:val="00FF7014"/>
    <w:rsid w:val="00FF727F"/>
    <w:rsid w:val="00FF7329"/>
    <w:rsid w:val="00FF7394"/>
    <w:rsid w:val="00FF73A1"/>
    <w:rsid w:val="00FF7897"/>
    <w:rsid w:val="00FF78B0"/>
    <w:rsid w:val="00FF78C9"/>
    <w:rsid w:val="00FF7914"/>
    <w:rsid w:val="00FF797A"/>
    <w:rsid w:val="00FF7C11"/>
    <w:rsid w:val="00FF7C8A"/>
    <w:rsid w:val="00FF7E38"/>
    <w:rsid w:val="00FF7E8C"/>
    <w:rsid w:val="00FF7E9A"/>
    <w:rsid w:val="010F2177"/>
    <w:rsid w:val="011535E9"/>
    <w:rsid w:val="011BED77"/>
    <w:rsid w:val="0121663B"/>
    <w:rsid w:val="0121EB3E"/>
    <w:rsid w:val="013245ED"/>
    <w:rsid w:val="0150A78F"/>
    <w:rsid w:val="015C532D"/>
    <w:rsid w:val="016BDE52"/>
    <w:rsid w:val="0170BD42"/>
    <w:rsid w:val="017D3115"/>
    <w:rsid w:val="0189A30A"/>
    <w:rsid w:val="018CF7AF"/>
    <w:rsid w:val="0192BF60"/>
    <w:rsid w:val="0197C8F5"/>
    <w:rsid w:val="019DD0B1"/>
    <w:rsid w:val="01AFB69B"/>
    <w:rsid w:val="01BA9951"/>
    <w:rsid w:val="01BBB6FE"/>
    <w:rsid w:val="01D532DE"/>
    <w:rsid w:val="01D83655"/>
    <w:rsid w:val="01DC9506"/>
    <w:rsid w:val="01E180A7"/>
    <w:rsid w:val="01E23133"/>
    <w:rsid w:val="01E842FC"/>
    <w:rsid w:val="01FEE00D"/>
    <w:rsid w:val="02009483"/>
    <w:rsid w:val="020C4585"/>
    <w:rsid w:val="022ED5BE"/>
    <w:rsid w:val="0233E788"/>
    <w:rsid w:val="0241B2CB"/>
    <w:rsid w:val="02448350"/>
    <w:rsid w:val="025319CF"/>
    <w:rsid w:val="0275A3B1"/>
    <w:rsid w:val="027A4B1D"/>
    <w:rsid w:val="0282EBE6"/>
    <w:rsid w:val="02B9754F"/>
    <w:rsid w:val="02BAECC4"/>
    <w:rsid w:val="02CEB7EB"/>
    <w:rsid w:val="02D51FF0"/>
    <w:rsid w:val="02E5CCCE"/>
    <w:rsid w:val="030AD18D"/>
    <w:rsid w:val="03137B6F"/>
    <w:rsid w:val="03168CAF"/>
    <w:rsid w:val="03271370"/>
    <w:rsid w:val="032C967D"/>
    <w:rsid w:val="032E69E3"/>
    <w:rsid w:val="0335397E"/>
    <w:rsid w:val="033DB73F"/>
    <w:rsid w:val="034DC652"/>
    <w:rsid w:val="0351FF0F"/>
    <w:rsid w:val="0361E9E5"/>
    <w:rsid w:val="03748C22"/>
    <w:rsid w:val="0380BE9A"/>
    <w:rsid w:val="0385F210"/>
    <w:rsid w:val="03A81829"/>
    <w:rsid w:val="03B3E1C4"/>
    <w:rsid w:val="03B98FE9"/>
    <w:rsid w:val="03BB510E"/>
    <w:rsid w:val="03BC6E1A"/>
    <w:rsid w:val="03C2CC27"/>
    <w:rsid w:val="03D931FD"/>
    <w:rsid w:val="03D9BA0D"/>
    <w:rsid w:val="03DB45F6"/>
    <w:rsid w:val="03EA899C"/>
    <w:rsid w:val="03EE28A1"/>
    <w:rsid w:val="03F66B6B"/>
    <w:rsid w:val="03FE2448"/>
    <w:rsid w:val="040136CE"/>
    <w:rsid w:val="040F4C20"/>
    <w:rsid w:val="0413ABD8"/>
    <w:rsid w:val="0416BBC7"/>
    <w:rsid w:val="04175976"/>
    <w:rsid w:val="042E1000"/>
    <w:rsid w:val="0439E1BF"/>
    <w:rsid w:val="043ADC9B"/>
    <w:rsid w:val="04507209"/>
    <w:rsid w:val="048033BE"/>
    <w:rsid w:val="0482C8FF"/>
    <w:rsid w:val="0485B8C3"/>
    <w:rsid w:val="048C4A63"/>
    <w:rsid w:val="04A74BFE"/>
    <w:rsid w:val="04AED130"/>
    <w:rsid w:val="04B17926"/>
    <w:rsid w:val="04BB564F"/>
    <w:rsid w:val="04CA1973"/>
    <w:rsid w:val="04D7A794"/>
    <w:rsid w:val="04DA2C77"/>
    <w:rsid w:val="04E4EC99"/>
    <w:rsid w:val="04F50920"/>
    <w:rsid w:val="050BEDCC"/>
    <w:rsid w:val="0525EC59"/>
    <w:rsid w:val="05436594"/>
    <w:rsid w:val="05502264"/>
    <w:rsid w:val="055C2F80"/>
    <w:rsid w:val="057AE072"/>
    <w:rsid w:val="058CFAE5"/>
    <w:rsid w:val="0595B443"/>
    <w:rsid w:val="059F6372"/>
    <w:rsid w:val="05B421A6"/>
    <w:rsid w:val="05C0011C"/>
    <w:rsid w:val="05C86147"/>
    <w:rsid w:val="05E4463D"/>
    <w:rsid w:val="05F9F78B"/>
    <w:rsid w:val="06019AB4"/>
    <w:rsid w:val="0603C702"/>
    <w:rsid w:val="060A66B3"/>
    <w:rsid w:val="060E9267"/>
    <w:rsid w:val="06101594"/>
    <w:rsid w:val="06107551"/>
    <w:rsid w:val="061C6DBC"/>
    <w:rsid w:val="0637D9BE"/>
    <w:rsid w:val="0645B4F2"/>
    <w:rsid w:val="06603EEB"/>
    <w:rsid w:val="0661FCD9"/>
    <w:rsid w:val="0664FD4B"/>
    <w:rsid w:val="067922C0"/>
    <w:rsid w:val="068A1B4B"/>
    <w:rsid w:val="069100C2"/>
    <w:rsid w:val="0691DF47"/>
    <w:rsid w:val="0698A1D1"/>
    <w:rsid w:val="06B2A7C0"/>
    <w:rsid w:val="06B37E9E"/>
    <w:rsid w:val="06BAD023"/>
    <w:rsid w:val="06BDBCB6"/>
    <w:rsid w:val="06CBBBFB"/>
    <w:rsid w:val="06EAEAF4"/>
    <w:rsid w:val="06FC3CE6"/>
    <w:rsid w:val="07017313"/>
    <w:rsid w:val="070D5C13"/>
    <w:rsid w:val="073A7F5E"/>
    <w:rsid w:val="074C6C03"/>
    <w:rsid w:val="075FF5C8"/>
    <w:rsid w:val="0762589E"/>
    <w:rsid w:val="076C18CD"/>
    <w:rsid w:val="076CD9E7"/>
    <w:rsid w:val="077B3D3F"/>
    <w:rsid w:val="07906214"/>
    <w:rsid w:val="0792E00B"/>
    <w:rsid w:val="0797825C"/>
    <w:rsid w:val="079DB6E4"/>
    <w:rsid w:val="07BBEAC9"/>
    <w:rsid w:val="07C2B592"/>
    <w:rsid w:val="07D5BB9D"/>
    <w:rsid w:val="07DF2676"/>
    <w:rsid w:val="07E8EA40"/>
    <w:rsid w:val="080094C0"/>
    <w:rsid w:val="08082CB0"/>
    <w:rsid w:val="080C1F5D"/>
    <w:rsid w:val="08102466"/>
    <w:rsid w:val="0811711D"/>
    <w:rsid w:val="08167754"/>
    <w:rsid w:val="08373476"/>
    <w:rsid w:val="08442ADA"/>
    <w:rsid w:val="08489490"/>
    <w:rsid w:val="0848DEFE"/>
    <w:rsid w:val="08524404"/>
    <w:rsid w:val="0855CB34"/>
    <w:rsid w:val="08648480"/>
    <w:rsid w:val="0864CBD6"/>
    <w:rsid w:val="08676AD5"/>
    <w:rsid w:val="08683911"/>
    <w:rsid w:val="08695459"/>
    <w:rsid w:val="086CE445"/>
    <w:rsid w:val="087FB8E9"/>
    <w:rsid w:val="0889B6C7"/>
    <w:rsid w:val="0891FA0D"/>
    <w:rsid w:val="089ADC79"/>
    <w:rsid w:val="08CEE172"/>
    <w:rsid w:val="08E2F520"/>
    <w:rsid w:val="08ED97CF"/>
    <w:rsid w:val="08F38A84"/>
    <w:rsid w:val="08FE4AA2"/>
    <w:rsid w:val="0904072C"/>
    <w:rsid w:val="09075DF0"/>
    <w:rsid w:val="090ED623"/>
    <w:rsid w:val="0932B25E"/>
    <w:rsid w:val="093765C6"/>
    <w:rsid w:val="093DCD54"/>
    <w:rsid w:val="09594B8F"/>
    <w:rsid w:val="095BCAC5"/>
    <w:rsid w:val="095DAD56"/>
    <w:rsid w:val="095EAB4F"/>
    <w:rsid w:val="096F7FFF"/>
    <w:rsid w:val="09767F4E"/>
    <w:rsid w:val="098D2F53"/>
    <w:rsid w:val="098FB6E6"/>
    <w:rsid w:val="09993E48"/>
    <w:rsid w:val="099E266B"/>
    <w:rsid w:val="09B337DA"/>
    <w:rsid w:val="09BC892F"/>
    <w:rsid w:val="09C6E6E5"/>
    <w:rsid w:val="09D72AA9"/>
    <w:rsid w:val="09E1A40E"/>
    <w:rsid w:val="09EB1F60"/>
    <w:rsid w:val="0A0F4FFC"/>
    <w:rsid w:val="0A30C3F0"/>
    <w:rsid w:val="0A35D5CA"/>
    <w:rsid w:val="0A4246C9"/>
    <w:rsid w:val="0A4DBCDB"/>
    <w:rsid w:val="0A5D2E8C"/>
    <w:rsid w:val="0A5F3D7B"/>
    <w:rsid w:val="0A6B0AA9"/>
    <w:rsid w:val="0A6BB378"/>
    <w:rsid w:val="0A75438E"/>
    <w:rsid w:val="0A7BF039"/>
    <w:rsid w:val="0A871B90"/>
    <w:rsid w:val="0A918CA8"/>
    <w:rsid w:val="0AA18711"/>
    <w:rsid w:val="0AA61735"/>
    <w:rsid w:val="0AAA1E1F"/>
    <w:rsid w:val="0AB126B7"/>
    <w:rsid w:val="0AC1DEAC"/>
    <w:rsid w:val="0ACF4CB5"/>
    <w:rsid w:val="0AD7D10C"/>
    <w:rsid w:val="0AF28804"/>
    <w:rsid w:val="0B0088BB"/>
    <w:rsid w:val="0B096021"/>
    <w:rsid w:val="0B168D82"/>
    <w:rsid w:val="0B2AEBEE"/>
    <w:rsid w:val="0B2F2A8E"/>
    <w:rsid w:val="0B305034"/>
    <w:rsid w:val="0B50216B"/>
    <w:rsid w:val="0B58B7D5"/>
    <w:rsid w:val="0B58E7FA"/>
    <w:rsid w:val="0B619F4A"/>
    <w:rsid w:val="0B7443B7"/>
    <w:rsid w:val="0B7C544A"/>
    <w:rsid w:val="0B97530C"/>
    <w:rsid w:val="0B9817D5"/>
    <w:rsid w:val="0BB26216"/>
    <w:rsid w:val="0BCEDA2B"/>
    <w:rsid w:val="0BCF76E2"/>
    <w:rsid w:val="0BE96BF1"/>
    <w:rsid w:val="0BF14BC2"/>
    <w:rsid w:val="0BF7EF52"/>
    <w:rsid w:val="0C15808A"/>
    <w:rsid w:val="0C22B8ED"/>
    <w:rsid w:val="0C24EF84"/>
    <w:rsid w:val="0C26CB43"/>
    <w:rsid w:val="0C33D65D"/>
    <w:rsid w:val="0C3BEACD"/>
    <w:rsid w:val="0C5AB0B0"/>
    <w:rsid w:val="0C64339C"/>
    <w:rsid w:val="0C74DB2F"/>
    <w:rsid w:val="0CA1230C"/>
    <w:rsid w:val="0CA6F241"/>
    <w:rsid w:val="0CBB56C2"/>
    <w:rsid w:val="0CE73739"/>
    <w:rsid w:val="0D0165BA"/>
    <w:rsid w:val="0D0FF2DE"/>
    <w:rsid w:val="0D62122C"/>
    <w:rsid w:val="0D64FCBD"/>
    <w:rsid w:val="0D7089A9"/>
    <w:rsid w:val="0D8AF55D"/>
    <w:rsid w:val="0DBE2F54"/>
    <w:rsid w:val="0DC82EB8"/>
    <w:rsid w:val="0DC8F116"/>
    <w:rsid w:val="0DCDA475"/>
    <w:rsid w:val="0DCE0CA8"/>
    <w:rsid w:val="0DDAA63C"/>
    <w:rsid w:val="0DE81B38"/>
    <w:rsid w:val="0DEBE113"/>
    <w:rsid w:val="0DF02207"/>
    <w:rsid w:val="0E000699"/>
    <w:rsid w:val="0E0D39F5"/>
    <w:rsid w:val="0E3086F7"/>
    <w:rsid w:val="0E70F71D"/>
    <w:rsid w:val="0E767EB3"/>
    <w:rsid w:val="0E77EAFB"/>
    <w:rsid w:val="0E784AEE"/>
    <w:rsid w:val="0E794540"/>
    <w:rsid w:val="0E884BCB"/>
    <w:rsid w:val="0E9C8E10"/>
    <w:rsid w:val="0EBB98CC"/>
    <w:rsid w:val="0EE4020F"/>
    <w:rsid w:val="0EED7F60"/>
    <w:rsid w:val="0EFA004C"/>
    <w:rsid w:val="0F0A281D"/>
    <w:rsid w:val="0F0C64A2"/>
    <w:rsid w:val="0F1EA87B"/>
    <w:rsid w:val="0F209272"/>
    <w:rsid w:val="0F239434"/>
    <w:rsid w:val="0F255189"/>
    <w:rsid w:val="0F36F1B5"/>
    <w:rsid w:val="0F441046"/>
    <w:rsid w:val="0F77042A"/>
    <w:rsid w:val="0F79A76D"/>
    <w:rsid w:val="0F7B4F95"/>
    <w:rsid w:val="0F9783C7"/>
    <w:rsid w:val="0F97DAF8"/>
    <w:rsid w:val="0F9B3457"/>
    <w:rsid w:val="0FAA6728"/>
    <w:rsid w:val="0FD62E46"/>
    <w:rsid w:val="0FDE13AA"/>
    <w:rsid w:val="0FE28483"/>
    <w:rsid w:val="0FF86238"/>
    <w:rsid w:val="0FFC576E"/>
    <w:rsid w:val="10053170"/>
    <w:rsid w:val="10125C7A"/>
    <w:rsid w:val="10160DA3"/>
    <w:rsid w:val="10173FFA"/>
    <w:rsid w:val="101CC736"/>
    <w:rsid w:val="101FE64F"/>
    <w:rsid w:val="10316986"/>
    <w:rsid w:val="103BDB3D"/>
    <w:rsid w:val="10431085"/>
    <w:rsid w:val="10432CC1"/>
    <w:rsid w:val="104E1ABF"/>
    <w:rsid w:val="106FDBE3"/>
    <w:rsid w:val="10824FCA"/>
    <w:rsid w:val="108E7035"/>
    <w:rsid w:val="1096AD7E"/>
    <w:rsid w:val="109EBB5C"/>
    <w:rsid w:val="10B909C6"/>
    <w:rsid w:val="10C61FF2"/>
    <w:rsid w:val="10C8B329"/>
    <w:rsid w:val="10E97C1C"/>
    <w:rsid w:val="10FDAF80"/>
    <w:rsid w:val="11058863"/>
    <w:rsid w:val="11084195"/>
    <w:rsid w:val="1109E953"/>
    <w:rsid w:val="1124CAA2"/>
    <w:rsid w:val="113A447E"/>
    <w:rsid w:val="1143360D"/>
    <w:rsid w:val="114F9C4D"/>
    <w:rsid w:val="11538667"/>
    <w:rsid w:val="115A2739"/>
    <w:rsid w:val="115A61D7"/>
    <w:rsid w:val="116C6288"/>
    <w:rsid w:val="11952FE7"/>
    <w:rsid w:val="119DCEDD"/>
    <w:rsid w:val="11AD425E"/>
    <w:rsid w:val="11AE5040"/>
    <w:rsid w:val="11BBB697"/>
    <w:rsid w:val="11C9687E"/>
    <w:rsid w:val="11CAEF6C"/>
    <w:rsid w:val="11CC3FB0"/>
    <w:rsid w:val="11D051C0"/>
    <w:rsid w:val="11DF9D87"/>
    <w:rsid w:val="12278C4E"/>
    <w:rsid w:val="122C4188"/>
    <w:rsid w:val="12371701"/>
    <w:rsid w:val="1268D7CF"/>
    <w:rsid w:val="12732323"/>
    <w:rsid w:val="127F4BC2"/>
    <w:rsid w:val="12A7F49E"/>
    <w:rsid w:val="12BA837A"/>
    <w:rsid w:val="12BB33A1"/>
    <w:rsid w:val="12C792BB"/>
    <w:rsid w:val="12CF824E"/>
    <w:rsid w:val="12D35017"/>
    <w:rsid w:val="12D439D6"/>
    <w:rsid w:val="13031D82"/>
    <w:rsid w:val="130AE6FC"/>
    <w:rsid w:val="130E7BBC"/>
    <w:rsid w:val="132DA897"/>
    <w:rsid w:val="133F24BE"/>
    <w:rsid w:val="135E9502"/>
    <w:rsid w:val="136865E5"/>
    <w:rsid w:val="1369CE20"/>
    <w:rsid w:val="136C4DBD"/>
    <w:rsid w:val="137426F0"/>
    <w:rsid w:val="13786BA6"/>
    <w:rsid w:val="13ABAB24"/>
    <w:rsid w:val="13BE5869"/>
    <w:rsid w:val="13C1625F"/>
    <w:rsid w:val="13E63D7A"/>
    <w:rsid w:val="13F4697F"/>
    <w:rsid w:val="141984C8"/>
    <w:rsid w:val="141F5F35"/>
    <w:rsid w:val="1428E2CD"/>
    <w:rsid w:val="1433D1D1"/>
    <w:rsid w:val="143A5D34"/>
    <w:rsid w:val="144A5001"/>
    <w:rsid w:val="1456B017"/>
    <w:rsid w:val="146B52FC"/>
    <w:rsid w:val="146F6EE4"/>
    <w:rsid w:val="14725212"/>
    <w:rsid w:val="147B333E"/>
    <w:rsid w:val="149F93C6"/>
    <w:rsid w:val="14B22C0E"/>
    <w:rsid w:val="14C1C14C"/>
    <w:rsid w:val="14CBB00A"/>
    <w:rsid w:val="14DB254E"/>
    <w:rsid w:val="14DB5519"/>
    <w:rsid w:val="15233EBC"/>
    <w:rsid w:val="1543C077"/>
    <w:rsid w:val="1547B3D8"/>
    <w:rsid w:val="15557AE0"/>
    <w:rsid w:val="1566ACA9"/>
    <w:rsid w:val="15853EDF"/>
    <w:rsid w:val="158D05AA"/>
    <w:rsid w:val="15AA2C47"/>
    <w:rsid w:val="15B45A8D"/>
    <w:rsid w:val="15BD270C"/>
    <w:rsid w:val="15C0AF23"/>
    <w:rsid w:val="15C46B04"/>
    <w:rsid w:val="15C5F2BF"/>
    <w:rsid w:val="15CAB433"/>
    <w:rsid w:val="15D01335"/>
    <w:rsid w:val="15DA7991"/>
    <w:rsid w:val="15E6587F"/>
    <w:rsid w:val="15E94BEF"/>
    <w:rsid w:val="15F73D91"/>
    <w:rsid w:val="15F9BBA8"/>
    <w:rsid w:val="1602FAC7"/>
    <w:rsid w:val="160733EC"/>
    <w:rsid w:val="1611349D"/>
    <w:rsid w:val="162D742D"/>
    <w:rsid w:val="163350F2"/>
    <w:rsid w:val="164D601F"/>
    <w:rsid w:val="164D9F76"/>
    <w:rsid w:val="165DD668"/>
    <w:rsid w:val="1660A279"/>
    <w:rsid w:val="16625519"/>
    <w:rsid w:val="1679366C"/>
    <w:rsid w:val="167C19E5"/>
    <w:rsid w:val="16983D01"/>
    <w:rsid w:val="1698BF5A"/>
    <w:rsid w:val="169C72F2"/>
    <w:rsid w:val="16A4C54A"/>
    <w:rsid w:val="16B657E6"/>
    <w:rsid w:val="16BB081A"/>
    <w:rsid w:val="16CA591C"/>
    <w:rsid w:val="16D61700"/>
    <w:rsid w:val="16F2755F"/>
    <w:rsid w:val="16FF524D"/>
    <w:rsid w:val="170587D8"/>
    <w:rsid w:val="1716D00C"/>
    <w:rsid w:val="17184051"/>
    <w:rsid w:val="171B100A"/>
    <w:rsid w:val="172A7D92"/>
    <w:rsid w:val="1739F4B3"/>
    <w:rsid w:val="174CB55D"/>
    <w:rsid w:val="174F1465"/>
    <w:rsid w:val="17537C5A"/>
    <w:rsid w:val="1757606F"/>
    <w:rsid w:val="17585B7C"/>
    <w:rsid w:val="175A6688"/>
    <w:rsid w:val="17711F4B"/>
    <w:rsid w:val="17726EA5"/>
    <w:rsid w:val="178067AA"/>
    <w:rsid w:val="17925553"/>
    <w:rsid w:val="17A46C90"/>
    <w:rsid w:val="17A92ABA"/>
    <w:rsid w:val="17BDA58E"/>
    <w:rsid w:val="17BFE65A"/>
    <w:rsid w:val="17C40775"/>
    <w:rsid w:val="17D2EDA3"/>
    <w:rsid w:val="17DB6075"/>
    <w:rsid w:val="17E0F749"/>
    <w:rsid w:val="17E61CC0"/>
    <w:rsid w:val="17E8A043"/>
    <w:rsid w:val="17FCEE01"/>
    <w:rsid w:val="17FF88CA"/>
    <w:rsid w:val="18049D39"/>
    <w:rsid w:val="1814E1D5"/>
    <w:rsid w:val="18188B5F"/>
    <w:rsid w:val="182DC136"/>
    <w:rsid w:val="1832B1AE"/>
    <w:rsid w:val="18347E75"/>
    <w:rsid w:val="184263B3"/>
    <w:rsid w:val="18432B76"/>
    <w:rsid w:val="184F1A8A"/>
    <w:rsid w:val="1858329C"/>
    <w:rsid w:val="186C7131"/>
    <w:rsid w:val="1883FCD8"/>
    <w:rsid w:val="18876EBC"/>
    <w:rsid w:val="18AB95E6"/>
    <w:rsid w:val="18B17E0E"/>
    <w:rsid w:val="18BAD244"/>
    <w:rsid w:val="18C13E19"/>
    <w:rsid w:val="18CAB375"/>
    <w:rsid w:val="18D0D208"/>
    <w:rsid w:val="18D65AEC"/>
    <w:rsid w:val="18DD7F7B"/>
    <w:rsid w:val="18E35706"/>
    <w:rsid w:val="18E692C6"/>
    <w:rsid w:val="18EBEC4C"/>
    <w:rsid w:val="190B2C9B"/>
    <w:rsid w:val="193CE52A"/>
    <w:rsid w:val="1943B5F3"/>
    <w:rsid w:val="194AB02B"/>
    <w:rsid w:val="1956FCC4"/>
    <w:rsid w:val="197CDC9A"/>
    <w:rsid w:val="197CE316"/>
    <w:rsid w:val="19A4C155"/>
    <w:rsid w:val="19A7A06C"/>
    <w:rsid w:val="19B21C8B"/>
    <w:rsid w:val="19BD12F0"/>
    <w:rsid w:val="19BE29F2"/>
    <w:rsid w:val="19C39554"/>
    <w:rsid w:val="19C915E3"/>
    <w:rsid w:val="19D3990A"/>
    <w:rsid w:val="19D4425D"/>
    <w:rsid w:val="19E63471"/>
    <w:rsid w:val="1A1900A5"/>
    <w:rsid w:val="1A1BD481"/>
    <w:rsid w:val="1A41F0EB"/>
    <w:rsid w:val="1A43053B"/>
    <w:rsid w:val="1A4D93B1"/>
    <w:rsid w:val="1A5CAEC2"/>
    <w:rsid w:val="1A608DBB"/>
    <w:rsid w:val="1A78A59C"/>
    <w:rsid w:val="1A7E5982"/>
    <w:rsid w:val="1A823268"/>
    <w:rsid w:val="1A85B072"/>
    <w:rsid w:val="1A8CB555"/>
    <w:rsid w:val="1A8CBE63"/>
    <w:rsid w:val="1A8E8366"/>
    <w:rsid w:val="1A96367F"/>
    <w:rsid w:val="1AA3F348"/>
    <w:rsid w:val="1AB529C8"/>
    <w:rsid w:val="1AC4FE20"/>
    <w:rsid w:val="1AC8F940"/>
    <w:rsid w:val="1ADD1DC7"/>
    <w:rsid w:val="1AE3B2F0"/>
    <w:rsid w:val="1AE54B79"/>
    <w:rsid w:val="1AF8E447"/>
    <w:rsid w:val="1B1921DF"/>
    <w:rsid w:val="1B29FFDB"/>
    <w:rsid w:val="1B3A76B8"/>
    <w:rsid w:val="1B6115A5"/>
    <w:rsid w:val="1B83FF07"/>
    <w:rsid w:val="1B8785D8"/>
    <w:rsid w:val="1B920462"/>
    <w:rsid w:val="1B953909"/>
    <w:rsid w:val="1B9607B0"/>
    <w:rsid w:val="1B97C178"/>
    <w:rsid w:val="1B9F3045"/>
    <w:rsid w:val="1BB85655"/>
    <w:rsid w:val="1BCA076B"/>
    <w:rsid w:val="1BE60AAD"/>
    <w:rsid w:val="1BFCB9F9"/>
    <w:rsid w:val="1BFDE7E0"/>
    <w:rsid w:val="1C189457"/>
    <w:rsid w:val="1C46E23B"/>
    <w:rsid w:val="1C47647B"/>
    <w:rsid w:val="1C5383D0"/>
    <w:rsid w:val="1C554399"/>
    <w:rsid w:val="1C6880AB"/>
    <w:rsid w:val="1C77AE21"/>
    <w:rsid w:val="1C8924B6"/>
    <w:rsid w:val="1C908D82"/>
    <w:rsid w:val="1C9B385F"/>
    <w:rsid w:val="1CA6A64D"/>
    <w:rsid w:val="1CB1192A"/>
    <w:rsid w:val="1CB9B79B"/>
    <w:rsid w:val="1CC17499"/>
    <w:rsid w:val="1CD02AC7"/>
    <w:rsid w:val="1CD34DE8"/>
    <w:rsid w:val="1CDD5BFD"/>
    <w:rsid w:val="1CDE114C"/>
    <w:rsid w:val="1CE43D64"/>
    <w:rsid w:val="1CE9E68F"/>
    <w:rsid w:val="1CED3744"/>
    <w:rsid w:val="1CEFD7F3"/>
    <w:rsid w:val="1D06E4CB"/>
    <w:rsid w:val="1D097832"/>
    <w:rsid w:val="1D245D3A"/>
    <w:rsid w:val="1D40B327"/>
    <w:rsid w:val="1D54D574"/>
    <w:rsid w:val="1D5F28E6"/>
    <w:rsid w:val="1D6A3E32"/>
    <w:rsid w:val="1D6E408A"/>
    <w:rsid w:val="1D757DEA"/>
    <w:rsid w:val="1D8B53D9"/>
    <w:rsid w:val="1D93C15F"/>
    <w:rsid w:val="1D99B841"/>
    <w:rsid w:val="1DBF6BEC"/>
    <w:rsid w:val="1DE3E2A1"/>
    <w:rsid w:val="1DE4B004"/>
    <w:rsid w:val="1DF24AAE"/>
    <w:rsid w:val="1E158D4A"/>
    <w:rsid w:val="1E2EF23A"/>
    <w:rsid w:val="1E3360C9"/>
    <w:rsid w:val="1E3B851A"/>
    <w:rsid w:val="1E4845C0"/>
    <w:rsid w:val="1E51579E"/>
    <w:rsid w:val="1E61FDDB"/>
    <w:rsid w:val="1E6B264F"/>
    <w:rsid w:val="1E79DB55"/>
    <w:rsid w:val="1E889595"/>
    <w:rsid w:val="1EA7E353"/>
    <w:rsid w:val="1EB8BF2E"/>
    <w:rsid w:val="1ECAE293"/>
    <w:rsid w:val="1ECCD9CB"/>
    <w:rsid w:val="1ED5A520"/>
    <w:rsid w:val="1EE60228"/>
    <w:rsid w:val="1EE94D37"/>
    <w:rsid w:val="1EEA7DAC"/>
    <w:rsid w:val="1EEE5DCB"/>
    <w:rsid w:val="1EF4C798"/>
    <w:rsid w:val="1EFBF986"/>
    <w:rsid w:val="1EFE0455"/>
    <w:rsid w:val="1F2A4B36"/>
    <w:rsid w:val="1F2B682F"/>
    <w:rsid w:val="1F2FE55B"/>
    <w:rsid w:val="1F3795E3"/>
    <w:rsid w:val="1F38457D"/>
    <w:rsid w:val="1F387968"/>
    <w:rsid w:val="1F410D9E"/>
    <w:rsid w:val="1F53F909"/>
    <w:rsid w:val="1F5EB33B"/>
    <w:rsid w:val="1F74F796"/>
    <w:rsid w:val="1F8DE680"/>
    <w:rsid w:val="1FB55698"/>
    <w:rsid w:val="1FB83259"/>
    <w:rsid w:val="1FC02188"/>
    <w:rsid w:val="1FCDAA32"/>
    <w:rsid w:val="1FDD9610"/>
    <w:rsid w:val="1FF9DA63"/>
    <w:rsid w:val="2000AB71"/>
    <w:rsid w:val="2003B307"/>
    <w:rsid w:val="2008DC52"/>
    <w:rsid w:val="20283B18"/>
    <w:rsid w:val="2037D7BC"/>
    <w:rsid w:val="2075DF9E"/>
    <w:rsid w:val="20786B9F"/>
    <w:rsid w:val="207CB360"/>
    <w:rsid w:val="208A2E2C"/>
    <w:rsid w:val="20911994"/>
    <w:rsid w:val="20973338"/>
    <w:rsid w:val="20B68578"/>
    <w:rsid w:val="20CBFC26"/>
    <w:rsid w:val="20D8E95B"/>
    <w:rsid w:val="21055BA2"/>
    <w:rsid w:val="2130C842"/>
    <w:rsid w:val="2133481A"/>
    <w:rsid w:val="21369BEC"/>
    <w:rsid w:val="2149B4AD"/>
    <w:rsid w:val="2152B761"/>
    <w:rsid w:val="2162CAE0"/>
    <w:rsid w:val="21637D12"/>
    <w:rsid w:val="216968C0"/>
    <w:rsid w:val="2169EA1A"/>
    <w:rsid w:val="216B4C7B"/>
    <w:rsid w:val="21757658"/>
    <w:rsid w:val="217D39BC"/>
    <w:rsid w:val="2193274F"/>
    <w:rsid w:val="21996C8D"/>
    <w:rsid w:val="21A135FF"/>
    <w:rsid w:val="21AE0288"/>
    <w:rsid w:val="21B05D3F"/>
    <w:rsid w:val="21B9CF5E"/>
    <w:rsid w:val="21BE68EC"/>
    <w:rsid w:val="21CE5BA5"/>
    <w:rsid w:val="21D1E042"/>
    <w:rsid w:val="21D333DF"/>
    <w:rsid w:val="21DAB7BA"/>
    <w:rsid w:val="21DF4BFA"/>
    <w:rsid w:val="21E8E3B4"/>
    <w:rsid w:val="21FAC9CA"/>
    <w:rsid w:val="21FC0DDA"/>
    <w:rsid w:val="2204E8C0"/>
    <w:rsid w:val="2209FA0D"/>
    <w:rsid w:val="2214B09A"/>
    <w:rsid w:val="2215C44C"/>
    <w:rsid w:val="222D2A11"/>
    <w:rsid w:val="222DE7F6"/>
    <w:rsid w:val="22651991"/>
    <w:rsid w:val="226A9CD5"/>
    <w:rsid w:val="226AA4E1"/>
    <w:rsid w:val="226B3B81"/>
    <w:rsid w:val="226C18EE"/>
    <w:rsid w:val="227E0E70"/>
    <w:rsid w:val="2286D70F"/>
    <w:rsid w:val="2294BAF6"/>
    <w:rsid w:val="22978872"/>
    <w:rsid w:val="2299F74D"/>
    <w:rsid w:val="22BDF3CB"/>
    <w:rsid w:val="22C43B29"/>
    <w:rsid w:val="22D7F6DD"/>
    <w:rsid w:val="22E94834"/>
    <w:rsid w:val="22FBA9CE"/>
    <w:rsid w:val="22FF548C"/>
    <w:rsid w:val="23010262"/>
    <w:rsid w:val="230298E1"/>
    <w:rsid w:val="2304F1E3"/>
    <w:rsid w:val="23212402"/>
    <w:rsid w:val="2349AEC7"/>
    <w:rsid w:val="2351B029"/>
    <w:rsid w:val="2376C89A"/>
    <w:rsid w:val="238570F4"/>
    <w:rsid w:val="2388553B"/>
    <w:rsid w:val="238EC01C"/>
    <w:rsid w:val="23B9D61A"/>
    <w:rsid w:val="23BA67FB"/>
    <w:rsid w:val="23BDC9F7"/>
    <w:rsid w:val="23F3731B"/>
    <w:rsid w:val="23F97CA4"/>
    <w:rsid w:val="23FABFE7"/>
    <w:rsid w:val="24115B70"/>
    <w:rsid w:val="2417B2BE"/>
    <w:rsid w:val="24224B1F"/>
    <w:rsid w:val="2431EE84"/>
    <w:rsid w:val="243E23A5"/>
    <w:rsid w:val="2446C8EE"/>
    <w:rsid w:val="2447A721"/>
    <w:rsid w:val="2448A8EC"/>
    <w:rsid w:val="245831CE"/>
    <w:rsid w:val="247C839C"/>
    <w:rsid w:val="2482404E"/>
    <w:rsid w:val="2484D5C7"/>
    <w:rsid w:val="248B0D34"/>
    <w:rsid w:val="24A68072"/>
    <w:rsid w:val="24AB9122"/>
    <w:rsid w:val="24B11DE4"/>
    <w:rsid w:val="24DF7974"/>
    <w:rsid w:val="250818F8"/>
    <w:rsid w:val="251A5B7D"/>
    <w:rsid w:val="252ABE73"/>
    <w:rsid w:val="252F2625"/>
    <w:rsid w:val="253811F3"/>
    <w:rsid w:val="253FFC56"/>
    <w:rsid w:val="25416BFB"/>
    <w:rsid w:val="2543AA67"/>
    <w:rsid w:val="25495131"/>
    <w:rsid w:val="254EF670"/>
    <w:rsid w:val="25594525"/>
    <w:rsid w:val="255D8D9D"/>
    <w:rsid w:val="25611EE9"/>
    <w:rsid w:val="256EE4F3"/>
    <w:rsid w:val="2581DB5E"/>
    <w:rsid w:val="2581FE4E"/>
    <w:rsid w:val="25974969"/>
    <w:rsid w:val="259976F5"/>
    <w:rsid w:val="25A6B8B9"/>
    <w:rsid w:val="25ABC976"/>
    <w:rsid w:val="25C5D879"/>
    <w:rsid w:val="25EAA114"/>
    <w:rsid w:val="2627DDD1"/>
    <w:rsid w:val="262D4C46"/>
    <w:rsid w:val="2636372F"/>
    <w:rsid w:val="264479C2"/>
    <w:rsid w:val="265169B0"/>
    <w:rsid w:val="265B3FCA"/>
    <w:rsid w:val="266DF5BA"/>
    <w:rsid w:val="267DE6FF"/>
    <w:rsid w:val="26846F57"/>
    <w:rsid w:val="2687B23A"/>
    <w:rsid w:val="26971613"/>
    <w:rsid w:val="26A72F73"/>
    <w:rsid w:val="26CF4C98"/>
    <w:rsid w:val="26D20756"/>
    <w:rsid w:val="26E5BB5C"/>
    <w:rsid w:val="26F3AAD6"/>
    <w:rsid w:val="2703DEFA"/>
    <w:rsid w:val="270A4E30"/>
    <w:rsid w:val="2712535A"/>
    <w:rsid w:val="271DFDC0"/>
    <w:rsid w:val="27308072"/>
    <w:rsid w:val="27395F49"/>
    <w:rsid w:val="2774243F"/>
    <w:rsid w:val="27867175"/>
    <w:rsid w:val="2786A7FA"/>
    <w:rsid w:val="278F9E21"/>
    <w:rsid w:val="27929360"/>
    <w:rsid w:val="279F167F"/>
    <w:rsid w:val="27A32264"/>
    <w:rsid w:val="27A70F46"/>
    <w:rsid w:val="27EE116E"/>
    <w:rsid w:val="27F14424"/>
    <w:rsid w:val="27FF4182"/>
    <w:rsid w:val="28067E85"/>
    <w:rsid w:val="280C0935"/>
    <w:rsid w:val="2810BB3B"/>
    <w:rsid w:val="28136EC9"/>
    <w:rsid w:val="28199898"/>
    <w:rsid w:val="28247180"/>
    <w:rsid w:val="2829CB72"/>
    <w:rsid w:val="283485C1"/>
    <w:rsid w:val="28360D8C"/>
    <w:rsid w:val="284AB97C"/>
    <w:rsid w:val="28562DD3"/>
    <w:rsid w:val="2858E29A"/>
    <w:rsid w:val="285AB8D0"/>
    <w:rsid w:val="286A35BE"/>
    <w:rsid w:val="28795F87"/>
    <w:rsid w:val="288381B9"/>
    <w:rsid w:val="2896B633"/>
    <w:rsid w:val="289C244C"/>
    <w:rsid w:val="28A781E1"/>
    <w:rsid w:val="28B874B4"/>
    <w:rsid w:val="28EE546B"/>
    <w:rsid w:val="2900A5BE"/>
    <w:rsid w:val="29074DE8"/>
    <w:rsid w:val="2918CA35"/>
    <w:rsid w:val="2924B38E"/>
    <w:rsid w:val="292E7C92"/>
    <w:rsid w:val="29372C3F"/>
    <w:rsid w:val="293D08CC"/>
    <w:rsid w:val="295ACEA3"/>
    <w:rsid w:val="296E7EFF"/>
    <w:rsid w:val="2970A43A"/>
    <w:rsid w:val="2979B945"/>
    <w:rsid w:val="297D7166"/>
    <w:rsid w:val="29901E7F"/>
    <w:rsid w:val="299D9E4D"/>
    <w:rsid w:val="29AA6CE9"/>
    <w:rsid w:val="29B63540"/>
    <w:rsid w:val="29BA0CF2"/>
    <w:rsid w:val="29BDFFA2"/>
    <w:rsid w:val="29C30676"/>
    <w:rsid w:val="29CDF5AA"/>
    <w:rsid w:val="29E09B4C"/>
    <w:rsid w:val="29E364F0"/>
    <w:rsid w:val="29E5DC98"/>
    <w:rsid w:val="29F36C3B"/>
    <w:rsid w:val="29F4EAC2"/>
    <w:rsid w:val="2A04E296"/>
    <w:rsid w:val="2A0E285B"/>
    <w:rsid w:val="2A175110"/>
    <w:rsid w:val="2A326898"/>
    <w:rsid w:val="2A4D0DCE"/>
    <w:rsid w:val="2A4ED1C1"/>
    <w:rsid w:val="2A52871F"/>
    <w:rsid w:val="2A5287E6"/>
    <w:rsid w:val="2A546020"/>
    <w:rsid w:val="2A5619B4"/>
    <w:rsid w:val="2A690F61"/>
    <w:rsid w:val="2A706474"/>
    <w:rsid w:val="2A7BFF2D"/>
    <w:rsid w:val="2A883EF6"/>
    <w:rsid w:val="2A8977DF"/>
    <w:rsid w:val="2A8A7348"/>
    <w:rsid w:val="2A8AEF74"/>
    <w:rsid w:val="2A8E480E"/>
    <w:rsid w:val="2AAA615B"/>
    <w:rsid w:val="2AC33773"/>
    <w:rsid w:val="2AC620A1"/>
    <w:rsid w:val="2ACC1CC8"/>
    <w:rsid w:val="2AD378EA"/>
    <w:rsid w:val="2AD426D4"/>
    <w:rsid w:val="2ADCFA46"/>
    <w:rsid w:val="2AEF33A2"/>
    <w:rsid w:val="2AF809D4"/>
    <w:rsid w:val="2AFA3617"/>
    <w:rsid w:val="2AFF2E6D"/>
    <w:rsid w:val="2B1CC965"/>
    <w:rsid w:val="2B219F8E"/>
    <w:rsid w:val="2B32DAC5"/>
    <w:rsid w:val="2B54E4CE"/>
    <w:rsid w:val="2B6561B1"/>
    <w:rsid w:val="2B6A7454"/>
    <w:rsid w:val="2B6C4F99"/>
    <w:rsid w:val="2B78DAD9"/>
    <w:rsid w:val="2B7DCB51"/>
    <w:rsid w:val="2B8675A0"/>
    <w:rsid w:val="2B97C42D"/>
    <w:rsid w:val="2BD29542"/>
    <w:rsid w:val="2BE86807"/>
    <w:rsid w:val="2BF27058"/>
    <w:rsid w:val="2C214443"/>
    <w:rsid w:val="2C29A800"/>
    <w:rsid w:val="2C48CD56"/>
    <w:rsid w:val="2C4B37FA"/>
    <w:rsid w:val="2C4E0046"/>
    <w:rsid w:val="2C4F1E7F"/>
    <w:rsid w:val="2C754A7B"/>
    <w:rsid w:val="2C7D2219"/>
    <w:rsid w:val="2C93BD0D"/>
    <w:rsid w:val="2C943C0B"/>
    <w:rsid w:val="2CA4D9E3"/>
    <w:rsid w:val="2CAC2431"/>
    <w:rsid w:val="2CB01CE1"/>
    <w:rsid w:val="2CBC798A"/>
    <w:rsid w:val="2CC3A572"/>
    <w:rsid w:val="2CDD57F8"/>
    <w:rsid w:val="2CE0F01E"/>
    <w:rsid w:val="2CE80C56"/>
    <w:rsid w:val="2CF8F981"/>
    <w:rsid w:val="2CFD00A4"/>
    <w:rsid w:val="2CFEDB69"/>
    <w:rsid w:val="2D07A042"/>
    <w:rsid w:val="2D0C5FAC"/>
    <w:rsid w:val="2D2129D9"/>
    <w:rsid w:val="2D4E2D83"/>
    <w:rsid w:val="2D4E48DD"/>
    <w:rsid w:val="2D60DFA3"/>
    <w:rsid w:val="2D7E3B2C"/>
    <w:rsid w:val="2D8282FE"/>
    <w:rsid w:val="2D956537"/>
    <w:rsid w:val="2DC32042"/>
    <w:rsid w:val="2DC884B6"/>
    <w:rsid w:val="2DE92F8D"/>
    <w:rsid w:val="2DF96BFC"/>
    <w:rsid w:val="2E0A84BF"/>
    <w:rsid w:val="2E0BC796"/>
    <w:rsid w:val="2E1828A7"/>
    <w:rsid w:val="2E2558BA"/>
    <w:rsid w:val="2E285734"/>
    <w:rsid w:val="2E29FBA8"/>
    <w:rsid w:val="2E32E9FC"/>
    <w:rsid w:val="2E49723B"/>
    <w:rsid w:val="2E4CAE54"/>
    <w:rsid w:val="2E50F7FE"/>
    <w:rsid w:val="2E61DDE3"/>
    <w:rsid w:val="2E84A838"/>
    <w:rsid w:val="2E8F0099"/>
    <w:rsid w:val="2E970D52"/>
    <w:rsid w:val="2EAB09CC"/>
    <w:rsid w:val="2EC887FC"/>
    <w:rsid w:val="2EE6B308"/>
    <w:rsid w:val="2EE6D4B8"/>
    <w:rsid w:val="2EFF6173"/>
    <w:rsid w:val="2EFFD3E9"/>
    <w:rsid w:val="2F1123E0"/>
    <w:rsid w:val="2F12092B"/>
    <w:rsid w:val="2F2B2CA0"/>
    <w:rsid w:val="2F3BE6D5"/>
    <w:rsid w:val="2F412980"/>
    <w:rsid w:val="2F5B8570"/>
    <w:rsid w:val="2F78955F"/>
    <w:rsid w:val="2F7CBD8E"/>
    <w:rsid w:val="2F7CD887"/>
    <w:rsid w:val="2F8FF040"/>
    <w:rsid w:val="2FA24F61"/>
    <w:rsid w:val="2FD25C23"/>
    <w:rsid w:val="2FD86F2B"/>
    <w:rsid w:val="2FDF1C2B"/>
    <w:rsid w:val="2FF4E24E"/>
    <w:rsid w:val="2FF56E84"/>
    <w:rsid w:val="30000BFE"/>
    <w:rsid w:val="300360E0"/>
    <w:rsid w:val="3004E08A"/>
    <w:rsid w:val="300B43D4"/>
    <w:rsid w:val="30207F0B"/>
    <w:rsid w:val="3025D9A9"/>
    <w:rsid w:val="302B031C"/>
    <w:rsid w:val="303D30CB"/>
    <w:rsid w:val="3041CBEF"/>
    <w:rsid w:val="3057C93E"/>
    <w:rsid w:val="305C87FE"/>
    <w:rsid w:val="3075E1B5"/>
    <w:rsid w:val="30895F5D"/>
    <w:rsid w:val="309650E4"/>
    <w:rsid w:val="30986B62"/>
    <w:rsid w:val="30A5BA85"/>
    <w:rsid w:val="30AA69D1"/>
    <w:rsid w:val="30AF53B1"/>
    <w:rsid w:val="30BCC093"/>
    <w:rsid w:val="30BDFA7C"/>
    <w:rsid w:val="30CB2FFC"/>
    <w:rsid w:val="30CDC1CF"/>
    <w:rsid w:val="30D99AD6"/>
    <w:rsid w:val="30E8B581"/>
    <w:rsid w:val="3103D927"/>
    <w:rsid w:val="3135D693"/>
    <w:rsid w:val="3138F536"/>
    <w:rsid w:val="313F7EF6"/>
    <w:rsid w:val="31464A29"/>
    <w:rsid w:val="316957A6"/>
    <w:rsid w:val="31793228"/>
    <w:rsid w:val="318F65FF"/>
    <w:rsid w:val="319D6758"/>
    <w:rsid w:val="31AA83CE"/>
    <w:rsid w:val="31B32441"/>
    <w:rsid w:val="31B79F10"/>
    <w:rsid w:val="31C324D5"/>
    <w:rsid w:val="320BCF81"/>
    <w:rsid w:val="321EFDF3"/>
    <w:rsid w:val="326A10AA"/>
    <w:rsid w:val="32884A25"/>
    <w:rsid w:val="328B32C8"/>
    <w:rsid w:val="329A12D3"/>
    <w:rsid w:val="32A56DCC"/>
    <w:rsid w:val="32BD0E3A"/>
    <w:rsid w:val="32BF43AE"/>
    <w:rsid w:val="32C52DE9"/>
    <w:rsid w:val="32C7FDEA"/>
    <w:rsid w:val="32CFA941"/>
    <w:rsid w:val="32D399AF"/>
    <w:rsid w:val="32DA9BA5"/>
    <w:rsid w:val="32E342B1"/>
    <w:rsid w:val="32E56348"/>
    <w:rsid w:val="32EA0D31"/>
    <w:rsid w:val="33017476"/>
    <w:rsid w:val="3316DDA2"/>
    <w:rsid w:val="331F6655"/>
    <w:rsid w:val="3322A4FE"/>
    <w:rsid w:val="332A2F99"/>
    <w:rsid w:val="33339A01"/>
    <w:rsid w:val="33417DA7"/>
    <w:rsid w:val="33491A24"/>
    <w:rsid w:val="334A4DD8"/>
    <w:rsid w:val="3361A212"/>
    <w:rsid w:val="3368E756"/>
    <w:rsid w:val="3383873D"/>
    <w:rsid w:val="338964AD"/>
    <w:rsid w:val="339D6AA9"/>
    <w:rsid w:val="33A118E8"/>
    <w:rsid w:val="33A2FF23"/>
    <w:rsid w:val="33A664A9"/>
    <w:rsid w:val="33B382E8"/>
    <w:rsid w:val="33B72254"/>
    <w:rsid w:val="33C76233"/>
    <w:rsid w:val="33C7F0B3"/>
    <w:rsid w:val="33D54D04"/>
    <w:rsid w:val="33D7AE05"/>
    <w:rsid w:val="33E39D3B"/>
    <w:rsid w:val="33F65D40"/>
    <w:rsid w:val="33FDCFF7"/>
    <w:rsid w:val="34098085"/>
    <w:rsid w:val="34101EE0"/>
    <w:rsid w:val="341375D9"/>
    <w:rsid w:val="3437FBB2"/>
    <w:rsid w:val="344742D4"/>
    <w:rsid w:val="344CD13C"/>
    <w:rsid w:val="3458E5D6"/>
    <w:rsid w:val="348FBE15"/>
    <w:rsid w:val="349B6ED5"/>
    <w:rsid w:val="34C10FF8"/>
    <w:rsid w:val="34C37FE9"/>
    <w:rsid w:val="34D03795"/>
    <w:rsid w:val="34D5E3A4"/>
    <w:rsid w:val="34D90771"/>
    <w:rsid w:val="3501E576"/>
    <w:rsid w:val="3512CB60"/>
    <w:rsid w:val="3512E082"/>
    <w:rsid w:val="3520A033"/>
    <w:rsid w:val="352373AB"/>
    <w:rsid w:val="3523CB8F"/>
    <w:rsid w:val="35284EB6"/>
    <w:rsid w:val="352C31DC"/>
    <w:rsid w:val="353D8C75"/>
    <w:rsid w:val="3542CC67"/>
    <w:rsid w:val="3545861F"/>
    <w:rsid w:val="3549D17F"/>
    <w:rsid w:val="35671AB9"/>
    <w:rsid w:val="35679CB7"/>
    <w:rsid w:val="356828DB"/>
    <w:rsid w:val="356C8831"/>
    <w:rsid w:val="35861513"/>
    <w:rsid w:val="359FA720"/>
    <w:rsid w:val="35A6AC0E"/>
    <w:rsid w:val="35B0B73E"/>
    <w:rsid w:val="35BB16ED"/>
    <w:rsid w:val="35C1C54A"/>
    <w:rsid w:val="35C25B2A"/>
    <w:rsid w:val="35C4170F"/>
    <w:rsid w:val="35FF4641"/>
    <w:rsid w:val="36044C3F"/>
    <w:rsid w:val="3619AC3B"/>
    <w:rsid w:val="361AAB7B"/>
    <w:rsid w:val="362356CE"/>
    <w:rsid w:val="364793CB"/>
    <w:rsid w:val="3694FF1B"/>
    <w:rsid w:val="3695AED1"/>
    <w:rsid w:val="369A2BD8"/>
    <w:rsid w:val="36B55812"/>
    <w:rsid w:val="36C011C7"/>
    <w:rsid w:val="36E4A7D1"/>
    <w:rsid w:val="36F76019"/>
    <w:rsid w:val="36F809BB"/>
    <w:rsid w:val="37015806"/>
    <w:rsid w:val="3749800F"/>
    <w:rsid w:val="37498148"/>
    <w:rsid w:val="374D7F55"/>
    <w:rsid w:val="3751E4D8"/>
    <w:rsid w:val="3763724B"/>
    <w:rsid w:val="3776B8E2"/>
    <w:rsid w:val="377CB482"/>
    <w:rsid w:val="377DDEBA"/>
    <w:rsid w:val="3783A2C7"/>
    <w:rsid w:val="378F769B"/>
    <w:rsid w:val="379C9A40"/>
    <w:rsid w:val="379ED115"/>
    <w:rsid w:val="37A97BA8"/>
    <w:rsid w:val="37B2BB53"/>
    <w:rsid w:val="37BC78A2"/>
    <w:rsid w:val="37C99650"/>
    <w:rsid w:val="37DBD10A"/>
    <w:rsid w:val="37ED116D"/>
    <w:rsid w:val="38155B21"/>
    <w:rsid w:val="38207110"/>
    <w:rsid w:val="38265085"/>
    <w:rsid w:val="384F8693"/>
    <w:rsid w:val="385F76BE"/>
    <w:rsid w:val="385FCA46"/>
    <w:rsid w:val="38610ECA"/>
    <w:rsid w:val="3876E1D0"/>
    <w:rsid w:val="38796E12"/>
    <w:rsid w:val="388AAA75"/>
    <w:rsid w:val="38A936C4"/>
    <w:rsid w:val="38A9F9E8"/>
    <w:rsid w:val="38B4F453"/>
    <w:rsid w:val="38E1B2FF"/>
    <w:rsid w:val="38E50E43"/>
    <w:rsid w:val="38E7D982"/>
    <w:rsid w:val="38F59AB7"/>
    <w:rsid w:val="391A5D9E"/>
    <w:rsid w:val="391BF9D0"/>
    <w:rsid w:val="39221CF2"/>
    <w:rsid w:val="3928A07D"/>
    <w:rsid w:val="3968F501"/>
    <w:rsid w:val="39804E7B"/>
    <w:rsid w:val="39939A2C"/>
    <w:rsid w:val="39B6A4EC"/>
    <w:rsid w:val="39BFB0C7"/>
    <w:rsid w:val="39C16E51"/>
    <w:rsid w:val="39D139F3"/>
    <w:rsid w:val="39D88706"/>
    <w:rsid w:val="39E18BD8"/>
    <w:rsid w:val="39E304DE"/>
    <w:rsid w:val="39F28500"/>
    <w:rsid w:val="39F5EC15"/>
    <w:rsid w:val="3A011EAD"/>
    <w:rsid w:val="3A0569BB"/>
    <w:rsid w:val="3A147565"/>
    <w:rsid w:val="3A1A8571"/>
    <w:rsid w:val="3A3E1C45"/>
    <w:rsid w:val="3A466FD1"/>
    <w:rsid w:val="3A4B4226"/>
    <w:rsid w:val="3A588488"/>
    <w:rsid w:val="3A8B4252"/>
    <w:rsid w:val="3A8EF448"/>
    <w:rsid w:val="3A9079EB"/>
    <w:rsid w:val="3A923A88"/>
    <w:rsid w:val="3A9DA2B5"/>
    <w:rsid w:val="3AA0A2A5"/>
    <w:rsid w:val="3AA5BEC4"/>
    <w:rsid w:val="3AAADEE7"/>
    <w:rsid w:val="3AB07636"/>
    <w:rsid w:val="3AB3CB23"/>
    <w:rsid w:val="3AC9061A"/>
    <w:rsid w:val="3AC9B544"/>
    <w:rsid w:val="3ACB7196"/>
    <w:rsid w:val="3ACE3340"/>
    <w:rsid w:val="3AF0252D"/>
    <w:rsid w:val="3AF86359"/>
    <w:rsid w:val="3AFF5CEC"/>
    <w:rsid w:val="3B3A1770"/>
    <w:rsid w:val="3B3C5C65"/>
    <w:rsid w:val="3B40B67D"/>
    <w:rsid w:val="3B55D324"/>
    <w:rsid w:val="3B5A2ECF"/>
    <w:rsid w:val="3B68F9A9"/>
    <w:rsid w:val="3B701D3E"/>
    <w:rsid w:val="3B7E6FE3"/>
    <w:rsid w:val="3B8E1258"/>
    <w:rsid w:val="3B8E3A23"/>
    <w:rsid w:val="3B972D54"/>
    <w:rsid w:val="3BA1A160"/>
    <w:rsid w:val="3BAB28EE"/>
    <w:rsid w:val="3BAFB137"/>
    <w:rsid w:val="3BCAF372"/>
    <w:rsid w:val="3BCCDEE7"/>
    <w:rsid w:val="3BE30E79"/>
    <w:rsid w:val="3BE9E2F9"/>
    <w:rsid w:val="3BEC665D"/>
    <w:rsid w:val="3BFEB14A"/>
    <w:rsid w:val="3C00EDCF"/>
    <w:rsid w:val="3C078284"/>
    <w:rsid w:val="3C079619"/>
    <w:rsid w:val="3C1F7428"/>
    <w:rsid w:val="3C3CC6D1"/>
    <w:rsid w:val="3C3D30F4"/>
    <w:rsid w:val="3C72D457"/>
    <w:rsid w:val="3C74DE50"/>
    <w:rsid w:val="3C76E152"/>
    <w:rsid w:val="3C7CB568"/>
    <w:rsid w:val="3C8BDCE3"/>
    <w:rsid w:val="3C93BA6B"/>
    <w:rsid w:val="3CA1FBB8"/>
    <w:rsid w:val="3CB67678"/>
    <w:rsid w:val="3CC2FA1C"/>
    <w:rsid w:val="3CDF981D"/>
    <w:rsid w:val="3CFFA96E"/>
    <w:rsid w:val="3D0BE649"/>
    <w:rsid w:val="3D1396BA"/>
    <w:rsid w:val="3D1A3580"/>
    <w:rsid w:val="3D41F5DD"/>
    <w:rsid w:val="3D510C7D"/>
    <w:rsid w:val="3D5282C7"/>
    <w:rsid w:val="3D55724C"/>
    <w:rsid w:val="3D5BDBCF"/>
    <w:rsid w:val="3D5CC874"/>
    <w:rsid w:val="3D5D4367"/>
    <w:rsid w:val="3D83D87B"/>
    <w:rsid w:val="3D8EC1EA"/>
    <w:rsid w:val="3D92C0D9"/>
    <w:rsid w:val="3D9C9ACE"/>
    <w:rsid w:val="3DACFF09"/>
    <w:rsid w:val="3DAD39BF"/>
    <w:rsid w:val="3DC1D04A"/>
    <w:rsid w:val="3DD1C673"/>
    <w:rsid w:val="3DF733AD"/>
    <w:rsid w:val="3E003E6F"/>
    <w:rsid w:val="3E0FB954"/>
    <w:rsid w:val="3E1831D7"/>
    <w:rsid w:val="3E1BF785"/>
    <w:rsid w:val="3E1CDC40"/>
    <w:rsid w:val="3E23DA52"/>
    <w:rsid w:val="3E27A283"/>
    <w:rsid w:val="3E2E5344"/>
    <w:rsid w:val="3E35BFF9"/>
    <w:rsid w:val="3E44D340"/>
    <w:rsid w:val="3E63BD67"/>
    <w:rsid w:val="3E6CA5A3"/>
    <w:rsid w:val="3E8FC5CA"/>
    <w:rsid w:val="3E9722CD"/>
    <w:rsid w:val="3E9E7C1C"/>
    <w:rsid w:val="3E9F716D"/>
    <w:rsid w:val="3EB15557"/>
    <w:rsid w:val="3EB77D48"/>
    <w:rsid w:val="3EBA7CF5"/>
    <w:rsid w:val="3EBF8AE9"/>
    <w:rsid w:val="3EC2C0C3"/>
    <w:rsid w:val="3EC57E31"/>
    <w:rsid w:val="3EDA8942"/>
    <w:rsid w:val="3EE9285B"/>
    <w:rsid w:val="3F021F57"/>
    <w:rsid w:val="3F1A60AC"/>
    <w:rsid w:val="3F415B25"/>
    <w:rsid w:val="3F429FEC"/>
    <w:rsid w:val="3F53EADF"/>
    <w:rsid w:val="3F54F2BF"/>
    <w:rsid w:val="3F55BD4F"/>
    <w:rsid w:val="3F5B20F3"/>
    <w:rsid w:val="3F5C3911"/>
    <w:rsid w:val="3F75CF3F"/>
    <w:rsid w:val="3F84A7C8"/>
    <w:rsid w:val="3F972597"/>
    <w:rsid w:val="3FB924E1"/>
    <w:rsid w:val="3FB9D974"/>
    <w:rsid w:val="3FC0F4C7"/>
    <w:rsid w:val="3FD5090F"/>
    <w:rsid w:val="3FDC2D18"/>
    <w:rsid w:val="3FF698CD"/>
    <w:rsid w:val="3FF73B9C"/>
    <w:rsid w:val="4002FEF0"/>
    <w:rsid w:val="4007AB35"/>
    <w:rsid w:val="402B9756"/>
    <w:rsid w:val="402C9D63"/>
    <w:rsid w:val="40453F52"/>
    <w:rsid w:val="40522E28"/>
    <w:rsid w:val="40725612"/>
    <w:rsid w:val="4074A51F"/>
    <w:rsid w:val="40798B69"/>
    <w:rsid w:val="407FBE3F"/>
    <w:rsid w:val="40802234"/>
    <w:rsid w:val="4083C0A4"/>
    <w:rsid w:val="4096DE7F"/>
    <w:rsid w:val="40985657"/>
    <w:rsid w:val="409F5320"/>
    <w:rsid w:val="40C3AB37"/>
    <w:rsid w:val="40CA31CA"/>
    <w:rsid w:val="4107869C"/>
    <w:rsid w:val="4128FAE2"/>
    <w:rsid w:val="41522273"/>
    <w:rsid w:val="4155C259"/>
    <w:rsid w:val="41587894"/>
    <w:rsid w:val="41591C8D"/>
    <w:rsid w:val="416E54D2"/>
    <w:rsid w:val="41703661"/>
    <w:rsid w:val="417BFB43"/>
    <w:rsid w:val="417DADBE"/>
    <w:rsid w:val="4187AC24"/>
    <w:rsid w:val="41927F32"/>
    <w:rsid w:val="41B1FB86"/>
    <w:rsid w:val="41B803F0"/>
    <w:rsid w:val="41C38D6B"/>
    <w:rsid w:val="41DAFA4D"/>
    <w:rsid w:val="41E1FD3E"/>
    <w:rsid w:val="41E787DB"/>
    <w:rsid w:val="41E88BAD"/>
    <w:rsid w:val="4206F83D"/>
    <w:rsid w:val="4210E12C"/>
    <w:rsid w:val="421B1C12"/>
    <w:rsid w:val="421F874A"/>
    <w:rsid w:val="4259244C"/>
    <w:rsid w:val="426137E4"/>
    <w:rsid w:val="4261E290"/>
    <w:rsid w:val="4271E620"/>
    <w:rsid w:val="4281018E"/>
    <w:rsid w:val="42817998"/>
    <w:rsid w:val="428ED92A"/>
    <w:rsid w:val="428FE5B9"/>
    <w:rsid w:val="42916C88"/>
    <w:rsid w:val="42ABA46F"/>
    <w:rsid w:val="42C0F608"/>
    <w:rsid w:val="42C97D3E"/>
    <w:rsid w:val="42DAE4CF"/>
    <w:rsid w:val="42E54305"/>
    <w:rsid w:val="42EE8F03"/>
    <w:rsid w:val="4300E121"/>
    <w:rsid w:val="4307FB80"/>
    <w:rsid w:val="43369550"/>
    <w:rsid w:val="4337B241"/>
    <w:rsid w:val="43479376"/>
    <w:rsid w:val="4374611F"/>
    <w:rsid w:val="437D93D0"/>
    <w:rsid w:val="438FD4E0"/>
    <w:rsid w:val="43941714"/>
    <w:rsid w:val="439647FE"/>
    <w:rsid w:val="43A029E7"/>
    <w:rsid w:val="43A78F29"/>
    <w:rsid w:val="43AE012B"/>
    <w:rsid w:val="43B00F49"/>
    <w:rsid w:val="43B3FFDA"/>
    <w:rsid w:val="43B7D38D"/>
    <w:rsid w:val="43BC24D7"/>
    <w:rsid w:val="43CCCD08"/>
    <w:rsid w:val="43D39D91"/>
    <w:rsid w:val="43D77D25"/>
    <w:rsid w:val="43DA65BF"/>
    <w:rsid w:val="43DCA991"/>
    <w:rsid w:val="43FC9D09"/>
    <w:rsid w:val="440A121A"/>
    <w:rsid w:val="440E7CFA"/>
    <w:rsid w:val="442D810E"/>
    <w:rsid w:val="4435F5D9"/>
    <w:rsid w:val="4437359E"/>
    <w:rsid w:val="445319F1"/>
    <w:rsid w:val="4482DB38"/>
    <w:rsid w:val="44908C96"/>
    <w:rsid w:val="449C7664"/>
    <w:rsid w:val="44A5411B"/>
    <w:rsid w:val="44C0371A"/>
    <w:rsid w:val="44D9E0A1"/>
    <w:rsid w:val="44DB6EB7"/>
    <w:rsid w:val="44DBF841"/>
    <w:rsid w:val="44DCE3ED"/>
    <w:rsid w:val="44EBDDF5"/>
    <w:rsid w:val="44F170C7"/>
    <w:rsid w:val="450167D1"/>
    <w:rsid w:val="450FDBEF"/>
    <w:rsid w:val="45289041"/>
    <w:rsid w:val="45292D49"/>
    <w:rsid w:val="452E94FB"/>
    <w:rsid w:val="45323D5D"/>
    <w:rsid w:val="4535E4AA"/>
    <w:rsid w:val="453831C3"/>
    <w:rsid w:val="4545B22C"/>
    <w:rsid w:val="45538FC1"/>
    <w:rsid w:val="45610E2B"/>
    <w:rsid w:val="4571915C"/>
    <w:rsid w:val="4576BD0F"/>
    <w:rsid w:val="4586C997"/>
    <w:rsid w:val="4586DC4E"/>
    <w:rsid w:val="45A73C26"/>
    <w:rsid w:val="45B583C6"/>
    <w:rsid w:val="45D0F536"/>
    <w:rsid w:val="45FEA918"/>
    <w:rsid w:val="45FEDFC0"/>
    <w:rsid w:val="4604F0F3"/>
    <w:rsid w:val="46186960"/>
    <w:rsid w:val="4619BBD0"/>
    <w:rsid w:val="461DFF34"/>
    <w:rsid w:val="4620B2EE"/>
    <w:rsid w:val="46221B36"/>
    <w:rsid w:val="4623D542"/>
    <w:rsid w:val="462B4A6D"/>
    <w:rsid w:val="46351664"/>
    <w:rsid w:val="46354745"/>
    <w:rsid w:val="46555A23"/>
    <w:rsid w:val="465745BA"/>
    <w:rsid w:val="46673B63"/>
    <w:rsid w:val="4673DB59"/>
    <w:rsid w:val="467F4708"/>
    <w:rsid w:val="4692908F"/>
    <w:rsid w:val="469BCB7C"/>
    <w:rsid w:val="46A849FC"/>
    <w:rsid w:val="46A924FA"/>
    <w:rsid w:val="46AC618D"/>
    <w:rsid w:val="46B97B5C"/>
    <w:rsid w:val="46BC8024"/>
    <w:rsid w:val="46C28277"/>
    <w:rsid w:val="46C32B4B"/>
    <w:rsid w:val="46DFE11A"/>
    <w:rsid w:val="46E27C1A"/>
    <w:rsid w:val="46F9D5EE"/>
    <w:rsid w:val="4702F63A"/>
    <w:rsid w:val="47174FB2"/>
    <w:rsid w:val="4724E869"/>
    <w:rsid w:val="472634CC"/>
    <w:rsid w:val="472972D9"/>
    <w:rsid w:val="47377462"/>
    <w:rsid w:val="47392B6D"/>
    <w:rsid w:val="4741EC67"/>
    <w:rsid w:val="475D1C28"/>
    <w:rsid w:val="476CF99C"/>
    <w:rsid w:val="476D530C"/>
    <w:rsid w:val="4774E0BE"/>
    <w:rsid w:val="47800E75"/>
    <w:rsid w:val="478AF0D8"/>
    <w:rsid w:val="47C82D58"/>
    <w:rsid w:val="47DA912B"/>
    <w:rsid w:val="47E9F47E"/>
    <w:rsid w:val="47EFC2D8"/>
    <w:rsid w:val="481781F9"/>
    <w:rsid w:val="481B09F4"/>
    <w:rsid w:val="4823F3DA"/>
    <w:rsid w:val="482D2BBA"/>
    <w:rsid w:val="483B8649"/>
    <w:rsid w:val="48590E94"/>
    <w:rsid w:val="4865CC0C"/>
    <w:rsid w:val="48673C74"/>
    <w:rsid w:val="4879E0D6"/>
    <w:rsid w:val="487FDCFD"/>
    <w:rsid w:val="4884FF91"/>
    <w:rsid w:val="488D539F"/>
    <w:rsid w:val="4891BFB9"/>
    <w:rsid w:val="48A5602E"/>
    <w:rsid w:val="48B81BE5"/>
    <w:rsid w:val="48C2B5DF"/>
    <w:rsid w:val="48C6862F"/>
    <w:rsid w:val="48E70527"/>
    <w:rsid w:val="4906F9D0"/>
    <w:rsid w:val="4909988F"/>
    <w:rsid w:val="490D67FD"/>
    <w:rsid w:val="493E1C7F"/>
    <w:rsid w:val="494D0446"/>
    <w:rsid w:val="4964A6C7"/>
    <w:rsid w:val="4967898E"/>
    <w:rsid w:val="4967EE35"/>
    <w:rsid w:val="496B2BA4"/>
    <w:rsid w:val="49753890"/>
    <w:rsid w:val="497609CC"/>
    <w:rsid w:val="4977259D"/>
    <w:rsid w:val="498E60ED"/>
    <w:rsid w:val="49A319D9"/>
    <w:rsid w:val="49B3505F"/>
    <w:rsid w:val="49B9294B"/>
    <w:rsid w:val="49B9513F"/>
    <w:rsid w:val="49CDEE65"/>
    <w:rsid w:val="49E32FA2"/>
    <w:rsid w:val="49E609F8"/>
    <w:rsid w:val="49F8A617"/>
    <w:rsid w:val="4A089D0B"/>
    <w:rsid w:val="4A0ACFE7"/>
    <w:rsid w:val="4A18333E"/>
    <w:rsid w:val="4A3AF3C9"/>
    <w:rsid w:val="4A3DA35E"/>
    <w:rsid w:val="4A453166"/>
    <w:rsid w:val="4A460390"/>
    <w:rsid w:val="4A501675"/>
    <w:rsid w:val="4A629275"/>
    <w:rsid w:val="4A6398CD"/>
    <w:rsid w:val="4A6CFF8E"/>
    <w:rsid w:val="4A73F8A1"/>
    <w:rsid w:val="4AA508A7"/>
    <w:rsid w:val="4AA6901B"/>
    <w:rsid w:val="4AB64004"/>
    <w:rsid w:val="4AB8372D"/>
    <w:rsid w:val="4AD0B2F6"/>
    <w:rsid w:val="4AF66844"/>
    <w:rsid w:val="4AFFCE1A"/>
    <w:rsid w:val="4B0C2EAE"/>
    <w:rsid w:val="4B0D675A"/>
    <w:rsid w:val="4B189904"/>
    <w:rsid w:val="4B1B58F6"/>
    <w:rsid w:val="4B25C63E"/>
    <w:rsid w:val="4B2ACC33"/>
    <w:rsid w:val="4B39ABAC"/>
    <w:rsid w:val="4B3C2E01"/>
    <w:rsid w:val="4B4F1CA7"/>
    <w:rsid w:val="4B6069ED"/>
    <w:rsid w:val="4B637748"/>
    <w:rsid w:val="4B6510FC"/>
    <w:rsid w:val="4B688F49"/>
    <w:rsid w:val="4B771BC8"/>
    <w:rsid w:val="4B7AA47A"/>
    <w:rsid w:val="4B9992D5"/>
    <w:rsid w:val="4BAE5B11"/>
    <w:rsid w:val="4BC66990"/>
    <w:rsid w:val="4BED01AE"/>
    <w:rsid w:val="4BF94356"/>
    <w:rsid w:val="4C07A827"/>
    <w:rsid w:val="4C0A4802"/>
    <w:rsid w:val="4C0DA34A"/>
    <w:rsid w:val="4C0DC6C9"/>
    <w:rsid w:val="4C1838C8"/>
    <w:rsid w:val="4C7E86EC"/>
    <w:rsid w:val="4C86AD96"/>
    <w:rsid w:val="4C8C69D4"/>
    <w:rsid w:val="4C945B0B"/>
    <w:rsid w:val="4CAA078D"/>
    <w:rsid w:val="4CC601AF"/>
    <w:rsid w:val="4CCDA1BD"/>
    <w:rsid w:val="4CDC4D08"/>
    <w:rsid w:val="4CF0579D"/>
    <w:rsid w:val="4CF63BD0"/>
    <w:rsid w:val="4D39F8C6"/>
    <w:rsid w:val="4D3C2E45"/>
    <w:rsid w:val="4D46B08B"/>
    <w:rsid w:val="4D4823BF"/>
    <w:rsid w:val="4D663600"/>
    <w:rsid w:val="4D6CAE46"/>
    <w:rsid w:val="4D7A4A6A"/>
    <w:rsid w:val="4D855C8F"/>
    <w:rsid w:val="4DAE2A30"/>
    <w:rsid w:val="4DBC7366"/>
    <w:rsid w:val="4DC2E9CB"/>
    <w:rsid w:val="4DCE3CB3"/>
    <w:rsid w:val="4DCFF5CA"/>
    <w:rsid w:val="4DD0D386"/>
    <w:rsid w:val="4DD52D79"/>
    <w:rsid w:val="4DDC2D86"/>
    <w:rsid w:val="4DE43A22"/>
    <w:rsid w:val="4DE55128"/>
    <w:rsid w:val="4DE7EF10"/>
    <w:rsid w:val="4DEB0090"/>
    <w:rsid w:val="4E1DB7B6"/>
    <w:rsid w:val="4E321767"/>
    <w:rsid w:val="4E3C91E3"/>
    <w:rsid w:val="4E435D35"/>
    <w:rsid w:val="4E4DC6A9"/>
    <w:rsid w:val="4E5539DC"/>
    <w:rsid w:val="4E68DAD3"/>
    <w:rsid w:val="4E6E9FDD"/>
    <w:rsid w:val="4E71E47A"/>
    <w:rsid w:val="4E863954"/>
    <w:rsid w:val="4E90EC54"/>
    <w:rsid w:val="4E96156A"/>
    <w:rsid w:val="4EA3A5B6"/>
    <w:rsid w:val="4EAA5CFD"/>
    <w:rsid w:val="4EAA94FB"/>
    <w:rsid w:val="4EB30A1D"/>
    <w:rsid w:val="4EC18F27"/>
    <w:rsid w:val="4EC2153A"/>
    <w:rsid w:val="4ECC2E4D"/>
    <w:rsid w:val="4ED027DA"/>
    <w:rsid w:val="4F07B6DE"/>
    <w:rsid w:val="4F09DBCB"/>
    <w:rsid w:val="4F27533B"/>
    <w:rsid w:val="4F290E74"/>
    <w:rsid w:val="4F33678A"/>
    <w:rsid w:val="4F3B1C04"/>
    <w:rsid w:val="4F4E6452"/>
    <w:rsid w:val="4F4EE406"/>
    <w:rsid w:val="4F61728D"/>
    <w:rsid w:val="4F7180D8"/>
    <w:rsid w:val="4FAE4F4D"/>
    <w:rsid w:val="4FB9846D"/>
    <w:rsid w:val="4FC52001"/>
    <w:rsid w:val="4FDEEF06"/>
    <w:rsid w:val="4FF33B53"/>
    <w:rsid w:val="4FF5A891"/>
    <w:rsid w:val="500192ED"/>
    <w:rsid w:val="500417A3"/>
    <w:rsid w:val="50062D72"/>
    <w:rsid w:val="5012C39C"/>
    <w:rsid w:val="5021CCFE"/>
    <w:rsid w:val="5021CD45"/>
    <w:rsid w:val="5024869E"/>
    <w:rsid w:val="50291B9B"/>
    <w:rsid w:val="502F1179"/>
    <w:rsid w:val="503EABE2"/>
    <w:rsid w:val="50499B3D"/>
    <w:rsid w:val="504DCA42"/>
    <w:rsid w:val="505671AC"/>
    <w:rsid w:val="507143A5"/>
    <w:rsid w:val="50720D1C"/>
    <w:rsid w:val="507C3FEB"/>
    <w:rsid w:val="5094968F"/>
    <w:rsid w:val="50A4B9A7"/>
    <w:rsid w:val="50B28559"/>
    <w:rsid w:val="50B76FF3"/>
    <w:rsid w:val="50B8E9F2"/>
    <w:rsid w:val="50C286D3"/>
    <w:rsid w:val="50D9BBDB"/>
    <w:rsid w:val="50E7E381"/>
    <w:rsid w:val="50F58017"/>
    <w:rsid w:val="50F7E1EA"/>
    <w:rsid w:val="5101370F"/>
    <w:rsid w:val="510F9F08"/>
    <w:rsid w:val="51183ED7"/>
    <w:rsid w:val="512D292C"/>
    <w:rsid w:val="5133741C"/>
    <w:rsid w:val="514072F2"/>
    <w:rsid w:val="5145F883"/>
    <w:rsid w:val="514C0B14"/>
    <w:rsid w:val="51547456"/>
    <w:rsid w:val="515CFD19"/>
    <w:rsid w:val="516A6F1B"/>
    <w:rsid w:val="516DD281"/>
    <w:rsid w:val="5174AD81"/>
    <w:rsid w:val="5186DA71"/>
    <w:rsid w:val="519116DB"/>
    <w:rsid w:val="519BA42A"/>
    <w:rsid w:val="51A9992B"/>
    <w:rsid w:val="51B1F622"/>
    <w:rsid w:val="51E5B540"/>
    <w:rsid w:val="51F8DCA8"/>
    <w:rsid w:val="5200EE65"/>
    <w:rsid w:val="52078451"/>
    <w:rsid w:val="52226087"/>
    <w:rsid w:val="52233F75"/>
    <w:rsid w:val="5233D1D4"/>
    <w:rsid w:val="523C187D"/>
    <w:rsid w:val="52417C8D"/>
    <w:rsid w:val="525439EC"/>
    <w:rsid w:val="526FD69F"/>
    <w:rsid w:val="5283FC3F"/>
    <w:rsid w:val="52984ABC"/>
    <w:rsid w:val="529F8AE6"/>
    <w:rsid w:val="52A1E5C9"/>
    <w:rsid w:val="52CF81AA"/>
    <w:rsid w:val="52D5DC06"/>
    <w:rsid w:val="52E993C2"/>
    <w:rsid w:val="5301C528"/>
    <w:rsid w:val="53152C32"/>
    <w:rsid w:val="5317F80A"/>
    <w:rsid w:val="531BB90B"/>
    <w:rsid w:val="531D8E2D"/>
    <w:rsid w:val="533A0FB5"/>
    <w:rsid w:val="53431258"/>
    <w:rsid w:val="5350AAAC"/>
    <w:rsid w:val="53525C0C"/>
    <w:rsid w:val="5395AFD1"/>
    <w:rsid w:val="53AE8BF3"/>
    <w:rsid w:val="53BB7EB7"/>
    <w:rsid w:val="53D8E462"/>
    <w:rsid w:val="53DA6ABC"/>
    <w:rsid w:val="53F12B97"/>
    <w:rsid w:val="540D2676"/>
    <w:rsid w:val="541D30FA"/>
    <w:rsid w:val="543D8BFA"/>
    <w:rsid w:val="5448371B"/>
    <w:rsid w:val="544F8979"/>
    <w:rsid w:val="5450A65B"/>
    <w:rsid w:val="546FAD81"/>
    <w:rsid w:val="547FEC48"/>
    <w:rsid w:val="54849569"/>
    <w:rsid w:val="5489E799"/>
    <w:rsid w:val="5494A12B"/>
    <w:rsid w:val="54B41136"/>
    <w:rsid w:val="54D3439A"/>
    <w:rsid w:val="54EE2C6D"/>
    <w:rsid w:val="54F38EF9"/>
    <w:rsid w:val="550FC9D8"/>
    <w:rsid w:val="5513148B"/>
    <w:rsid w:val="551E6820"/>
    <w:rsid w:val="552DF552"/>
    <w:rsid w:val="5531A871"/>
    <w:rsid w:val="5541E6DC"/>
    <w:rsid w:val="5545D571"/>
    <w:rsid w:val="5549D831"/>
    <w:rsid w:val="554B4471"/>
    <w:rsid w:val="5550A3FF"/>
    <w:rsid w:val="55645F58"/>
    <w:rsid w:val="556D8722"/>
    <w:rsid w:val="558B1B12"/>
    <w:rsid w:val="5596B2B6"/>
    <w:rsid w:val="55A0E753"/>
    <w:rsid w:val="55A66E7E"/>
    <w:rsid w:val="55B36CFB"/>
    <w:rsid w:val="55D9BFF5"/>
    <w:rsid w:val="55F2251B"/>
    <w:rsid w:val="561951A2"/>
    <w:rsid w:val="561AF562"/>
    <w:rsid w:val="56209A76"/>
    <w:rsid w:val="56271DE1"/>
    <w:rsid w:val="5633E8E7"/>
    <w:rsid w:val="5647E66C"/>
    <w:rsid w:val="564E30D8"/>
    <w:rsid w:val="5664B5E8"/>
    <w:rsid w:val="566F03F4"/>
    <w:rsid w:val="56721B2C"/>
    <w:rsid w:val="567C0A42"/>
    <w:rsid w:val="567DC219"/>
    <w:rsid w:val="5689FCCE"/>
    <w:rsid w:val="56B6A7CA"/>
    <w:rsid w:val="56B6BE20"/>
    <w:rsid w:val="56D07262"/>
    <w:rsid w:val="56DE64B8"/>
    <w:rsid w:val="56E7940E"/>
    <w:rsid w:val="56E7FF5E"/>
    <w:rsid w:val="56ED0B5C"/>
    <w:rsid w:val="5707CDF3"/>
    <w:rsid w:val="57083453"/>
    <w:rsid w:val="57171D5F"/>
    <w:rsid w:val="573393A5"/>
    <w:rsid w:val="57353A4D"/>
    <w:rsid w:val="57478D75"/>
    <w:rsid w:val="57B43A2A"/>
    <w:rsid w:val="57C43754"/>
    <w:rsid w:val="57D031E6"/>
    <w:rsid w:val="57F238D8"/>
    <w:rsid w:val="5803A9ED"/>
    <w:rsid w:val="5806C5D5"/>
    <w:rsid w:val="5807D616"/>
    <w:rsid w:val="581DF707"/>
    <w:rsid w:val="5829F091"/>
    <w:rsid w:val="5834366B"/>
    <w:rsid w:val="5848E5ED"/>
    <w:rsid w:val="5852ABD0"/>
    <w:rsid w:val="58577596"/>
    <w:rsid w:val="585C4493"/>
    <w:rsid w:val="5861DAFC"/>
    <w:rsid w:val="5878908D"/>
    <w:rsid w:val="587FC8B6"/>
    <w:rsid w:val="58B04155"/>
    <w:rsid w:val="58B70E3F"/>
    <w:rsid w:val="58CFB9F6"/>
    <w:rsid w:val="58D005E2"/>
    <w:rsid w:val="58D402D9"/>
    <w:rsid w:val="58DD9F06"/>
    <w:rsid w:val="58E53117"/>
    <w:rsid w:val="58EAA27F"/>
    <w:rsid w:val="58F05CCC"/>
    <w:rsid w:val="58F45088"/>
    <w:rsid w:val="59125D28"/>
    <w:rsid w:val="5955A110"/>
    <w:rsid w:val="5961EF14"/>
    <w:rsid w:val="596920DB"/>
    <w:rsid w:val="59902A7D"/>
    <w:rsid w:val="5990AC29"/>
    <w:rsid w:val="599B620C"/>
    <w:rsid w:val="59AE2725"/>
    <w:rsid w:val="59AF3F40"/>
    <w:rsid w:val="59C26761"/>
    <w:rsid w:val="59C48D5C"/>
    <w:rsid w:val="59DDC4EF"/>
    <w:rsid w:val="59E19BE9"/>
    <w:rsid w:val="59E6646C"/>
    <w:rsid w:val="59ED0A86"/>
    <w:rsid w:val="59F4AB75"/>
    <w:rsid w:val="5A01009A"/>
    <w:rsid w:val="5A14B98C"/>
    <w:rsid w:val="5A23F1BF"/>
    <w:rsid w:val="5A3EAC3E"/>
    <w:rsid w:val="5A4218ED"/>
    <w:rsid w:val="5A61FC46"/>
    <w:rsid w:val="5A67BD2B"/>
    <w:rsid w:val="5A80EA01"/>
    <w:rsid w:val="5A98C08C"/>
    <w:rsid w:val="5AB0E79C"/>
    <w:rsid w:val="5ABCE9B6"/>
    <w:rsid w:val="5AEC0F34"/>
    <w:rsid w:val="5AFF206E"/>
    <w:rsid w:val="5B167C6B"/>
    <w:rsid w:val="5B1BE443"/>
    <w:rsid w:val="5B1FB67C"/>
    <w:rsid w:val="5B2E40F0"/>
    <w:rsid w:val="5B2FF6FD"/>
    <w:rsid w:val="5B3FD89F"/>
    <w:rsid w:val="5B516F1C"/>
    <w:rsid w:val="5B7FA88F"/>
    <w:rsid w:val="5BA09A02"/>
    <w:rsid w:val="5BC38834"/>
    <w:rsid w:val="5C018A73"/>
    <w:rsid w:val="5C113D71"/>
    <w:rsid w:val="5C2EA2FC"/>
    <w:rsid w:val="5C39B8F9"/>
    <w:rsid w:val="5C3A5ACF"/>
    <w:rsid w:val="5C44A12C"/>
    <w:rsid w:val="5C452013"/>
    <w:rsid w:val="5C51CA4C"/>
    <w:rsid w:val="5C7092BB"/>
    <w:rsid w:val="5C8CBD89"/>
    <w:rsid w:val="5C8F339C"/>
    <w:rsid w:val="5C957F91"/>
    <w:rsid w:val="5C969621"/>
    <w:rsid w:val="5C9E2021"/>
    <w:rsid w:val="5CB060F6"/>
    <w:rsid w:val="5CC003B4"/>
    <w:rsid w:val="5CCB7CD7"/>
    <w:rsid w:val="5CCECB0F"/>
    <w:rsid w:val="5CDFA7EF"/>
    <w:rsid w:val="5CE0F534"/>
    <w:rsid w:val="5CF45EF6"/>
    <w:rsid w:val="5CFEDC92"/>
    <w:rsid w:val="5D0BF49E"/>
    <w:rsid w:val="5D17A776"/>
    <w:rsid w:val="5D249126"/>
    <w:rsid w:val="5D264B30"/>
    <w:rsid w:val="5D2841DA"/>
    <w:rsid w:val="5D285484"/>
    <w:rsid w:val="5D2D75E7"/>
    <w:rsid w:val="5D345E2C"/>
    <w:rsid w:val="5D36D046"/>
    <w:rsid w:val="5D46E263"/>
    <w:rsid w:val="5D52507E"/>
    <w:rsid w:val="5D5405A4"/>
    <w:rsid w:val="5D57C079"/>
    <w:rsid w:val="5D5CF796"/>
    <w:rsid w:val="5D5E958C"/>
    <w:rsid w:val="5D80239B"/>
    <w:rsid w:val="5D8749DE"/>
    <w:rsid w:val="5D896341"/>
    <w:rsid w:val="5D975BA6"/>
    <w:rsid w:val="5DAEB2BE"/>
    <w:rsid w:val="5DC59231"/>
    <w:rsid w:val="5DCBFCA6"/>
    <w:rsid w:val="5DD7A5AC"/>
    <w:rsid w:val="5DE902F2"/>
    <w:rsid w:val="5DE90DE2"/>
    <w:rsid w:val="5E18B689"/>
    <w:rsid w:val="5E485264"/>
    <w:rsid w:val="5E52F851"/>
    <w:rsid w:val="5E559E14"/>
    <w:rsid w:val="5E5672D2"/>
    <w:rsid w:val="5E5B2BB3"/>
    <w:rsid w:val="5E5B5B13"/>
    <w:rsid w:val="5E5D2E8A"/>
    <w:rsid w:val="5E72503C"/>
    <w:rsid w:val="5E825CEE"/>
    <w:rsid w:val="5E8BD481"/>
    <w:rsid w:val="5EA1BA98"/>
    <w:rsid w:val="5EA5F679"/>
    <w:rsid w:val="5EA900A1"/>
    <w:rsid w:val="5ECB341D"/>
    <w:rsid w:val="5ED9AB28"/>
    <w:rsid w:val="5EE8D612"/>
    <w:rsid w:val="5EF4C16A"/>
    <w:rsid w:val="5EFCAA19"/>
    <w:rsid w:val="5F104A1E"/>
    <w:rsid w:val="5F12DF79"/>
    <w:rsid w:val="5F30BB10"/>
    <w:rsid w:val="5F46FC8B"/>
    <w:rsid w:val="5F4E23C3"/>
    <w:rsid w:val="5F5A3B26"/>
    <w:rsid w:val="5F70A552"/>
    <w:rsid w:val="5F97EE53"/>
    <w:rsid w:val="5FF35DBB"/>
    <w:rsid w:val="60079C59"/>
    <w:rsid w:val="6017DF23"/>
    <w:rsid w:val="601B0A5A"/>
    <w:rsid w:val="60216A1F"/>
    <w:rsid w:val="60248231"/>
    <w:rsid w:val="6036F8DA"/>
    <w:rsid w:val="6038D183"/>
    <w:rsid w:val="603D3683"/>
    <w:rsid w:val="604056AA"/>
    <w:rsid w:val="6055F384"/>
    <w:rsid w:val="60585184"/>
    <w:rsid w:val="60601C4F"/>
    <w:rsid w:val="6070041E"/>
    <w:rsid w:val="60A1304F"/>
    <w:rsid w:val="60A23E6C"/>
    <w:rsid w:val="60AA42D4"/>
    <w:rsid w:val="60C3D4C9"/>
    <w:rsid w:val="60C4C9E8"/>
    <w:rsid w:val="60CC8B71"/>
    <w:rsid w:val="60CD7F24"/>
    <w:rsid w:val="60D541B0"/>
    <w:rsid w:val="60E93CF9"/>
    <w:rsid w:val="611358D9"/>
    <w:rsid w:val="6122D76B"/>
    <w:rsid w:val="612D9CDB"/>
    <w:rsid w:val="6139F2F1"/>
    <w:rsid w:val="61445536"/>
    <w:rsid w:val="6146B140"/>
    <w:rsid w:val="6163836E"/>
    <w:rsid w:val="617409AA"/>
    <w:rsid w:val="617B0FC7"/>
    <w:rsid w:val="61863685"/>
    <w:rsid w:val="618D73BF"/>
    <w:rsid w:val="61AA40C5"/>
    <w:rsid w:val="61C1DA77"/>
    <w:rsid w:val="61CB0364"/>
    <w:rsid w:val="61D22C0D"/>
    <w:rsid w:val="61D5FD49"/>
    <w:rsid w:val="61DC965D"/>
    <w:rsid w:val="61F3D4CF"/>
    <w:rsid w:val="6206AED9"/>
    <w:rsid w:val="620E40F7"/>
    <w:rsid w:val="6213F4D8"/>
    <w:rsid w:val="621DA8E7"/>
    <w:rsid w:val="622DCE64"/>
    <w:rsid w:val="624A010F"/>
    <w:rsid w:val="625A7F5E"/>
    <w:rsid w:val="6286384C"/>
    <w:rsid w:val="62B70211"/>
    <w:rsid w:val="62B850AB"/>
    <w:rsid w:val="62BDE097"/>
    <w:rsid w:val="62BDFD45"/>
    <w:rsid w:val="62CFDDDE"/>
    <w:rsid w:val="62D8548A"/>
    <w:rsid w:val="62F9F6C5"/>
    <w:rsid w:val="6306545C"/>
    <w:rsid w:val="63270D6B"/>
    <w:rsid w:val="6328FD74"/>
    <w:rsid w:val="634372D7"/>
    <w:rsid w:val="635809AA"/>
    <w:rsid w:val="63700A6C"/>
    <w:rsid w:val="63770E60"/>
    <w:rsid w:val="6378A69F"/>
    <w:rsid w:val="637A5526"/>
    <w:rsid w:val="639406EA"/>
    <w:rsid w:val="639B039F"/>
    <w:rsid w:val="63ABBACE"/>
    <w:rsid w:val="63BD0F60"/>
    <w:rsid w:val="63CE1BF6"/>
    <w:rsid w:val="63D2E4C0"/>
    <w:rsid w:val="63DC376C"/>
    <w:rsid w:val="63ECB474"/>
    <w:rsid w:val="63ED2C41"/>
    <w:rsid w:val="64042C33"/>
    <w:rsid w:val="6427F59E"/>
    <w:rsid w:val="642E6880"/>
    <w:rsid w:val="64332475"/>
    <w:rsid w:val="64392FA3"/>
    <w:rsid w:val="644A5B6E"/>
    <w:rsid w:val="644B0876"/>
    <w:rsid w:val="644CA685"/>
    <w:rsid w:val="6455354F"/>
    <w:rsid w:val="645E0BDC"/>
    <w:rsid w:val="646B4E0A"/>
    <w:rsid w:val="646D1509"/>
    <w:rsid w:val="646D946E"/>
    <w:rsid w:val="648B4470"/>
    <w:rsid w:val="648FF6C3"/>
    <w:rsid w:val="649F477D"/>
    <w:rsid w:val="64A43A39"/>
    <w:rsid w:val="64D2816D"/>
    <w:rsid w:val="65193A2E"/>
    <w:rsid w:val="6537F6A7"/>
    <w:rsid w:val="6545C814"/>
    <w:rsid w:val="65648D10"/>
    <w:rsid w:val="656C1667"/>
    <w:rsid w:val="656EB0AB"/>
    <w:rsid w:val="6580E949"/>
    <w:rsid w:val="659D5CAE"/>
    <w:rsid w:val="659D6CAA"/>
    <w:rsid w:val="65A7B57A"/>
    <w:rsid w:val="65CBD9D4"/>
    <w:rsid w:val="65CC9D11"/>
    <w:rsid w:val="65D0C80E"/>
    <w:rsid w:val="65E19D23"/>
    <w:rsid w:val="65E4B846"/>
    <w:rsid w:val="6618F215"/>
    <w:rsid w:val="6640EAA7"/>
    <w:rsid w:val="664B4C85"/>
    <w:rsid w:val="664BC8E7"/>
    <w:rsid w:val="664D4730"/>
    <w:rsid w:val="66551E25"/>
    <w:rsid w:val="665848AE"/>
    <w:rsid w:val="66641EEA"/>
    <w:rsid w:val="666CF338"/>
    <w:rsid w:val="666D507C"/>
    <w:rsid w:val="6672A9A4"/>
    <w:rsid w:val="667440C2"/>
    <w:rsid w:val="669EF818"/>
    <w:rsid w:val="66A4A88A"/>
    <w:rsid w:val="66A9BB61"/>
    <w:rsid w:val="66B06958"/>
    <w:rsid w:val="66C93327"/>
    <w:rsid w:val="66C9FFC1"/>
    <w:rsid w:val="66D9EBE0"/>
    <w:rsid w:val="66F3AD00"/>
    <w:rsid w:val="66FF6790"/>
    <w:rsid w:val="671C9724"/>
    <w:rsid w:val="674B0324"/>
    <w:rsid w:val="674EF208"/>
    <w:rsid w:val="6758CDB4"/>
    <w:rsid w:val="675C197D"/>
    <w:rsid w:val="6760414D"/>
    <w:rsid w:val="676B08DE"/>
    <w:rsid w:val="676E9F3B"/>
    <w:rsid w:val="67876B4C"/>
    <w:rsid w:val="6789A7DA"/>
    <w:rsid w:val="679ED704"/>
    <w:rsid w:val="67B86EA0"/>
    <w:rsid w:val="67D2BD20"/>
    <w:rsid w:val="67FC69B8"/>
    <w:rsid w:val="681236D3"/>
    <w:rsid w:val="6824B7EA"/>
    <w:rsid w:val="6826A80D"/>
    <w:rsid w:val="6843D235"/>
    <w:rsid w:val="684617B5"/>
    <w:rsid w:val="6867A22D"/>
    <w:rsid w:val="686D9F3C"/>
    <w:rsid w:val="68A6516D"/>
    <w:rsid w:val="68A89D11"/>
    <w:rsid w:val="68AE4DF6"/>
    <w:rsid w:val="68C830E7"/>
    <w:rsid w:val="68DAFFCA"/>
    <w:rsid w:val="68EEFACA"/>
    <w:rsid w:val="69032F38"/>
    <w:rsid w:val="69074C13"/>
    <w:rsid w:val="690FEC79"/>
    <w:rsid w:val="692EF769"/>
    <w:rsid w:val="693A234E"/>
    <w:rsid w:val="693AADA9"/>
    <w:rsid w:val="693EDEE2"/>
    <w:rsid w:val="694F67D4"/>
    <w:rsid w:val="69585B50"/>
    <w:rsid w:val="69592521"/>
    <w:rsid w:val="69595C1E"/>
    <w:rsid w:val="69703B54"/>
    <w:rsid w:val="6971CE14"/>
    <w:rsid w:val="697676A6"/>
    <w:rsid w:val="69792CA2"/>
    <w:rsid w:val="697EB07D"/>
    <w:rsid w:val="699A7A10"/>
    <w:rsid w:val="69AF24EA"/>
    <w:rsid w:val="69C6203E"/>
    <w:rsid w:val="69C676FD"/>
    <w:rsid w:val="69E7E37C"/>
    <w:rsid w:val="6A2F2531"/>
    <w:rsid w:val="6A350019"/>
    <w:rsid w:val="6A46543C"/>
    <w:rsid w:val="6A4A8A27"/>
    <w:rsid w:val="6A683C10"/>
    <w:rsid w:val="6A7F8185"/>
    <w:rsid w:val="6A91C98E"/>
    <w:rsid w:val="6AA410F4"/>
    <w:rsid w:val="6AA74DAC"/>
    <w:rsid w:val="6AA898F6"/>
    <w:rsid w:val="6AAF45D5"/>
    <w:rsid w:val="6AC15DD1"/>
    <w:rsid w:val="6AC1B2ED"/>
    <w:rsid w:val="6AD19791"/>
    <w:rsid w:val="6AE87894"/>
    <w:rsid w:val="6AEA4077"/>
    <w:rsid w:val="6AEF4E82"/>
    <w:rsid w:val="6AF96846"/>
    <w:rsid w:val="6B03784E"/>
    <w:rsid w:val="6B04237B"/>
    <w:rsid w:val="6B0E72EF"/>
    <w:rsid w:val="6B1AA23E"/>
    <w:rsid w:val="6B2BBE0D"/>
    <w:rsid w:val="6B48B909"/>
    <w:rsid w:val="6B493560"/>
    <w:rsid w:val="6B4C3685"/>
    <w:rsid w:val="6B509E30"/>
    <w:rsid w:val="6B6BE303"/>
    <w:rsid w:val="6B801192"/>
    <w:rsid w:val="6B85C200"/>
    <w:rsid w:val="6B86D8DB"/>
    <w:rsid w:val="6B889D5E"/>
    <w:rsid w:val="6BC14A99"/>
    <w:rsid w:val="6BC78D6A"/>
    <w:rsid w:val="6BCD99A7"/>
    <w:rsid w:val="6BE657F8"/>
    <w:rsid w:val="6C1D25D2"/>
    <w:rsid w:val="6C24D667"/>
    <w:rsid w:val="6C34A79D"/>
    <w:rsid w:val="6C376AF0"/>
    <w:rsid w:val="6C37FBB2"/>
    <w:rsid w:val="6C5DE8A0"/>
    <w:rsid w:val="6C5FA5F6"/>
    <w:rsid w:val="6C761705"/>
    <w:rsid w:val="6C979DDC"/>
    <w:rsid w:val="6CA251E1"/>
    <w:rsid w:val="6CC4E989"/>
    <w:rsid w:val="6CD6D30A"/>
    <w:rsid w:val="6CE1CBD2"/>
    <w:rsid w:val="6D0196D6"/>
    <w:rsid w:val="6D11273F"/>
    <w:rsid w:val="6D240EB0"/>
    <w:rsid w:val="6D282F59"/>
    <w:rsid w:val="6D33040C"/>
    <w:rsid w:val="6D485347"/>
    <w:rsid w:val="6D59CF03"/>
    <w:rsid w:val="6D69727A"/>
    <w:rsid w:val="6D709C91"/>
    <w:rsid w:val="6D773746"/>
    <w:rsid w:val="6D79BCD7"/>
    <w:rsid w:val="6D8002EA"/>
    <w:rsid w:val="6D91975B"/>
    <w:rsid w:val="6DAEADD9"/>
    <w:rsid w:val="6DCF0EA9"/>
    <w:rsid w:val="6DD45EC4"/>
    <w:rsid w:val="6DD7791C"/>
    <w:rsid w:val="6DE1EB4C"/>
    <w:rsid w:val="6DEB5101"/>
    <w:rsid w:val="6E06BD95"/>
    <w:rsid w:val="6E21DBEF"/>
    <w:rsid w:val="6E34C5E8"/>
    <w:rsid w:val="6E39C8FE"/>
    <w:rsid w:val="6E3C82A2"/>
    <w:rsid w:val="6E4212F4"/>
    <w:rsid w:val="6E6DB90C"/>
    <w:rsid w:val="6E6E4542"/>
    <w:rsid w:val="6E71DF5F"/>
    <w:rsid w:val="6E755FA7"/>
    <w:rsid w:val="6E80C36B"/>
    <w:rsid w:val="6E8284C9"/>
    <w:rsid w:val="6E88D609"/>
    <w:rsid w:val="6EC33DF3"/>
    <w:rsid w:val="6ED439D4"/>
    <w:rsid w:val="6F03328D"/>
    <w:rsid w:val="6F144A7F"/>
    <w:rsid w:val="6F2D3527"/>
    <w:rsid w:val="6F2EE6C3"/>
    <w:rsid w:val="6F305594"/>
    <w:rsid w:val="6F419540"/>
    <w:rsid w:val="6F520B72"/>
    <w:rsid w:val="6F5806E8"/>
    <w:rsid w:val="6F68B353"/>
    <w:rsid w:val="6F74F460"/>
    <w:rsid w:val="6F7EED25"/>
    <w:rsid w:val="6F92B0E8"/>
    <w:rsid w:val="6F99AB9B"/>
    <w:rsid w:val="6FA6BF56"/>
    <w:rsid w:val="6FB63428"/>
    <w:rsid w:val="6FB6C06B"/>
    <w:rsid w:val="6FBA2AA1"/>
    <w:rsid w:val="6FBB243E"/>
    <w:rsid w:val="6FC2D923"/>
    <w:rsid w:val="6FDA9266"/>
    <w:rsid w:val="6FDEDF3F"/>
    <w:rsid w:val="6FE90C4E"/>
    <w:rsid w:val="6FEC4D03"/>
    <w:rsid w:val="6FEC7B7D"/>
    <w:rsid w:val="6FF1A924"/>
    <w:rsid w:val="6FFB8469"/>
    <w:rsid w:val="7028BC92"/>
    <w:rsid w:val="70403615"/>
    <w:rsid w:val="704FE436"/>
    <w:rsid w:val="70689631"/>
    <w:rsid w:val="70A0F8F1"/>
    <w:rsid w:val="70A7A5D3"/>
    <w:rsid w:val="70A8C302"/>
    <w:rsid w:val="70B506E8"/>
    <w:rsid w:val="70B52C78"/>
    <w:rsid w:val="70F1305B"/>
    <w:rsid w:val="71010008"/>
    <w:rsid w:val="7103E226"/>
    <w:rsid w:val="711FEE6D"/>
    <w:rsid w:val="71203D31"/>
    <w:rsid w:val="712937E9"/>
    <w:rsid w:val="712C066F"/>
    <w:rsid w:val="7164BB61"/>
    <w:rsid w:val="7165400E"/>
    <w:rsid w:val="71748D92"/>
    <w:rsid w:val="71837E5B"/>
    <w:rsid w:val="719F0030"/>
    <w:rsid w:val="71C55945"/>
    <w:rsid w:val="71D1D443"/>
    <w:rsid w:val="71EFECB6"/>
    <w:rsid w:val="72073162"/>
    <w:rsid w:val="720C7DC0"/>
    <w:rsid w:val="721B921D"/>
    <w:rsid w:val="7262A1E0"/>
    <w:rsid w:val="726519E9"/>
    <w:rsid w:val="7295F8A3"/>
    <w:rsid w:val="72ACC59C"/>
    <w:rsid w:val="72B3DBC1"/>
    <w:rsid w:val="72C0FD42"/>
    <w:rsid w:val="72C209B5"/>
    <w:rsid w:val="72FAE6C5"/>
    <w:rsid w:val="7313288A"/>
    <w:rsid w:val="732B6640"/>
    <w:rsid w:val="732EBC6E"/>
    <w:rsid w:val="734BF7E5"/>
    <w:rsid w:val="734CD667"/>
    <w:rsid w:val="735ACEA1"/>
    <w:rsid w:val="73607C3D"/>
    <w:rsid w:val="73679CC2"/>
    <w:rsid w:val="736D7FAE"/>
    <w:rsid w:val="737A3946"/>
    <w:rsid w:val="7381BA06"/>
    <w:rsid w:val="7389FBC0"/>
    <w:rsid w:val="73933A5A"/>
    <w:rsid w:val="7397384A"/>
    <w:rsid w:val="7398D03E"/>
    <w:rsid w:val="73B4BD23"/>
    <w:rsid w:val="73C78EE5"/>
    <w:rsid w:val="73C86B10"/>
    <w:rsid w:val="73CD1100"/>
    <w:rsid w:val="73CF8E58"/>
    <w:rsid w:val="73F1A96F"/>
    <w:rsid w:val="73FB378F"/>
    <w:rsid w:val="7415B145"/>
    <w:rsid w:val="74305031"/>
    <w:rsid w:val="74446D04"/>
    <w:rsid w:val="7449ED89"/>
    <w:rsid w:val="744AE824"/>
    <w:rsid w:val="744DF43A"/>
    <w:rsid w:val="745C6F27"/>
    <w:rsid w:val="746303A8"/>
    <w:rsid w:val="74741497"/>
    <w:rsid w:val="74745F19"/>
    <w:rsid w:val="748575C1"/>
    <w:rsid w:val="74AB4733"/>
    <w:rsid w:val="74AD359D"/>
    <w:rsid w:val="74D2EF06"/>
    <w:rsid w:val="74D5A05D"/>
    <w:rsid w:val="74E04B25"/>
    <w:rsid w:val="74E631E1"/>
    <w:rsid w:val="74E7566E"/>
    <w:rsid w:val="74E983F1"/>
    <w:rsid w:val="74F0DDBD"/>
    <w:rsid w:val="74F16A8D"/>
    <w:rsid w:val="7518A1FF"/>
    <w:rsid w:val="753B5037"/>
    <w:rsid w:val="7542DF6A"/>
    <w:rsid w:val="754B7399"/>
    <w:rsid w:val="757D857F"/>
    <w:rsid w:val="75880E11"/>
    <w:rsid w:val="7598E14E"/>
    <w:rsid w:val="75A47E2E"/>
    <w:rsid w:val="75AD2B36"/>
    <w:rsid w:val="75B13895"/>
    <w:rsid w:val="75B59708"/>
    <w:rsid w:val="75C512A4"/>
    <w:rsid w:val="76007CE2"/>
    <w:rsid w:val="76009AC8"/>
    <w:rsid w:val="760D4FD8"/>
    <w:rsid w:val="7619D724"/>
    <w:rsid w:val="761FF2DA"/>
    <w:rsid w:val="762BE6CD"/>
    <w:rsid w:val="764DE1D2"/>
    <w:rsid w:val="766C7C68"/>
    <w:rsid w:val="767C1B86"/>
    <w:rsid w:val="767EAA42"/>
    <w:rsid w:val="768B5E1F"/>
    <w:rsid w:val="768C3008"/>
    <w:rsid w:val="769002B8"/>
    <w:rsid w:val="7690BAF4"/>
    <w:rsid w:val="769AFF47"/>
    <w:rsid w:val="76A0C72A"/>
    <w:rsid w:val="76CC42D2"/>
    <w:rsid w:val="76D00BC2"/>
    <w:rsid w:val="76FAFF55"/>
    <w:rsid w:val="76FD6CE2"/>
    <w:rsid w:val="7700483E"/>
    <w:rsid w:val="7707F646"/>
    <w:rsid w:val="77092EBA"/>
    <w:rsid w:val="772FA964"/>
    <w:rsid w:val="7735D2B8"/>
    <w:rsid w:val="7750FE53"/>
    <w:rsid w:val="776D6944"/>
    <w:rsid w:val="7794634C"/>
    <w:rsid w:val="77B2FA3B"/>
    <w:rsid w:val="77E19598"/>
    <w:rsid w:val="77E692EE"/>
    <w:rsid w:val="781A55CE"/>
    <w:rsid w:val="781ED4D6"/>
    <w:rsid w:val="7826AFAA"/>
    <w:rsid w:val="78657007"/>
    <w:rsid w:val="7881E350"/>
    <w:rsid w:val="789401C9"/>
    <w:rsid w:val="78955A23"/>
    <w:rsid w:val="78A85FB2"/>
    <w:rsid w:val="78AFAF96"/>
    <w:rsid w:val="78C6F37C"/>
    <w:rsid w:val="78DAF0DA"/>
    <w:rsid w:val="78E4037C"/>
    <w:rsid w:val="7906C363"/>
    <w:rsid w:val="79086245"/>
    <w:rsid w:val="790A19D1"/>
    <w:rsid w:val="7914339D"/>
    <w:rsid w:val="79212151"/>
    <w:rsid w:val="7928CEB7"/>
    <w:rsid w:val="79581DCB"/>
    <w:rsid w:val="7960B12A"/>
    <w:rsid w:val="7970F968"/>
    <w:rsid w:val="797638A9"/>
    <w:rsid w:val="79765379"/>
    <w:rsid w:val="7991822B"/>
    <w:rsid w:val="799BF1EC"/>
    <w:rsid w:val="79A7903A"/>
    <w:rsid w:val="79BDF236"/>
    <w:rsid w:val="79DA8F27"/>
    <w:rsid w:val="79EDEEB6"/>
    <w:rsid w:val="7A139B8C"/>
    <w:rsid w:val="7A1837B6"/>
    <w:rsid w:val="7A1884C6"/>
    <w:rsid w:val="7A18CB91"/>
    <w:rsid w:val="7A392015"/>
    <w:rsid w:val="7A441CB1"/>
    <w:rsid w:val="7A5226CD"/>
    <w:rsid w:val="7A654FD6"/>
    <w:rsid w:val="7A67DD75"/>
    <w:rsid w:val="7A6868B3"/>
    <w:rsid w:val="7A84A213"/>
    <w:rsid w:val="7A84C9FF"/>
    <w:rsid w:val="7A8D2C16"/>
    <w:rsid w:val="7AA907CC"/>
    <w:rsid w:val="7ADEEE24"/>
    <w:rsid w:val="7AE7552B"/>
    <w:rsid w:val="7AF3CA18"/>
    <w:rsid w:val="7AF84ADE"/>
    <w:rsid w:val="7AFA6BE4"/>
    <w:rsid w:val="7B0D856F"/>
    <w:rsid w:val="7B0FA719"/>
    <w:rsid w:val="7B2250A0"/>
    <w:rsid w:val="7B299622"/>
    <w:rsid w:val="7B5E2185"/>
    <w:rsid w:val="7B620ABF"/>
    <w:rsid w:val="7B654670"/>
    <w:rsid w:val="7B6A5213"/>
    <w:rsid w:val="7B70D7A6"/>
    <w:rsid w:val="7B73927F"/>
    <w:rsid w:val="7B787233"/>
    <w:rsid w:val="7B7AF31A"/>
    <w:rsid w:val="7B965E88"/>
    <w:rsid w:val="7BA217CF"/>
    <w:rsid w:val="7BB07A98"/>
    <w:rsid w:val="7BE16C07"/>
    <w:rsid w:val="7BEB3CBC"/>
    <w:rsid w:val="7BFB6EEA"/>
    <w:rsid w:val="7C175907"/>
    <w:rsid w:val="7C1859AC"/>
    <w:rsid w:val="7C214AED"/>
    <w:rsid w:val="7C3E903B"/>
    <w:rsid w:val="7C4490F4"/>
    <w:rsid w:val="7C48A154"/>
    <w:rsid w:val="7C5CB701"/>
    <w:rsid w:val="7C602D51"/>
    <w:rsid w:val="7C6B6515"/>
    <w:rsid w:val="7C9AA6EF"/>
    <w:rsid w:val="7CB1A9DF"/>
    <w:rsid w:val="7CBD1A20"/>
    <w:rsid w:val="7CEAA2B4"/>
    <w:rsid w:val="7CEB5D0A"/>
    <w:rsid w:val="7D00BDA3"/>
    <w:rsid w:val="7D132C49"/>
    <w:rsid w:val="7D1AE1F0"/>
    <w:rsid w:val="7D20A4A0"/>
    <w:rsid w:val="7D37ECDC"/>
    <w:rsid w:val="7D39F2C0"/>
    <w:rsid w:val="7D420D63"/>
    <w:rsid w:val="7D441FDB"/>
    <w:rsid w:val="7D61891B"/>
    <w:rsid w:val="7D654D8C"/>
    <w:rsid w:val="7D7276DB"/>
    <w:rsid w:val="7D764606"/>
    <w:rsid w:val="7D8EB54D"/>
    <w:rsid w:val="7D952E1F"/>
    <w:rsid w:val="7D97E074"/>
    <w:rsid w:val="7D9A8E24"/>
    <w:rsid w:val="7DA7E04A"/>
    <w:rsid w:val="7DB38D42"/>
    <w:rsid w:val="7DDC9B76"/>
    <w:rsid w:val="7DE4BEC5"/>
    <w:rsid w:val="7DE59F1F"/>
    <w:rsid w:val="7DEB79C5"/>
    <w:rsid w:val="7E03CA8D"/>
    <w:rsid w:val="7E040BCD"/>
    <w:rsid w:val="7E0AF9B4"/>
    <w:rsid w:val="7E115125"/>
    <w:rsid w:val="7E1787B1"/>
    <w:rsid w:val="7E2BD1D1"/>
    <w:rsid w:val="7E2C28DD"/>
    <w:rsid w:val="7E4B5055"/>
    <w:rsid w:val="7E73DCEA"/>
    <w:rsid w:val="7E8268AB"/>
    <w:rsid w:val="7E8F63E8"/>
    <w:rsid w:val="7EA8F784"/>
    <w:rsid w:val="7EC4F397"/>
    <w:rsid w:val="7ECD44B3"/>
    <w:rsid w:val="7EDA2B49"/>
    <w:rsid w:val="7F00964C"/>
    <w:rsid w:val="7F01B3C4"/>
    <w:rsid w:val="7F110C13"/>
    <w:rsid w:val="7F249F69"/>
    <w:rsid w:val="7F29B772"/>
    <w:rsid w:val="7F3CC81F"/>
    <w:rsid w:val="7F3F63C2"/>
    <w:rsid w:val="7F4E45B1"/>
    <w:rsid w:val="7F503685"/>
    <w:rsid w:val="7F5A6951"/>
    <w:rsid w:val="7F9709E3"/>
    <w:rsid w:val="7FA97F2F"/>
    <w:rsid w:val="7FCE2E10"/>
    <w:rsid w:val="7FD5CF1C"/>
    <w:rsid w:val="7FE2D6E5"/>
    <w:rsid w:val="7FEC716C"/>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A7A3CD"/>
  <w15:chartTrackingRefBased/>
  <w15:docId w15:val="{04094495-6744-4E5A-9F72-3694A07F2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1A65"/>
    <w:pPr>
      <w:suppressAutoHyphens/>
      <w:autoSpaceDE w:val="0"/>
      <w:autoSpaceDN w:val="0"/>
      <w:adjustRightInd w:val="0"/>
      <w:spacing w:after="120" w:line="312" w:lineRule="auto"/>
      <w:jc w:val="both"/>
    </w:pPr>
    <w:rPr>
      <w:rFonts w:asciiTheme="majorHAnsi" w:eastAsiaTheme="minorEastAsia" w:hAnsiTheme="majorHAnsi" w:cstheme="majorHAnsi"/>
      <w:color w:val="000000"/>
      <w:lang w:val="es-ES" w:eastAsia="ja-JP"/>
    </w:rPr>
  </w:style>
  <w:style w:type="paragraph" w:styleId="Heading1">
    <w:name w:val="heading 1"/>
    <w:basedOn w:val="01SectionHeaderSpaceafterCHAPTERSSECTIONHEADER"/>
    <w:next w:val="Normal"/>
    <w:link w:val="Heading1Char"/>
    <w:uiPriority w:val="9"/>
    <w:qFormat/>
    <w:rsid w:val="007D3DB1"/>
    <w:pPr>
      <w:spacing w:after="240" w:line="240" w:lineRule="auto"/>
      <w:ind w:right="-539"/>
      <w:outlineLvl w:val="0"/>
    </w:pPr>
    <w:rPr>
      <w:rFonts w:ascii="Aptos Display" w:hAnsi="Aptos Display"/>
      <w:sz w:val="48"/>
      <w:szCs w:val="58"/>
      <w:lang w:val="en-GB"/>
    </w:rPr>
  </w:style>
  <w:style w:type="paragraph" w:styleId="Heading2">
    <w:name w:val="heading 2"/>
    <w:basedOn w:val="Normal"/>
    <w:next w:val="Normal"/>
    <w:link w:val="Heading2Char"/>
    <w:uiPriority w:val="9"/>
    <w:unhideWhenUsed/>
    <w:qFormat/>
    <w:rsid w:val="005C7D59"/>
    <w:pPr>
      <w:keepNext/>
      <w:keepLines/>
      <w:spacing w:before="40" w:line="240" w:lineRule="auto"/>
      <w:outlineLvl w:val="1"/>
    </w:pPr>
    <w:rPr>
      <w:rFonts w:ascii="Aptos Display" w:eastAsiaTheme="majorEastAsia" w:hAnsi="Aptos Display" w:cstheme="minorHAnsi"/>
      <w:b/>
      <w:bCs/>
      <w:color w:val="009CDB"/>
      <w:sz w:val="26"/>
      <w:szCs w:val="26"/>
      <w:lang w:val="en-GB"/>
    </w:rPr>
  </w:style>
  <w:style w:type="paragraph" w:styleId="Heading3">
    <w:name w:val="heading 3"/>
    <w:basedOn w:val="Normal"/>
    <w:next w:val="Normal"/>
    <w:link w:val="Heading3Char"/>
    <w:autoRedefine/>
    <w:uiPriority w:val="9"/>
    <w:unhideWhenUsed/>
    <w:qFormat/>
    <w:rsid w:val="00162221"/>
    <w:pPr>
      <w:keepNext/>
      <w:spacing w:before="120" w:afterLines="50" w:line="240" w:lineRule="auto"/>
      <w:outlineLvl w:val="2"/>
    </w:pPr>
    <w:rPr>
      <w:rFonts w:ascii="Arial" w:eastAsia="Calibri Light" w:hAnsi="Arial" w:cs="Arial"/>
      <w:b/>
      <w:bCs/>
      <w:color w:val="FF0000"/>
      <w:sz w:val="24"/>
      <w:szCs w:val="24"/>
      <w:lang w:val="en-GB"/>
    </w:rPr>
  </w:style>
  <w:style w:type="paragraph" w:styleId="Heading4">
    <w:name w:val="heading 4"/>
    <w:basedOn w:val="Normal"/>
    <w:link w:val="Heading4Char"/>
    <w:uiPriority w:val="9"/>
    <w:qFormat/>
    <w:rsid w:val="00BE014C"/>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unhideWhenUsed/>
    <w:qFormat/>
    <w:rsid w:val="00BE014C"/>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76425E"/>
    <w:pPr>
      <w:keepNext/>
      <w:spacing w:after="0" w:line="240" w:lineRule="auto"/>
      <w:outlineLvl w:val="5"/>
    </w:pPr>
    <w:rPr>
      <w:rFonts w:eastAsia="Times New Roman" w:cstheme="minorHAnsi"/>
      <w:b/>
      <w:bCs/>
      <w:sz w:val="16"/>
      <w:szCs w:val="16"/>
    </w:rPr>
  </w:style>
  <w:style w:type="paragraph" w:styleId="Heading7">
    <w:name w:val="heading 7"/>
    <w:basedOn w:val="Normal"/>
    <w:next w:val="Normal"/>
    <w:link w:val="Heading7Char"/>
    <w:uiPriority w:val="9"/>
    <w:unhideWhenUsed/>
    <w:qFormat/>
    <w:rsid w:val="0041642B"/>
    <w:pPr>
      <w:keepNext/>
      <w:outlineLvl w:val="6"/>
    </w:pPr>
    <w:rPr>
      <w:rFonts w:eastAsia="Yu Mincho"/>
      <w:b/>
      <w:bCs/>
    </w:rPr>
  </w:style>
  <w:style w:type="paragraph" w:styleId="Heading8">
    <w:name w:val="heading 8"/>
    <w:basedOn w:val="Normal"/>
    <w:next w:val="Normal"/>
    <w:link w:val="Heading8Char"/>
    <w:uiPriority w:val="9"/>
    <w:unhideWhenUsed/>
    <w:qFormat/>
    <w:rsid w:val="0041642B"/>
    <w:pPr>
      <w:keepNext/>
      <w:outlineLvl w:val="7"/>
    </w:pPr>
    <w:rPr>
      <w:b/>
      <w:bCs/>
    </w:rPr>
  </w:style>
  <w:style w:type="paragraph" w:styleId="Heading9">
    <w:name w:val="heading 9"/>
    <w:basedOn w:val="Normal"/>
    <w:next w:val="Normal"/>
    <w:link w:val="Heading9Char"/>
    <w:uiPriority w:val="9"/>
    <w:unhideWhenUsed/>
    <w:qFormat/>
    <w:rsid w:val="000850F3"/>
    <w:pPr>
      <w:keepNext/>
      <w:spacing w:after="0" w:line="240" w:lineRule="auto"/>
      <w:outlineLvl w:val="8"/>
    </w:pPr>
    <w:rPr>
      <w:rFonts w:ascii="Calibri" w:eastAsia="Times New Roman" w:hAnsi="Calibri" w:cs="Calibri"/>
      <w:b/>
      <w:bCs/>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60C3"/>
    <w:rPr>
      <w:color w:val="0563C1" w:themeColor="hyperlink"/>
      <w:u w:val="single"/>
    </w:rPr>
  </w:style>
  <w:style w:type="character" w:customStyle="1" w:styleId="Heading1Char">
    <w:name w:val="Heading 1 Char"/>
    <w:basedOn w:val="DefaultParagraphFont"/>
    <w:link w:val="Heading1"/>
    <w:uiPriority w:val="9"/>
    <w:rsid w:val="007D3DB1"/>
    <w:rPr>
      <w:rFonts w:ascii="Aptos Display" w:eastAsiaTheme="minorEastAsia" w:hAnsi="Aptos Display" w:cs="Gotham-Book"/>
      <w:b/>
      <w:bCs/>
      <w:caps/>
      <w:color w:val="009CDB"/>
      <w:sz w:val="48"/>
      <w:szCs w:val="58"/>
      <w:u w:val="thick"/>
      <w:lang w:val="en-GB" w:eastAsia="ja-JP"/>
    </w:rPr>
  </w:style>
  <w:style w:type="paragraph" w:styleId="TOCHeading">
    <w:name w:val="TOC Heading"/>
    <w:basedOn w:val="Heading1"/>
    <w:next w:val="Normal"/>
    <w:uiPriority w:val="39"/>
    <w:unhideWhenUsed/>
    <w:qFormat/>
    <w:rsid w:val="00AB60C3"/>
    <w:pPr>
      <w:outlineLvl w:val="9"/>
    </w:pPr>
  </w:style>
  <w:style w:type="paragraph" w:styleId="TOC2">
    <w:name w:val="toc 2"/>
    <w:basedOn w:val="Normal"/>
    <w:next w:val="Normal"/>
    <w:autoRedefine/>
    <w:uiPriority w:val="39"/>
    <w:unhideWhenUsed/>
    <w:rsid w:val="00912A4C"/>
    <w:pPr>
      <w:tabs>
        <w:tab w:val="right" w:leader="dot" w:pos="10790"/>
      </w:tabs>
      <w:spacing w:after="0" w:line="240" w:lineRule="auto"/>
      <w:ind w:left="220"/>
    </w:pPr>
  </w:style>
  <w:style w:type="paragraph" w:styleId="TOC3">
    <w:name w:val="toc 3"/>
    <w:basedOn w:val="Normal"/>
    <w:next w:val="Normal"/>
    <w:autoRedefine/>
    <w:uiPriority w:val="39"/>
    <w:unhideWhenUsed/>
    <w:rsid w:val="00AB60C3"/>
    <w:pPr>
      <w:spacing w:after="100"/>
      <w:ind w:left="440"/>
    </w:pPr>
  </w:style>
  <w:style w:type="paragraph" w:styleId="ListParagraph">
    <w:name w:val="List Paragraph"/>
    <w:aliases w:val="paragraph,Main numbered paragraph,Numbered List Paragraph,Paragraphe  revu,Paragraphe de liste1,Number paragraph,References,Ha,List Paragraph1,List  Title,Recommendation,List Paragraph11,Table/Figure Heading,Colorful List - Accent 11,bl"/>
    <w:basedOn w:val="Normal"/>
    <w:link w:val="ListParagraphChar"/>
    <w:qFormat/>
    <w:rsid w:val="005C64E4"/>
    <w:pPr>
      <w:numPr>
        <w:numId w:val="1"/>
      </w:numPr>
      <w:spacing w:after="0"/>
    </w:pPr>
    <w:rPr>
      <w:rFonts w:ascii="Calibri Light" w:eastAsia="Times New Roman" w:hAnsi="Calibri Light" w:cs="Calibri Light"/>
      <w:lang w:eastAsia="en-GB"/>
    </w:rPr>
  </w:style>
  <w:style w:type="character" w:customStyle="1" w:styleId="Heading2Char">
    <w:name w:val="Heading 2 Char"/>
    <w:basedOn w:val="DefaultParagraphFont"/>
    <w:link w:val="Heading2"/>
    <w:uiPriority w:val="9"/>
    <w:rsid w:val="005C7D59"/>
    <w:rPr>
      <w:rFonts w:ascii="Aptos Display" w:eastAsiaTheme="majorEastAsia" w:hAnsi="Aptos Display" w:cstheme="minorHAnsi"/>
      <w:b/>
      <w:bCs/>
      <w:color w:val="009CDB"/>
      <w:sz w:val="26"/>
      <w:szCs w:val="26"/>
      <w:lang w:val="en-GB" w:eastAsia="ja-JP"/>
    </w:rPr>
  </w:style>
  <w:style w:type="character" w:customStyle="1" w:styleId="Heading3Char">
    <w:name w:val="Heading 3 Char"/>
    <w:basedOn w:val="DefaultParagraphFont"/>
    <w:link w:val="Heading3"/>
    <w:uiPriority w:val="9"/>
    <w:rsid w:val="00725698"/>
    <w:rPr>
      <w:rFonts w:ascii="Arial" w:eastAsia="Calibri Light" w:hAnsi="Arial" w:cs="Arial"/>
      <w:b/>
      <w:bCs/>
      <w:color w:val="FF0000"/>
      <w:sz w:val="24"/>
      <w:szCs w:val="24"/>
      <w:lang w:val="en-GB" w:eastAsia="ja-JP"/>
    </w:rPr>
  </w:style>
  <w:style w:type="paragraph" w:styleId="Header">
    <w:name w:val="header"/>
    <w:basedOn w:val="Normal"/>
    <w:link w:val="HeaderChar"/>
    <w:uiPriority w:val="99"/>
    <w:unhideWhenUsed/>
    <w:rsid w:val="00A302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0221"/>
  </w:style>
  <w:style w:type="paragraph" w:styleId="Footer">
    <w:name w:val="footer"/>
    <w:basedOn w:val="Normal"/>
    <w:link w:val="FooterChar"/>
    <w:uiPriority w:val="99"/>
    <w:unhideWhenUsed/>
    <w:rsid w:val="00A302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0221"/>
  </w:style>
  <w:style w:type="paragraph" w:styleId="Subtitle">
    <w:name w:val="Subtitle"/>
    <w:basedOn w:val="Normal"/>
    <w:next w:val="Normal"/>
    <w:link w:val="SubtitleChar"/>
    <w:uiPriority w:val="11"/>
    <w:qFormat/>
    <w:rsid w:val="00A30221"/>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A30221"/>
    <w:rPr>
      <w:rFonts w:eastAsiaTheme="minorEastAsia"/>
      <w:color w:val="5A5A5A" w:themeColor="text1" w:themeTint="A5"/>
      <w:spacing w:val="15"/>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FOOTNOTE"/>
    <w:basedOn w:val="Normal"/>
    <w:link w:val="FootnoteTextChar"/>
    <w:uiPriority w:val="99"/>
    <w:unhideWhenUsed/>
    <w:qFormat/>
    <w:rsid w:val="00A30221"/>
    <w:pPr>
      <w:spacing w:after="0" w:line="240" w:lineRule="auto"/>
    </w:pPr>
    <w:rPr>
      <w:sz w:val="20"/>
      <w:szCs w:val="20"/>
      <w:lang w:eastAsia="ko-KR"/>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FOOTNOTE Char"/>
    <w:basedOn w:val="DefaultParagraphFont"/>
    <w:link w:val="FootnoteText"/>
    <w:qFormat/>
    <w:rsid w:val="00A30221"/>
    <w:rPr>
      <w:rFonts w:eastAsiaTheme="minorEastAsia"/>
      <w:sz w:val="20"/>
      <w:szCs w:val="20"/>
      <w:lang w:eastAsia="ko-KR"/>
    </w:rPr>
  </w:style>
  <w:style w:type="character" w:styleId="FootnoteReference">
    <w:name w:val="footnote reference"/>
    <w:aliases w:val="Texto de nota al pie,ftref,Carattere Char1,Carattere Char Char Carattere Carattere Char Char,16 Point,Superscript 6 Point,fr,BVI fnr, BVI fnr,BVI fnr Char Char Char Char,BVI fnr Car Car Char Char Char Char,BVI fnr Car Car,FO,4,4_G,Re"/>
    <w:basedOn w:val="DefaultParagraphFont"/>
    <w:link w:val="FootnoteReference1"/>
    <w:uiPriority w:val="99"/>
    <w:unhideWhenUsed/>
    <w:qFormat/>
    <w:rsid w:val="00A30221"/>
    <w:rPr>
      <w:vertAlign w:val="superscript"/>
    </w:rPr>
  </w:style>
  <w:style w:type="character" w:customStyle="1" w:styleId="ListParagraphChar">
    <w:name w:val="List Paragraph Char"/>
    <w:aliases w:val="paragraph Char,Main numbered paragraph Char,Numbered List Paragraph Char,Paragraphe  revu Char,Paragraphe de liste1 Char,Number paragraph Char,References Char,Ha Char,List Paragraph1 Char,List  Title Char,Recommendation Char,bl Char"/>
    <w:basedOn w:val="DefaultParagraphFont"/>
    <w:link w:val="ListParagraph"/>
    <w:uiPriority w:val="34"/>
    <w:qFormat/>
    <w:rsid w:val="005C64E4"/>
    <w:rPr>
      <w:rFonts w:ascii="Calibri Light" w:eastAsia="Times New Roman" w:hAnsi="Calibri Light" w:cs="Calibri Light"/>
      <w:color w:val="000000"/>
      <w:lang w:eastAsia="en-GB"/>
    </w:rPr>
  </w:style>
  <w:style w:type="character" w:customStyle="1" w:styleId="CommentReference1">
    <w:name w:val="Comment Reference1"/>
    <w:basedOn w:val="DefaultParagraphFont"/>
    <w:uiPriority w:val="99"/>
    <w:semiHidden/>
    <w:unhideWhenUsed/>
    <w:rsid w:val="00A30221"/>
    <w:rPr>
      <w:sz w:val="16"/>
      <w:szCs w:val="16"/>
    </w:rPr>
  </w:style>
  <w:style w:type="paragraph" w:customStyle="1" w:styleId="CommentText1">
    <w:name w:val="Comment Text1"/>
    <w:basedOn w:val="Normal"/>
    <w:link w:val="CommentTextChar"/>
    <w:uiPriority w:val="99"/>
    <w:unhideWhenUsed/>
    <w:rsid w:val="00A30221"/>
    <w:pPr>
      <w:spacing w:line="240" w:lineRule="auto"/>
    </w:pPr>
    <w:rPr>
      <w:sz w:val="20"/>
      <w:szCs w:val="20"/>
    </w:rPr>
  </w:style>
  <w:style w:type="character" w:customStyle="1" w:styleId="CommentTextChar">
    <w:name w:val="Comment Text Char"/>
    <w:basedOn w:val="DefaultParagraphFont"/>
    <w:link w:val="CommentText1"/>
    <w:uiPriority w:val="99"/>
    <w:rsid w:val="00A30221"/>
    <w:rPr>
      <w:sz w:val="20"/>
      <w:szCs w:val="20"/>
    </w:rPr>
  </w:style>
  <w:style w:type="paragraph" w:customStyle="1" w:styleId="CommentSubject1">
    <w:name w:val="Comment Subject1"/>
    <w:basedOn w:val="CommentText1"/>
    <w:next w:val="CommentText1"/>
    <w:link w:val="CommentSubjectChar"/>
    <w:uiPriority w:val="99"/>
    <w:semiHidden/>
    <w:unhideWhenUsed/>
    <w:rsid w:val="00A30221"/>
    <w:rPr>
      <w:b/>
      <w:bCs/>
    </w:rPr>
  </w:style>
  <w:style w:type="character" w:customStyle="1" w:styleId="CommentSubjectChar">
    <w:name w:val="Comment Subject Char"/>
    <w:basedOn w:val="CommentTextChar"/>
    <w:link w:val="CommentSubject1"/>
    <w:uiPriority w:val="99"/>
    <w:semiHidden/>
    <w:rsid w:val="00A30221"/>
    <w:rPr>
      <w:b/>
      <w:bCs/>
      <w:sz w:val="20"/>
      <w:szCs w:val="20"/>
    </w:rPr>
  </w:style>
  <w:style w:type="paragraph" w:customStyle="1" w:styleId="Default">
    <w:name w:val="Default"/>
    <w:rsid w:val="00A30221"/>
    <w:pPr>
      <w:autoSpaceDE w:val="0"/>
      <w:autoSpaceDN w:val="0"/>
      <w:adjustRightInd w:val="0"/>
      <w:spacing w:after="0" w:line="240" w:lineRule="auto"/>
    </w:pPr>
    <w:rPr>
      <w:rFonts w:ascii="Calibri" w:eastAsiaTheme="minorEastAsia" w:hAnsi="Calibri" w:cs="Calibri"/>
      <w:color w:val="000000"/>
      <w:sz w:val="24"/>
      <w:szCs w:val="24"/>
      <w:lang w:eastAsia="ko-KR"/>
    </w:rPr>
  </w:style>
  <w:style w:type="paragraph" w:styleId="Caption">
    <w:name w:val="caption"/>
    <w:basedOn w:val="Normal"/>
    <w:next w:val="Normal"/>
    <w:uiPriority w:val="35"/>
    <w:unhideWhenUsed/>
    <w:qFormat/>
    <w:rsid w:val="00A30221"/>
    <w:pPr>
      <w:spacing w:after="200" w:line="240" w:lineRule="auto"/>
    </w:pPr>
    <w:rPr>
      <w:i/>
      <w:iCs/>
      <w:color w:val="44546A" w:themeColor="text2"/>
      <w:sz w:val="18"/>
      <w:szCs w:val="18"/>
    </w:rPr>
  </w:style>
  <w:style w:type="table" w:styleId="TableGrid">
    <w:name w:val="Table Grid"/>
    <w:basedOn w:val="TableNormal"/>
    <w:uiPriority w:val="39"/>
    <w:qFormat/>
    <w:rsid w:val="00A30221"/>
    <w:pPr>
      <w:spacing w:after="0" w:line="240" w:lineRule="auto"/>
    </w:pPr>
    <w:rPr>
      <w:rFonts w:eastAsiaTheme="minorEastAsia"/>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Reference1">
    <w:name w:val="Footnote Reference1"/>
    <w:basedOn w:val="Normal"/>
    <w:link w:val="FootnoteReference"/>
    <w:rsid w:val="00A30221"/>
    <w:pPr>
      <w:spacing w:before="120" w:line="240" w:lineRule="exact"/>
    </w:pPr>
    <w:rPr>
      <w:vertAlign w:val="superscript"/>
    </w:rPr>
  </w:style>
  <w:style w:type="character" w:styleId="FollowedHyperlink">
    <w:name w:val="FollowedHyperlink"/>
    <w:basedOn w:val="DefaultParagraphFont"/>
    <w:uiPriority w:val="99"/>
    <w:semiHidden/>
    <w:unhideWhenUsed/>
    <w:rsid w:val="00A30221"/>
    <w:rPr>
      <w:color w:val="954F72" w:themeColor="followedHyperlink"/>
      <w:u w:val="single"/>
    </w:rPr>
  </w:style>
  <w:style w:type="character" w:styleId="UnresolvedMention">
    <w:name w:val="Unresolved Mention"/>
    <w:basedOn w:val="DefaultParagraphFont"/>
    <w:uiPriority w:val="99"/>
    <w:unhideWhenUsed/>
    <w:rsid w:val="00A30221"/>
    <w:rPr>
      <w:color w:val="605E5C"/>
      <w:shd w:val="clear" w:color="auto" w:fill="E1DFDD"/>
    </w:rPr>
  </w:style>
  <w:style w:type="paragraph" w:styleId="Revision">
    <w:name w:val="Revision"/>
    <w:hidden/>
    <w:uiPriority w:val="99"/>
    <w:semiHidden/>
    <w:rsid w:val="00A30221"/>
    <w:pPr>
      <w:spacing w:after="0" w:line="240" w:lineRule="auto"/>
    </w:pPr>
  </w:style>
  <w:style w:type="character" w:styleId="Mention">
    <w:name w:val="Mention"/>
    <w:basedOn w:val="DefaultParagraphFont"/>
    <w:uiPriority w:val="99"/>
    <w:unhideWhenUsed/>
    <w:rsid w:val="00A30221"/>
    <w:rPr>
      <w:color w:val="2B579A"/>
      <w:shd w:val="clear" w:color="auto" w:fill="E1DFDD"/>
    </w:rPr>
  </w:style>
  <w:style w:type="character" w:customStyle="1" w:styleId="eop">
    <w:name w:val="eop"/>
    <w:basedOn w:val="DefaultParagraphFont"/>
    <w:rsid w:val="00A30221"/>
  </w:style>
  <w:style w:type="character" w:customStyle="1" w:styleId="normaltextrun">
    <w:name w:val="normaltextrun"/>
    <w:basedOn w:val="DefaultParagraphFont"/>
    <w:rsid w:val="00A30221"/>
  </w:style>
  <w:style w:type="paragraph" w:styleId="Title">
    <w:name w:val="Title"/>
    <w:basedOn w:val="Normal"/>
    <w:next w:val="Normal"/>
    <w:link w:val="TitleChar"/>
    <w:uiPriority w:val="10"/>
    <w:qFormat/>
    <w:rsid w:val="00A0726C"/>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A0726C"/>
    <w:rPr>
      <w:rFonts w:asciiTheme="majorHAnsi" w:eastAsiaTheme="majorEastAsia" w:hAnsiTheme="majorHAnsi" w:cstheme="majorBidi"/>
      <w:spacing w:val="-10"/>
      <w:kern w:val="28"/>
      <w:sz w:val="56"/>
      <w:szCs w:val="56"/>
    </w:rPr>
  </w:style>
  <w:style w:type="paragraph" w:customStyle="1" w:styleId="BVIfnrCharCharCharCharChar">
    <w:name w:val="BVI fnr Char Char Char Char Char"/>
    <w:aliases w:val="BVI fnr Car Car Char Char Char Char Char,BVI fnr Car Char Char Char Char Char,BVI fnr Car Car Car Car Char Char Char1 Char Char Char,BVI fnr Char Char Char Char Char Char,BVI fnr Char Char Char Char Char Char Char Char"/>
    <w:basedOn w:val="Normal"/>
    <w:uiPriority w:val="99"/>
    <w:rsid w:val="007F658B"/>
    <w:pPr>
      <w:spacing w:line="240" w:lineRule="exact"/>
    </w:pPr>
    <w:rPr>
      <w:vertAlign w:val="superscript"/>
    </w:rPr>
  </w:style>
  <w:style w:type="paragraph" w:styleId="TOC1">
    <w:name w:val="toc 1"/>
    <w:basedOn w:val="Normal"/>
    <w:next w:val="Normal"/>
    <w:autoRedefine/>
    <w:uiPriority w:val="39"/>
    <w:unhideWhenUsed/>
    <w:rsid w:val="00912A4C"/>
    <w:pPr>
      <w:tabs>
        <w:tab w:val="right" w:leader="dot" w:pos="10790"/>
      </w:tabs>
      <w:spacing w:after="0" w:line="240" w:lineRule="auto"/>
    </w:pPr>
  </w:style>
  <w:style w:type="table" w:styleId="GridTable1Light-Accent5">
    <w:name w:val="Grid Table 1 Light Accent 5"/>
    <w:basedOn w:val="TableNormal"/>
    <w:uiPriority w:val="46"/>
    <w:rsid w:val="006F6ED8"/>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8752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BE014C"/>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BE014C"/>
    <w:rPr>
      <w:rFonts w:asciiTheme="majorHAnsi" w:eastAsiaTheme="majorEastAsia" w:hAnsiTheme="majorHAnsi" w:cstheme="majorBidi"/>
      <w:color w:val="2F5496" w:themeColor="accent1" w:themeShade="BF"/>
    </w:rPr>
  </w:style>
  <w:style w:type="character" w:styleId="Emphasis">
    <w:name w:val="Emphasis"/>
    <w:basedOn w:val="DefaultParagraphFont"/>
    <w:uiPriority w:val="20"/>
    <w:qFormat/>
    <w:rsid w:val="00BE014C"/>
    <w:rPr>
      <w:i/>
      <w:iCs/>
    </w:rPr>
  </w:style>
  <w:style w:type="table" w:styleId="PlainTable1">
    <w:name w:val="Plain Table 1"/>
    <w:basedOn w:val="TableNormal"/>
    <w:uiPriority w:val="41"/>
    <w:rsid w:val="00E8651D"/>
    <w:pPr>
      <w:spacing w:after="0" w:line="240" w:lineRule="auto"/>
    </w:pPr>
    <w:rPr>
      <w:rFonts w:eastAsiaTheme="minorEastAsi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1">
    <w:name w:val="Table Grid1"/>
    <w:basedOn w:val="TableNormal"/>
    <w:next w:val="TableGrid"/>
    <w:uiPriority w:val="39"/>
    <w:rsid w:val="003E6972"/>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UNWOMENTITLEPAGE">
    <w:name w:val="00_UN WOMEN (TITLE PAGE)"/>
    <w:basedOn w:val="Normal"/>
    <w:uiPriority w:val="99"/>
    <w:rsid w:val="00A33FFE"/>
    <w:pPr>
      <w:widowControl w:val="0"/>
      <w:spacing w:after="40" w:line="300" w:lineRule="atLeast"/>
      <w:textAlignment w:val="center"/>
    </w:pPr>
    <w:rPr>
      <w:rFonts w:ascii="Calibri" w:eastAsia="SimSun" w:hAnsi="Calibri" w:cs="Gotham-Bold"/>
      <w:b/>
      <w:bCs/>
      <w:caps/>
      <w:sz w:val="24"/>
      <w:szCs w:val="24"/>
    </w:rPr>
  </w:style>
  <w:style w:type="paragraph" w:styleId="EndnoteText">
    <w:name w:val="endnote text"/>
    <w:basedOn w:val="Normal"/>
    <w:link w:val="EndnoteTextChar"/>
    <w:uiPriority w:val="99"/>
    <w:semiHidden/>
    <w:unhideWhenUsed/>
    <w:rsid w:val="001A778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A7782"/>
    <w:rPr>
      <w:sz w:val="20"/>
      <w:szCs w:val="20"/>
    </w:rPr>
  </w:style>
  <w:style w:type="character" w:styleId="EndnoteReference">
    <w:name w:val="endnote reference"/>
    <w:basedOn w:val="DefaultParagraphFont"/>
    <w:uiPriority w:val="99"/>
    <w:semiHidden/>
    <w:unhideWhenUsed/>
    <w:rsid w:val="001A7782"/>
    <w:rPr>
      <w:vertAlign w:val="superscript"/>
    </w:rPr>
  </w:style>
  <w:style w:type="character" w:customStyle="1" w:styleId="Heading6Char">
    <w:name w:val="Heading 6 Char"/>
    <w:basedOn w:val="DefaultParagraphFont"/>
    <w:link w:val="Heading6"/>
    <w:uiPriority w:val="9"/>
    <w:rsid w:val="0076425E"/>
    <w:rPr>
      <w:rFonts w:eastAsia="Times New Roman" w:cstheme="minorHAnsi"/>
      <w:b/>
      <w:bCs/>
      <w:color w:val="000000"/>
      <w:sz w:val="16"/>
      <w:szCs w:val="16"/>
    </w:rPr>
  </w:style>
  <w:style w:type="character" w:customStyle="1" w:styleId="Heading7Char">
    <w:name w:val="Heading 7 Char"/>
    <w:basedOn w:val="DefaultParagraphFont"/>
    <w:link w:val="Heading7"/>
    <w:uiPriority w:val="9"/>
    <w:rsid w:val="0041642B"/>
    <w:rPr>
      <w:rFonts w:eastAsia="Yu Mincho"/>
      <w:b/>
      <w:bCs/>
    </w:rPr>
  </w:style>
  <w:style w:type="character" w:customStyle="1" w:styleId="Heading8Char">
    <w:name w:val="Heading 8 Char"/>
    <w:basedOn w:val="DefaultParagraphFont"/>
    <w:link w:val="Heading8"/>
    <w:uiPriority w:val="9"/>
    <w:rsid w:val="0041642B"/>
    <w:rPr>
      <w:b/>
      <w:bCs/>
    </w:rPr>
  </w:style>
  <w:style w:type="character" w:customStyle="1" w:styleId="Heading9Char">
    <w:name w:val="Heading 9 Char"/>
    <w:basedOn w:val="DefaultParagraphFont"/>
    <w:link w:val="Heading9"/>
    <w:uiPriority w:val="9"/>
    <w:rsid w:val="000850F3"/>
    <w:rPr>
      <w:rFonts w:ascii="Calibri" w:eastAsia="Times New Roman" w:hAnsi="Calibri" w:cs="Calibri"/>
      <w:b/>
      <w:bCs/>
      <w:color w:val="000000"/>
      <w:lang w:eastAsia="ko-KR"/>
    </w:rPr>
  </w:style>
  <w:style w:type="table" w:styleId="PlainTable2">
    <w:name w:val="Plain Table 2"/>
    <w:basedOn w:val="TableNormal"/>
    <w:uiPriority w:val="42"/>
    <w:rsid w:val="00A24A6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f01">
    <w:name w:val="cf01"/>
    <w:basedOn w:val="DefaultParagraphFont"/>
    <w:rsid w:val="001C5CC2"/>
    <w:rPr>
      <w:rFonts w:ascii="Segoe UI" w:hAnsi="Segoe UI" w:cs="Segoe UI" w:hint="default"/>
      <w:sz w:val="18"/>
      <w:szCs w:val="18"/>
    </w:rPr>
  </w:style>
  <w:style w:type="paragraph" w:styleId="BodyText">
    <w:name w:val="Body Text"/>
    <w:basedOn w:val="Normal"/>
    <w:link w:val="BodyTextChar"/>
    <w:uiPriority w:val="99"/>
    <w:unhideWhenUsed/>
    <w:rsid w:val="001C5CC2"/>
    <w:rPr>
      <w:rFonts w:cstheme="minorHAnsi"/>
      <w:b/>
      <w:bCs/>
    </w:rPr>
  </w:style>
  <w:style w:type="character" w:customStyle="1" w:styleId="BodyTextChar">
    <w:name w:val="Body Text Char"/>
    <w:basedOn w:val="DefaultParagraphFont"/>
    <w:link w:val="BodyText"/>
    <w:uiPriority w:val="99"/>
    <w:rsid w:val="001C5CC2"/>
    <w:rPr>
      <w:rFonts w:cstheme="minorHAnsi"/>
      <w:b/>
      <w:bCs/>
    </w:rPr>
  </w:style>
  <w:style w:type="paragraph" w:styleId="BodyText2">
    <w:name w:val="Body Text 2"/>
    <w:basedOn w:val="Normal"/>
    <w:link w:val="BodyText2Char"/>
    <w:uiPriority w:val="99"/>
    <w:unhideWhenUsed/>
    <w:rsid w:val="006C30DE"/>
    <w:rPr>
      <w:rFonts w:cstheme="minorHAnsi"/>
      <w:b/>
      <w:bCs/>
    </w:rPr>
  </w:style>
  <w:style w:type="character" w:customStyle="1" w:styleId="BodyText2Char">
    <w:name w:val="Body Text 2 Char"/>
    <w:basedOn w:val="DefaultParagraphFont"/>
    <w:link w:val="BodyText2"/>
    <w:uiPriority w:val="99"/>
    <w:rsid w:val="006C30DE"/>
    <w:rPr>
      <w:rFonts w:cstheme="minorHAnsi"/>
      <w:b/>
      <w:bCs/>
    </w:rPr>
  </w:style>
  <w:style w:type="character" w:customStyle="1" w:styleId="contextualspellingandgrammarerror">
    <w:name w:val="contextualspellingandgrammarerror"/>
    <w:basedOn w:val="DefaultParagraphFont"/>
    <w:rsid w:val="00E46F6F"/>
  </w:style>
  <w:style w:type="character" w:customStyle="1" w:styleId="advancedproofingissue">
    <w:name w:val="advancedproofingissue"/>
    <w:basedOn w:val="DefaultParagraphFont"/>
    <w:rsid w:val="00E46F6F"/>
  </w:style>
  <w:style w:type="paragraph" w:styleId="BodyText3">
    <w:name w:val="Body Text 3"/>
    <w:basedOn w:val="Normal"/>
    <w:link w:val="BodyText3Char"/>
    <w:uiPriority w:val="99"/>
    <w:unhideWhenUsed/>
    <w:rsid w:val="00E46F6F"/>
    <w:rPr>
      <w:sz w:val="20"/>
      <w:szCs w:val="20"/>
    </w:rPr>
  </w:style>
  <w:style w:type="character" w:customStyle="1" w:styleId="BodyText3Char">
    <w:name w:val="Body Text 3 Char"/>
    <w:basedOn w:val="DefaultParagraphFont"/>
    <w:link w:val="BodyText3"/>
    <w:uiPriority w:val="99"/>
    <w:rsid w:val="00E46F6F"/>
    <w:rPr>
      <w:sz w:val="20"/>
      <w:szCs w:val="20"/>
    </w:rPr>
  </w:style>
  <w:style w:type="paragraph" w:styleId="BodyTextIndent">
    <w:name w:val="Body Text Indent"/>
    <w:basedOn w:val="Normal"/>
    <w:link w:val="BodyTextIndentChar"/>
    <w:uiPriority w:val="99"/>
    <w:unhideWhenUsed/>
    <w:rsid w:val="00E30DEA"/>
    <w:pPr>
      <w:spacing w:after="0" w:line="240" w:lineRule="auto"/>
      <w:ind w:left="720"/>
      <w:textAlignment w:val="baseline"/>
    </w:pPr>
    <w:rPr>
      <w:i/>
      <w:iCs/>
    </w:rPr>
  </w:style>
  <w:style w:type="character" w:customStyle="1" w:styleId="BodyTextIndentChar">
    <w:name w:val="Body Text Indent Char"/>
    <w:basedOn w:val="DefaultParagraphFont"/>
    <w:link w:val="BodyTextIndent"/>
    <w:uiPriority w:val="99"/>
    <w:rsid w:val="00E30DEA"/>
    <w:rPr>
      <w:i/>
      <w:iCs/>
    </w:rPr>
  </w:style>
  <w:style w:type="paragraph" w:customStyle="1" w:styleId="Normal0">
    <w:name w:val="[Normal]"/>
    <w:uiPriority w:val="99"/>
    <w:qFormat/>
    <w:rsid w:val="00467478"/>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uppressAutoHyphens/>
      <w:spacing w:after="0" w:line="240" w:lineRule="auto"/>
    </w:pPr>
    <w:rPr>
      <w:rFonts w:ascii="Arial" w:eastAsia="Arial" w:hAnsi="Arial" w:cs="Times New Roman"/>
      <w:sz w:val="24"/>
      <w:szCs w:val="20"/>
    </w:rPr>
  </w:style>
  <w:style w:type="paragraph" w:styleId="NoSpacing">
    <w:name w:val="No Spacing"/>
    <w:link w:val="NoSpacingChar"/>
    <w:uiPriority w:val="1"/>
    <w:qFormat/>
    <w:rsid w:val="00D63002"/>
    <w:pPr>
      <w:spacing w:after="0" w:line="240" w:lineRule="auto"/>
    </w:pPr>
  </w:style>
  <w:style w:type="character" w:customStyle="1" w:styleId="NoSpacingChar">
    <w:name w:val="No Spacing Char"/>
    <w:basedOn w:val="DefaultParagraphFont"/>
    <w:link w:val="NoSpacing"/>
    <w:uiPriority w:val="1"/>
    <w:rsid w:val="00F752DE"/>
  </w:style>
  <w:style w:type="paragraph" w:customStyle="1" w:styleId="01SectionHeaderSpaceafterCHAPTERSSECTIONHEADER">
    <w:name w:val="01_Section Header (Space after) (CHAPTERS:SECTION HEADER)"/>
    <w:basedOn w:val="Normal"/>
    <w:uiPriority w:val="99"/>
    <w:rsid w:val="006504F6"/>
    <w:pPr>
      <w:widowControl w:val="0"/>
      <w:spacing w:before="240" w:after="720" w:line="800" w:lineRule="atLeast"/>
      <w:textAlignment w:val="center"/>
    </w:pPr>
    <w:rPr>
      <w:rFonts w:ascii="Calibri" w:hAnsi="Calibri" w:cs="Gotham-Book"/>
      <w:b/>
      <w:bCs/>
      <w:caps/>
      <w:color w:val="009CDB"/>
      <w:sz w:val="78"/>
      <w:szCs w:val="66"/>
      <w:u w:val="thick"/>
    </w:rPr>
  </w:style>
  <w:style w:type="paragraph" w:customStyle="1" w:styleId="01TOCLevel1TABLEOFCONTENTSSimple">
    <w:name w:val="01_TOCLevel 1 (TABLE OF CONTENTS (Simple))"/>
    <w:basedOn w:val="Normal"/>
    <w:autoRedefine/>
    <w:uiPriority w:val="99"/>
    <w:rsid w:val="00FF4FB3"/>
    <w:pPr>
      <w:widowControl w:val="0"/>
      <w:pBdr>
        <w:top w:val="single" w:sz="4" w:space="12" w:color="auto"/>
      </w:pBdr>
      <w:tabs>
        <w:tab w:val="right" w:pos="8640"/>
        <w:tab w:val="right" w:pos="10080"/>
      </w:tabs>
      <w:spacing w:before="120" w:after="240" w:line="220" w:lineRule="atLeast"/>
      <w:textAlignment w:val="center"/>
    </w:pPr>
    <w:rPr>
      <w:rFonts w:ascii="Calibri" w:hAnsi="Calibri" w:cs="Gotham-Medium"/>
      <w:b/>
      <w:caps/>
      <w:color w:val="009CDB"/>
      <w:spacing w:val="5"/>
      <w:sz w:val="19"/>
      <w:szCs w:val="18"/>
    </w:rPr>
  </w:style>
  <w:style w:type="paragraph" w:customStyle="1" w:styleId="01TOCLevel2blackTABLEOFCONTENTSSimple">
    <w:name w:val="01_TOCLevel 2 (black) (TABLE OF CONTENTS (Simple))"/>
    <w:basedOn w:val="Normal"/>
    <w:uiPriority w:val="99"/>
    <w:rsid w:val="00FF4FB3"/>
    <w:pPr>
      <w:widowControl w:val="0"/>
      <w:tabs>
        <w:tab w:val="right" w:pos="4740"/>
        <w:tab w:val="right" w:pos="9058"/>
      </w:tabs>
      <w:spacing w:line="260" w:lineRule="atLeast"/>
      <w:ind w:firstLine="300"/>
      <w:textAlignment w:val="center"/>
    </w:pPr>
    <w:rPr>
      <w:rFonts w:ascii="Calibri" w:hAnsi="Calibri" w:cs="TheSansBold-Plain"/>
      <w:bCs/>
      <w:sz w:val="19"/>
      <w:szCs w:val="19"/>
    </w:rPr>
  </w:style>
  <w:style w:type="table" w:customStyle="1" w:styleId="AlternateRowShding">
    <w:name w:val="Alternate Row Shding"/>
    <w:basedOn w:val="TableNormal"/>
    <w:uiPriority w:val="99"/>
    <w:rsid w:val="00FF4FB3"/>
    <w:pPr>
      <w:spacing w:after="0" w:line="240" w:lineRule="auto"/>
    </w:pPr>
    <w:tblPr>
      <w:tblStyleRowBandSize w:val="1"/>
    </w:tblPr>
    <w:tblStylePr w:type="firstRow">
      <w:rPr>
        <w:rFonts w:asciiTheme="minorHAnsi" w:hAnsiTheme="minorHAnsi"/>
        <w:b/>
        <w:color w:val="FFFFFF" w:themeColor="background1"/>
      </w:rPr>
      <w:tblPr/>
      <w:tcPr>
        <w:tcBorders>
          <w:top w:val="nil"/>
          <w:left w:val="nil"/>
          <w:bottom w:val="nil"/>
          <w:right w:val="nil"/>
          <w:insideH w:val="nil"/>
          <w:insideV w:val="nil"/>
          <w:tl2br w:val="nil"/>
          <w:tr2bl w:val="nil"/>
        </w:tcBorders>
        <w:shd w:val="clear" w:color="auto" w:fill="009DDC"/>
      </w:tcPr>
    </w:tblStylePr>
    <w:tblStylePr w:type="firstCol">
      <w:rPr>
        <w:rFonts w:asciiTheme="minorHAnsi" w:hAnsiTheme="minorHAnsi"/>
        <w:b/>
      </w:rPr>
    </w:tblStylePr>
    <w:tblStylePr w:type="band2Horz">
      <w:tblPr/>
      <w:tcPr>
        <w:tcBorders>
          <w:top w:val="nil"/>
          <w:left w:val="nil"/>
          <w:bottom w:val="nil"/>
          <w:right w:val="nil"/>
          <w:insideH w:val="nil"/>
          <w:insideV w:val="nil"/>
          <w:tl2br w:val="nil"/>
          <w:tr2bl w:val="nil"/>
        </w:tcBorders>
        <w:shd w:val="solid" w:color="DEEAF6" w:themeColor="accent5" w:themeTint="33" w:fill="auto"/>
      </w:tcPr>
    </w:tblStylePr>
  </w:style>
  <w:style w:type="paragraph" w:customStyle="1" w:styleId="TitleofReportMASTER">
    <w:name w:val="Title of Report (MASTER)"/>
    <w:basedOn w:val="Normal"/>
    <w:uiPriority w:val="99"/>
    <w:rsid w:val="00507AF0"/>
    <w:pPr>
      <w:widowControl w:val="0"/>
      <w:tabs>
        <w:tab w:val="left" w:pos="1440"/>
        <w:tab w:val="right" w:pos="5300"/>
      </w:tabs>
      <w:spacing w:after="0" w:line="160" w:lineRule="atLeast"/>
      <w:jc w:val="right"/>
      <w:textAlignment w:val="center"/>
    </w:pPr>
    <w:rPr>
      <w:rFonts w:ascii="TheSans-Caps" w:hAnsi="TheSans-Caps" w:cs="TheSans-Caps"/>
      <w:sz w:val="16"/>
      <w:szCs w:val="16"/>
    </w:rPr>
  </w:style>
  <w:style w:type="paragraph" w:customStyle="1" w:styleId="FootnotesFOOTNOTESitalicsareincharacterstyle">
    <w:name w:val="Footnotes (FOOTNOTES (italics are in character style))"/>
    <w:basedOn w:val="Normal"/>
    <w:autoRedefine/>
    <w:uiPriority w:val="99"/>
    <w:rsid w:val="00507AF0"/>
    <w:pPr>
      <w:widowControl w:val="0"/>
      <w:spacing w:before="120" w:line="220" w:lineRule="atLeast"/>
      <w:ind w:left="90" w:hanging="90"/>
      <w:textAlignment w:val="center"/>
    </w:pPr>
    <w:rPr>
      <w:rFonts w:ascii="Calibri Light" w:hAnsi="Calibri Light" w:cs="TheSansLight-Plain"/>
      <w:sz w:val="18"/>
      <w:szCs w:val="16"/>
    </w:rPr>
  </w:style>
  <w:style w:type="paragraph" w:customStyle="1" w:styleId="Redemphasistext">
    <w:name w:val="Red emphasis text"/>
    <w:basedOn w:val="Normal"/>
    <w:qFormat/>
    <w:rsid w:val="000823CB"/>
    <w:pPr>
      <w:widowControl w:val="0"/>
      <w:tabs>
        <w:tab w:val="left" w:pos="120"/>
      </w:tabs>
      <w:spacing w:before="360" w:after="130"/>
      <w:textAlignment w:val="center"/>
    </w:pPr>
    <w:rPr>
      <w:rFonts w:eastAsia="Calibri"/>
      <w:color w:val="D31145"/>
      <w:sz w:val="23"/>
      <w:szCs w:val="23"/>
    </w:rPr>
  </w:style>
  <w:style w:type="paragraph" w:customStyle="1" w:styleId="Title1">
    <w:name w:val="Title1"/>
    <w:basedOn w:val="Normal"/>
    <w:qFormat/>
    <w:rsid w:val="00BD1B95"/>
    <w:pPr>
      <w:spacing w:after="0" w:line="240" w:lineRule="auto"/>
      <w:jc w:val="left"/>
    </w:pPr>
    <w:rPr>
      <w:rFonts w:ascii="Calibri" w:hAnsi="Calibri" w:cs="Calibri"/>
      <w:b/>
      <w:bCs/>
      <w:color w:val="FFFFFF" w:themeColor="background1"/>
      <w:sz w:val="72"/>
      <w:szCs w:val="72"/>
    </w:rPr>
  </w:style>
  <w:style w:type="paragraph" w:customStyle="1" w:styleId="COVERTYPE">
    <w:name w:val="COVER TYPE"/>
    <w:basedOn w:val="Normal"/>
    <w:qFormat/>
    <w:rsid w:val="00BD1B95"/>
    <w:rPr>
      <w:b/>
      <w:bCs/>
      <w:color w:val="FFFFFF" w:themeColor="background1"/>
      <w:sz w:val="24"/>
      <w:szCs w:val="24"/>
    </w:rPr>
  </w:style>
  <w:style w:type="paragraph" w:customStyle="1" w:styleId="DISCLAIMERPAGE">
    <w:name w:val="DISCLAIMER PAGE"/>
    <w:basedOn w:val="Normal"/>
    <w:qFormat/>
    <w:rsid w:val="00BD1B95"/>
    <w:rPr>
      <w:color w:val="FFFFFF" w:themeColor="background1"/>
      <w:sz w:val="18"/>
      <w:szCs w:val="18"/>
    </w:rPr>
  </w:style>
  <w:style w:type="paragraph" w:customStyle="1" w:styleId="BOXSTYLE">
    <w:name w:val="BOX STYLE"/>
    <w:basedOn w:val="Normal"/>
    <w:qFormat/>
    <w:rsid w:val="00BD1B95"/>
    <w:pPr>
      <w:spacing w:after="0" w:line="240" w:lineRule="auto"/>
    </w:pPr>
    <w:rPr>
      <w:color w:val="FFFFFF" w:themeColor="background1"/>
      <w:sz w:val="26"/>
      <w:szCs w:val="26"/>
    </w:rPr>
  </w:style>
  <w:style w:type="paragraph" w:customStyle="1" w:styleId="BOXHEADERBIG">
    <w:name w:val="BOX HEADER BIG"/>
    <w:basedOn w:val="Normal"/>
    <w:qFormat/>
    <w:rsid w:val="00BD1B95"/>
    <w:pPr>
      <w:jc w:val="left"/>
    </w:pPr>
    <w:rPr>
      <w:rFonts w:asciiTheme="minorHAnsi" w:hAnsiTheme="minorHAnsi" w:cstheme="minorHAnsi"/>
      <w:b/>
      <w:bCs/>
      <w:color w:val="FFFFFF" w:themeColor="background1"/>
      <w:sz w:val="72"/>
      <w:szCs w:val="72"/>
    </w:rPr>
  </w:style>
  <w:style w:type="paragraph" w:customStyle="1" w:styleId="TITLEPAGE">
    <w:name w:val="TITLE PAGE"/>
    <w:basedOn w:val="Heading1"/>
    <w:qFormat/>
    <w:rsid w:val="00150967"/>
    <w:rPr>
      <w:sz w:val="72"/>
      <w:szCs w:val="64"/>
    </w:rPr>
  </w:style>
  <w:style w:type="paragraph" w:customStyle="1" w:styleId="TITLEPAGEHEADER">
    <w:name w:val="TITLE PAGE HEADER"/>
    <w:basedOn w:val="Normal"/>
    <w:qFormat/>
    <w:rsid w:val="005A6A64"/>
    <w:rPr>
      <w:color w:val="009CDB"/>
      <w:sz w:val="40"/>
      <w:szCs w:val="40"/>
      <w:u w:val="single"/>
    </w:rPr>
  </w:style>
  <w:style w:type="paragraph" w:customStyle="1" w:styleId="FindingsStatement">
    <w:name w:val="Findings Statement"/>
    <w:basedOn w:val="Normal"/>
    <w:qFormat/>
    <w:rsid w:val="00B9193F"/>
    <w:pPr>
      <w:jc w:val="left"/>
    </w:pPr>
    <w:rPr>
      <w:rFonts w:ascii="Arial" w:hAnsi="Arial" w:cs="Arial"/>
      <w:b/>
      <w:bCs/>
      <w:sz w:val="24"/>
      <w:szCs w:val="24"/>
    </w:rPr>
  </w:style>
  <w:style w:type="paragraph" w:customStyle="1" w:styleId="conclusions">
    <w:name w:val="conclusions"/>
    <w:qFormat/>
    <w:rsid w:val="00B9193F"/>
    <w:pPr>
      <w:spacing w:line="312" w:lineRule="auto"/>
    </w:pPr>
    <w:rPr>
      <w:rFonts w:ascii="Arial" w:eastAsiaTheme="minorEastAsia" w:hAnsi="Arial" w:cs="Arial"/>
      <w:b/>
      <w:bCs/>
      <w:color w:val="000000"/>
      <w:sz w:val="20"/>
      <w:szCs w:val="20"/>
      <w:lang w:eastAsia="ja-JP"/>
    </w:rPr>
  </w:style>
  <w:style w:type="paragraph" w:customStyle="1" w:styleId="BODYTEXTITALICORBOLDINCHARACTERSTYLEREGULARTEXT">
    <w:name w:val="BODY TEXT (ITALIC OR BOLD IN CHARACTER STYLE) (REGULAR TEXT)"/>
    <w:basedOn w:val="Normal"/>
    <w:uiPriority w:val="99"/>
    <w:rsid w:val="0022591B"/>
    <w:pPr>
      <w:tabs>
        <w:tab w:val="left" w:pos="120"/>
      </w:tabs>
      <w:spacing w:after="130" w:line="262" w:lineRule="atLeast"/>
      <w:textAlignment w:val="center"/>
    </w:pPr>
    <w:rPr>
      <w:rFonts w:ascii="Calibri" w:eastAsia="Calibri" w:hAnsi="Calibri" w:cs="TheSansLight-Plain"/>
      <w:sz w:val="19"/>
      <w:szCs w:val="19"/>
      <w:lang w:eastAsia="en-US"/>
    </w:rPr>
  </w:style>
  <w:style w:type="paragraph" w:customStyle="1" w:styleId="BoxTitleBOX">
    <w:name w:val="Box Title (BOX)"/>
    <w:basedOn w:val="Normal"/>
    <w:uiPriority w:val="99"/>
    <w:rsid w:val="0022591B"/>
    <w:pPr>
      <w:tabs>
        <w:tab w:val="left" w:pos="120"/>
      </w:tabs>
      <w:spacing w:after="130" w:line="262" w:lineRule="atLeast"/>
      <w:jc w:val="left"/>
      <w:textAlignment w:val="center"/>
    </w:pPr>
    <w:rPr>
      <w:rFonts w:ascii="Calibri" w:eastAsia="Calibri" w:hAnsi="Calibri" w:cs="TheSans-Plain"/>
      <w:b/>
      <w:color w:val="009CDB"/>
      <w:lang w:eastAsia="en-US"/>
    </w:rPr>
  </w:style>
  <w:style w:type="paragraph" w:customStyle="1" w:styleId="BoxRedMOTHER">
    <w:name w:val="Box # (Red) (MOTHER"/>
    <w:aliases w:val="CHANGE SIZE HERE)"/>
    <w:autoRedefine/>
    <w:qFormat/>
    <w:rsid w:val="00150967"/>
    <w:pPr>
      <w:spacing w:after="120" w:line="264" w:lineRule="auto"/>
      <w:jc w:val="both"/>
    </w:pPr>
    <w:rPr>
      <w:rFonts w:ascii="Calibri" w:eastAsia="Times New Roman" w:hAnsi="Calibri" w:cs="TheSansBold-Caps"/>
      <w:b/>
      <w:bCs/>
      <w:caps/>
      <w:color w:val="D31145"/>
      <w:spacing w:val="3"/>
      <w:sz w:val="20"/>
      <w:szCs w:val="17"/>
      <w:lang w:val="en-GB"/>
    </w:rPr>
  </w:style>
  <w:style w:type="paragraph" w:customStyle="1" w:styleId="Figureheader">
    <w:name w:val="Figure header"/>
    <w:basedOn w:val="Normal"/>
    <w:qFormat/>
    <w:rsid w:val="005F7241"/>
    <w:rPr>
      <w:rFonts w:asciiTheme="minorHAnsi" w:eastAsia="Calibri Light" w:hAnsiTheme="minorHAnsi" w:cstheme="minorHAnsi"/>
      <w:b/>
      <w:bCs/>
    </w:rPr>
  </w:style>
  <w:style w:type="paragraph" w:customStyle="1" w:styleId="Boxsources">
    <w:name w:val="Box sources"/>
    <w:basedOn w:val="Normal"/>
    <w:qFormat/>
    <w:rsid w:val="00614F84"/>
    <w:pPr>
      <w:spacing w:before="100" w:after="100"/>
      <w:ind w:left="-144"/>
      <w:jc w:val="right"/>
    </w:pPr>
    <w:rPr>
      <w:sz w:val="18"/>
      <w:szCs w:val="18"/>
    </w:rPr>
  </w:style>
  <w:style w:type="table" w:styleId="GridTable1Light-Accent1">
    <w:name w:val="Grid Table 1 Light Accent 1"/>
    <w:basedOn w:val="TableNormal"/>
    <w:uiPriority w:val="46"/>
    <w:rsid w:val="003D7C88"/>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3D7C88"/>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Source">
    <w:name w:val="Source"/>
    <w:basedOn w:val="Normal"/>
    <w:qFormat/>
    <w:rsid w:val="004B27A2"/>
    <w:pPr>
      <w:jc w:val="right"/>
    </w:pPr>
    <w:rPr>
      <w:sz w:val="15"/>
      <w:szCs w:val="15"/>
    </w:rPr>
  </w:style>
  <w:style w:type="paragraph" w:customStyle="1" w:styleId="EvaluationQuestion">
    <w:name w:val="Evaluation Question"/>
    <w:basedOn w:val="Normal"/>
    <w:qFormat/>
    <w:rsid w:val="00140B51"/>
    <w:pPr>
      <w:keepNext/>
      <w:keepLines/>
      <w:widowControl w:val="0"/>
      <w:shd w:val="clear" w:color="auto" w:fill="F2F2F2" w:themeFill="background1" w:themeFillShade="F2"/>
      <w:suppressAutoHyphens w:val="0"/>
      <w:spacing w:before="240" w:after="0" w:line="240" w:lineRule="auto"/>
      <w:ind w:right="-180"/>
      <w:jc w:val="left"/>
      <w:outlineLvl w:val="2"/>
    </w:pPr>
    <w:rPr>
      <w:rFonts w:ascii="Calibri" w:eastAsiaTheme="majorEastAsia" w:hAnsi="Calibri" w:cs="Calibri"/>
      <w:b/>
      <w:bCs/>
      <w:color w:val="009DDC"/>
      <w:sz w:val="28"/>
      <w:szCs w:val="28"/>
    </w:rPr>
  </w:style>
  <w:style w:type="paragraph" w:customStyle="1" w:styleId="FINDINGHEADINGNUMBER">
    <w:name w:val="FINDING HEADING NUMBER"/>
    <w:basedOn w:val="Normal"/>
    <w:qFormat/>
    <w:rsid w:val="005C3887"/>
    <w:pPr>
      <w:widowControl w:val="0"/>
      <w:suppressAutoHyphens w:val="0"/>
      <w:spacing w:before="120" w:line="264" w:lineRule="auto"/>
      <w:jc w:val="left"/>
    </w:pPr>
    <w:rPr>
      <w:rFonts w:ascii="Calibri" w:hAnsi="Calibri" w:cs="Calibri"/>
      <w:b/>
      <w:bCs/>
      <w:caps/>
      <w:color w:val="D31145"/>
      <w:sz w:val="32"/>
      <w:szCs w:val="32"/>
      <w:lang w:val="en-GB"/>
    </w:rPr>
  </w:style>
  <w:style w:type="paragraph" w:customStyle="1" w:styleId="GERAASGUIDANCE">
    <w:name w:val="GERAAS GUIDANCE"/>
    <w:basedOn w:val="BOXSTYLE"/>
    <w:qFormat/>
    <w:rsid w:val="006B0587"/>
    <w:rPr>
      <w:rFonts w:ascii="Calibri" w:hAnsi="Calibri" w:cs="Calibri"/>
      <w:b/>
      <w:bCs/>
      <w:sz w:val="28"/>
      <w:szCs w:val="28"/>
    </w:rPr>
  </w:style>
  <w:style w:type="paragraph" w:customStyle="1" w:styleId="Smallwhiteboxtext">
    <w:name w:val="Small white box text"/>
    <w:basedOn w:val="BOXSTYLE"/>
    <w:qFormat/>
    <w:rsid w:val="006B0587"/>
    <w:pPr>
      <w:spacing w:before="120"/>
      <w:jc w:val="left"/>
    </w:pPr>
    <w:rPr>
      <w:sz w:val="22"/>
      <w:szCs w:val="22"/>
    </w:rPr>
  </w:style>
  <w:style w:type="table" w:customStyle="1" w:styleId="TableGrid2">
    <w:name w:val="Table Grid2"/>
    <w:basedOn w:val="TableNormal"/>
    <w:next w:val="TableGrid"/>
    <w:uiPriority w:val="39"/>
    <w:rsid w:val="003D1D2B"/>
    <w:pPr>
      <w:spacing w:after="0" w:line="240" w:lineRule="auto"/>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3D1D2B"/>
    <w:pPr>
      <w:numPr>
        <w:numId w:val="2"/>
      </w:numPr>
    </w:pPr>
  </w:style>
  <w:style w:type="numbering" w:customStyle="1" w:styleId="CurrentList2">
    <w:name w:val="Current List2"/>
    <w:uiPriority w:val="99"/>
    <w:rsid w:val="003D1D2B"/>
    <w:pPr>
      <w:numPr>
        <w:numId w:val="3"/>
      </w:numPr>
    </w:pPr>
  </w:style>
  <w:style w:type="character" w:customStyle="1" w:styleId="A4">
    <w:name w:val="A4"/>
    <w:uiPriority w:val="99"/>
    <w:rsid w:val="001F27AF"/>
    <w:rPr>
      <w:rFonts w:cs="The Sans Light-"/>
      <w:color w:val="000000"/>
      <w:sz w:val="16"/>
      <w:szCs w:val="16"/>
    </w:rPr>
  </w:style>
  <w:style w:type="paragraph" w:customStyle="1" w:styleId="BVIfnrCharCharChar">
    <w:name w:val="BVI fnr Char Char Char"/>
    <w:aliases w:val="ftref Char Char Char,16 Point Char Char Char,Superscript 6 Point Char Char Char,BVI fnr Car Car Char Char Char,BVI fnr Car Char Char Char,BVI fnr Car Car Car Car Char Char Char Char Char,BVI fnr Car Car Car Car Char Char Char"/>
    <w:basedOn w:val="Normal"/>
    <w:uiPriority w:val="99"/>
    <w:rsid w:val="002E6D2B"/>
    <w:pPr>
      <w:suppressAutoHyphens w:val="0"/>
      <w:autoSpaceDE/>
      <w:autoSpaceDN/>
      <w:adjustRightInd/>
      <w:spacing w:before="120" w:line="240" w:lineRule="exact"/>
    </w:pPr>
    <w:rPr>
      <w:rFonts w:asciiTheme="minorHAnsi" w:eastAsiaTheme="minorHAnsi" w:hAnsiTheme="minorHAnsi" w:cstheme="minorBidi"/>
      <w:color w:val="auto"/>
      <w:kern w:val="2"/>
      <w:vertAlign w:val="superscript"/>
      <w:lang w:val="en-GB" w:eastAsia="en-US"/>
      <w14:ligatures w14:val="standardContextual"/>
    </w:rPr>
  </w:style>
  <w:style w:type="paragraph" w:customStyle="1" w:styleId="TableParagraph">
    <w:name w:val="Table Paragraph"/>
    <w:basedOn w:val="Normal"/>
    <w:uiPriority w:val="1"/>
    <w:qFormat/>
    <w:rsid w:val="00621B0B"/>
    <w:pPr>
      <w:widowControl w:val="0"/>
      <w:suppressAutoHyphens w:val="0"/>
      <w:adjustRightInd/>
      <w:spacing w:after="0" w:line="240" w:lineRule="auto"/>
      <w:ind w:left="53"/>
    </w:pPr>
    <w:rPr>
      <w:rFonts w:eastAsia="Calibri" w:cs="Calibri"/>
      <w:color w:val="auto"/>
      <w:lang w:val="en-GB" w:eastAsia="en-US" w:bidi="en-US"/>
    </w:rPr>
  </w:style>
  <w:style w:type="character" w:styleId="Strong">
    <w:name w:val="Strong"/>
    <w:basedOn w:val="DefaultParagraphFont"/>
    <w:uiPriority w:val="22"/>
    <w:qFormat/>
    <w:rsid w:val="00F635E8"/>
    <w:rPr>
      <w:b/>
      <w:bCs/>
    </w:rPr>
  </w:style>
  <w:style w:type="character" w:customStyle="1" w:styleId="wacimagecontainer">
    <w:name w:val="wacimagecontainer"/>
    <w:basedOn w:val="DefaultParagraphFont"/>
    <w:rsid w:val="004D2203"/>
  </w:style>
  <w:style w:type="character" w:customStyle="1" w:styleId="superscript">
    <w:name w:val="superscript"/>
    <w:basedOn w:val="DefaultParagraphFont"/>
    <w:rsid w:val="004D2203"/>
  </w:style>
  <w:style w:type="character" w:customStyle="1" w:styleId="bold">
    <w:name w:val="bold"/>
    <w:basedOn w:val="DefaultParagraphFont"/>
    <w:rsid w:val="001E0245"/>
  </w:style>
  <w:style w:type="character" w:customStyle="1" w:styleId="ng-star-inserted">
    <w:name w:val="ng-star-inserted"/>
    <w:basedOn w:val="DefaultParagraphFont"/>
    <w:rsid w:val="001E0245"/>
  </w:style>
  <w:style w:type="numbering" w:customStyle="1" w:styleId="Listaactual1">
    <w:name w:val="Lista actual1"/>
    <w:uiPriority w:val="99"/>
    <w:rsid w:val="007144CD"/>
    <w:pPr>
      <w:numPr>
        <w:numId w:val="4"/>
      </w:numPr>
    </w:pPr>
  </w:style>
  <w:style w:type="table" w:styleId="GridTable2-Accent5">
    <w:name w:val="Grid Table 2 Accent 5"/>
    <w:basedOn w:val="TableNormal"/>
    <w:uiPriority w:val="47"/>
    <w:rsid w:val="00896EF1"/>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BoxTitle">
    <w:name w:val="Box Title"/>
    <w:basedOn w:val="BoxRedMOTHER"/>
    <w:qFormat/>
    <w:rsid w:val="006F553F"/>
    <w:rPr>
      <w:color w:val="00B0F0"/>
    </w:rPr>
  </w:style>
  <w:style w:type="paragraph" w:customStyle="1" w:styleId="BoxNumber">
    <w:name w:val="Box Number"/>
    <w:basedOn w:val="BoxRedMOTHER"/>
    <w:qFormat/>
    <w:rsid w:val="006F553F"/>
    <w:pPr>
      <w:spacing w:after="0"/>
    </w:pPr>
  </w:style>
  <w:style w:type="paragraph" w:customStyle="1" w:styleId="my-0">
    <w:name w:val="my-0"/>
    <w:basedOn w:val="Normal"/>
    <w:rsid w:val="00463336"/>
    <w:pPr>
      <w:suppressAutoHyphens w:val="0"/>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US"/>
    </w:rPr>
  </w:style>
  <w:style w:type="table" w:styleId="GridTable6Colorful-Accent1">
    <w:name w:val="Grid Table 6 Colorful Accent 1"/>
    <w:basedOn w:val="TableNormal"/>
    <w:uiPriority w:val="51"/>
    <w:rsid w:val="00DA5567"/>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5">
    <w:name w:val="Grid Table 5 Dark Accent 5"/>
    <w:basedOn w:val="TableNormal"/>
    <w:uiPriority w:val="50"/>
    <w:rsid w:val="00DA556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Pa14">
    <w:name w:val="Pa14"/>
    <w:basedOn w:val="Default"/>
    <w:next w:val="Default"/>
    <w:uiPriority w:val="99"/>
    <w:rsid w:val="00575CF5"/>
    <w:pPr>
      <w:spacing w:line="201" w:lineRule="atLeast"/>
    </w:pPr>
    <w:rPr>
      <w:rFonts w:ascii="The Sans Bold-" w:eastAsiaTheme="minorHAnsi" w:hAnsi="The Sans Bold-" w:cstheme="minorBidi"/>
      <w:color w:val="auto"/>
      <w:lang w:eastAsia="en-US"/>
    </w:rPr>
  </w:style>
  <w:style w:type="character" w:customStyle="1" w:styleId="citation-147">
    <w:name w:val="citation-147"/>
    <w:basedOn w:val="DefaultParagraphFont"/>
    <w:rsid w:val="007923B5"/>
  </w:style>
  <w:style w:type="table" w:styleId="ListTable4-Accent1">
    <w:name w:val="List Table 4 Accent 1"/>
    <w:basedOn w:val="TableNormal"/>
    <w:uiPriority w:val="49"/>
    <w:rsid w:val="0079206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numbering" w:customStyle="1" w:styleId="CurrentList8">
    <w:name w:val="Current List8"/>
    <w:uiPriority w:val="99"/>
    <w:rsid w:val="00472B2C"/>
    <w:pPr>
      <w:numPr>
        <w:numId w:val="5"/>
      </w:numPr>
    </w:pPr>
  </w:style>
  <w:style w:type="table" w:styleId="GridTable5Dark-Accent4">
    <w:name w:val="Grid Table 5 Dark Accent 4"/>
    <w:basedOn w:val="TableNormal"/>
    <w:uiPriority w:val="50"/>
    <w:rsid w:val="00320C95"/>
    <w:pPr>
      <w:spacing w:after="0" w:line="240" w:lineRule="auto"/>
    </w:pPr>
    <w:rPr>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Quote">
    <w:name w:val="Quote"/>
    <w:basedOn w:val="Normal"/>
    <w:next w:val="Normal"/>
    <w:link w:val="QuoteChar"/>
    <w:uiPriority w:val="29"/>
    <w:qFormat/>
    <w:rsid w:val="00C41171"/>
    <w:pPr>
      <w:suppressAutoHyphens w:val="0"/>
      <w:autoSpaceDE/>
      <w:autoSpaceDN/>
      <w:adjustRightInd/>
      <w:spacing w:before="160" w:after="160" w:line="240" w:lineRule="auto"/>
      <w:jc w:val="center"/>
    </w:pPr>
    <w:rPr>
      <w:rFonts w:eastAsia="Times New Roman" w:cs="Times New Roman"/>
      <w:i/>
      <w:iCs/>
      <w:color w:val="404040" w:themeColor="text1" w:themeTint="BF"/>
      <w:lang w:eastAsia="en-US"/>
    </w:rPr>
  </w:style>
  <w:style w:type="character" w:customStyle="1" w:styleId="QuoteChar">
    <w:name w:val="Quote Char"/>
    <w:basedOn w:val="DefaultParagraphFont"/>
    <w:link w:val="Quote"/>
    <w:uiPriority w:val="29"/>
    <w:rsid w:val="00C41171"/>
    <w:rPr>
      <w:rFonts w:asciiTheme="majorHAnsi" w:eastAsia="Times New Roman" w:hAnsiTheme="majorHAnsi" w:cs="Times New Roman"/>
      <w:i/>
      <w:iCs/>
      <w:color w:val="404040" w:themeColor="text1" w:themeTint="BF"/>
    </w:rPr>
  </w:style>
  <w:style w:type="paragraph" w:styleId="HTMLPreformatted">
    <w:name w:val="HTML Preformatted"/>
    <w:basedOn w:val="Normal"/>
    <w:link w:val="HTMLPreformattedChar"/>
    <w:uiPriority w:val="99"/>
    <w:semiHidden/>
    <w:unhideWhenUsed/>
    <w:rsid w:val="00E45D71"/>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E45D71"/>
    <w:rPr>
      <w:rFonts w:ascii="Consolas" w:eastAsiaTheme="minorEastAsia" w:hAnsi="Consolas" w:cstheme="majorHAnsi"/>
      <w:color w:val="000000"/>
      <w:sz w:val="20"/>
      <w:szCs w:val="20"/>
      <w:lang w:eastAsia="ja-JP"/>
    </w:rPr>
  </w:style>
  <w:style w:type="paragraph" w:styleId="TableofFigures">
    <w:name w:val="table of figures"/>
    <w:basedOn w:val="Normal"/>
    <w:next w:val="Normal"/>
    <w:uiPriority w:val="99"/>
    <w:unhideWhenUsed/>
    <w:rsid w:val="00C52214"/>
    <w:pPr>
      <w:spacing w:after="0"/>
    </w:pPr>
  </w:style>
  <w:style w:type="paragraph" w:styleId="CommentText">
    <w:name w:val="annotation text"/>
    <w:basedOn w:val="Normal"/>
    <w:link w:val="CommentTextChar1"/>
    <w:uiPriority w:val="99"/>
    <w:unhideWhenUsed/>
    <w:pPr>
      <w:spacing w:line="240" w:lineRule="auto"/>
    </w:pPr>
    <w:rPr>
      <w:sz w:val="20"/>
      <w:szCs w:val="20"/>
    </w:rPr>
  </w:style>
  <w:style w:type="character" w:customStyle="1" w:styleId="CommentTextChar1">
    <w:name w:val="Comment Text Char1"/>
    <w:basedOn w:val="DefaultParagraphFont"/>
    <w:link w:val="CommentText"/>
    <w:uiPriority w:val="99"/>
    <w:rPr>
      <w:rFonts w:asciiTheme="majorHAnsi" w:eastAsiaTheme="minorEastAsia" w:hAnsiTheme="majorHAnsi" w:cstheme="majorHAnsi"/>
      <w:color w:val="000000"/>
      <w:sz w:val="20"/>
      <w:szCs w:val="20"/>
      <w:lang w:eastAsia="ja-JP"/>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1"/>
    <w:uiPriority w:val="99"/>
    <w:semiHidden/>
    <w:unhideWhenUsed/>
    <w:rsid w:val="00D00BC6"/>
    <w:rPr>
      <w:b/>
      <w:bCs/>
    </w:rPr>
  </w:style>
  <w:style w:type="character" w:customStyle="1" w:styleId="CommentSubjectChar1">
    <w:name w:val="Comment Subject Char1"/>
    <w:basedOn w:val="CommentTextChar1"/>
    <w:link w:val="CommentSubject"/>
    <w:uiPriority w:val="99"/>
    <w:semiHidden/>
    <w:rsid w:val="00D00BC6"/>
    <w:rPr>
      <w:rFonts w:asciiTheme="majorHAnsi" w:eastAsiaTheme="minorEastAsia" w:hAnsiTheme="majorHAnsi" w:cstheme="majorHAnsi"/>
      <w:b/>
      <w:bCs/>
      <w:color w:val="000000"/>
      <w:sz w:val="20"/>
      <w:szCs w:val="20"/>
      <w:lang w:eastAsia="ja-JP"/>
    </w:rPr>
  </w:style>
  <w:style w:type="table" w:styleId="GridTable4-Accent5">
    <w:name w:val="Grid Table 4 Accent 5"/>
    <w:basedOn w:val="TableNormal"/>
    <w:uiPriority w:val="49"/>
    <w:rsid w:val="0074774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titlepage0">
    <w:name w:val="titlepage"/>
    <w:basedOn w:val="Normal"/>
    <w:rsid w:val="000F457D"/>
    <w:pPr>
      <w:suppressAutoHyphens w:val="0"/>
      <w:autoSpaceDE/>
      <w:autoSpaceDN/>
      <w:adjustRightInd/>
      <w:spacing w:before="100" w:beforeAutospacing="1" w:after="100" w:afterAutospacing="1" w:line="240" w:lineRule="auto"/>
      <w:jc w:val="left"/>
    </w:pPr>
    <w:rPr>
      <w:rFonts w:ascii="Times New Roman" w:hAnsi="Times New Roman" w:cs="Times New Roman"/>
      <w:color w:val="auto"/>
      <w:sz w:val="24"/>
      <w:szCs w:val="24"/>
      <w:lang w:eastAsia="en-US"/>
    </w:rPr>
  </w:style>
  <w:style w:type="paragraph" w:customStyle="1" w:styleId="redemphasistext0">
    <w:name w:val="redemphasistext"/>
    <w:basedOn w:val="Normal"/>
    <w:rsid w:val="00E90618"/>
    <w:pPr>
      <w:suppressAutoHyphens w:val="0"/>
      <w:autoSpaceDE/>
      <w:autoSpaceDN/>
      <w:adjustRightInd/>
      <w:spacing w:before="100" w:beforeAutospacing="1" w:after="100" w:afterAutospacing="1" w:line="240" w:lineRule="auto"/>
      <w:jc w:val="left"/>
    </w:pPr>
    <w:rPr>
      <w:rFonts w:ascii="Times New Roman" w:hAnsi="Times New Roman" w:cs="Times New Roman"/>
      <w:color w:val="auto"/>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5586">
      <w:bodyDiv w:val="1"/>
      <w:marLeft w:val="0"/>
      <w:marRight w:val="0"/>
      <w:marTop w:val="0"/>
      <w:marBottom w:val="0"/>
      <w:divBdr>
        <w:top w:val="none" w:sz="0" w:space="0" w:color="auto"/>
        <w:left w:val="none" w:sz="0" w:space="0" w:color="auto"/>
        <w:bottom w:val="none" w:sz="0" w:space="0" w:color="auto"/>
        <w:right w:val="none" w:sz="0" w:space="0" w:color="auto"/>
      </w:divBdr>
    </w:div>
    <w:div w:id="9725948">
      <w:bodyDiv w:val="1"/>
      <w:marLeft w:val="0"/>
      <w:marRight w:val="0"/>
      <w:marTop w:val="0"/>
      <w:marBottom w:val="0"/>
      <w:divBdr>
        <w:top w:val="none" w:sz="0" w:space="0" w:color="auto"/>
        <w:left w:val="none" w:sz="0" w:space="0" w:color="auto"/>
        <w:bottom w:val="none" w:sz="0" w:space="0" w:color="auto"/>
        <w:right w:val="none" w:sz="0" w:space="0" w:color="auto"/>
      </w:divBdr>
    </w:div>
    <w:div w:id="10885882">
      <w:bodyDiv w:val="1"/>
      <w:marLeft w:val="0"/>
      <w:marRight w:val="0"/>
      <w:marTop w:val="0"/>
      <w:marBottom w:val="0"/>
      <w:divBdr>
        <w:top w:val="none" w:sz="0" w:space="0" w:color="auto"/>
        <w:left w:val="none" w:sz="0" w:space="0" w:color="auto"/>
        <w:bottom w:val="none" w:sz="0" w:space="0" w:color="auto"/>
        <w:right w:val="none" w:sz="0" w:space="0" w:color="auto"/>
      </w:divBdr>
      <w:divsChild>
        <w:div w:id="1769890262">
          <w:marLeft w:val="0"/>
          <w:marRight w:val="0"/>
          <w:marTop w:val="0"/>
          <w:marBottom w:val="0"/>
          <w:divBdr>
            <w:top w:val="none" w:sz="0" w:space="0" w:color="auto"/>
            <w:left w:val="none" w:sz="0" w:space="0" w:color="auto"/>
            <w:bottom w:val="none" w:sz="0" w:space="0" w:color="auto"/>
            <w:right w:val="none" w:sz="0" w:space="0" w:color="auto"/>
          </w:divBdr>
        </w:div>
      </w:divsChild>
    </w:div>
    <w:div w:id="22480566">
      <w:bodyDiv w:val="1"/>
      <w:marLeft w:val="0"/>
      <w:marRight w:val="0"/>
      <w:marTop w:val="0"/>
      <w:marBottom w:val="0"/>
      <w:divBdr>
        <w:top w:val="none" w:sz="0" w:space="0" w:color="auto"/>
        <w:left w:val="none" w:sz="0" w:space="0" w:color="auto"/>
        <w:bottom w:val="none" w:sz="0" w:space="0" w:color="auto"/>
        <w:right w:val="none" w:sz="0" w:space="0" w:color="auto"/>
      </w:divBdr>
    </w:div>
    <w:div w:id="23406939">
      <w:bodyDiv w:val="1"/>
      <w:marLeft w:val="0"/>
      <w:marRight w:val="0"/>
      <w:marTop w:val="0"/>
      <w:marBottom w:val="0"/>
      <w:divBdr>
        <w:top w:val="none" w:sz="0" w:space="0" w:color="auto"/>
        <w:left w:val="none" w:sz="0" w:space="0" w:color="auto"/>
        <w:bottom w:val="none" w:sz="0" w:space="0" w:color="auto"/>
        <w:right w:val="none" w:sz="0" w:space="0" w:color="auto"/>
      </w:divBdr>
    </w:div>
    <w:div w:id="26835654">
      <w:bodyDiv w:val="1"/>
      <w:marLeft w:val="0"/>
      <w:marRight w:val="0"/>
      <w:marTop w:val="0"/>
      <w:marBottom w:val="0"/>
      <w:divBdr>
        <w:top w:val="none" w:sz="0" w:space="0" w:color="auto"/>
        <w:left w:val="none" w:sz="0" w:space="0" w:color="auto"/>
        <w:bottom w:val="none" w:sz="0" w:space="0" w:color="auto"/>
        <w:right w:val="none" w:sz="0" w:space="0" w:color="auto"/>
      </w:divBdr>
    </w:div>
    <w:div w:id="30156109">
      <w:bodyDiv w:val="1"/>
      <w:marLeft w:val="0"/>
      <w:marRight w:val="0"/>
      <w:marTop w:val="0"/>
      <w:marBottom w:val="0"/>
      <w:divBdr>
        <w:top w:val="none" w:sz="0" w:space="0" w:color="auto"/>
        <w:left w:val="none" w:sz="0" w:space="0" w:color="auto"/>
        <w:bottom w:val="none" w:sz="0" w:space="0" w:color="auto"/>
        <w:right w:val="none" w:sz="0" w:space="0" w:color="auto"/>
      </w:divBdr>
    </w:div>
    <w:div w:id="39979723">
      <w:bodyDiv w:val="1"/>
      <w:marLeft w:val="0"/>
      <w:marRight w:val="0"/>
      <w:marTop w:val="0"/>
      <w:marBottom w:val="0"/>
      <w:divBdr>
        <w:top w:val="none" w:sz="0" w:space="0" w:color="auto"/>
        <w:left w:val="none" w:sz="0" w:space="0" w:color="auto"/>
        <w:bottom w:val="none" w:sz="0" w:space="0" w:color="auto"/>
        <w:right w:val="none" w:sz="0" w:space="0" w:color="auto"/>
      </w:divBdr>
      <w:divsChild>
        <w:div w:id="773344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417995">
      <w:bodyDiv w:val="1"/>
      <w:marLeft w:val="0"/>
      <w:marRight w:val="0"/>
      <w:marTop w:val="0"/>
      <w:marBottom w:val="0"/>
      <w:divBdr>
        <w:top w:val="none" w:sz="0" w:space="0" w:color="auto"/>
        <w:left w:val="none" w:sz="0" w:space="0" w:color="auto"/>
        <w:bottom w:val="none" w:sz="0" w:space="0" w:color="auto"/>
        <w:right w:val="none" w:sz="0" w:space="0" w:color="auto"/>
      </w:divBdr>
    </w:div>
    <w:div w:id="69231107">
      <w:bodyDiv w:val="1"/>
      <w:marLeft w:val="0"/>
      <w:marRight w:val="0"/>
      <w:marTop w:val="0"/>
      <w:marBottom w:val="0"/>
      <w:divBdr>
        <w:top w:val="none" w:sz="0" w:space="0" w:color="auto"/>
        <w:left w:val="none" w:sz="0" w:space="0" w:color="auto"/>
        <w:bottom w:val="none" w:sz="0" w:space="0" w:color="auto"/>
        <w:right w:val="none" w:sz="0" w:space="0" w:color="auto"/>
      </w:divBdr>
    </w:div>
    <w:div w:id="79495881">
      <w:bodyDiv w:val="1"/>
      <w:marLeft w:val="0"/>
      <w:marRight w:val="0"/>
      <w:marTop w:val="0"/>
      <w:marBottom w:val="0"/>
      <w:divBdr>
        <w:top w:val="none" w:sz="0" w:space="0" w:color="auto"/>
        <w:left w:val="none" w:sz="0" w:space="0" w:color="auto"/>
        <w:bottom w:val="none" w:sz="0" w:space="0" w:color="auto"/>
        <w:right w:val="none" w:sz="0" w:space="0" w:color="auto"/>
      </w:divBdr>
    </w:div>
    <w:div w:id="81413012">
      <w:bodyDiv w:val="1"/>
      <w:marLeft w:val="0"/>
      <w:marRight w:val="0"/>
      <w:marTop w:val="0"/>
      <w:marBottom w:val="0"/>
      <w:divBdr>
        <w:top w:val="none" w:sz="0" w:space="0" w:color="auto"/>
        <w:left w:val="none" w:sz="0" w:space="0" w:color="auto"/>
        <w:bottom w:val="none" w:sz="0" w:space="0" w:color="auto"/>
        <w:right w:val="none" w:sz="0" w:space="0" w:color="auto"/>
      </w:divBdr>
    </w:div>
    <w:div w:id="81685205">
      <w:bodyDiv w:val="1"/>
      <w:marLeft w:val="0"/>
      <w:marRight w:val="0"/>
      <w:marTop w:val="0"/>
      <w:marBottom w:val="0"/>
      <w:divBdr>
        <w:top w:val="none" w:sz="0" w:space="0" w:color="auto"/>
        <w:left w:val="none" w:sz="0" w:space="0" w:color="auto"/>
        <w:bottom w:val="none" w:sz="0" w:space="0" w:color="auto"/>
        <w:right w:val="none" w:sz="0" w:space="0" w:color="auto"/>
      </w:divBdr>
    </w:div>
    <w:div w:id="81730064">
      <w:bodyDiv w:val="1"/>
      <w:marLeft w:val="0"/>
      <w:marRight w:val="0"/>
      <w:marTop w:val="0"/>
      <w:marBottom w:val="0"/>
      <w:divBdr>
        <w:top w:val="none" w:sz="0" w:space="0" w:color="auto"/>
        <w:left w:val="none" w:sz="0" w:space="0" w:color="auto"/>
        <w:bottom w:val="none" w:sz="0" w:space="0" w:color="auto"/>
        <w:right w:val="none" w:sz="0" w:space="0" w:color="auto"/>
      </w:divBdr>
    </w:div>
    <w:div w:id="94715753">
      <w:bodyDiv w:val="1"/>
      <w:marLeft w:val="0"/>
      <w:marRight w:val="0"/>
      <w:marTop w:val="0"/>
      <w:marBottom w:val="0"/>
      <w:divBdr>
        <w:top w:val="none" w:sz="0" w:space="0" w:color="auto"/>
        <w:left w:val="none" w:sz="0" w:space="0" w:color="auto"/>
        <w:bottom w:val="none" w:sz="0" w:space="0" w:color="auto"/>
        <w:right w:val="none" w:sz="0" w:space="0" w:color="auto"/>
      </w:divBdr>
      <w:divsChild>
        <w:div w:id="55786547">
          <w:marLeft w:val="0"/>
          <w:marRight w:val="0"/>
          <w:marTop w:val="0"/>
          <w:marBottom w:val="0"/>
          <w:divBdr>
            <w:top w:val="none" w:sz="0" w:space="0" w:color="auto"/>
            <w:left w:val="none" w:sz="0" w:space="0" w:color="auto"/>
            <w:bottom w:val="none" w:sz="0" w:space="0" w:color="auto"/>
            <w:right w:val="none" w:sz="0" w:space="0" w:color="auto"/>
          </w:divBdr>
          <w:divsChild>
            <w:div w:id="1698968289">
              <w:marLeft w:val="0"/>
              <w:marRight w:val="0"/>
              <w:marTop w:val="0"/>
              <w:marBottom w:val="0"/>
              <w:divBdr>
                <w:top w:val="none" w:sz="0" w:space="0" w:color="auto"/>
                <w:left w:val="none" w:sz="0" w:space="0" w:color="auto"/>
                <w:bottom w:val="none" w:sz="0" w:space="0" w:color="auto"/>
                <w:right w:val="none" w:sz="0" w:space="0" w:color="auto"/>
              </w:divBdr>
            </w:div>
          </w:divsChild>
        </w:div>
        <w:div w:id="319963772">
          <w:marLeft w:val="0"/>
          <w:marRight w:val="0"/>
          <w:marTop w:val="0"/>
          <w:marBottom w:val="0"/>
          <w:divBdr>
            <w:top w:val="none" w:sz="0" w:space="0" w:color="auto"/>
            <w:left w:val="none" w:sz="0" w:space="0" w:color="auto"/>
            <w:bottom w:val="none" w:sz="0" w:space="0" w:color="auto"/>
            <w:right w:val="none" w:sz="0" w:space="0" w:color="auto"/>
          </w:divBdr>
          <w:divsChild>
            <w:div w:id="1451431244">
              <w:marLeft w:val="0"/>
              <w:marRight w:val="0"/>
              <w:marTop w:val="0"/>
              <w:marBottom w:val="0"/>
              <w:divBdr>
                <w:top w:val="none" w:sz="0" w:space="0" w:color="auto"/>
                <w:left w:val="none" w:sz="0" w:space="0" w:color="auto"/>
                <w:bottom w:val="none" w:sz="0" w:space="0" w:color="auto"/>
                <w:right w:val="none" w:sz="0" w:space="0" w:color="auto"/>
              </w:divBdr>
            </w:div>
          </w:divsChild>
        </w:div>
        <w:div w:id="341862573">
          <w:marLeft w:val="0"/>
          <w:marRight w:val="0"/>
          <w:marTop w:val="0"/>
          <w:marBottom w:val="0"/>
          <w:divBdr>
            <w:top w:val="none" w:sz="0" w:space="0" w:color="auto"/>
            <w:left w:val="none" w:sz="0" w:space="0" w:color="auto"/>
            <w:bottom w:val="none" w:sz="0" w:space="0" w:color="auto"/>
            <w:right w:val="none" w:sz="0" w:space="0" w:color="auto"/>
          </w:divBdr>
          <w:divsChild>
            <w:div w:id="913398757">
              <w:marLeft w:val="0"/>
              <w:marRight w:val="0"/>
              <w:marTop w:val="0"/>
              <w:marBottom w:val="0"/>
              <w:divBdr>
                <w:top w:val="none" w:sz="0" w:space="0" w:color="auto"/>
                <w:left w:val="none" w:sz="0" w:space="0" w:color="auto"/>
                <w:bottom w:val="none" w:sz="0" w:space="0" w:color="auto"/>
                <w:right w:val="none" w:sz="0" w:space="0" w:color="auto"/>
              </w:divBdr>
            </w:div>
          </w:divsChild>
        </w:div>
        <w:div w:id="421030301">
          <w:marLeft w:val="0"/>
          <w:marRight w:val="0"/>
          <w:marTop w:val="0"/>
          <w:marBottom w:val="0"/>
          <w:divBdr>
            <w:top w:val="none" w:sz="0" w:space="0" w:color="auto"/>
            <w:left w:val="none" w:sz="0" w:space="0" w:color="auto"/>
            <w:bottom w:val="none" w:sz="0" w:space="0" w:color="auto"/>
            <w:right w:val="none" w:sz="0" w:space="0" w:color="auto"/>
          </w:divBdr>
          <w:divsChild>
            <w:div w:id="295645678">
              <w:marLeft w:val="0"/>
              <w:marRight w:val="0"/>
              <w:marTop w:val="0"/>
              <w:marBottom w:val="0"/>
              <w:divBdr>
                <w:top w:val="none" w:sz="0" w:space="0" w:color="auto"/>
                <w:left w:val="none" w:sz="0" w:space="0" w:color="auto"/>
                <w:bottom w:val="none" w:sz="0" w:space="0" w:color="auto"/>
                <w:right w:val="none" w:sz="0" w:space="0" w:color="auto"/>
              </w:divBdr>
            </w:div>
          </w:divsChild>
        </w:div>
        <w:div w:id="533809135">
          <w:marLeft w:val="0"/>
          <w:marRight w:val="0"/>
          <w:marTop w:val="0"/>
          <w:marBottom w:val="0"/>
          <w:divBdr>
            <w:top w:val="none" w:sz="0" w:space="0" w:color="auto"/>
            <w:left w:val="none" w:sz="0" w:space="0" w:color="auto"/>
            <w:bottom w:val="none" w:sz="0" w:space="0" w:color="auto"/>
            <w:right w:val="none" w:sz="0" w:space="0" w:color="auto"/>
          </w:divBdr>
          <w:divsChild>
            <w:div w:id="426508759">
              <w:marLeft w:val="0"/>
              <w:marRight w:val="0"/>
              <w:marTop w:val="0"/>
              <w:marBottom w:val="0"/>
              <w:divBdr>
                <w:top w:val="none" w:sz="0" w:space="0" w:color="auto"/>
                <w:left w:val="none" w:sz="0" w:space="0" w:color="auto"/>
                <w:bottom w:val="none" w:sz="0" w:space="0" w:color="auto"/>
                <w:right w:val="none" w:sz="0" w:space="0" w:color="auto"/>
              </w:divBdr>
            </w:div>
          </w:divsChild>
        </w:div>
        <w:div w:id="568735929">
          <w:marLeft w:val="0"/>
          <w:marRight w:val="0"/>
          <w:marTop w:val="0"/>
          <w:marBottom w:val="0"/>
          <w:divBdr>
            <w:top w:val="none" w:sz="0" w:space="0" w:color="auto"/>
            <w:left w:val="none" w:sz="0" w:space="0" w:color="auto"/>
            <w:bottom w:val="none" w:sz="0" w:space="0" w:color="auto"/>
            <w:right w:val="none" w:sz="0" w:space="0" w:color="auto"/>
          </w:divBdr>
          <w:divsChild>
            <w:div w:id="1830437893">
              <w:marLeft w:val="0"/>
              <w:marRight w:val="0"/>
              <w:marTop w:val="0"/>
              <w:marBottom w:val="0"/>
              <w:divBdr>
                <w:top w:val="none" w:sz="0" w:space="0" w:color="auto"/>
                <w:left w:val="none" w:sz="0" w:space="0" w:color="auto"/>
                <w:bottom w:val="none" w:sz="0" w:space="0" w:color="auto"/>
                <w:right w:val="none" w:sz="0" w:space="0" w:color="auto"/>
              </w:divBdr>
            </w:div>
          </w:divsChild>
        </w:div>
        <w:div w:id="622343213">
          <w:marLeft w:val="0"/>
          <w:marRight w:val="0"/>
          <w:marTop w:val="0"/>
          <w:marBottom w:val="0"/>
          <w:divBdr>
            <w:top w:val="none" w:sz="0" w:space="0" w:color="auto"/>
            <w:left w:val="none" w:sz="0" w:space="0" w:color="auto"/>
            <w:bottom w:val="none" w:sz="0" w:space="0" w:color="auto"/>
            <w:right w:val="none" w:sz="0" w:space="0" w:color="auto"/>
          </w:divBdr>
          <w:divsChild>
            <w:div w:id="1020162931">
              <w:marLeft w:val="0"/>
              <w:marRight w:val="0"/>
              <w:marTop w:val="0"/>
              <w:marBottom w:val="0"/>
              <w:divBdr>
                <w:top w:val="none" w:sz="0" w:space="0" w:color="auto"/>
                <w:left w:val="none" w:sz="0" w:space="0" w:color="auto"/>
                <w:bottom w:val="none" w:sz="0" w:space="0" w:color="auto"/>
                <w:right w:val="none" w:sz="0" w:space="0" w:color="auto"/>
              </w:divBdr>
            </w:div>
          </w:divsChild>
        </w:div>
        <w:div w:id="662589717">
          <w:marLeft w:val="0"/>
          <w:marRight w:val="0"/>
          <w:marTop w:val="0"/>
          <w:marBottom w:val="0"/>
          <w:divBdr>
            <w:top w:val="none" w:sz="0" w:space="0" w:color="auto"/>
            <w:left w:val="none" w:sz="0" w:space="0" w:color="auto"/>
            <w:bottom w:val="none" w:sz="0" w:space="0" w:color="auto"/>
            <w:right w:val="none" w:sz="0" w:space="0" w:color="auto"/>
          </w:divBdr>
          <w:divsChild>
            <w:div w:id="2025589008">
              <w:marLeft w:val="0"/>
              <w:marRight w:val="0"/>
              <w:marTop w:val="0"/>
              <w:marBottom w:val="0"/>
              <w:divBdr>
                <w:top w:val="none" w:sz="0" w:space="0" w:color="auto"/>
                <w:left w:val="none" w:sz="0" w:space="0" w:color="auto"/>
                <w:bottom w:val="none" w:sz="0" w:space="0" w:color="auto"/>
                <w:right w:val="none" w:sz="0" w:space="0" w:color="auto"/>
              </w:divBdr>
            </w:div>
          </w:divsChild>
        </w:div>
        <w:div w:id="698317548">
          <w:marLeft w:val="0"/>
          <w:marRight w:val="0"/>
          <w:marTop w:val="0"/>
          <w:marBottom w:val="0"/>
          <w:divBdr>
            <w:top w:val="none" w:sz="0" w:space="0" w:color="auto"/>
            <w:left w:val="none" w:sz="0" w:space="0" w:color="auto"/>
            <w:bottom w:val="none" w:sz="0" w:space="0" w:color="auto"/>
            <w:right w:val="none" w:sz="0" w:space="0" w:color="auto"/>
          </w:divBdr>
          <w:divsChild>
            <w:div w:id="38167456">
              <w:marLeft w:val="0"/>
              <w:marRight w:val="0"/>
              <w:marTop w:val="0"/>
              <w:marBottom w:val="0"/>
              <w:divBdr>
                <w:top w:val="none" w:sz="0" w:space="0" w:color="auto"/>
                <w:left w:val="none" w:sz="0" w:space="0" w:color="auto"/>
                <w:bottom w:val="none" w:sz="0" w:space="0" w:color="auto"/>
                <w:right w:val="none" w:sz="0" w:space="0" w:color="auto"/>
              </w:divBdr>
            </w:div>
          </w:divsChild>
        </w:div>
        <w:div w:id="935211035">
          <w:marLeft w:val="0"/>
          <w:marRight w:val="0"/>
          <w:marTop w:val="0"/>
          <w:marBottom w:val="0"/>
          <w:divBdr>
            <w:top w:val="none" w:sz="0" w:space="0" w:color="auto"/>
            <w:left w:val="none" w:sz="0" w:space="0" w:color="auto"/>
            <w:bottom w:val="none" w:sz="0" w:space="0" w:color="auto"/>
            <w:right w:val="none" w:sz="0" w:space="0" w:color="auto"/>
          </w:divBdr>
          <w:divsChild>
            <w:div w:id="914704637">
              <w:marLeft w:val="0"/>
              <w:marRight w:val="0"/>
              <w:marTop w:val="0"/>
              <w:marBottom w:val="0"/>
              <w:divBdr>
                <w:top w:val="none" w:sz="0" w:space="0" w:color="auto"/>
                <w:left w:val="none" w:sz="0" w:space="0" w:color="auto"/>
                <w:bottom w:val="none" w:sz="0" w:space="0" w:color="auto"/>
                <w:right w:val="none" w:sz="0" w:space="0" w:color="auto"/>
              </w:divBdr>
            </w:div>
          </w:divsChild>
        </w:div>
        <w:div w:id="1136339149">
          <w:marLeft w:val="0"/>
          <w:marRight w:val="0"/>
          <w:marTop w:val="0"/>
          <w:marBottom w:val="0"/>
          <w:divBdr>
            <w:top w:val="none" w:sz="0" w:space="0" w:color="auto"/>
            <w:left w:val="none" w:sz="0" w:space="0" w:color="auto"/>
            <w:bottom w:val="none" w:sz="0" w:space="0" w:color="auto"/>
            <w:right w:val="none" w:sz="0" w:space="0" w:color="auto"/>
          </w:divBdr>
          <w:divsChild>
            <w:div w:id="1773932430">
              <w:marLeft w:val="0"/>
              <w:marRight w:val="0"/>
              <w:marTop w:val="0"/>
              <w:marBottom w:val="0"/>
              <w:divBdr>
                <w:top w:val="none" w:sz="0" w:space="0" w:color="auto"/>
                <w:left w:val="none" w:sz="0" w:space="0" w:color="auto"/>
                <w:bottom w:val="none" w:sz="0" w:space="0" w:color="auto"/>
                <w:right w:val="none" w:sz="0" w:space="0" w:color="auto"/>
              </w:divBdr>
            </w:div>
          </w:divsChild>
        </w:div>
        <w:div w:id="1284845081">
          <w:marLeft w:val="0"/>
          <w:marRight w:val="0"/>
          <w:marTop w:val="0"/>
          <w:marBottom w:val="0"/>
          <w:divBdr>
            <w:top w:val="none" w:sz="0" w:space="0" w:color="auto"/>
            <w:left w:val="none" w:sz="0" w:space="0" w:color="auto"/>
            <w:bottom w:val="none" w:sz="0" w:space="0" w:color="auto"/>
            <w:right w:val="none" w:sz="0" w:space="0" w:color="auto"/>
          </w:divBdr>
          <w:divsChild>
            <w:div w:id="621696148">
              <w:marLeft w:val="0"/>
              <w:marRight w:val="0"/>
              <w:marTop w:val="0"/>
              <w:marBottom w:val="0"/>
              <w:divBdr>
                <w:top w:val="none" w:sz="0" w:space="0" w:color="auto"/>
                <w:left w:val="none" w:sz="0" w:space="0" w:color="auto"/>
                <w:bottom w:val="none" w:sz="0" w:space="0" w:color="auto"/>
                <w:right w:val="none" w:sz="0" w:space="0" w:color="auto"/>
              </w:divBdr>
            </w:div>
          </w:divsChild>
        </w:div>
        <w:div w:id="1297838069">
          <w:marLeft w:val="0"/>
          <w:marRight w:val="0"/>
          <w:marTop w:val="0"/>
          <w:marBottom w:val="0"/>
          <w:divBdr>
            <w:top w:val="none" w:sz="0" w:space="0" w:color="auto"/>
            <w:left w:val="none" w:sz="0" w:space="0" w:color="auto"/>
            <w:bottom w:val="none" w:sz="0" w:space="0" w:color="auto"/>
            <w:right w:val="none" w:sz="0" w:space="0" w:color="auto"/>
          </w:divBdr>
          <w:divsChild>
            <w:div w:id="1302227797">
              <w:marLeft w:val="0"/>
              <w:marRight w:val="0"/>
              <w:marTop w:val="0"/>
              <w:marBottom w:val="0"/>
              <w:divBdr>
                <w:top w:val="none" w:sz="0" w:space="0" w:color="auto"/>
                <w:left w:val="none" w:sz="0" w:space="0" w:color="auto"/>
                <w:bottom w:val="none" w:sz="0" w:space="0" w:color="auto"/>
                <w:right w:val="none" w:sz="0" w:space="0" w:color="auto"/>
              </w:divBdr>
            </w:div>
          </w:divsChild>
        </w:div>
        <w:div w:id="1322538578">
          <w:marLeft w:val="0"/>
          <w:marRight w:val="0"/>
          <w:marTop w:val="0"/>
          <w:marBottom w:val="0"/>
          <w:divBdr>
            <w:top w:val="none" w:sz="0" w:space="0" w:color="auto"/>
            <w:left w:val="none" w:sz="0" w:space="0" w:color="auto"/>
            <w:bottom w:val="none" w:sz="0" w:space="0" w:color="auto"/>
            <w:right w:val="none" w:sz="0" w:space="0" w:color="auto"/>
          </w:divBdr>
          <w:divsChild>
            <w:div w:id="306058040">
              <w:marLeft w:val="0"/>
              <w:marRight w:val="0"/>
              <w:marTop w:val="0"/>
              <w:marBottom w:val="0"/>
              <w:divBdr>
                <w:top w:val="none" w:sz="0" w:space="0" w:color="auto"/>
                <w:left w:val="none" w:sz="0" w:space="0" w:color="auto"/>
                <w:bottom w:val="none" w:sz="0" w:space="0" w:color="auto"/>
                <w:right w:val="none" w:sz="0" w:space="0" w:color="auto"/>
              </w:divBdr>
            </w:div>
          </w:divsChild>
        </w:div>
        <w:div w:id="1493907426">
          <w:marLeft w:val="0"/>
          <w:marRight w:val="0"/>
          <w:marTop w:val="0"/>
          <w:marBottom w:val="0"/>
          <w:divBdr>
            <w:top w:val="none" w:sz="0" w:space="0" w:color="auto"/>
            <w:left w:val="none" w:sz="0" w:space="0" w:color="auto"/>
            <w:bottom w:val="none" w:sz="0" w:space="0" w:color="auto"/>
            <w:right w:val="none" w:sz="0" w:space="0" w:color="auto"/>
          </w:divBdr>
          <w:divsChild>
            <w:div w:id="119808715">
              <w:marLeft w:val="0"/>
              <w:marRight w:val="0"/>
              <w:marTop w:val="0"/>
              <w:marBottom w:val="0"/>
              <w:divBdr>
                <w:top w:val="none" w:sz="0" w:space="0" w:color="auto"/>
                <w:left w:val="none" w:sz="0" w:space="0" w:color="auto"/>
                <w:bottom w:val="none" w:sz="0" w:space="0" w:color="auto"/>
                <w:right w:val="none" w:sz="0" w:space="0" w:color="auto"/>
              </w:divBdr>
            </w:div>
          </w:divsChild>
        </w:div>
        <w:div w:id="1659729632">
          <w:marLeft w:val="0"/>
          <w:marRight w:val="0"/>
          <w:marTop w:val="0"/>
          <w:marBottom w:val="0"/>
          <w:divBdr>
            <w:top w:val="none" w:sz="0" w:space="0" w:color="auto"/>
            <w:left w:val="none" w:sz="0" w:space="0" w:color="auto"/>
            <w:bottom w:val="none" w:sz="0" w:space="0" w:color="auto"/>
            <w:right w:val="none" w:sz="0" w:space="0" w:color="auto"/>
          </w:divBdr>
          <w:divsChild>
            <w:div w:id="917252682">
              <w:marLeft w:val="0"/>
              <w:marRight w:val="0"/>
              <w:marTop w:val="0"/>
              <w:marBottom w:val="0"/>
              <w:divBdr>
                <w:top w:val="none" w:sz="0" w:space="0" w:color="auto"/>
                <w:left w:val="none" w:sz="0" w:space="0" w:color="auto"/>
                <w:bottom w:val="none" w:sz="0" w:space="0" w:color="auto"/>
                <w:right w:val="none" w:sz="0" w:space="0" w:color="auto"/>
              </w:divBdr>
            </w:div>
          </w:divsChild>
        </w:div>
        <w:div w:id="2024092862">
          <w:marLeft w:val="0"/>
          <w:marRight w:val="0"/>
          <w:marTop w:val="0"/>
          <w:marBottom w:val="0"/>
          <w:divBdr>
            <w:top w:val="none" w:sz="0" w:space="0" w:color="auto"/>
            <w:left w:val="none" w:sz="0" w:space="0" w:color="auto"/>
            <w:bottom w:val="none" w:sz="0" w:space="0" w:color="auto"/>
            <w:right w:val="none" w:sz="0" w:space="0" w:color="auto"/>
          </w:divBdr>
          <w:divsChild>
            <w:div w:id="525677178">
              <w:marLeft w:val="0"/>
              <w:marRight w:val="0"/>
              <w:marTop w:val="0"/>
              <w:marBottom w:val="0"/>
              <w:divBdr>
                <w:top w:val="none" w:sz="0" w:space="0" w:color="auto"/>
                <w:left w:val="none" w:sz="0" w:space="0" w:color="auto"/>
                <w:bottom w:val="none" w:sz="0" w:space="0" w:color="auto"/>
                <w:right w:val="none" w:sz="0" w:space="0" w:color="auto"/>
              </w:divBdr>
            </w:div>
          </w:divsChild>
        </w:div>
        <w:div w:id="2131506744">
          <w:marLeft w:val="0"/>
          <w:marRight w:val="0"/>
          <w:marTop w:val="0"/>
          <w:marBottom w:val="0"/>
          <w:divBdr>
            <w:top w:val="none" w:sz="0" w:space="0" w:color="auto"/>
            <w:left w:val="none" w:sz="0" w:space="0" w:color="auto"/>
            <w:bottom w:val="none" w:sz="0" w:space="0" w:color="auto"/>
            <w:right w:val="none" w:sz="0" w:space="0" w:color="auto"/>
          </w:divBdr>
          <w:divsChild>
            <w:div w:id="64338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60249">
      <w:bodyDiv w:val="1"/>
      <w:marLeft w:val="0"/>
      <w:marRight w:val="0"/>
      <w:marTop w:val="0"/>
      <w:marBottom w:val="0"/>
      <w:divBdr>
        <w:top w:val="none" w:sz="0" w:space="0" w:color="auto"/>
        <w:left w:val="none" w:sz="0" w:space="0" w:color="auto"/>
        <w:bottom w:val="none" w:sz="0" w:space="0" w:color="auto"/>
        <w:right w:val="none" w:sz="0" w:space="0" w:color="auto"/>
      </w:divBdr>
    </w:div>
    <w:div w:id="101731588">
      <w:bodyDiv w:val="1"/>
      <w:marLeft w:val="0"/>
      <w:marRight w:val="0"/>
      <w:marTop w:val="0"/>
      <w:marBottom w:val="0"/>
      <w:divBdr>
        <w:top w:val="none" w:sz="0" w:space="0" w:color="auto"/>
        <w:left w:val="none" w:sz="0" w:space="0" w:color="auto"/>
        <w:bottom w:val="none" w:sz="0" w:space="0" w:color="auto"/>
        <w:right w:val="none" w:sz="0" w:space="0" w:color="auto"/>
      </w:divBdr>
    </w:div>
    <w:div w:id="103154361">
      <w:bodyDiv w:val="1"/>
      <w:marLeft w:val="0"/>
      <w:marRight w:val="0"/>
      <w:marTop w:val="0"/>
      <w:marBottom w:val="0"/>
      <w:divBdr>
        <w:top w:val="none" w:sz="0" w:space="0" w:color="auto"/>
        <w:left w:val="none" w:sz="0" w:space="0" w:color="auto"/>
        <w:bottom w:val="none" w:sz="0" w:space="0" w:color="auto"/>
        <w:right w:val="none" w:sz="0" w:space="0" w:color="auto"/>
      </w:divBdr>
    </w:div>
    <w:div w:id="108361722">
      <w:bodyDiv w:val="1"/>
      <w:marLeft w:val="0"/>
      <w:marRight w:val="0"/>
      <w:marTop w:val="0"/>
      <w:marBottom w:val="0"/>
      <w:divBdr>
        <w:top w:val="none" w:sz="0" w:space="0" w:color="auto"/>
        <w:left w:val="none" w:sz="0" w:space="0" w:color="auto"/>
        <w:bottom w:val="none" w:sz="0" w:space="0" w:color="auto"/>
        <w:right w:val="none" w:sz="0" w:space="0" w:color="auto"/>
      </w:divBdr>
    </w:div>
    <w:div w:id="111628939">
      <w:bodyDiv w:val="1"/>
      <w:marLeft w:val="0"/>
      <w:marRight w:val="0"/>
      <w:marTop w:val="0"/>
      <w:marBottom w:val="0"/>
      <w:divBdr>
        <w:top w:val="none" w:sz="0" w:space="0" w:color="auto"/>
        <w:left w:val="none" w:sz="0" w:space="0" w:color="auto"/>
        <w:bottom w:val="none" w:sz="0" w:space="0" w:color="auto"/>
        <w:right w:val="none" w:sz="0" w:space="0" w:color="auto"/>
      </w:divBdr>
    </w:div>
    <w:div w:id="112597363">
      <w:bodyDiv w:val="1"/>
      <w:marLeft w:val="0"/>
      <w:marRight w:val="0"/>
      <w:marTop w:val="0"/>
      <w:marBottom w:val="0"/>
      <w:divBdr>
        <w:top w:val="none" w:sz="0" w:space="0" w:color="auto"/>
        <w:left w:val="none" w:sz="0" w:space="0" w:color="auto"/>
        <w:bottom w:val="none" w:sz="0" w:space="0" w:color="auto"/>
        <w:right w:val="none" w:sz="0" w:space="0" w:color="auto"/>
      </w:divBdr>
    </w:div>
    <w:div w:id="118230956">
      <w:bodyDiv w:val="1"/>
      <w:marLeft w:val="0"/>
      <w:marRight w:val="0"/>
      <w:marTop w:val="0"/>
      <w:marBottom w:val="0"/>
      <w:divBdr>
        <w:top w:val="none" w:sz="0" w:space="0" w:color="auto"/>
        <w:left w:val="none" w:sz="0" w:space="0" w:color="auto"/>
        <w:bottom w:val="none" w:sz="0" w:space="0" w:color="auto"/>
        <w:right w:val="none" w:sz="0" w:space="0" w:color="auto"/>
      </w:divBdr>
    </w:div>
    <w:div w:id="120345386">
      <w:bodyDiv w:val="1"/>
      <w:marLeft w:val="0"/>
      <w:marRight w:val="0"/>
      <w:marTop w:val="0"/>
      <w:marBottom w:val="0"/>
      <w:divBdr>
        <w:top w:val="none" w:sz="0" w:space="0" w:color="auto"/>
        <w:left w:val="none" w:sz="0" w:space="0" w:color="auto"/>
        <w:bottom w:val="none" w:sz="0" w:space="0" w:color="auto"/>
        <w:right w:val="none" w:sz="0" w:space="0" w:color="auto"/>
      </w:divBdr>
    </w:div>
    <w:div w:id="124082761">
      <w:bodyDiv w:val="1"/>
      <w:marLeft w:val="0"/>
      <w:marRight w:val="0"/>
      <w:marTop w:val="0"/>
      <w:marBottom w:val="0"/>
      <w:divBdr>
        <w:top w:val="none" w:sz="0" w:space="0" w:color="auto"/>
        <w:left w:val="none" w:sz="0" w:space="0" w:color="auto"/>
        <w:bottom w:val="none" w:sz="0" w:space="0" w:color="auto"/>
        <w:right w:val="none" w:sz="0" w:space="0" w:color="auto"/>
      </w:divBdr>
    </w:div>
    <w:div w:id="134179386">
      <w:bodyDiv w:val="1"/>
      <w:marLeft w:val="0"/>
      <w:marRight w:val="0"/>
      <w:marTop w:val="0"/>
      <w:marBottom w:val="0"/>
      <w:divBdr>
        <w:top w:val="none" w:sz="0" w:space="0" w:color="auto"/>
        <w:left w:val="none" w:sz="0" w:space="0" w:color="auto"/>
        <w:bottom w:val="none" w:sz="0" w:space="0" w:color="auto"/>
        <w:right w:val="none" w:sz="0" w:space="0" w:color="auto"/>
      </w:divBdr>
      <w:divsChild>
        <w:div w:id="508371874">
          <w:marLeft w:val="0"/>
          <w:marRight w:val="0"/>
          <w:marTop w:val="0"/>
          <w:marBottom w:val="0"/>
          <w:divBdr>
            <w:top w:val="none" w:sz="0" w:space="0" w:color="auto"/>
            <w:left w:val="none" w:sz="0" w:space="0" w:color="auto"/>
            <w:bottom w:val="none" w:sz="0" w:space="0" w:color="auto"/>
            <w:right w:val="none" w:sz="0" w:space="0" w:color="auto"/>
          </w:divBdr>
        </w:div>
        <w:div w:id="1112476253">
          <w:marLeft w:val="0"/>
          <w:marRight w:val="0"/>
          <w:marTop w:val="0"/>
          <w:marBottom w:val="0"/>
          <w:divBdr>
            <w:top w:val="none" w:sz="0" w:space="0" w:color="auto"/>
            <w:left w:val="none" w:sz="0" w:space="0" w:color="auto"/>
            <w:bottom w:val="none" w:sz="0" w:space="0" w:color="auto"/>
            <w:right w:val="none" w:sz="0" w:space="0" w:color="auto"/>
          </w:divBdr>
        </w:div>
      </w:divsChild>
    </w:div>
    <w:div w:id="140270890">
      <w:bodyDiv w:val="1"/>
      <w:marLeft w:val="0"/>
      <w:marRight w:val="0"/>
      <w:marTop w:val="0"/>
      <w:marBottom w:val="0"/>
      <w:divBdr>
        <w:top w:val="none" w:sz="0" w:space="0" w:color="auto"/>
        <w:left w:val="none" w:sz="0" w:space="0" w:color="auto"/>
        <w:bottom w:val="none" w:sz="0" w:space="0" w:color="auto"/>
        <w:right w:val="none" w:sz="0" w:space="0" w:color="auto"/>
      </w:divBdr>
    </w:div>
    <w:div w:id="150607130">
      <w:bodyDiv w:val="1"/>
      <w:marLeft w:val="0"/>
      <w:marRight w:val="0"/>
      <w:marTop w:val="0"/>
      <w:marBottom w:val="0"/>
      <w:divBdr>
        <w:top w:val="none" w:sz="0" w:space="0" w:color="auto"/>
        <w:left w:val="none" w:sz="0" w:space="0" w:color="auto"/>
        <w:bottom w:val="none" w:sz="0" w:space="0" w:color="auto"/>
        <w:right w:val="none" w:sz="0" w:space="0" w:color="auto"/>
      </w:divBdr>
    </w:div>
    <w:div w:id="156701011">
      <w:bodyDiv w:val="1"/>
      <w:marLeft w:val="0"/>
      <w:marRight w:val="0"/>
      <w:marTop w:val="0"/>
      <w:marBottom w:val="0"/>
      <w:divBdr>
        <w:top w:val="none" w:sz="0" w:space="0" w:color="auto"/>
        <w:left w:val="none" w:sz="0" w:space="0" w:color="auto"/>
        <w:bottom w:val="none" w:sz="0" w:space="0" w:color="auto"/>
        <w:right w:val="none" w:sz="0" w:space="0" w:color="auto"/>
      </w:divBdr>
    </w:div>
    <w:div w:id="161707120">
      <w:bodyDiv w:val="1"/>
      <w:marLeft w:val="0"/>
      <w:marRight w:val="0"/>
      <w:marTop w:val="0"/>
      <w:marBottom w:val="0"/>
      <w:divBdr>
        <w:top w:val="none" w:sz="0" w:space="0" w:color="auto"/>
        <w:left w:val="none" w:sz="0" w:space="0" w:color="auto"/>
        <w:bottom w:val="none" w:sz="0" w:space="0" w:color="auto"/>
        <w:right w:val="none" w:sz="0" w:space="0" w:color="auto"/>
      </w:divBdr>
    </w:div>
    <w:div w:id="163209698">
      <w:bodyDiv w:val="1"/>
      <w:marLeft w:val="0"/>
      <w:marRight w:val="0"/>
      <w:marTop w:val="0"/>
      <w:marBottom w:val="0"/>
      <w:divBdr>
        <w:top w:val="none" w:sz="0" w:space="0" w:color="auto"/>
        <w:left w:val="none" w:sz="0" w:space="0" w:color="auto"/>
        <w:bottom w:val="none" w:sz="0" w:space="0" w:color="auto"/>
        <w:right w:val="none" w:sz="0" w:space="0" w:color="auto"/>
      </w:divBdr>
    </w:div>
    <w:div w:id="163517625">
      <w:bodyDiv w:val="1"/>
      <w:marLeft w:val="0"/>
      <w:marRight w:val="0"/>
      <w:marTop w:val="0"/>
      <w:marBottom w:val="0"/>
      <w:divBdr>
        <w:top w:val="none" w:sz="0" w:space="0" w:color="auto"/>
        <w:left w:val="none" w:sz="0" w:space="0" w:color="auto"/>
        <w:bottom w:val="none" w:sz="0" w:space="0" w:color="auto"/>
        <w:right w:val="none" w:sz="0" w:space="0" w:color="auto"/>
      </w:divBdr>
    </w:div>
    <w:div w:id="163790289">
      <w:bodyDiv w:val="1"/>
      <w:marLeft w:val="0"/>
      <w:marRight w:val="0"/>
      <w:marTop w:val="0"/>
      <w:marBottom w:val="0"/>
      <w:divBdr>
        <w:top w:val="none" w:sz="0" w:space="0" w:color="auto"/>
        <w:left w:val="none" w:sz="0" w:space="0" w:color="auto"/>
        <w:bottom w:val="none" w:sz="0" w:space="0" w:color="auto"/>
        <w:right w:val="none" w:sz="0" w:space="0" w:color="auto"/>
      </w:divBdr>
    </w:div>
    <w:div w:id="165294534">
      <w:bodyDiv w:val="1"/>
      <w:marLeft w:val="0"/>
      <w:marRight w:val="0"/>
      <w:marTop w:val="0"/>
      <w:marBottom w:val="0"/>
      <w:divBdr>
        <w:top w:val="none" w:sz="0" w:space="0" w:color="auto"/>
        <w:left w:val="none" w:sz="0" w:space="0" w:color="auto"/>
        <w:bottom w:val="none" w:sz="0" w:space="0" w:color="auto"/>
        <w:right w:val="none" w:sz="0" w:space="0" w:color="auto"/>
      </w:divBdr>
    </w:div>
    <w:div w:id="165364745">
      <w:bodyDiv w:val="1"/>
      <w:marLeft w:val="0"/>
      <w:marRight w:val="0"/>
      <w:marTop w:val="0"/>
      <w:marBottom w:val="0"/>
      <w:divBdr>
        <w:top w:val="none" w:sz="0" w:space="0" w:color="auto"/>
        <w:left w:val="none" w:sz="0" w:space="0" w:color="auto"/>
        <w:bottom w:val="none" w:sz="0" w:space="0" w:color="auto"/>
        <w:right w:val="none" w:sz="0" w:space="0" w:color="auto"/>
      </w:divBdr>
      <w:divsChild>
        <w:div w:id="246967033">
          <w:marLeft w:val="0"/>
          <w:marRight w:val="0"/>
          <w:marTop w:val="0"/>
          <w:marBottom w:val="0"/>
          <w:divBdr>
            <w:top w:val="none" w:sz="0" w:space="0" w:color="auto"/>
            <w:left w:val="none" w:sz="0" w:space="0" w:color="auto"/>
            <w:bottom w:val="none" w:sz="0" w:space="0" w:color="auto"/>
            <w:right w:val="none" w:sz="0" w:space="0" w:color="auto"/>
          </w:divBdr>
        </w:div>
      </w:divsChild>
    </w:div>
    <w:div w:id="168444883">
      <w:bodyDiv w:val="1"/>
      <w:marLeft w:val="0"/>
      <w:marRight w:val="0"/>
      <w:marTop w:val="0"/>
      <w:marBottom w:val="0"/>
      <w:divBdr>
        <w:top w:val="none" w:sz="0" w:space="0" w:color="auto"/>
        <w:left w:val="none" w:sz="0" w:space="0" w:color="auto"/>
        <w:bottom w:val="none" w:sz="0" w:space="0" w:color="auto"/>
        <w:right w:val="none" w:sz="0" w:space="0" w:color="auto"/>
      </w:divBdr>
      <w:divsChild>
        <w:div w:id="1116022537">
          <w:marLeft w:val="0"/>
          <w:marRight w:val="0"/>
          <w:marTop w:val="0"/>
          <w:marBottom w:val="0"/>
          <w:divBdr>
            <w:top w:val="none" w:sz="0" w:space="0" w:color="auto"/>
            <w:left w:val="none" w:sz="0" w:space="0" w:color="auto"/>
            <w:bottom w:val="none" w:sz="0" w:space="0" w:color="auto"/>
            <w:right w:val="none" w:sz="0" w:space="0" w:color="auto"/>
          </w:divBdr>
          <w:divsChild>
            <w:div w:id="1429962739">
              <w:marLeft w:val="0"/>
              <w:marRight w:val="0"/>
              <w:marTop w:val="0"/>
              <w:marBottom w:val="0"/>
              <w:divBdr>
                <w:top w:val="none" w:sz="0" w:space="0" w:color="auto"/>
                <w:left w:val="none" w:sz="0" w:space="0" w:color="auto"/>
                <w:bottom w:val="none" w:sz="0" w:space="0" w:color="auto"/>
                <w:right w:val="none" w:sz="0" w:space="0" w:color="auto"/>
              </w:divBdr>
            </w:div>
          </w:divsChild>
        </w:div>
        <w:div w:id="1221744953">
          <w:marLeft w:val="0"/>
          <w:marRight w:val="0"/>
          <w:marTop w:val="0"/>
          <w:marBottom w:val="0"/>
          <w:divBdr>
            <w:top w:val="none" w:sz="0" w:space="0" w:color="auto"/>
            <w:left w:val="none" w:sz="0" w:space="0" w:color="auto"/>
            <w:bottom w:val="none" w:sz="0" w:space="0" w:color="auto"/>
            <w:right w:val="none" w:sz="0" w:space="0" w:color="auto"/>
          </w:divBdr>
          <w:divsChild>
            <w:div w:id="127015039">
              <w:marLeft w:val="0"/>
              <w:marRight w:val="0"/>
              <w:marTop w:val="0"/>
              <w:marBottom w:val="0"/>
              <w:divBdr>
                <w:top w:val="none" w:sz="0" w:space="0" w:color="auto"/>
                <w:left w:val="none" w:sz="0" w:space="0" w:color="auto"/>
                <w:bottom w:val="none" w:sz="0" w:space="0" w:color="auto"/>
                <w:right w:val="none" w:sz="0" w:space="0" w:color="auto"/>
              </w:divBdr>
            </w:div>
            <w:div w:id="1897665057">
              <w:marLeft w:val="0"/>
              <w:marRight w:val="0"/>
              <w:marTop w:val="0"/>
              <w:marBottom w:val="0"/>
              <w:divBdr>
                <w:top w:val="none" w:sz="0" w:space="0" w:color="auto"/>
                <w:left w:val="none" w:sz="0" w:space="0" w:color="auto"/>
                <w:bottom w:val="none" w:sz="0" w:space="0" w:color="auto"/>
                <w:right w:val="none" w:sz="0" w:space="0" w:color="auto"/>
              </w:divBdr>
              <w:divsChild>
                <w:div w:id="365298097">
                  <w:marLeft w:val="0"/>
                  <w:marRight w:val="0"/>
                  <w:marTop w:val="0"/>
                  <w:marBottom w:val="0"/>
                  <w:divBdr>
                    <w:top w:val="none" w:sz="0" w:space="0" w:color="auto"/>
                    <w:left w:val="none" w:sz="0" w:space="0" w:color="auto"/>
                    <w:bottom w:val="none" w:sz="0" w:space="0" w:color="auto"/>
                    <w:right w:val="none" w:sz="0" w:space="0" w:color="auto"/>
                  </w:divBdr>
                  <w:divsChild>
                    <w:div w:id="29652704">
                      <w:marLeft w:val="0"/>
                      <w:marRight w:val="0"/>
                      <w:marTop w:val="0"/>
                      <w:marBottom w:val="0"/>
                      <w:divBdr>
                        <w:top w:val="none" w:sz="0" w:space="0" w:color="auto"/>
                        <w:left w:val="none" w:sz="0" w:space="0" w:color="auto"/>
                        <w:bottom w:val="none" w:sz="0" w:space="0" w:color="auto"/>
                        <w:right w:val="none" w:sz="0" w:space="0" w:color="auto"/>
                      </w:divBdr>
                      <w:divsChild>
                        <w:div w:id="9760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535748">
      <w:bodyDiv w:val="1"/>
      <w:marLeft w:val="0"/>
      <w:marRight w:val="0"/>
      <w:marTop w:val="0"/>
      <w:marBottom w:val="0"/>
      <w:divBdr>
        <w:top w:val="none" w:sz="0" w:space="0" w:color="auto"/>
        <w:left w:val="none" w:sz="0" w:space="0" w:color="auto"/>
        <w:bottom w:val="none" w:sz="0" w:space="0" w:color="auto"/>
        <w:right w:val="none" w:sz="0" w:space="0" w:color="auto"/>
      </w:divBdr>
    </w:div>
    <w:div w:id="183369934">
      <w:bodyDiv w:val="1"/>
      <w:marLeft w:val="0"/>
      <w:marRight w:val="0"/>
      <w:marTop w:val="0"/>
      <w:marBottom w:val="0"/>
      <w:divBdr>
        <w:top w:val="none" w:sz="0" w:space="0" w:color="auto"/>
        <w:left w:val="none" w:sz="0" w:space="0" w:color="auto"/>
        <w:bottom w:val="none" w:sz="0" w:space="0" w:color="auto"/>
        <w:right w:val="none" w:sz="0" w:space="0" w:color="auto"/>
      </w:divBdr>
    </w:div>
    <w:div w:id="183595217">
      <w:bodyDiv w:val="1"/>
      <w:marLeft w:val="0"/>
      <w:marRight w:val="0"/>
      <w:marTop w:val="0"/>
      <w:marBottom w:val="0"/>
      <w:divBdr>
        <w:top w:val="none" w:sz="0" w:space="0" w:color="auto"/>
        <w:left w:val="none" w:sz="0" w:space="0" w:color="auto"/>
        <w:bottom w:val="none" w:sz="0" w:space="0" w:color="auto"/>
        <w:right w:val="none" w:sz="0" w:space="0" w:color="auto"/>
      </w:divBdr>
    </w:div>
    <w:div w:id="190799547">
      <w:bodyDiv w:val="1"/>
      <w:marLeft w:val="0"/>
      <w:marRight w:val="0"/>
      <w:marTop w:val="0"/>
      <w:marBottom w:val="0"/>
      <w:divBdr>
        <w:top w:val="none" w:sz="0" w:space="0" w:color="auto"/>
        <w:left w:val="none" w:sz="0" w:space="0" w:color="auto"/>
        <w:bottom w:val="none" w:sz="0" w:space="0" w:color="auto"/>
        <w:right w:val="none" w:sz="0" w:space="0" w:color="auto"/>
      </w:divBdr>
    </w:div>
    <w:div w:id="193272435">
      <w:bodyDiv w:val="1"/>
      <w:marLeft w:val="0"/>
      <w:marRight w:val="0"/>
      <w:marTop w:val="0"/>
      <w:marBottom w:val="0"/>
      <w:divBdr>
        <w:top w:val="none" w:sz="0" w:space="0" w:color="auto"/>
        <w:left w:val="none" w:sz="0" w:space="0" w:color="auto"/>
        <w:bottom w:val="none" w:sz="0" w:space="0" w:color="auto"/>
        <w:right w:val="none" w:sz="0" w:space="0" w:color="auto"/>
      </w:divBdr>
      <w:divsChild>
        <w:div w:id="306328576">
          <w:marLeft w:val="0"/>
          <w:marRight w:val="0"/>
          <w:marTop w:val="0"/>
          <w:marBottom w:val="0"/>
          <w:divBdr>
            <w:top w:val="none" w:sz="0" w:space="0" w:color="auto"/>
            <w:left w:val="none" w:sz="0" w:space="0" w:color="auto"/>
            <w:bottom w:val="none" w:sz="0" w:space="0" w:color="auto"/>
            <w:right w:val="none" w:sz="0" w:space="0" w:color="auto"/>
          </w:divBdr>
          <w:divsChild>
            <w:div w:id="823811589">
              <w:marLeft w:val="0"/>
              <w:marRight w:val="0"/>
              <w:marTop w:val="0"/>
              <w:marBottom w:val="0"/>
              <w:divBdr>
                <w:top w:val="none" w:sz="0" w:space="0" w:color="auto"/>
                <w:left w:val="none" w:sz="0" w:space="0" w:color="auto"/>
                <w:bottom w:val="none" w:sz="0" w:space="0" w:color="auto"/>
                <w:right w:val="none" w:sz="0" w:space="0" w:color="auto"/>
              </w:divBdr>
            </w:div>
          </w:divsChild>
        </w:div>
        <w:div w:id="477378082">
          <w:marLeft w:val="0"/>
          <w:marRight w:val="0"/>
          <w:marTop w:val="0"/>
          <w:marBottom w:val="0"/>
          <w:divBdr>
            <w:top w:val="none" w:sz="0" w:space="0" w:color="auto"/>
            <w:left w:val="none" w:sz="0" w:space="0" w:color="auto"/>
            <w:bottom w:val="none" w:sz="0" w:space="0" w:color="auto"/>
            <w:right w:val="none" w:sz="0" w:space="0" w:color="auto"/>
          </w:divBdr>
          <w:divsChild>
            <w:div w:id="80571227">
              <w:marLeft w:val="0"/>
              <w:marRight w:val="0"/>
              <w:marTop w:val="0"/>
              <w:marBottom w:val="0"/>
              <w:divBdr>
                <w:top w:val="none" w:sz="0" w:space="0" w:color="auto"/>
                <w:left w:val="none" w:sz="0" w:space="0" w:color="auto"/>
                <w:bottom w:val="none" w:sz="0" w:space="0" w:color="auto"/>
                <w:right w:val="none" w:sz="0" w:space="0" w:color="auto"/>
              </w:divBdr>
            </w:div>
          </w:divsChild>
        </w:div>
        <w:div w:id="1439913461">
          <w:marLeft w:val="0"/>
          <w:marRight w:val="0"/>
          <w:marTop w:val="0"/>
          <w:marBottom w:val="0"/>
          <w:divBdr>
            <w:top w:val="none" w:sz="0" w:space="0" w:color="auto"/>
            <w:left w:val="none" w:sz="0" w:space="0" w:color="auto"/>
            <w:bottom w:val="none" w:sz="0" w:space="0" w:color="auto"/>
            <w:right w:val="none" w:sz="0" w:space="0" w:color="auto"/>
          </w:divBdr>
          <w:divsChild>
            <w:div w:id="1760440659">
              <w:marLeft w:val="0"/>
              <w:marRight w:val="0"/>
              <w:marTop w:val="0"/>
              <w:marBottom w:val="0"/>
              <w:divBdr>
                <w:top w:val="none" w:sz="0" w:space="0" w:color="auto"/>
                <w:left w:val="none" w:sz="0" w:space="0" w:color="auto"/>
                <w:bottom w:val="none" w:sz="0" w:space="0" w:color="auto"/>
                <w:right w:val="none" w:sz="0" w:space="0" w:color="auto"/>
              </w:divBdr>
            </w:div>
          </w:divsChild>
        </w:div>
        <w:div w:id="1541629547">
          <w:marLeft w:val="0"/>
          <w:marRight w:val="0"/>
          <w:marTop w:val="0"/>
          <w:marBottom w:val="0"/>
          <w:divBdr>
            <w:top w:val="none" w:sz="0" w:space="0" w:color="auto"/>
            <w:left w:val="none" w:sz="0" w:space="0" w:color="auto"/>
            <w:bottom w:val="none" w:sz="0" w:space="0" w:color="auto"/>
            <w:right w:val="none" w:sz="0" w:space="0" w:color="auto"/>
          </w:divBdr>
          <w:divsChild>
            <w:div w:id="1283875616">
              <w:marLeft w:val="0"/>
              <w:marRight w:val="0"/>
              <w:marTop w:val="0"/>
              <w:marBottom w:val="0"/>
              <w:divBdr>
                <w:top w:val="none" w:sz="0" w:space="0" w:color="auto"/>
                <w:left w:val="none" w:sz="0" w:space="0" w:color="auto"/>
                <w:bottom w:val="none" w:sz="0" w:space="0" w:color="auto"/>
                <w:right w:val="none" w:sz="0" w:space="0" w:color="auto"/>
              </w:divBdr>
            </w:div>
          </w:divsChild>
        </w:div>
        <w:div w:id="1633249084">
          <w:marLeft w:val="0"/>
          <w:marRight w:val="0"/>
          <w:marTop w:val="0"/>
          <w:marBottom w:val="0"/>
          <w:divBdr>
            <w:top w:val="none" w:sz="0" w:space="0" w:color="auto"/>
            <w:left w:val="none" w:sz="0" w:space="0" w:color="auto"/>
            <w:bottom w:val="none" w:sz="0" w:space="0" w:color="auto"/>
            <w:right w:val="none" w:sz="0" w:space="0" w:color="auto"/>
          </w:divBdr>
          <w:divsChild>
            <w:div w:id="137376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21376">
      <w:bodyDiv w:val="1"/>
      <w:marLeft w:val="0"/>
      <w:marRight w:val="0"/>
      <w:marTop w:val="0"/>
      <w:marBottom w:val="0"/>
      <w:divBdr>
        <w:top w:val="none" w:sz="0" w:space="0" w:color="auto"/>
        <w:left w:val="none" w:sz="0" w:space="0" w:color="auto"/>
        <w:bottom w:val="none" w:sz="0" w:space="0" w:color="auto"/>
        <w:right w:val="none" w:sz="0" w:space="0" w:color="auto"/>
      </w:divBdr>
    </w:div>
    <w:div w:id="195166620">
      <w:bodyDiv w:val="1"/>
      <w:marLeft w:val="0"/>
      <w:marRight w:val="0"/>
      <w:marTop w:val="0"/>
      <w:marBottom w:val="0"/>
      <w:divBdr>
        <w:top w:val="none" w:sz="0" w:space="0" w:color="auto"/>
        <w:left w:val="none" w:sz="0" w:space="0" w:color="auto"/>
        <w:bottom w:val="none" w:sz="0" w:space="0" w:color="auto"/>
        <w:right w:val="none" w:sz="0" w:space="0" w:color="auto"/>
      </w:divBdr>
    </w:div>
    <w:div w:id="196897075">
      <w:bodyDiv w:val="1"/>
      <w:marLeft w:val="0"/>
      <w:marRight w:val="0"/>
      <w:marTop w:val="0"/>
      <w:marBottom w:val="0"/>
      <w:divBdr>
        <w:top w:val="none" w:sz="0" w:space="0" w:color="auto"/>
        <w:left w:val="none" w:sz="0" w:space="0" w:color="auto"/>
        <w:bottom w:val="none" w:sz="0" w:space="0" w:color="auto"/>
        <w:right w:val="none" w:sz="0" w:space="0" w:color="auto"/>
      </w:divBdr>
    </w:div>
    <w:div w:id="204030726">
      <w:bodyDiv w:val="1"/>
      <w:marLeft w:val="0"/>
      <w:marRight w:val="0"/>
      <w:marTop w:val="0"/>
      <w:marBottom w:val="0"/>
      <w:divBdr>
        <w:top w:val="none" w:sz="0" w:space="0" w:color="auto"/>
        <w:left w:val="none" w:sz="0" w:space="0" w:color="auto"/>
        <w:bottom w:val="none" w:sz="0" w:space="0" w:color="auto"/>
        <w:right w:val="none" w:sz="0" w:space="0" w:color="auto"/>
      </w:divBdr>
    </w:div>
    <w:div w:id="212273778">
      <w:bodyDiv w:val="1"/>
      <w:marLeft w:val="0"/>
      <w:marRight w:val="0"/>
      <w:marTop w:val="0"/>
      <w:marBottom w:val="0"/>
      <w:divBdr>
        <w:top w:val="none" w:sz="0" w:space="0" w:color="auto"/>
        <w:left w:val="none" w:sz="0" w:space="0" w:color="auto"/>
        <w:bottom w:val="none" w:sz="0" w:space="0" w:color="auto"/>
        <w:right w:val="none" w:sz="0" w:space="0" w:color="auto"/>
      </w:divBdr>
    </w:div>
    <w:div w:id="214245140">
      <w:bodyDiv w:val="1"/>
      <w:marLeft w:val="0"/>
      <w:marRight w:val="0"/>
      <w:marTop w:val="0"/>
      <w:marBottom w:val="0"/>
      <w:divBdr>
        <w:top w:val="none" w:sz="0" w:space="0" w:color="auto"/>
        <w:left w:val="none" w:sz="0" w:space="0" w:color="auto"/>
        <w:bottom w:val="none" w:sz="0" w:space="0" w:color="auto"/>
        <w:right w:val="none" w:sz="0" w:space="0" w:color="auto"/>
      </w:divBdr>
    </w:div>
    <w:div w:id="218833579">
      <w:bodyDiv w:val="1"/>
      <w:marLeft w:val="0"/>
      <w:marRight w:val="0"/>
      <w:marTop w:val="0"/>
      <w:marBottom w:val="0"/>
      <w:divBdr>
        <w:top w:val="none" w:sz="0" w:space="0" w:color="auto"/>
        <w:left w:val="none" w:sz="0" w:space="0" w:color="auto"/>
        <w:bottom w:val="none" w:sz="0" w:space="0" w:color="auto"/>
        <w:right w:val="none" w:sz="0" w:space="0" w:color="auto"/>
      </w:divBdr>
    </w:div>
    <w:div w:id="219443844">
      <w:bodyDiv w:val="1"/>
      <w:marLeft w:val="0"/>
      <w:marRight w:val="0"/>
      <w:marTop w:val="0"/>
      <w:marBottom w:val="0"/>
      <w:divBdr>
        <w:top w:val="none" w:sz="0" w:space="0" w:color="auto"/>
        <w:left w:val="none" w:sz="0" w:space="0" w:color="auto"/>
        <w:bottom w:val="none" w:sz="0" w:space="0" w:color="auto"/>
        <w:right w:val="none" w:sz="0" w:space="0" w:color="auto"/>
      </w:divBdr>
      <w:divsChild>
        <w:div w:id="15161605">
          <w:marLeft w:val="0"/>
          <w:marRight w:val="0"/>
          <w:marTop w:val="0"/>
          <w:marBottom w:val="0"/>
          <w:divBdr>
            <w:top w:val="none" w:sz="0" w:space="0" w:color="auto"/>
            <w:left w:val="none" w:sz="0" w:space="0" w:color="auto"/>
            <w:bottom w:val="none" w:sz="0" w:space="0" w:color="auto"/>
            <w:right w:val="none" w:sz="0" w:space="0" w:color="auto"/>
          </w:divBdr>
        </w:div>
        <w:div w:id="1225944309">
          <w:marLeft w:val="0"/>
          <w:marRight w:val="0"/>
          <w:marTop w:val="0"/>
          <w:marBottom w:val="0"/>
          <w:divBdr>
            <w:top w:val="none" w:sz="0" w:space="0" w:color="auto"/>
            <w:left w:val="none" w:sz="0" w:space="0" w:color="auto"/>
            <w:bottom w:val="none" w:sz="0" w:space="0" w:color="auto"/>
            <w:right w:val="none" w:sz="0" w:space="0" w:color="auto"/>
          </w:divBdr>
        </w:div>
      </w:divsChild>
    </w:div>
    <w:div w:id="223102341">
      <w:bodyDiv w:val="1"/>
      <w:marLeft w:val="0"/>
      <w:marRight w:val="0"/>
      <w:marTop w:val="0"/>
      <w:marBottom w:val="0"/>
      <w:divBdr>
        <w:top w:val="none" w:sz="0" w:space="0" w:color="auto"/>
        <w:left w:val="none" w:sz="0" w:space="0" w:color="auto"/>
        <w:bottom w:val="none" w:sz="0" w:space="0" w:color="auto"/>
        <w:right w:val="none" w:sz="0" w:space="0" w:color="auto"/>
      </w:divBdr>
    </w:div>
    <w:div w:id="227501032">
      <w:bodyDiv w:val="1"/>
      <w:marLeft w:val="0"/>
      <w:marRight w:val="0"/>
      <w:marTop w:val="0"/>
      <w:marBottom w:val="0"/>
      <w:divBdr>
        <w:top w:val="none" w:sz="0" w:space="0" w:color="auto"/>
        <w:left w:val="none" w:sz="0" w:space="0" w:color="auto"/>
        <w:bottom w:val="none" w:sz="0" w:space="0" w:color="auto"/>
        <w:right w:val="none" w:sz="0" w:space="0" w:color="auto"/>
      </w:divBdr>
    </w:div>
    <w:div w:id="232080320">
      <w:bodyDiv w:val="1"/>
      <w:marLeft w:val="0"/>
      <w:marRight w:val="0"/>
      <w:marTop w:val="0"/>
      <w:marBottom w:val="0"/>
      <w:divBdr>
        <w:top w:val="none" w:sz="0" w:space="0" w:color="auto"/>
        <w:left w:val="none" w:sz="0" w:space="0" w:color="auto"/>
        <w:bottom w:val="none" w:sz="0" w:space="0" w:color="auto"/>
        <w:right w:val="none" w:sz="0" w:space="0" w:color="auto"/>
      </w:divBdr>
    </w:div>
    <w:div w:id="232086162">
      <w:bodyDiv w:val="1"/>
      <w:marLeft w:val="0"/>
      <w:marRight w:val="0"/>
      <w:marTop w:val="0"/>
      <w:marBottom w:val="0"/>
      <w:divBdr>
        <w:top w:val="none" w:sz="0" w:space="0" w:color="auto"/>
        <w:left w:val="none" w:sz="0" w:space="0" w:color="auto"/>
        <w:bottom w:val="none" w:sz="0" w:space="0" w:color="auto"/>
        <w:right w:val="none" w:sz="0" w:space="0" w:color="auto"/>
      </w:divBdr>
    </w:div>
    <w:div w:id="233013189">
      <w:bodyDiv w:val="1"/>
      <w:marLeft w:val="0"/>
      <w:marRight w:val="0"/>
      <w:marTop w:val="0"/>
      <w:marBottom w:val="0"/>
      <w:divBdr>
        <w:top w:val="none" w:sz="0" w:space="0" w:color="auto"/>
        <w:left w:val="none" w:sz="0" w:space="0" w:color="auto"/>
        <w:bottom w:val="none" w:sz="0" w:space="0" w:color="auto"/>
        <w:right w:val="none" w:sz="0" w:space="0" w:color="auto"/>
      </w:divBdr>
      <w:divsChild>
        <w:div w:id="1353341742">
          <w:marLeft w:val="0"/>
          <w:marRight w:val="0"/>
          <w:marTop w:val="0"/>
          <w:marBottom w:val="0"/>
          <w:divBdr>
            <w:top w:val="none" w:sz="0" w:space="0" w:color="auto"/>
            <w:left w:val="none" w:sz="0" w:space="0" w:color="auto"/>
            <w:bottom w:val="none" w:sz="0" w:space="0" w:color="auto"/>
            <w:right w:val="none" w:sz="0" w:space="0" w:color="auto"/>
          </w:divBdr>
        </w:div>
      </w:divsChild>
    </w:div>
    <w:div w:id="234511751">
      <w:bodyDiv w:val="1"/>
      <w:marLeft w:val="0"/>
      <w:marRight w:val="0"/>
      <w:marTop w:val="0"/>
      <w:marBottom w:val="0"/>
      <w:divBdr>
        <w:top w:val="none" w:sz="0" w:space="0" w:color="auto"/>
        <w:left w:val="none" w:sz="0" w:space="0" w:color="auto"/>
        <w:bottom w:val="none" w:sz="0" w:space="0" w:color="auto"/>
        <w:right w:val="none" w:sz="0" w:space="0" w:color="auto"/>
      </w:divBdr>
    </w:div>
    <w:div w:id="235629722">
      <w:bodyDiv w:val="1"/>
      <w:marLeft w:val="0"/>
      <w:marRight w:val="0"/>
      <w:marTop w:val="0"/>
      <w:marBottom w:val="0"/>
      <w:divBdr>
        <w:top w:val="none" w:sz="0" w:space="0" w:color="auto"/>
        <w:left w:val="none" w:sz="0" w:space="0" w:color="auto"/>
        <w:bottom w:val="none" w:sz="0" w:space="0" w:color="auto"/>
        <w:right w:val="none" w:sz="0" w:space="0" w:color="auto"/>
      </w:divBdr>
    </w:div>
    <w:div w:id="237595037">
      <w:bodyDiv w:val="1"/>
      <w:marLeft w:val="0"/>
      <w:marRight w:val="0"/>
      <w:marTop w:val="0"/>
      <w:marBottom w:val="0"/>
      <w:divBdr>
        <w:top w:val="none" w:sz="0" w:space="0" w:color="auto"/>
        <w:left w:val="none" w:sz="0" w:space="0" w:color="auto"/>
        <w:bottom w:val="none" w:sz="0" w:space="0" w:color="auto"/>
        <w:right w:val="none" w:sz="0" w:space="0" w:color="auto"/>
      </w:divBdr>
    </w:div>
    <w:div w:id="244388026">
      <w:bodyDiv w:val="1"/>
      <w:marLeft w:val="0"/>
      <w:marRight w:val="0"/>
      <w:marTop w:val="0"/>
      <w:marBottom w:val="0"/>
      <w:divBdr>
        <w:top w:val="none" w:sz="0" w:space="0" w:color="auto"/>
        <w:left w:val="none" w:sz="0" w:space="0" w:color="auto"/>
        <w:bottom w:val="none" w:sz="0" w:space="0" w:color="auto"/>
        <w:right w:val="none" w:sz="0" w:space="0" w:color="auto"/>
      </w:divBdr>
    </w:div>
    <w:div w:id="248464776">
      <w:bodyDiv w:val="1"/>
      <w:marLeft w:val="0"/>
      <w:marRight w:val="0"/>
      <w:marTop w:val="0"/>
      <w:marBottom w:val="0"/>
      <w:divBdr>
        <w:top w:val="none" w:sz="0" w:space="0" w:color="auto"/>
        <w:left w:val="none" w:sz="0" w:space="0" w:color="auto"/>
        <w:bottom w:val="none" w:sz="0" w:space="0" w:color="auto"/>
        <w:right w:val="none" w:sz="0" w:space="0" w:color="auto"/>
      </w:divBdr>
      <w:divsChild>
        <w:div w:id="103696875">
          <w:marLeft w:val="0"/>
          <w:marRight w:val="0"/>
          <w:marTop w:val="0"/>
          <w:marBottom w:val="0"/>
          <w:divBdr>
            <w:top w:val="none" w:sz="0" w:space="0" w:color="auto"/>
            <w:left w:val="none" w:sz="0" w:space="0" w:color="auto"/>
            <w:bottom w:val="none" w:sz="0" w:space="0" w:color="auto"/>
            <w:right w:val="none" w:sz="0" w:space="0" w:color="auto"/>
          </w:divBdr>
          <w:divsChild>
            <w:div w:id="1613590910">
              <w:marLeft w:val="0"/>
              <w:marRight w:val="0"/>
              <w:marTop w:val="0"/>
              <w:marBottom w:val="0"/>
              <w:divBdr>
                <w:top w:val="none" w:sz="0" w:space="0" w:color="auto"/>
                <w:left w:val="none" w:sz="0" w:space="0" w:color="auto"/>
                <w:bottom w:val="none" w:sz="0" w:space="0" w:color="auto"/>
                <w:right w:val="none" w:sz="0" w:space="0" w:color="auto"/>
              </w:divBdr>
            </w:div>
          </w:divsChild>
        </w:div>
        <w:div w:id="133108196">
          <w:marLeft w:val="0"/>
          <w:marRight w:val="0"/>
          <w:marTop w:val="0"/>
          <w:marBottom w:val="0"/>
          <w:divBdr>
            <w:top w:val="none" w:sz="0" w:space="0" w:color="auto"/>
            <w:left w:val="none" w:sz="0" w:space="0" w:color="auto"/>
            <w:bottom w:val="none" w:sz="0" w:space="0" w:color="auto"/>
            <w:right w:val="none" w:sz="0" w:space="0" w:color="auto"/>
          </w:divBdr>
          <w:divsChild>
            <w:div w:id="1744719934">
              <w:marLeft w:val="0"/>
              <w:marRight w:val="0"/>
              <w:marTop w:val="0"/>
              <w:marBottom w:val="0"/>
              <w:divBdr>
                <w:top w:val="none" w:sz="0" w:space="0" w:color="auto"/>
                <w:left w:val="none" w:sz="0" w:space="0" w:color="auto"/>
                <w:bottom w:val="none" w:sz="0" w:space="0" w:color="auto"/>
                <w:right w:val="none" w:sz="0" w:space="0" w:color="auto"/>
              </w:divBdr>
            </w:div>
          </w:divsChild>
        </w:div>
        <w:div w:id="169639292">
          <w:marLeft w:val="0"/>
          <w:marRight w:val="0"/>
          <w:marTop w:val="0"/>
          <w:marBottom w:val="0"/>
          <w:divBdr>
            <w:top w:val="none" w:sz="0" w:space="0" w:color="auto"/>
            <w:left w:val="none" w:sz="0" w:space="0" w:color="auto"/>
            <w:bottom w:val="none" w:sz="0" w:space="0" w:color="auto"/>
            <w:right w:val="none" w:sz="0" w:space="0" w:color="auto"/>
          </w:divBdr>
          <w:divsChild>
            <w:div w:id="1991246198">
              <w:marLeft w:val="0"/>
              <w:marRight w:val="0"/>
              <w:marTop w:val="0"/>
              <w:marBottom w:val="0"/>
              <w:divBdr>
                <w:top w:val="none" w:sz="0" w:space="0" w:color="auto"/>
                <w:left w:val="none" w:sz="0" w:space="0" w:color="auto"/>
                <w:bottom w:val="none" w:sz="0" w:space="0" w:color="auto"/>
                <w:right w:val="none" w:sz="0" w:space="0" w:color="auto"/>
              </w:divBdr>
            </w:div>
          </w:divsChild>
        </w:div>
        <w:div w:id="295599625">
          <w:marLeft w:val="0"/>
          <w:marRight w:val="0"/>
          <w:marTop w:val="0"/>
          <w:marBottom w:val="0"/>
          <w:divBdr>
            <w:top w:val="none" w:sz="0" w:space="0" w:color="auto"/>
            <w:left w:val="none" w:sz="0" w:space="0" w:color="auto"/>
            <w:bottom w:val="none" w:sz="0" w:space="0" w:color="auto"/>
            <w:right w:val="none" w:sz="0" w:space="0" w:color="auto"/>
          </w:divBdr>
          <w:divsChild>
            <w:div w:id="541207685">
              <w:marLeft w:val="0"/>
              <w:marRight w:val="0"/>
              <w:marTop w:val="0"/>
              <w:marBottom w:val="0"/>
              <w:divBdr>
                <w:top w:val="none" w:sz="0" w:space="0" w:color="auto"/>
                <w:left w:val="none" w:sz="0" w:space="0" w:color="auto"/>
                <w:bottom w:val="none" w:sz="0" w:space="0" w:color="auto"/>
                <w:right w:val="none" w:sz="0" w:space="0" w:color="auto"/>
              </w:divBdr>
            </w:div>
          </w:divsChild>
        </w:div>
        <w:div w:id="322902771">
          <w:marLeft w:val="0"/>
          <w:marRight w:val="0"/>
          <w:marTop w:val="0"/>
          <w:marBottom w:val="0"/>
          <w:divBdr>
            <w:top w:val="none" w:sz="0" w:space="0" w:color="auto"/>
            <w:left w:val="none" w:sz="0" w:space="0" w:color="auto"/>
            <w:bottom w:val="none" w:sz="0" w:space="0" w:color="auto"/>
            <w:right w:val="none" w:sz="0" w:space="0" w:color="auto"/>
          </w:divBdr>
          <w:divsChild>
            <w:div w:id="503055094">
              <w:marLeft w:val="0"/>
              <w:marRight w:val="0"/>
              <w:marTop w:val="0"/>
              <w:marBottom w:val="0"/>
              <w:divBdr>
                <w:top w:val="none" w:sz="0" w:space="0" w:color="auto"/>
                <w:left w:val="none" w:sz="0" w:space="0" w:color="auto"/>
                <w:bottom w:val="none" w:sz="0" w:space="0" w:color="auto"/>
                <w:right w:val="none" w:sz="0" w:space="0" w:color="auto"/>
              </w:divBdr>
            </w:div>
          </w:divsChild>
        </w:div>
        <w:div w:id="596789849">
          <w:marLeft w:val="0"/>
          <w:marRight w:val="0"/>
          <w:marTop w:val="0"/>
          <w:marBottom w:val="0"/>
          <w:divBdr>
            <w:top w:val="none" w:sz="0" w:space="0" w:color="auto"/>
            <w:left w:val="none" w:sz="0" w:space="0" w:color="auto"/>
            <w:bottom w:val="none" w:sz="0" w:space="0" w:color="auto"/>
            <w:right w:val="none" w:sz="0" w:space="0" w:color="auto"/>
          </w:divBdr>
          <w:divsChild>
            <w:div w:id="483937980">
              <w:marLeft w:val="0"/>
              <w:marRight w:val="0"/>
              <w:marTop w:val="0"/>
              <w:marBottom w:val="0"/>
              <w:divBdr>
                <w:top w:val="none" w:sz="0" w:space="0" w:color="auto"/>
                <w:left w:val="none" w:sz="0" w:space="0" w:color="auto"/>
                <w:bottom w:val="none" w:sz="0" w:space="0" w:color="auto"/>
                <w:right w:val="none" w:sz="0" w:space="0" w:color="auto"/>
              </w:divBdr>
            </w:div>
          </w:divsChild>
        </w:div>
        <w:div w:id="646667618">
          <w:marLeft w:val="0"/>
          <w:marRight w:val="0"/>
          <w:marTop w:val="0"/>
          <w:marBottom w:val="0"/>
          <w:divBdr>
            <w:top w:val="none" w:sz="0" w:space="0" w:color="auto"/>
            <w:left w:val="none" w:sz="0" w:space="0" w:color="auto"/>
            <w:bottom w:val="none" w:sz="0" w:space="0" w:color="auto"/>
            <w:right w:val="none" w:sz="0" w:space="0" w:color="auto"/>
          </w:divBdr>
          <w:divsChild>
            <w:div w:id="759108654">
              <w:marLeft w:val="0"/>
              <w:marRight w:val="0"/>
              <w:marTop w:val="0"/>
              <w:marBottom w:val="0"/>
              <w:divBdr>
                <w:top w:val="none" w:sz="0" w:space="0" w:color="auto"/>
                <w:left w:val="none" w:sz="0" w:space="0" w:color="auto"/>
                <w:bottom w:val="none" w:sz="0" w:space="0" w:color="auto"/>
                <w:right w:val="none" w:sz="0" w:space="0" w:color="auto"/>
              </w:divBdr>
            </w:div>
          </w:divsChild>
        </w:div>
        <w:div w:id="695237071">
          <w:marLeft w:val="0"/>
          <w:marRight w:val="0"/>
          <w:marTop w:val="0"/>
          <w:marBottom w:val="0"/>
          <w:divBdr>
            <w:top w:val="none" w:sz="0" w:space="0" w:color="auto"/>
            <w:left w:val="none" w:sz="0" w:space="0" w:color="auto"/>
            <w:bottom w:val="none" w:sz="0" w:space="0" w:color="auto"/>
            <w:right w:val="none" w:sz="0" w:space="0" w:color="auto"/>
          </w:divBdr>
          <w:divsChild>
            <w:div w:id="1988049264">
              <w:marLeft w:val="0"/>
              <w:marRight w:val="0"/>
              <w:marTop w:val="0"/>
              <w:marBottom w:val="0"/>
              <w:divBdr>
                <w:top w:val="none" w:sz="0" w:space="0" w:color="auto"/>
                <w:left w:val="none" w:sz="0" w:space="0" w:color="auto"/>
                <w:bottom w:val="none" w:sz="0" w:space="0" w:color="auto"/>
                <w:right w:val="none" w:sz="0" w:space="0" w:color="auto"/>
              </w:divBdr>
            </w:div>
          </w:divsChild>
        </w:div>
        <w:div w:id="921597218">
          <w:marLeft w:val="0"/>
          <w:marRight w:val="0"/>
          <w:marTop w:val="0"/>
          <w:marBottom w:val="0"/>
          <w:divBdr>
            <w:top w:val="none" w:sz="0" w:space="0" w:color="auto"/>
            <w:left w:val="none" w:sz="0" w:space="0" w:color="auto"/>
            <w:bottom w:val="none" w:sz="0" w:space="0" w:color="auto"/>
            <w:right w:val="none" w:sz="0" w:space="0" w:color="auto"/>
          </w:divBdr>
          <w:divsChild>
            <w:div w:id="735931367">
              <w:marLeft w:val="0"/>
              <w:marRight w:val="0"/>
              <w:marTop w:val="0"/>
              <w:marBottom w:val="0"/>
              <w:divBdr>
                <w:top w:val="none" w:sz="0" w:space="0" w:color="auto"/>
                <w:left w:val="none" w:sz="0" w:space="0" w:color="auto"/>
                <w:bottom w:val="none" w:sz="0" w:space="0" w:color="auto"/>
                <w:right w:val="none" w:sz="0" w:space="0" w:color="auto"/>
              </w:divBdr>
            </w:div>
          </w:divsChild>
        </w:div>
        <w:div w:id="1221093207">
          <w:marLeft w:val="0"/>
          <w:marRight w:val="0"/>
          <w:marTop w:val="0"/>
          <w:marBottom w:val="0"/>
          <w:divBdr>
            <w:top w:val="none" w:sz="0" w:space="0" w:color="auto"/>
            <w:left w:val="none" w:sz="0" w:space="0" w:color="auto"/>
            <w:bottom w:val="none" w:sz="0" w:space="0" w:color="auto"/>
            <w:right w:val="none" w:sz="0" w:space="0" w:color="auto"/>
          </w:divBdr>
          <w:divsChild>
            <w:div w:id="850921174">
              <w:marLeft w:val="0"/>
              <w:marRight w:val="0"/>
              <w:marTop w:val="0"/>
              <w:marBottom w:val="0"/>
              <w:divBdr>
                <w:top w:val="none" w:sz="0" w:space="0" w:color="auto"/>
                <w:left w:val="none" w:sz="0" w:space="0" w:color="auto"/>
                <w:bottom w:val="none" w:sz="0" w:space="0" w:color="auto"/>
                <w:right w:val="none" w:sz="0" w:space="0" w:color="auto"/>
              </w:divBdr>
            </w:div>
          </w:divsChild>
        </w:div>
        <w:div w:id="1504196909">
          <w:marLeft w:val="0"/>
          <w:marRight w:val="0"/>
          <w:marTop w:val="0"/>
          <w:marBottom w:val="0"/>
          <w:divBdr>
            <w:top w:val="none" w:sz="0" w:space="0" w:color="auto"/>
            <w:left w:val="none" w:sz="0" w:space="0" w:color="auto"/>
            <w:bottom w:val="none" w:sz="0" w:space="0" w:color="auto"/>
            <w:right w:val="none" w:sz="0" w:space="0" w:color="auto"/>
          </w:divBdr>
          <w:divsChild>
            <w:div w:id="468478532">
              <w:marLeft w:val="0"/>
              <w:marRight w:val="0"/>
              <w:marTop w:val="0"/>
              <w:marBottom w:val="0"/>
              <w:divBdr>
                <w:top w:val="none" w:sz="0" w:space="0" w:color="auto"/>
                <w:left w:val="none" w:sz="0" w:space="0" w:color="auto"/>
                <w:bottom w:val="none" w:sz="0" w:space="0" w:color="auto"/>
                <w:right w:val="none" w:sz="0" w:space="0" w:color="auto"/>
              </w:divBdr>
            </w:div>
          </w:divsChild>
        </w:div>
        <w:div w:id="1562986922">
          <w:marLeft w:val="0"/>
          <w:marRight w:val="0"/>
          <w:marTop w:val="0"/>
          <w:marBottom w:val="0"/>
          <w:divBdr>
            <w:top w:val="none" w:sz="0" w:space="0" w:color="auto"/>
            <w:left w:val="none" w:sz="0" w:space="0" w:color="auto"/>
            <w:bottom w:val="none" w:sz="0" w:space="0" w:color="auto"/>
            <w:right w:val="none" w:sz="0" w:space="0" w:color="auto"/>
          </w:divBdr>
          <w:divsChild>
            <w:div w:id="753284472">
              <w:marLeft w:val="0"/>
              <w:marRight w:val="0"/>
              <w:marTop w:val="0"/>
              <w:marBottom w:val="0"/>
              <w:divBdr>
                <w:top w:val="none" w:sz="0" w:space="0" w:color="auto"/>
                <w:left w:val="none" w:sz="0" w:space="0" w:color="auto"/>
                <w:bottom w:val="none" w:sz="0" w:space="0" w:color="auto"/>
                <w:right w:val="none" w:sz="0" w:space="0" w:color="auto"/>
              </w:divBdr>
            </w:div>
          </w:divsChild>
        </w:div>
        <w:div w:id="1652097769">
          <w:marLeft w:val="0"/>
          <w:marRight w:val="0"/>
          <w:marTop w:val="0"/>
          <w:marBottom w:val="0"/>
          <w:divBdr>
            <w:top w:val="none" w:sz="0" w:space="0" w:color="auto"/>
            <w:left w:val="none" w:sz="0" w:space="0" w:color="auto"/>
            <w:bottom w:val="none" w:sz="0" w:space="0" w:color="auto"/>
            <w:right w:val="none" w:sz="0" w:space="0" w:color="auto"/>
          </w:divBdr>
          <w:divsChild>
            <w:div w:id="372730336">
              <w:marLeft w:val="0"/>
              <w:marRight w:val="0"/>
              <w:marTop w:val="0"/>
              <w:marBottom w:val="0"/>
              <w:divBdr>
                <w:top w:val="none" w:sz="0" w:space="0" w:color="auto"/>
                <w:left w:val="none" w:sz="0" w:space="0" w:color="auto"/>
                <w:bottom w:val="none" w:sz="0" w:space="0" w:color="auto"/>
                <w:right w:val="none" w:sz="0" w:space="0" w:color="auto"/>
              </w:divBdr>
            </w:div>
          </w:divsChild>
        </w:div>
        <w:div w:id="1687095410">
          <w:marLeft w:val="0"/>
          <w:marRight w:val="0"/>
          <w:marTop w:val="0"/>
          <w:marBottom w:val="0"/>
          <w:divBdr>
            <w:top w:val="none" w:sz="0" w:space="0" w:color="auto"/>
            <w:left w:val="none" w:sz="0" w:space="0" w:color="auto"/>
            <w:bottom w:val="none" w:sz="0" w:space="0" w:color="auto"/>
            <w:right w:val="none" w:sz="0" w:space="0" w:color="auto"/>
          </w:divBdr>
          <w:divsChild>
            <w:div w:id="159196652">
              <w:marLeft w:val="0"/>
              <w:marRight w:val="0"/>
              <w:marTop w:val="0"/>
              <w:marBottom w:val="0"/>
              <w:divBdr>
                <w:top w:val="none" w:sz="0" w:space="0" w:color="auto"/>
                <w:left w:val="none" w:sz="0" w:space="0" w:color="auto"/>
                <w:bottom w:val="none" w:sz="0" w:space="0" w:color="auto"/>
                <w:right w:val="none" w:sz="0" w:space="0" w:color="auto"/>
              </w:divBdr>
            </w:div>
          </w:divsChild>
        </w:div>
        <w:div w:id="1717968052">
          <w:marLeft w:val="0"/>
          <w:marRight w:val="0"/>
          <w:marTop w:val="0"/>
          <w:marBottom w:val="0"/>
          <w:divBdr>
            <w:top w:val="none" w:sz="0" w:space="0" w:color="auto"/>
            <w:left w:val="none" w:sz="0" w:space="0" w:color="auto"/>
            <w:bottom w:val="none" w:sz="0" w:space="0" w:color="auto"/>
            <w:right w:val="none" w:sz="0" w:space="0" w:color="auto"/>
          </w:divBdr>
          <w:divsChild>
            <w:div w:id="828208055">
              <w:marLeft w:val="0"/>
              <w:marRight w:val="0"/>
              <w:marTop w:val="0"/>
              <w:marBottom w:val="0"/>
              <w:divBdr>
                <w:top w:val="none" w:sz="0" w:space="0" w:color="auto"/>
                <w:left w:val="none" w:sz="0" w:space="0" w:color="auto"/>
                <w:bottom w:val="none" w:sz="0" w:space="0" w:color="auto"/>
                <w:right w:val="none" w:sz="0" w:space="0" w:color="auto"/>
              </w:divBdr>
            </w:div>
          </w:divsChild>
        </w:div>
        <w:div w:id="1761675400">
          <w:marLeft w:val="0"/>
          <w:marRight w:val="0"/>
          <w:marTop w:val="0"/>
          <w:marBottom w:val="0"/>
          <w:divBdr>
            <w:top w:val="none" w:sz="0" w:space="0" w:color="auto"/>
            <w:left w:val="none" w:sz="0" w:space="0" w:color="auto"/>
            <w:bottom w:val="none" w:sz="0" w:space="0" w:color="auto"/>
            <w:right w:val="none" w:sz="0" w:space="0" w:color="auto"/>
          </w:divBdr>
          <w:divsChild>
            <w:div w:id="408306609">
              <w:marLeft w:val="0"/>
              <w:marRight w:val="0"/>
              <w:marTop w:val="0"/>
              <w:marBottom w:val="0"/>
              <w:divBdr>
                <w:top w:val="none" w:sz="0" w:space="0" w:color="auto"/>
                <w:left w:val="none" w:sz="0" w:space="0" w:color="auto"/>
                <w:bottom w:val="none" w:sz="0" w:space="0" w:color="auto"/>
                <w:right w:val="none" w:sz="0" w:space="0" w:color="auto"/>
              </w:divBdr>
            </w:div>
          </w:divsChild>
        </w:div>
        <w:div w:id="1904833032">
          <w:marLeft w:val="0"/>
          <w:marRight w:val="0"/>
          <w:marTop w:val="0"/>
          <w:marBottom w:val="0"/>
          <w:divBdr>
            <w:top w:val="none" w:sz="0" w:space="0" w:color="auto"/>
            <w:left w:val="none" w:sz="0" w:space="0" w:color="auto"/>
            <w:bottom w:val="none" w:sz="0" w:space="0" w:color="auto"/>
            <w:right w:val="none" w:sz="0" w:space="0" w:color="auto"/>
          </w:divBdr>
          <w:divsChild>
            <w:div w:id="32274937">
              <w:marLeft w:val="0"/>
              <w:marRight w:val="0"/>
              <w:marTop w:val="0"/>
              <w:marBottom w:val="0"/>
              <w:divBdr>
                <w:top w:val="none" w:sz="0" w:space="0" w:color="auto"/>
                <w:left w:val="none" w:sz="0" w:space="0" w:color="auto"/>
                <w:bottom w:val="none" w:sz="0" w:space="0" w:color="auto"/>
                <w:right w:val="none" w:sz="0" w:space="0" w:color="auto"/>
              </w:divBdr>
            </w:div>
          </w:divsChild>
        </w:div>
        <w:div w:id="1932351805">
          <w:marLeft w:val="0"/>
          <w:marRight w:val="0"/>
          <w:marTop w:val="0"/>
          <w:marBottom w:val="0"/>
          <w:divBdr>
            <w:top w:val="none" w:sz="0" w:space="0" w:color="auto"/>
            <w:left w:val="none" w:sz="0" w:space="0" w:color="auto"/>
            <w:bottom w:val="none" w:sz="0" w:space="0" w:color="auto"/>
            <w:right w:val="none" w:sz="0" w:space="0" w:color="auto"/>
          </w:divBdr>
          <w:divsChild>
            <w:div w:id="109035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852035">
      <w:bodyDiv w:val="1"/>
      <w:marLeft w:val="0"/>
      <w:marRight w:val="0"/>
      <w:marTop w:val="0"/>
      <w:marBottom w:val="0"/>
      <w:divBdr>
        <w:top w:val="none" w:sz="0" w:space="0" w:color="auto"/>
        <w:left w:val="none" w:sz="0" w:space="0" w:color="auto"/>
        <w:bottom w:val="none" w:sz="0" w:space="0" w:color="auto"/>
        <w:right w:val="none" w:sz="0" w:space="0" w:color="auto"/>
      </w:divBdr>
    </w:div>
    <w:div w:id="249507739">
      <w:bodyDiv w:val="1"/>
      <w:marLeft w:val="0"/>
      <w:marRight w:val="0"/>
      <w:marTop w:val="0"/>
      <w:marBottom w:val="0"/>
      <w:divBdr>
        <w:top w:val="none" w:sz="0" w:space="0" w:color="auto"/>
        <w:left w:val="none" w:sz="0" w:space="0" w:color="auto"/>
        <w:bottom w:val="none" w:sz="0" w:space="0" w:color="auto"/>
        <w:right w:val="none" w:sz="0" w:space="0" w:color="auto"/>
      </w:divBdr>
    </w:div>
    <w:div w:id="251934480">
      <w:bodyDiv w:val="1"/>
      <w:marLeft w:val="0"/>
      <w:marRight w:val="0"/>
      <w:marTop w:val="0"/>
      <w:marBottom w:val="0"/>
      <w:divBdr>
        <w:top w:val="none" w:sz="0" w:space="0" w:color="auto"/>
        <w:left w:val="none" w:sz="0" w:space="0" w:color="auto"/>
        <w:bottom w:val="none" w:sz="0" w:space="0" w:color="auto"/>
        <w:right w:val="none" w:sz="0" w:space="0" w:color="auto"/>
      </w:divBdr>
    </w:div>
    <w:div w:id="254096823">
      <w:bodyDiv w:val="1"/>
      <w:marLeft w:val="0"/>
      <w:marRight w:val="0"/>
      <w:marTop w:val="0"/>
      <w:marBottom w:val="0"/>
      <w:divBdr>
        <w:top w:val="none" w:sz="0" w:space="0" w:color="auto"/>
        <w:left w:val="none" w:sz="0" w:space="0" w:color="auto"/>
        <w:bottom w:val="none" w:sz="0" w:space="0" w:color="auto"/>
        <w:right w:val="none" w:sz="0" w:space="0" w:color="auto"/>
      </w:divBdr>
      <w:divsChild>
        <w:div w:id="178081261">
          <w:blockQuote w:val="1"/>
          <w:marLeft w:val="0"/>
          <w:marRight w:val="0"/>
          <w:marTop w:val="384"/>
          <w:marBottom w:val="384"/>
          <w:divBdr>
            <w:top w:val="single" w:sz="2" w:space="0" w:color="auto"/>
            <w:left w:val="single" w:sz="2" w:space="0" w:color="auto"/>
            <w:bottom w:val="single" w:sz="2" w:space="0" w:color="auto"/>
            <w:right w:val="single" w:sz="2" w:space="0" w:color="auto"/>
          </w:divBdr>
        </w:div>
      </w:divsChild>
    </w:div>
    <w:div w:id="254440384">
      <w:bodyDiv w:val="1"/>
      <w:marLeft w:val="0"/>
      <w:marRight w:val="0"/>
      <w:marTop w:val="0"/>
      <w:marBottom w:val="0"/>
      <w:divBdr>
        <w:top w:val="none" w:sz="0" w:space="0" w:color="auto"/>
        <w:left w:val="none" w:sz="0" w:space="0" w:color="auto"/>
        <w:bottom w:val="none" w:sz="0" w:space="0" w:color="auto"/>
        <w:right w:val="none" w:sz="0" w:space="0" w:color="auto"/>
      </w:divBdr>
      <w:divsChild>
        <w:div w:id="1049913041">
          <w:marLeft w:val="0"/>
          <w:marRight w:val="0"/>
          <w:marTop w:val="0"/>
          <w:marBottom w:val="0"/>
          <w:divBdr>
            <w:top w:val="none" w:sz="0" w:space="0" w:color="auto"/>
            <w:left w:val="none" w:sz="0" w:space="0" w:color="auto"/>
            <w:bottom w:val="none" w:sz="0" w:space="0" w:color="auto"/>
            <w:right w:val="none" w:sz="0" w:space="0" w:color="auto"/>
          </w:divBdr>
        </w:div>
      </w:divsChild>
    </w:div>
    <w:div w:id="255098223">
      <w:bodyDiv w:val="1"/>
      <w:marLeft w:val="0"/>
      <w:marRight w:val="0"/>
      <w:marTop w:val="0"/>
      <w:marBottom w:val="0"/>
      <w:divBdr>
        <w:top w:val="none" w:sz="0" w:space="0" w:color="auto"/>
        <w:left w:val="none" w:sz="0" w:space="0" w:color="auto"/>
        <w:bottom w:val="none" w:sz="0" w:space="0" w:color="auto"/>
        <w:right w:val="none" w:sz="0" w:space="0" w:color="auto"/>
      </w:divBdr>
    </w:div>
    <w:div w:id="265701003">
      <w:bodyDiv w:val="1"/>
      <w:marLeft w:val="0"/>
      <w:marRight w:val="0"/>
      <w:marTop w:val="0"/>
      <w:marBottom w:val="0"/>
      <w:divBdr>
        <w:top w:val="none" w:sz="0" w:space="0" w:color="auto"/>
        <w:left w:val="none" w:sz="0" w:space="0" w:color="auto"/>
        <w:bottom w:val="none" w:sz="0" w:space="0" w:color="auto"/>
        <w:right w:val="none" w:sz="0" w:space="0" w:color="auto"/>
      </w:divBdr>
    </w:div>
    <w:div w:id="270169651">
      <w:bodyDiv w:val="1"/>
      <w:marLeft w:val="0"/>
      <w:marRight w:val="0"/>
      <w:marTop w:val="0"/>
      <w:marBottom w:val="0"/>
      <w:divBdr>
        <w:top w:val="none" w:sz="0" w:space="0" w:color="auto"/>
        <w:left w:val="none" w:sz="0" w:space="0" w:color="auto"/>
        <w:bottom w:val="none" w:sz="0" w:space="0" w:color="auto"/>
        <w:right w:val="none" w:sz="0" w:space="0" w:color="auto"/>
      </w:divBdr>
    </w:div>
    <w:div w:id="274676294">
      <w:bodyDiv w:val="1"/>
      <w:marLeft w:val="0"/>
      <w:marRight w:val="0"/>
      <w:marTop w:val="0"/>
      <w:marBottom w:val="0"/>
      <w:divBdr>
        <w:top w:val="none" w:sz="0" w:space="0" w:color="auto"/>
        <w:left w:val="none" w:sz="0" w:space="0" w:color="auto"/>
        <w:bottom w:val="none" w:sz="0" w:space="0" w:color="auto"/>
        <w:right w:val="none" w:sz="0" w:space="0" w:color="auto"/>
      </w:divBdr>
      <w:divsChild>
        <w:div w:id="552272693">
          <w:marLeft w:val="0"/>
          <w:marRight w:val="0"/>
          <w:marTop w:val="0"/>
          <w:marBottom w:val="0"/>
          <w:divBdr>
            <w:top w:val="none" w:sz="0" w:space="0" w:color="auto"/>
            <w:left w:val="none" w:sz="0" w:space="0" w:color="auto"/>
            <w:bottom w:val="none" w:sz="0" w:space="0" w:color="auto"/>
            <w:right w:val="none" w:sz="0" w:space="0" w:color="auto"/>
          </w:divBdr>
        </w:div>
        <w:div w:id="1434668240">
          <w:marLeft w:val="0"/>
          <w:marRight w:val="0"/>
          <w:marTop w:val="0"/>
          <w:marBottom w:val="0"/>
          <w:divBdr>
            <w:top w:val="none" w:sz="0" w:space="0" w:color="auto"/>
            <w:left w:val="none" w:sz="0" w:space="0" w:color="auto"/>
            <w:bottom w:val="none" w:sz="0" w:space="0" w:color="auto"/>
            <w:right w:val="none" w:sz="0" w:space="0" w:color="auto"/>
          </w:divBdr>
        </w:div>
        <w:div w:id="1783958193">
          <w:marLeft w:val="0"/>
          <w:marRight w:val="0"/>
          <w:marTop w:val="0"/>
          <w:marBottom w:val="0"/>
          <w:divBdr>
            <w:top w:val="none" w:sz="0" w:space="0" w:color="auto"/>
            <w:left w:val="none" w:sz="0" w:space="0" w:color="auto"/>
            <w:bottom w:val="none" w:sz="0" w:space="0" w:color="auto"/>
            <w:right w:val="none" w:sz="0" w:space="0" w:color="auto"/>
          </w:divBdr>
        </w:div>
      </w:divsChild>
    </w:div>
    <w:div w:id="278223915">
      <w:bodyDiv w:val="1"/>
      <w:marLeft w:val="0"/>
      <w:marRight w:val="0"/>
      <w:marTop w:val="0"/>
      <w:marBottom w:val="0"/>
      <w:divBdr>
        <w:top w:val="none" w:sz="0" w:space="0" w:color="auto"/>
        <w:left w:val="none" w:sz="0" w:space="0" w:color="auto"/>
        <w:bottom w:val="none" w:sz="0" w:space="0" w:color="auto"/>
        <w:right w:val="none" w:sz="0" w:space="0" w:color="auto"/>
      </w:divBdr>
    </w:div>
    <w:div w:id="284771669">
      <w:bodyDiv w:val="1"/>
      <w:marLeft w:val="0"/>
      <w:marRight w:val="0"/>
      <w:marTop w:val="0"/>
      <w:marBottom w:val="0"/>
      <w:divBdr>
        <w:top w:val="none" w:sz="0" w:space="0" w:color="auto"/>
        <w:left w:val="none" w:sz="0" w:space="0" w:color="auto"/>
        <w:bottom w:val="none" w:sz="0" w:space="0" w:color="auto"/>
        <w:right w:val="none" w:sz="0" w:space="0" w:color="auto"/>
      </w:divBdr>
    </w:div>
    <w:div w:id="299382429">
      <w:bodyDiv w:val="1"/>
      <w:marLeft w:val="0"/>
      <w:marRight w:val="0"/>
      <w:marTop w:val="0"/>
      <w:marBottom w:val="0"/>
      <w:divBdr>
        <w:top w:val="none" w:sz="0" w:space="0" w:color="auto"/>
        <w:left w:val="none" w:sz="0" w:space="0" w:color="auto"/>
        <w:bottom w:val="none" w:sz="0" w:space="0" w:color="auto"/>
        <w:right w:val="none" w:sz="0" w:space="0" w:color="auto"/>
      </w:divBdr>
    </w:div>
    <w:div w:id="309018638">
      <w:bodyDiv w:val="1"/>
      <w:marLeft w:val="0"/>
      <w:marRight w:val="0"/>
      <w:marTop w:val="0"/>
      <w:marBottom w:val="0"/>
      <w:divBdr>
        <w:top w:val="none" w:sz="0" w:space="0" w:color="auto"/>
        <w:left w:val="none" w:sz="0" w:space="0" w:color="auto"/>
        <w:bottom w:val="none" w:sz="0" w:space="0" w:color="auto"/>
        <w:right w:val="none" w:sz="0" w:space="0" w:color="auto"/>
      </w:divBdr>
    </w:div>
    <w:div w:id="311065074">
      <w:bodyDiv w:val="1"/>
      <w:marLeft w:val="0"/>
      <w:marRight w:val="0"/>
      <w:marTop w:val="0"/>
      <w:marBottom w:val="0"/>
      <w:divBdr>
        <w:top w:val="none" w:sz="0" w:space="0" w:color="auto"/>
        <w:left w:val="none" w:sz="0" w:space="0" w:color="auto"/>
        <w:bottom w:val="none" w:sz="0" w:space="0" w:color="auto"/>
        <w:right w:val="none" w:sz="0" w:space="0" w:color="auto"/>
      </w:divBdr>
    </w:div>
    <w:div w:id="312568560">
      <w:bodyDiv w:val="1"/>
      <w:marLeft w:val="0"/>
      <w:marRight w:val="0"/>
      <w:marTop w:val="0"/>
      <w:marBottom w:val="0"/>
      <w:divBdr>
        <w:top w:val="none" w:sz="0" w:space="0" w:color="auto"/>
        <w:left w:val="none" w:sz="0" w:space="0" w:color="auto"/>
        <w:bottom w:val="none" w:sz="0" w:space="0" w:color="auto"/>
        <w:right w:val="none" w:sz="0" w:space="0" w:color="auto"/>
      </w:divBdr>
    </w:div>
    <w:div w:id="315497128">
      <w:bodyDiv w:val="1"/>
      <w:marLeft w:val="0"/>
      <w:marRight w:val="0"/>
      <w:marTop w:val="0"/>
      <w:marBottom w:val="0"/>
      <w:divBdr>
        <w:top w:val="none" w:sz="0" w:space="0" w:color="auto"/>
        <w:left w:val="none" w:sz="0" w:space="0" w:color="auto"/>
        <w:bottom w:val="none" w:sz="0" w:space="0" w:color="auto"/>
        <w:right w:val="none" w:sz="0" w:space="0" w:color="auto"/>
      </w:divBdr>
    </w:div>
    <w:div w:id="316036498">
      <w:bodyDiv w:val="1"/>
      <w:marLeft w:val="0"/>
      <w:marRight w:val="0"/>
      <w:marTop w:val="0"/>
      <w:marBottom w:val="0"/>
      <w:divBdr>
        <w:top w:val="none" w:sz="0" w:space="0" w:color="auto"/>
        <w:left w:val="none" w:sz="0" w:space="0" w:color="auto"/>
        <w:bottom w:val="none" w:sz="0" w:space="0" w:color="auto"/>
        <w:right w:val="none" w:sz="0" w:space="0" w:color="auto"/>
      </w:divBdr>
      <w:divsChild>
        <w:div w:id="959185964">
          <w:blockQuote w:val="1"/>
          <w:marLeft w:val="0"/>
          <w:marRight w:val="0"/>
          <w:marTop w:val="384"/>
          <w:marBottom w:val="384"/>
          <w:divBdr>
            <w:top w:val="single" w:sz="2" w:space="0" w:color="auto"/>
            <w:left w:val="single" w:sz="2" w:space="0" w:color="auto"/>
            <w:bottom w:val="single" w:sz="2" w:space="0" w:color="auto"/>
            <w:right w:val="single" w:sz="2" w:space="0" w:color="auto"/>
          </w:divBdr>
        </w:div>
      </w:divsChild>
    </w:div>
    <w:div w:id="316348505">
      <w:bodyDiv w:val="1"/>
      <w:marLeft w:val="0"/>
      <w:marRight w:val="0"/>
      <w:marTop w:val="0"/>
      <w:marBottom w:val="0"/>
      <w:divBdr>
        <w:top w:val="none" w:sz="0" w:space="0" w:color="auto"/>
        <w:left w:val="none" w:sz="0" w:space="0" w:color="auto"/>
        <w:bottom w:val="none" w:sz="0" w:space="0" w:color="auto"/>
        <w:right w:val="none" w:sz="0" w:space="0" w:color="auto"/>
      </w:divBdr>
    </w:div>
    <w:div w:id="323897907">
      <w:bodyDiv w:val="1"/>
      <w:marLeft w:val="0"/>
      <w:marRight w:val="0"/>
      <w:marTop w:val="0"/>
      <w:marBottom w:val="0"/>
      <w:divBdr>
        <w:top w:val="none" w:sz="0" w:space="0" w:color="auto"/>
        <w:left w:val="none" w:sz="0" w:space="0" w:color="auto"/>
        <w:bottom w:val="none" w:sz="0" w:space="0" w:color="auto"/>
        <w:right w:val="none" w:sz="0" w:space="0" w:color="auto"/>
      </w:divBdr>
    </w:div>
    <w:div w:id="324625106">
      <w:bodyDiv w:val="1"/>
      <w:marLeft w:val="0"/>
      <w:marRight w:val="0"/>
      <w:marTop w:val="0"/>
      <w:marBottom w:val="0"/>
      <w:divBdr>
        <w:top w:val="none" w:sz="0" w:space="0" w:color="auto"/>
        <w:left w:val="none" w:sz="0" w:space="0" w:color="auto"/>
        <w:bottom w:val="none" w:sz="0" w:space="0" w:color="auto"/>
        <w:right w:val="none" w:sz="0" w:space="0" w:color="auto"/>
      </w:divBdr>
      <w:divsChild>
        <w:div w:id="1354841736">
          <w:marLeft w:val="0"/>
          <w:marRight w:val="0"/>
          <w:marTop w:val="0"/>
          <w:marBottom w:val="0"/>
          <w:divBdr>
            <w:top w:val="none" w:sz="0" w:space="0" w:color="auto"/>
            <w:left w:val="none" w:sz="0" w:space="0" w:color="auto"/>
            <w:bottom w:val="none" w:sz="0" w:space="0" w:color="auto"/>
            <w:right w:val="none" w:sz="0" w:space="0" w:color="auto"/>
          </w:divBdr>
        </w:div>
      </w:divsChild>
    </w:div>
    <w:div w:id="327444159">
      <w:bodyDiv w:val="1"/>
      <w:marLeft w:val="0"/>
      <w:marRight w:val="0"/>
      <w:marTop w:val="0"/>
      <w:marBottom w:val="0"/>
      <w:divBdr>
        <w:top w:val="none" w:sz="0" w:space="0" w:color="auto"/>
        <w:left w:val="none" w:sz="0" w:space="0" w:color="auto"/>
        <w:bottom w:val="none" w:sz="0" w:space="0" w:color="auto"/>
        <w:right w:val="none" w:sz="0" w:space="0" w:color="auto"/>
      </w:divBdr>
    </w:div>
    <w:div w:id="328144390">
      <w:bodyDiv w:val="1"/>
      <w:marLeft w:val="0"/>
      <w:marRight w:val="0"/>
      <w:marTop w:val="0"/>
      <w:marBottom w:val="0"/>
      <w:divBdr>
        <w:top w:val="none" w:sz="0" w:space="0" w:color="auto"/>
        <w:left w:val="none" w:sz="0" w:space="0" w:color="auto"/>
        <w:bottom w:val="none" w:sz="0" w:space="0" w:color="auto"/>
        <w:right w:val="none" w:sz="0" w:space="0" w:color="auto"/>
      </w:divBdr>
    </w:div>
    <w:div w:id="330261485">
      <w:bodyDiv w:val="1"/>
      <w:marLeft w:val="0"/>
      <w:marRight w:val="0"/>
      <w:marTop w:val="0"/>
      <w:marBottom w:val="0"/>
      <w:divBdr>
        <w:top w:val="none" w:sz="0" w:space="0" w:color="auto"/>
        <w:left w:val="none" w:sz="0" w:space="0" w:color="auto"/>
        <w:bottom w:val="none" w:sz="0" w:space="0" w:color="auto"/>
        <w:right w:val="none" w:sz="0" w:space="0" w:color="auto"/>
      </w:divBdr>
    </w:div>
    <w:div w:id="338317590">
      <w:bodyDiv w:val="1"/>
      <w:marLeft w:val="0"/>
      <w:marRight w:val="0"/>
      <w:marTop w:val="0"/>
      <w:marBottom w:val="0"/>
      <w:divBdr>
        <w:top w:val="none" w:sz="0" w:space="0" w:color="auto"/>
        <w:left w:val="none" w:sz="0" w:space="0" w:color="auto"/>
        <w:bottom w:val="none" w:sz="0" w:space="0" w:color="auto"/>
        <w:right w:val="none" w:sz="0" w:space="0" w:color="auto"/>
      </w:divBdr>
    </w:div>
    <w:div w:id="339503708">
      <w:bodyDiv w:val="1"/>
      <w:marLeft w:val="0"/>
      <w:marRight w:val="0"/>
      <w:marTop w:val="0"/>
      <w:marBottom w:val="0"/>
      <w:divBdr>
        <w:top w:val="none" w:sz="0" w:space="0" w:color="auto"/>
        <w:left w:val="none" w:sz="0" w:space="0" w:color="auto"/>
        <w:bottom w:val="none" w:sz="0" w:space="0" w:color="auto"/>
        <w:right w:val="none" w:sz="0" w:space="0" w:color="auto"/>
      </w:divBdr>
    </w:div>
    <w:div w:id="339746226">
      <w:bodyDiv w:val="1"/>
      <w:marLeft w:val="0"/>
      <w:marRight w:val="0"/>
      <w:marTop w:val="0"/>
      <w:marBottom w:val="0"/>
      <w:divBdr>
        <w:top w:val="none" w:sz="0" w:space="0" w:color="auto"/>
        <w:left w:val="none" w:sz="0" w:space="0" w:color="auto"/>
        <w:bottom w:val="none" w:sz="0" w:space="0" w:color="auto"/>
        <w:right w:val="none" w:sz="0" w:space="0" w:color="auto"/>
      </w:divBdr>
      <w:divsChild>
        <w:div w:id="848955690">
          <w:marLeft w:val="0"/>
          <w:marRight w:val="0"/>
          <w:marTop w:val="0"/>
          <w:marBottom w:val="0"/>
          <w:divBdr>
            <w:top w:val="single" w:sz="2" w:space="0" w:color="auto"/>
            <w:left w:val="single" w:sz="2" w:space="0" w:color="auto"/>
            <w:bottom w:val="single" w:sz="2" w:space="0" w:color="auto"/>
            <w:right w:val="single" w:sz="2" w:space="0" w:color="auto"/>
          </w:divBdr>
          <w:divsChild>
            <w:div w:id="1825513926">
              <w:marLeft w:val="0"/>
              <w:marRight w:val="0"/>
              <w:marTop w:val="240"/>
              <w:marBottom w:val="240"/>
              <w:divBdr>
                <w:top w:val="single" w:sz="2" w:space="0" w:color="auto"/>
                <w:left w:val="single" w:sz="2" w:space="0" w:color="auto"/>
                <w:bottom w:val="single" w:sz="2" w:space="0" w:color="auto"/>
                <w:right w:val="single" w:sz="2" w:space="0" w:color="auto"/>
              </w:divBdr>
              <w:divsChild>
                <w:div w:id="1750884999">
                  <w:marLeft w:val="0"/>
                  <w:marRight w:val="0"/>
                  <w:marTop w:val="0"/>
                  <w:marBottom w:val="0"/>
                  <w:divBdr>
                    <w:top w:val="single" w:sz="2" w:space="0" w:color="auto"/>
                    <w:left w:val="single" w:sz="2" w:space="0" w:color="auto"/>
                    <w:bottom w:val="single" w:sz="2" w:space="0" w:color="auto"/>
                    <w:right w:val="single" w:sz="2" w:space="0" w:color="auto"/>
                  </w:divBdr>
                  <w:divsChild>
                    <w:div w:id="213852903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339821418">
      <w:bodyDiv w:val="1"/>
      <w:marLeft w:val="0"/>
      <w:marRight w:val="0"/>
      <w:marTop w:val="0"/>
      <w:marBottom w:val="0"/>
      <w:divBdr>
        <w:top w:val="none" w:sz="0" w:space="0" w:color="auto"/>
        <w:left w:val="none" w:sz="0" w:space="0" w:color="auto"/>
        <w:bottom w:val="none" w:sz="0" w:space="0" w:color="auto"/>
        <w:right w:val="none" w:sz="0" w:space="0" w:color="auto"/>
      </w:divBdr>
    </w:div>
    <w:div w:id="348335441">
      <w:bodyDiv w:val="1"/>
      <w:marLeft w:val="0"/>
      <w:marRight w:val="0"/>
      <w:marTop w:val="0"/>
      <w:marBottom w:val="0"/>
      <w:divBdr>
        <w:top w:val="none" w:sz="0" w:space="0" w:color="auto"/>
        <w:left w:val="none" w:sz="0" w:space="0" w:color="auto"/>
        <w:bottom w:val="none" w:sz="0" w:space="0" w:color="auto"/>
        <w:right w:val="none" w:sz="0" w:space="0" w:color="auto"/>
      </w:divBdr>
    </w:div>
    <w:div w:id="357632400">
      <w:bodyDiv w:val="1"/>
      <w:marLeft w:val="0"/>
      <w:marRight w:val="0"/>
      <w:marTop w:val="0"/>
      <w:marBottom w:val="0"/>
      <w:divBdr>
        <w:top w:val="none" w:sz="0" w:space="0" w:color="auto"/>
        <w:left w:val="none" w:sz="0" w:space="0" w:color="auto"/>
        <w:bottom w:val="none" w:sz="0" w:space="0" w:color="auto"/>
        <w:right w:val="none" w:sz="0" w:space="0" w:color="auto"/>
      </w:divBdr>
    </w:div>
    <w:div w:id="357855226">
      <w:bodyDiv w:val="1"/>
      <w:marLeft w:val="0"/>
      <w:marRight w:val="0"/>
      <w:marTop w:val="0"/>
      <w:marBottom w:val="0"/>
      <w:divBdr>
        <w:top w:val="none" w:sz="0" w:space="0" w:color="auto"/>
        <w:left w:val="none" w:sz="0" w:space="0" w:color="auto"/>
        <w:bottom w:val="none" w:sz="0" w:space="0" w:color="auto"/>
        <w:right w:val="none" w:sz="0" w:space="0" w:color="auto"/>
      </w:divBdr>
    </w:div>
    <w:div w:id="358630185">
      <w:bodyDiv w:val="1"/>
      <w:marLeft w:val="0"/>
      <w:marRight w:val="0"/>
      <w:marTop w:val="0"/>
      <w:marBottom w:val="0"/>
      <w:divBdr>
        <w:top w:val="none" w:sz="0" w:space="0" w:color="auto"/>
        <w:left w:val="none" w:sz="0" w:space="0" w:color="auto"/>
        <w:bottom w:val="none" w:sz="0" w:space="0" w:color="auto"/>
        <w:right w:val="none" w:sz="0" w:space="0" w:color="auto"/>
      </w:divBdr>
    </w:div>
    <w:div w:id="360475619">
      <w:bodyDiv w:val="1"/>
      <w:marLeft w:val="0"/>
      <w:marRight w:val="0"/>
      <w:marTop w:val="0"/>
      <w:marBottom w:val="0"/>
      <w:divBdr>
        <w:top w:val="none" w:sz="0" w:space="0" w:color="auto"/>
        <w:left w:val="none" w:sz="0" w:space="0" w:color="auto"/>
        <w:bottom w:val="none" w:sz="0" w:space="0" w:color="auto"/>
        <w:right w:val="none" w:sz="0" w:space="0" w:color="auto"/>
      </w:divBdr>
      <w:divsChild>
        <w:div w:id="102043300">
          <w:marLeft w:val="0"/>
          <w:marRight w:val="0"/>
          <w:marTop w:val="0"/>
          <w:marBottom w:val="0"/>
          <w:divBdr>
            <w:top w:val="none" w:sz="0" w:space="0" w:color="auto"/>
            <w:left w:val="none" w:sz="0" w:space="0" w:color="auto"/>
            <w:bottom w:val="none" w:sz="0" w:space="0" w:color="auto"/>
            <w:right w:val="none" w:sz="0" w:space="0" w:color="auto"/>
          </w:divBdr>
        </w:div>
        <w:div w:id="783960261">
          <w:marLeft w:val="0"/>
          <w:marRight w:val="0"/>
          <w:marTop w:val="0"/>
          <w:marBottom w:val="0"/>
          <w:divBdr>
            <w:top w:val="none" w:sz="0" w:space="0" w:color="auto"/>
            <w:left w:val="none" w:sz="0" w:space="0" w:color="auto"/>
            <w:bottom w:val="none" w:sz="0" w:space="0" w:color="auto"/>
            <w:right w:val="none" w:sz="0" w:space="0" w:color="auto"/>
          </w:divBdr>
        </w:div>
        <w:div w:id="1496342622">
          <w:marLeft w:val="0"/>
          <w:marRight w:val="0"/>
          <w:marTop w:val="0"/>
          <w:marBottom w:val="0"/>
          <w:divBdr>
            <w:top w:val="none" w:sz="0" w:space="0" w:color="auto"/>
            <w:left w:val="none" w:sz="0" w:space="0" w:color="auto"/>
            <w:bottom w:val="none" w:sz="0" w:space="0" w:color="auto"/>
            <w:right w:val="none" w:sz="0" w:space="0" w:color="auto"/>
          </w:divBdr>
        </w:div>
      </w:divsChild>
    </w:div>
    <w:div w:id="365372514">
      <w:bodyDiv w:val="1"/>
      <w:marLeft w:val="0"/>
      <w:marRight w:val="0"/>
      <w:marTop w:val="0"/>
      <w:marBottom w:val="0"/>
      <w:divBdr>
        <w:top w:val="none" w:sz="0" w:space="0" w:color="auto"/>
        <w:left w:val="none" w:sz="0" w:space="0" w:color="auto"/>
        <w:bottom w:val="none" w:sz="0" w:space="0" w:color="auto"/>
        <w:right w:val="none" w:sz="0" w:space="0" w:color="auto"/>
      </w:divBdr>
    </w:div>
    <w:div w:id="369690526">
      <w:bodyDiv w:val="1"/>
      <w:marLeft w:val="0"/>
      <w:marRight w:val="0"/>
      <w:marTop w:val="0"/>
      <w:marBottom w:val="0"/>
      <w:divBdr>
        <w:top w:val="none" w:sz="0" w:space="0" w:color="auto"/>
        <w:left w:val="none" w:sz="0" w:space="0" w:color="auto"/>
        <w:bottom w:val="none" w:sz="0" w:space="0" w:color="auto"/>
        <w:right w:val="none" w:sz="0" w:space="0" w:color="auto"/>
      </w:divBdr>
    </w:div>
    <w:div w:id="377901159">
      <w:bodyDiv w:val="1"/>
      <w:marLeft w:val="0"/>
      <w:marRight w:val="0"/>
      <w:marTop w:val="0"/>
      <w:marBottom w:val="0"/>
      <w:divBdr>
        <w:top w:val="none" w:sz="0" w:space="0" w:color="auto"/>
        <w:left w:val="none" w:sz="0" w:space="0" w:color="auto"/>
        <w:bottom w:val="none" w:sz="0" w:space="0" w:color="auto"/>
        <w:right w:val="none" w:sz="0" w:space="0" w:color="auto"/>
      </w:divBdr>
    </w:div>
    <w:div w:id="381754615">
      <w:bodyDiv w:val="1"/>
      <w:marLeft w:val="0"/>
      <w:marRight w:val="0"/>
      <w:marTop w:val="0"/>
      <w:marBottom w:val="0"/>
      <w:divBdr>
        <w:top w:val="none" w:sz="0" w:space="0" w:color="auto"/>
        <w:left w:val="none" w:sz="0" w:space="0" w:color="auto"/>
        <w:bottom w:val="none" w:sz="0" w:space="0" w:color="auto"/>
        <w:right w:val="none" w:sz="0" w:space="0" w:color="auto"/>
      </w:divBdr>
    </w:div>
    <w:div w:id="384334086">
      <w:bodyDiv w:val="1"/>
      <w:marLeft w:val="0"/>
      <w:marRight w:val="0"/>
      <w:marTop w:val="0"/>
      <w:marBottom w:val="0"/>
      <w:divBdr>
        <w:top w:val="none" w:sz="0" w:space="0" w:color="auto"/>
        <w:left w:val="none" w:sz="0" w:space="0" w:color="auto"/>
        <w:bottom w:val="none" w:sz="0" w:space="0" w:color="auto"/>
        <w:right w:val="none" w:sz="0" w:space="0" w:color="auto"/>
      </w:divBdr>
    </w:div>
    <w:div w:id="385103187">
      <w:bodyDiv w:val="1"/>
      <w:marLeft w:val="0"/>
      <w:marRight w:val="0"/>
      <w:marTop w:val="0"/>
      <w:marBottom w:val="0"/>
      <w:divBdr>
        <w:top w:val="none" w:sz="0" w:space="0" w:color="auto"/>
        <w:left w:val="none" w:sz="0" w:space="0" w:color="auto"/>
        <w:bottom w:val="none" w:sz="0" w:space="0" w:color="auto"/>
        <w:right w:val="none" w:sz="0" w:space="0" w:color="auto"/>
      </w:divBdr>
    </w:div>
    <w:div w:id="388726103">
      <w:bodyDiv w:val="1"/>
      <w:marLeft w:val="0"/>
      <w:marRight w:val="0"/>
      <w:marTop w:val="0"/>
      <w:marBottom w:val="0"/>
      <w:divBdr>
        <w:top w:val="none" w:sz="0" w:space="0" w:color="auto"/>
        <w:left w:val="none" w:sz="0" w:space="0" w:color="auto"/>
        <w:bottom w:val="none" w:sz="0" w:space="0" w:color="auto"/>
        <w:right w:val="none" w:sz="0" w:space="0" w:color="auto"/>
      </w:divBdr>
    </w:div>
    <w:div w:id="389310865">
      <w:bodyDiv w:val="1"/>
      <w:marLeft w:val="0"/>
      <w:marRight w:val="0"/>
      <w:marTop w:val="0"/>
      <w:marBottom w:val="0"/>
      <w:divBdr>
        <w:top w:val="none" w:sz="0" w:space="0" w:color="auto"/>
        <w:left w:val="none" w:sz="0" w:space="0" w:color="auto"/>
        <w:bottom w:val="none" w:sz="0" w:space="0" w:color="auto"/>
        <w:right w:val="none" w:sz="0" w:space="0" w:color="auto"/>
      </w:divBdr>
    </w:div>
    <w:div w:id="407506708">
      <w:bodyDiv w:val="1"/>
      <w:marLeft w:val="0"/>
      <w:marRight w:val="0"/>
      <w:marTop w:val="0"/>
      <w:marBottom w:val="0"/>
      <w:divBdr>
        <w:top w:val="none" w:sz="0" w:space="0" w:color="auto"/>
        <w:left w:val="none" w:sz="0" w:space="0" w:color="auto"/>
        <w:bottom w:val="none" w:sz="0" w:space="0" w:color="auto"/>
        <w:right w:val="none" w:sz="0" w:space="0" w:color="auto"/>
      </w:divBdr>
    </w:div>
    <w:div w:id="410350560">
      <w:bodyDiv w:val="1"/>
      <w:marLeft w:val="0"/>
      <w:marRight w:val="0"/>
      <w:marTop w:val="0"/>
      <w:marBottom w:val="0"/>
      <w:divBdr>
        <w:top w:val="none" w:sz="0" w:space="0" w:color="auto"/>
        <w:left w:val="none" w:sz="0" w:space="0" w:color="auto"/>
        <w:bottom w:val="none" w:sz="0" w:space="0" w:color="auto"/>
        <w:right w:val="none" w:sz="0" w:space="0" w:color="auto"/>
      </w:divBdr>
    </w:div>
    <w:div w:id="412747753">
      <w:bodyDiv w:val="1"/>
      <w:marLeft w:val="0"/>
      <w:marRight w:val="0"/>
      <w:marTop w:val="0"/>
      <w:marBottom w:val="0"/>
      <w:divBdr>
        <w:top w:val="none" w:sz="0" w:space="0" w:color="auto"/>
        <w:left w:val="none" w:sz="0" w:space="0" w:color="auto"/>
        <w:bottom w:val="none" w:sz="0" w:space="0" w:color="auto"/>
        <w:right w:val="none" w:sz="0" w:space="0" w:color="auto"/>
      </w:divBdr>
    </w:div>
    <w:div w:id="417795176">
      <w:bodyDiv w:val="1"/>
      <w:marLeft w:val="0"/>
      <w:marRight w:val="0"/>
      <w:marTop w:val="0"/>
      <w:marBottom w:val="0"/>
      <w:divBdr>
        <w:top w:val="none" w:sz="0" w:space="0" w:color="auto"/>
        <w:left w:val="none" w:sz="0" w:space="0" w:color="auto"/>
        <w:bottom w:val="none" w:sz="0" w:space="0" w:color="auto"/>
        <w:right w:val="none" w:sz="0" w:space="0" w:color="auto"/>
      </w:divBdr>
    </w:div>
    <w:div w:id="418211236">
      <w:bodyDiv w:val="1"/>
      <w:marLeft w:val="0"/>
      <w:marRight w:val="0"/>
      <w:marTop w:val="0"/>
      <w:marBottom w:val="0"/>
      <w:divBdr>
        <w:top w:val="none" w:sz="0" w:space="0" w:color="auto"/>
        <w:left w:val="none" w:sz="0" w:space="0" w:color="auto"/>
        <w:bottom w:val="none" w:sz="0" w:space="0" w:color="auto"/>
        <w:right w:val="none" w:sz="0" w:space="0" w:color="auto"/>
      </w:divBdr>
    </w:div>
    <w:div w:id="433481130">
      <w:bodyDiv w:val="1"/>
      <w:marLeft w:val="0"/>
      <w:marRight w:val="0"/>
      <w:marTop w:val="0"/>
      <w:marBottom w:val="0"/>
      <w:divBdr>
        <w:top w:val="none" w:sz="0" w:space="0" w:color="auto"/>
        <w:left w:val="none" w:sz="0" w:space="0" w:color="auto"/>
        <w:bottom w:val="none" w:sz="0" w:space="0" w:color="auto"/>
        <w:right w:val="none" w:sz="0" w:space="0" w:color="auto"/>
      </w:divBdr>
    </w:div>
    <w:div w:id="445389683">
      <w:bodyDiv w:val="1"/>
      <w:marLeft w:val="0"/>
      <w:marRight w:val="0"/>
      <w:marTop w:val="0"/>
      <w:marBottom w:val="0"/>
      <w:divBdr>
        <w:top w:val="none" w:sz="0" w:space="0" w:color="auto"/>
        <w:left w:val="none" w:sz="0" w:space="0" w:color="auto"/>
        <w:bottom w:val="none" w:sz="0" w:space="0" w:color="auto"/>
        <w:right w:val="none" w:sz="0" w:space="0" w:color="auto"/>
      </w:divBdr>
    </w:div>
    <w:div w:id="457143852">
      <w:bodyDiv w:val="1"/>
      <w:marLeft w:val="0"/>
      <w:marRight w:val="0"/>
      <w:marTop w:val="0"/>
      <w:marBottom w:val="0"/>
      <w:divBdr>
        <w:top w:val="none" w:sz="0" w:space="0" w:color="auto"/>
        <w:left w:val="none" w:sz="0" w:space="0" w:color="auto"/>
        <w:bottom w:val="none" w:sz="0" w:space="0" w:color="auto"/>
        <w:right w:val="none" w:sz="0" w:space="0" w:color="auto"/>
      </w:divBdr>
    </w:div>
    <w:div w:id="458694955">
      <w:bodyDiv w:val="1"/>
      <w:marLeft w:val="0"/>
      <w:marRight w:val="0"/>
      <w:marTop w:val="0"/>
      <w:marBottom w:val="0"/>
      <w:divBdr>
        <w:top w:val="none" w:sz="0" w:space="0" w:color="auto"/>
        <w:left w:val="none" w:sz="0" w:space="0" w:color="auto"/>
        <w:bottom w:val="none" w:sz="0" w:space="0" w:color="auto"/>
        <w:right w:val="none" w:sz="0" w:space="0" w:color="auto"/>
      </w:divBdr>
    </w:div>
    <w:div w:id="466363207">
      <w:bodyDiv w:val="1"/>
      <w:marLeft w:val="0"/>
      <w:marRight w:val="0"/>
      <w:marTop w:val="0"/>
      <w:marBottom w:val="0"/>
      <w:divBdr>
        <w:top w:val="none" w:sz="0" w:space="0" w:color="auto"/>
        <w:left w:val="none" w:sz="0" w:space="0" w:color="auto"/>
        <w:bottom w:val="none" w:sz="0" w:space="0" w:color="auto"/>
        <w:right w:val="none" w:sz="0" w:space="0" w:color="auto"/>
      </w:divBdr>
    </w:div>
    <w:div w:id="466365063">
      <w:bodyDiv w:val="1"/>
      <w:marLeft w:val="0"/>
      <w:marRight w:val="0"/>
      <w:marTop w:val="0"/>
      <w:marBottom w:val="0"/>
      <w:divBdr>
        <w:top w:val="none" w:sz="0" w:space="0" w:color="auto"/>
        <w:left w:val="none" w:sz="0" w:space="0" w:color="auto"/>
        <w:bottom w:val="none" w:sz="0" w:space="0" w:color="auto"/>
        <w:right w:val="none" w:sz="0" w:space="0" w:color="auto"/>
      </w:divBdr>
    </w:div>
    <w:div w:id="471482126">
      <w:bodyDiv w:val="1"/>
      <w:marLeft w:val="0"/>
      <w:marRight w:val="0"/>
      <w:marTop w:val="0"/>
      <w:marBottom w:val="0"/>
      <w:divBdr>
        <w:top w:val="none" w:sz="0" w:space="0" w:color="auto"/>
        <w:left w:val="none" w:sz="0" w:space="0" w:color="auto"/>
        <w:bottom w:val="none" w:sz="0" w:space="0" w:color="auto"/>
        <w:right w:val="none" w:sz="0" w:space="0" w:color="auto"/>
      </w:divBdr>
    </w:div>
    <w:div w:id="472909799">
      <w:bodyDiv w:val="1"/>
      <w:marLeft w:val="0"/>
      <w:marRight w:val="0"/>
      <w:marTop w:val="0"/>
      <w:marBottom w:val="0"/>
      <w:divBdr>
        <w:top w:val="none" w:sz="0" w:space="0" w:color="auto"/>
        <w:left w:val="none" w:sz="0" w:space="0" w:color="auto"/>
        <w:bottom w:val="none" w:sz="0" w:space="0" w:color="auto"/>
        <w:right w:val="none" w:sz="0" w:space="0" w:color="auto"/>
      </w:divBdr>
      <w:divsChild>
        <w:div w:id="8324556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74564485">
      <w:bodyDiv w:val="1"/>
      <w:marLeft w:val="0"/>
      <w:marRight w:val="0"/>
      <w:marTop w:val="0"/>
      <w:marBottom w:val="0"/>
      <w:divBdr>
        <w:top w:val="none" w:sz="0" w:space="0" w:color="auto"/>
        <w:left w:val="none" w:sz="0" w:space="0" w:color="auto"/>
        <w:bottom w:val="none" w:sz="0" w:space="0" w:color="auto"/>
        <w:right w:val="none" w:sz="0" w:space="0" w:color="auto"/>
      </w:divBdr>
    </w:div>
    <w:div w:id="475100069">
      <w:bodyDiv w:val="1"/>
      <w:marLeft w:val="0"/>
      <w:marRight w:val="0"/>
      <w:marTop w:val="0"/>
      <w:marBottom w:val="0"/>
      <w:divBdr>
        <w:top w:val="none" w:sz="0" w:space="0" w:color="auto"/>
        <w:left w:val="none" w:sz="0" w:space="0" w:color="auto"/>
        <w:bottom w:val="none" w:sz="0" w:space="0" w:color="auto"/>
        <w:right w:val="none" w:sz="0" w:space="0" w:color="auto"/>
      </w:divBdr>
    </w:div>
    <w:div w:id="478886006">
      <w:bodyDiv w:val="1"/>
      <w:marLeft w:val="0"/>
      <w:marRight w:val="0"/>
      <w:marTop w:val="0"/>
      <w:marBottom w:val="0"/>
      <w:divBdr>
        <w:top w:val="none" w:sz="0" w:space="0" w:color="auto"/>
        <w:left w:val="none" w:sz="0" w:space="0" w:color="auto"/>
        <w:bottom w:val="none" w:sz="0" w:space="0" w:color="auto"/>
        <w:right w:val="none" w:sz="0" w:space="0" w:color="auto"/>
      </w:divBdr>
    </w:div>
    <w:div w:id="485050058">
      <w:bodyDiv w:val="1"/>
      <w:marLeft w:val="0"/>
      <w:marRight w:val="0"/>
      <w:marTop w:val="0"/>
      <w:marBottom w:val="0"/>
      <w:divBdr>
        <w:top w:val="none" w:sz="0" w:space="0" w:color="auto"/>
        <w:left w:val="none" w:sz="0" w:space="0" w:color="auto"/>
        <w:bottom w:val="none" w:sz="0" w:space="0" w:color="auto"/>
        <w:right w:val="none" w:sz="0" w:space="0" w:color="auto"/>
      </w:divBdr>
    </w:div>
    <w:div w:id="487019089">
      <w:bodyDiv w:val="1"/>
      <w:marLeft w:val="0"/>
      <w:marRight w:val="0"/>
      <w:marTop w:val="0"/>
      <w:marBottom w:val="0"/>
      <w:divBdr>
        <w:top w:val="none" w:sz="0" w:space="0" w:color="auto"/>
        <w:left w:val="none" w:sz="0" w:space="0" w:color="auto"/>
        <w:bottom w:val="none" w:sz="0" w:space="0" w:color="auto"/>
        <w:right w:val="none" w:sz="0" w:space="0" w:color="auto"/>
      </w:divBdr>
    </w:div>
    <w:div w:id="496001381">
      <w:bodyDiv w:val="1"/>
      <w:marLeft w:val="0"/>
      <w:marRight w:val="0"/>
      <w:marTop w:val="0"/>
      <w:marBottom w:val="0"/>
      <w:divBdr>
        <w:top w:val="none" w:sz="0" w:space="0" w:color="auto"/>
        <w:left w:val="none" w:sz="0" w:space="0" w:color="auto"/>
        <w:bottom w:val="none" w:sz="0" w:space="0" w:color="auto"/>
        <w:right w:val="none" w:sz="0" w:space="0" w:color="auto"/>
      </w:divBdr>
    </w:div>
    <w:div w:id="497576575">
      <w:bodyDiv w:val="1"/>
      <w:marLeft w:val="0"/>
      <w:marRight w:val="0"/>
      <w:marTop w:val="0"/>
      <w:marBottom w:val="0"/>
      <w:divBdr>
        <w:top w:val="none" w:sz="0" w:space="0" w:color="auto"/>
        <w:left w:val="none" w:sz="0" w:space="0" w:color="auto"/>
        <w:bottom w:val="none" w:sz="0" w:space="0" w:color="auto"/>
        <w:right w:val="none" w:sz="0" w:space="0" w:color="auto"/>
      </w:divBdr>
    </w:div>
    <w:div w:id="499389036">
      <w:bodyDiv w:val="1"/>
      <w:marLeft w:val="0"/>
      <w:marRight w:val="0"/>
      <w:marTop w:val="0"/>
      <w:marBottom w:val="0"/>
      <w:divBdr>
        <w:top w:val="none" w:sz="0" w:space="0" w:color="auto"/>
        <w:left w:val="none" w:sz="0" w:space="0" w:color="auto"/>
        <w:bottom w:val="none" w:sz="0" w:space="0" w:color="auto"/>
        <w:right w:val="none" w:sz="0" w:space="0" w:color="auto"/>
      </w:divBdr>
    </w:div>
    <w:div w:id="499808292">
      <w:bodyDiv w:val="1"/>
      <w:marLeft w:val="0"/>
      <w:marRight w:val="0"/>
      <w:marTop w:val="0"/>
      <w:marBottom w:val="0"/>
      <w:divBdr>
        <w:top w:val="none" w:sz="0" w:space="0" w:color="auto"/>
        <w:left w:val="none" w:sz="0" w:space="0" w:color="auto"/>
        <w:bottom w:val="none" w:sz="0" w:space="0" w:color="auto"/>
        <w:right w:val="none" w:sz="0" w:space="0" w:color="auto"/>
      </w:divBdr>
    </w:div>
    <w:div w:id="500504874">
      <w:bodyDiv w:val="1"/>
      <w:marLeft w:val="0"/>
      <w:marRight w:val="0"/>
      <w:marTop w:val="0"/>
      <w:marBottom w:val="0"/>
      <w:divBdr>
        <w:top w:val="none" w:sz="0" w:space="0" w:color="auto"/>
        <w:left w:val="none" w:sz="0" w:space="0" w:color="auto"/>
        <w:bottom w:val="none" w:sz="0" w:space="0" w:color="auto"/>
        <w:right w:val="none" w:sz="0" w:space="0" w:color="auto"/>
      </w:divBdr>
      <w:divsChild>
        <w:div w:id="571429991">
          <w:marLeft w:val="0"/>
          <w:marRight w:val="0"/>
          <w:marTop w:val="0"/>
          <w:marBottom w:val="0"/>
          <w:divBdr>
            <w:top w:val="none" w:sz="0" w:space="0" w:color="auto"/>
            <w:left w:val="none" w:sz="0" w:space="0" w:color="auto"/>
            <w:bottom w:val="none" w:sz="0" w:space="0" w:color="auto"/>
            <w:right w:val="none" w:sz="0" w:space="0" w:color="auto"/>
          </w:divBdr>
        </w:div>
        <w:div w:id="578490170">
          <w:marLeft w:val="0"/>
          <w:marRight w:val="0"/>
          <w:marTop w:val="0"/>
          <w:marBottom w:val="0"/>
          <w:divBdr>
            <w:top w:val="none" w:sz="0" w:space="0" w:color="auto"/>
            <w:left w:val="none" w:sz="0" w:space="0" w:color="auto"/>
            <w:bottom w:val="none" w:sz="0" w:space="0" w:color="auto"/>
            <w:right w:val="none" w:sz="0" w:space="0" w:color="auto"/>
          </w:divBdr>
        </w:div>
        <w:div w:id="794368249">
          <w:marLeft w:val="0"/>
          <w:marRight w:val="0"/>
          <w:marTop w:val="0"/>
          <w:marBottom w:val="0"/>
          <w:divBdr>
            <w:top w:val="none" w:sz="0" w:space="0" w:color="auto"/>
            <w:left w:val="none" w:sz="0" w:space="0" w:color="auto"/>
            <w:bottom w:val="none" w:sz="0" w:space="0" w:color="auto"/>
            <w:right w:val="none" w:sz="0" w:space="0" w:color="auto"/>
          </w:divBdr>
        </w:div>
      </w:divsChild>
    </w:div>
    <w:div w:id="500507143">
      <w:bodyDiv w:val="1"/>
      <w:marLeft w:val="0"/>
      <w:marRight w:val="0"/>
      <w:marTop w:val="0"/>
      <w:marBottom w:val="0"/>
      <w:divBdr>
        <w:top w:val="none" w:sz="0" w:space="0" w:color="auto"/>
        <w:left w:val="none" w:sz="0" w:space="0" w:color="auto"/>
        <w:bottom w:val="none" w:sz="0" w:space="0" w:color="auto"/>
        <w:right w:val="none" w:sz="0" w:space="0" w:color="auto"/>
      </w:divBdr>
    </w:div>
    <w:div w:id="501046030">
      <w:bodyDiv w:val="1"/>
      <w:marLeft w:val="0"/>
      <w:marRight w:val="0"/>
      <w:marTop w:val="0"/>
      <w:marBottom w:val="0"/>
      <w:divBdr>
        <w:top w:val="none" w:sz="0" w:space="0" w:color="auto"/>
        <w:left w:val="none" w:sz="0" w:space="0" w:color="auto"/>
        <w:bottom w:val="none" w:sz="0" w:space="0" w:color="auto"/>
        <w:right w:val="none" w:sz="0" w:space="0" w:color="auto"/>
      </w:divBdr>
    </w:div>
    <w:div w:id="501702982">
      <w:bodyDiv w:val="1"/>
      <w:marLeft w:val="0"/>
      <w:marRight w:val="0"/>
      <w:marTop w:val="0"/>
      <w:marBottom w:val="0"/>
      <w:divBdr>
        <w:top w:val="none" w:sz="0" w:space="0" w:color="auto"/>
        <w:left w:val="none" w:sz="0" w:space="0" w:color="auto"/>
        <w:bottom w:val="none" w:sz="0" w:space="0" w:color="auto"/>
        <w:right w:val="none" w:sz="0" w:space="0" w:color="auto"/>
      </w:divBdr>
    </w:div>
    <w:div w:id="509181185">
      <w:bodyDiv w:val="1"/>
      <w:marLeft w:val="0"/>
      <w:marRight w:val="0"/>
      <w:marTop w:val="0"/>
      <w:marBottom w:val="0"/>
      <w:divBdr>
        <w:top w:val="none" w:sz="0" w:space="0" w:color="auto"/>
        <w:left w:val="none" w:sz="0" w:space="0" w:color="auto"/>
        <w:bottom w:val="none" w:sz="0" w:space="0" w:color="auto"/>
        <w:right w:val="none" w:sz="0" w:space="0" w:color="auto"/>
      </w:divBdr>
      <w:divsChild>
        <w:div w:id="1485126971">
          <w:marLeft w:val="0"/>
          <w:marRight w:val="0"/>
          <w:marTop w:val="0"/>
          <w:marBottom w:val="0"/>
          <w:divBdr>
            <w:top w:val="single" w:sz="2" w:space="0" w:color="1F1E1D"/>
            <w:left w:val="single" w:sz="2" w:space="0" w:color="1F1E1D"/>
            <w:bottom w:val="single" w:sz="2" w:space="0" w:color="1F1E1D"/>
            <w:right w:val="single" w:sz="2" w:space="0" w:color="1F1E1D"/>
          </w:divBdr>
          <w:divsChild>
            <w:div w:id="200484859">
              <w:marLeft w:val="0"/>
              <w:marRight w:val="0"/>
              <w:marTop w:val="0"/>
              <w:marBottom w:val="0"/>
              <w:divBdr>
                <w:top w:val="single" w:sz="2" w:space="0" w:color="1F1E1D"/>
                <w:left w:val="single" w:sz="2" w:space="0" w:color="1F1E1D"/>
                <w:bottom w:val="single" w:sz="2" w:space="0" w:color="1F1E1D"/>
                <w:right w:val="single" w:sz="2" w:space="0" w:color="1F1E1D"/>
              </w:divBdr>
              <w:divsChild>
                <w:div w:id="683820130">
                  <w:marLeft w:val="0"/>
                  <w:marRight w:val="0"/>
                  <w:marTop w:val="0"/>
                  <w:marBottom w:val="0"/>
                  <w:divBdr>
                    <w:top w:val="single" w:sz="2" w:space="0" w:color="1F1E1D"/>
                    <w:left w:val="single" w:sz="2" w:space="0" w:color="1F1E1D"/>
                    <w:bottom w:val="single" w:sz="2" w:space="0" w:color="1F1E1D"/>
                    <w:right w:val="single" w:sz="2" w:space="0" w:color="1F1E1D"/>
                  </w:divBdr>
                  <w:divsChild>
                    <w:div w:id="603148795">
                      <w:marLeft w:val="0"/>
                      <w:marRight w:val="0"/>
                      <w:marTop w:val="0"/>
                      <w:marBottom w:val="0"/>
                      <w:divBdr>
                        <w:top w:val="single" w:sz="2" w:space="0" w:color="1F1E1D"/>
                        <w:left w:val="single" w:sz="2" w:space="0" w:color="1F1E1D"/>
                        <w:bottom w:val="single" w:sz="2" w:space="0" w:color="1F1E1D"/>
                        <w:right w:val="single" w:sz="2" w:space="0" w:color="1F1E1D"/>
                      </w:divBdr>
                      <w:divsChild>
                        <w:div w:id="2063216170">
                          <w:marLeft w:val="0"/>
                          <w:marRight w:val="0"/>
                          <w:marTop w:val="0"/>
                          <w:marBottom w:val="0"/>
                          <w:divBdr>
                            <w:top w:val="single" w:sz="2" w:space="0" w:color="1F1E1D"/>
                            <w:left w:val="single" w:sz="2" w:space="0" w:color="1F1E1D"/>
                            <w:bottom w:val="single" w:sz="2" w:space="0" w:color="1F1E1D"/>
                            <w:right w:val="single" w:sz="2" w:space="0" w:color="1F1E1D"/>
                          </w:divBdr>
                          <w:divsChild>
                            <w:div w:id="1134981571">
                              <w:marLeft w:val="0"/>
                              <w:marRight w:val="0"/>
                              <w:marTop w:val="0"/>
                              <w:marBottom w:val="0"/>
                              <w:divBdr>
                                <w:top w:val="single" w:sz="2" w:space="0" w:color="1F1E1D"/>
                                <w:left w:val="single" w:sz="2" w:space="0" w:color="1F1E1D"/>
                                <w:bottom w:val="single" w:sz="2" w:space="0" w:color="1F1E1D"/>
                                <w:right w:val="single" w:sz="2" w:space="0" w:color="1F1E1D"/>
                              </w:divBdr>
                              <w:divsChild>
                                <w:div w:id="1294097623">
                                  <w:marLeft w:val="0"/>
                                  <w:marRight w:val="0"/>
                                  <w:marTop w:val="0"/>
                                  <w:marBottom w:val="0"/>
                                  <w:divBdr>
                                    <w:top w:val="single" w:sz="2" w:space="0" w:color="1F1E1D"/>
                                    <w:left w:val="single" w:sz="2" w:space="0" w:color="1F1E1D"/>
                                    <w:bottom w:val="single" w:sz="2" w:space="0" w:color="1F1E1D"/>
                                    <w:right w:val="single" w:sz="2" w:space="0" w:color="1F1E1D"/>
                                  </w:divBdr>
                                </w:div>
                              </w:divsChild>
                            </w:div>
                          </w:divsChild>
                        </w:div>
                      </w:divsChild>
                    </w:div>
                  </w:divsChild>
                </w:div>
              </w:divsChild>
            </w:div>
          </w:divsChild>
        </w:div>
      </w:divsChild>
    </w:div>
    <w:div w:id="512231520">
      <w:bodyDiv w:val="1"/>
      <w:marLeft w:val="0"/>
      <w:marRight w:val="0"/>
      <w:marTop w:val="0"/>
      <w:marBottom w:val="0"/>
      <w:divBdr>
        <w:top w:val="none" w:sz="0" w:space="0" w:color="auto"/>
        <w:left w:val="none" w:sz="0" w:space="0" w:color="auto"/>
        <w:bottom w:val="none" w:sz="0" w:space="0" w:color="auto"/>
        <w:right w:val="none" w:sz="0" w:space="0" w:color="auto"/>
      </w:divBdr>
    </w:div>
    <w:div w:id="512886457">
      <w:bodyDiv w:val="1"/>
      <w:marLeft w:val="0"/>
      <w:marRight w:val="0"/>
      <w:marTop w:val="0"/>
      <w:marBottom w:val="0"/>
      <w:divBdr>
        <w:top w:val="none" w:sz="0" w:space="0" w:color="auto"/>
        <w:left w:val="none" w:sz="0" w:space="0" w:color="auto"/>
        <w:bottom w:val="none" w:sz="0" w:space="0" w:color="auto"/>
        <w:right w:val="none" w:sz="0" w:space="0" w:color="auto"/>
      </w:divBdr>
    </w:div>
    <w:div w:id="520052663">
      <w:bodyDiv w:val="1"/>
      <w:marLeft w:val="0"/>
      <w:marRight w:val="0"/>
      <w:marTop w:val="0"/>
      <w:marBottom w:val="0"/>
      <w:divBdr>
        <w:top w:val="none" w:sz="0" w:space="0" w:color="auto"/>
        <w:left w:val="none" w:sz="0" w:space="0" w:color="auto"/>
        <w:bottom w:val="none" w:sz="0" w:space="0" w:color="auto"/>
        <w:right w:val="none" w:sz="0" w:space="0" w:color="auto"/>
      </w:divBdr>
      <w:divsChild>
        <w:div w:id="950361626">
          <w:marLeft w:val="0"/>
          <w:marRight w:val="0"/>
          <w:marTop w:val="0"/>
          <w:marBottom w:val="0"/>
          <w:divBdr>
            <w:top w:val="none" w:sz="0" w:space="0" w:color="auto"/>
            <w:left w:val="none" w:sz="0" w:space="0" w:color="auto"/>
            <w:bottom w:val="none" w:sz="0" w:space="0" w:color="auto"/>
            <w:right w:val="none" w:sz="0" w:space="0" w:color="auto"/>
          </w:divBdr>
        </w:div>
        <w:div w:id="1159737031">
          <w:marLeft w:val="0"/>
          <w:marRight w:val="0"/>
          <w:marTop w:val="0"/>
          <w:marBottom w:val="0"/>
          <w:divBdr>
            <w:top w:val="none" w:sz="0" w:space="0" w:color="auto"/>
            <w:left w:val="none" w:sz="0" w:space="0" w:color="auto"/>
            <w:bottom w:val="none" w:sz="0" w:space="0" w:color="auto"/>
            <w:right w:val="none" w:sz="0" w:space="0" w:color="auto"/>
          </w:divBdr>
          <w:divsChild>
            <w:div w:id="2118331447">
              <w:marLeft w:val="0"/>
              <w:marRight w:val="0"/>
              <w:marTop w:val="0"/>
              <w:marBottom w:val="0"/>
              <w:divBdr>
                <w:top w:val="none" w:sz="0" w:space="0" w:color="auto"/>
                <w:left w:val="none" w:sz="0" w:space="0" w:color="auto"/>
                <w:bottom w:val="none" w:sz="0" w:space="0" w:color="auto"/>
                <w:right w:val="none" w:sz="0" w:space="0" w:color="auto"/>
              </w:divBdr>
              <w:divsChild>
                <w:div w:id="325060391">
                  <w:marLeft w:val="0"/>
                  <w:marRight w:val="0"/>
                  <w:marTop w:val="0"/>
                  <w:marBottom w:val="0"/>
                  <w:divBdr>
                    <w:top w:val="none" w:sz="0" w:space="0" w:color="auto"/>
                    <w:left w:val="none" w:sz="0" w:space="0" w:color="auto"/>
                    <w:bottom w:val="none" w:sz="0" w:space="0" w:color="auto"/>
                    <w:right w:val="none" w:sz="0" w:space="0" w:color="auto"/>
                  </w:divBdr>
                  <w:divsChild>
                    <w:div w:id="4014662">
                      <w:marLeft w:val="0"/>
                      <w:marRight w:val="0"/>
                      <w:marTop w:val="0"/>
                      <w:marBottom w:val="0"/>
                      <w:divBdr>
                        <w:top w:val="none" w:sz="0" w:space="0" w:color="auto"/>
                        <w:left w:val="none" w:sz="0" w:space="0" w:color="auto"/>
                        <w:bottom w:val="none" w:sz="0" w:space="0" w:color="auto"/>
                        <w:right w:val="none" w:sz="0" w:space="0" w:color="auto"/>
                      </w:divBdr>
                    </w:div>
                  </w:divsChild>
                </w:div>
                <w:div w:id="869562510">
                  <w:marLeft w:val="0"/>
                  <w:marRight w:val="0"/>
                  <w:marTop w:val="0"/>
                  <w:marBottom w:val="0"/>
                  <w:divBdr>
                    <w:top w:val="none" w:sz="0" w:space="0" w:color="auto"/>
                    <w:left w:val="none" w:sz="0" w:space="0" w:color="auto"/>
                    <w:bottom w:val="none" w:sz="0" w:space="0" w:color="auto"/>
                    <w:right w:val="none" w:sz="0" w:space="0" w:color="auto"/>
                  </w:divBdr>
                  <w:divsChild>
                    <w:div w:id="58762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818291">
      <w:bodyDiv w:val="1"/>
      <w:marLeft w:val="0"/>
      <w:marRight w:val="0"/>
      <w:marTop w:val="0"/>
      <w:marBottom w:val="0"/>
      <w:divBdr>
        <w:top w:val="none" w:sz="0" w:space="0" w:color="auto"/>
        <w:left w:val="none" w:sz="0" w:space="0" w:color="auto"/>
        <w:bottom w:val="none" w:sz="0" w:space="0" w:color="auto"/>
        <w:right w:val="none" w:sz="0" w:space="0" w:color="auto"/>
      </w:divBdr>
    </w:div>
    <w:div w:id="524445615">
      <w:bodyDiv w:val="1"/>
      <w:marLeft w:val="0"/>
      <w:marRight w:val="0"/>
      <w:marTop w:val="0"/>
      <w:marBottom w:val="0"/>
      <w:divBdr>
        <w:top w:val="none" w:sz="0" w:space="0" w:color="auto"/>
        <w:left w:val="none" w:sz="0" w:space="0" w:color="auto"/>
        <w:bottom w:val="none" w:sz="0" w:space="0" w:color="auto"/>
        <w:right w:val="none" w:sz="0" w:space="0" w:color="auto"/>
      </w:divBdr>
    </w:div>
    <w:div w:id="529487913">
      <w:bodyDiv w:val="1"/>
      <w:marLeft w:val="0"/>
      <w:marRight w:val="0"/>
      <w:marTop w:val="0"/>
      <w:marBottom w:val="0"/>
      <w:divBdr>
        <w:top w:val="none" w:sz="0" w:space="0" w:color="auto"/>
        <w:left w:val="none" w:sz="0" w:space="0" w:color="auto"/>
        <w:bottom w:val="none" w:sz="0" w:space="0" w:color="auto"/>
        <w:right w:val="none" w:sz="0" w:space="0" w:color="auto"/>
      </w:divBdr>
      <w:divsChild>
        <w:div w:id="178007948">
          <w:marLeft w:val="0"/>
          <w:marRight w:val="0"/>
          <w:marTop w:val="0"/>
          <w:marBottom w:val="0"/>
          <w:divBdr>
            <w:top w:val="single" w:sz="2" w:space="0" w:color="auto"/>
            <w:left w:val="single" w:sz="2" w:space="0" w:color="auto"/>
            <w:bottom w:val="single" w:sz="2" w:space="0" w:color="auto"/>
            <w:right w:val="single" w:sz="2" w:space="0" w:color="auto"/>
          </w:divBdr>
          <w:divsChild>
            <w:div w:id="1486583429">
              <w:marLeft w:val="0"/>
              <w:marRight w:val="0"/>
              <w:marTop w:val="240"/>
              <w:marBottom w:val="240"/>
              <w:divBdr>
                <w:top w:val="single" w:sz="2" w:space="0" w:color="auto"/>
                <w:left w:val="single" w:sz="2" w:space="0" w:color="auto"/>
                <w:bottom w:val="single" w:sz="2" w:space="0" w:color="auto"/>
                <w:right w:val="single" w:sz="2" w:space="0" w:color="auto"/>
              </w:divBdr>
              <w:divsChild>
                <w:div w:id="1738283239">
                  <w:marLeft w:val="0"/>
                  <w:marRight w:val="0"/>
                  <w:marTop w:val="0"/>
                  <w:marBottom w:val="0"/>
                  <w:divBdr>
                    <w:top w:val="single" w:sz="2" w:space="0" w:color="auto"/>
                    <w:left w:val="single" w:sz="2" w:space="0" w:color="auto"/>
                    <w:bottom w:val="single" w:sz="2" w:space="0" w:color="auto"/>
                    <w:right w:val="single" w:sz="2" w:space="0" w:color="auto"/>
                  </w:divBdr>
                  <w:divsChild>
                    <w:div w:id="7100288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532838942">
      <w:bodyDiv w:val="1"/>
      <w:marLeft w:val="0"/>
      <w:marRight w:val="0"/>
      <w:marTop w:val="0"/>
      <w:marBottom w:val="0"/>
      <w:divBdr>
        <w:top w:val="none" w:sz="0" w:space="0" w:color="auto"/>
        <w:left w:val="none" w:sz="0" w:space="0" w:color="auto"/>
        <w:bottom w:val="none" w:sz="0" w:space="0" w:color="auto"/>
        <w:right w:val="none" w:sz="0" w:space="0" w:color="auto"/>
      </w:divBdr>
    </w:div>
    <w:div w:id="538397971">
      <w:bodyDiv w:val="1"/>
      <w:marLeft w:val="0"/>
      <w:marRight w:val="0"/>
      <w:marTop w:val="0"/>
      <w:marBottom w:val="0"/>
      <w:divBdr>
        <w:top w:val="none" w:sz="0" w:space="0" w:color="auto"/>
        <w:left w:val="none" w:sz="0" w:space="0" w:color="auto"/>
        <w:bottom w:val="none" w:sz="0" w:space="0" w:color="auto"/>
        <w:right w:val="none" w:sz="0" w:space="0" w:color="auto"/>
      </w:divBdr>
    </w:div>
    <w:div w:id="542715786">
      <w:bodyDiv w:val="1"/>
      <w:marLeft w:val="0"/>
      <w:marRight w:val="0"/>
      <w:marTop w:val="0"/>
      <w:marBottom w:val="0"/>
      <w:divBdr>
        <w:top w:val="none" w:sz="0" w:space="0" w:color="auto"/>
        <w:left w:val="none" w:sz="0" w:space="0" w:color="auto"/>
        <w:bottom w:val="none" w:sz="0" w:space="0" w:color="auto"/>
        <w:right w:val="none" w:sz="0" w:space="0" w:color="auto"/>
      </w:divBdr>
      <w:divsChild>
        <w:div w:id="1991015403">
          <w:marLeft w:val="0"/>
          <w:marRight w:val="0"/>
          <w:marTop w:val="0"/>
          <w:marBottom w:val="0"/>
          <w:divBdr>
            <w:top w:val="single" w:sz="2" w:space="0" w:color="auto"/>
            <w:left w:val="single" w:sz="2" w:space="0" w:color="auto"/>
            <w:bottom w:val="single" w:sz="2" w:space="0" w:color="auto"/>
            <w:right w:val="single" w:sz="2" w:space="0" w:color="auto"/>
          </w:divBdr>
          <w:divsChild>
            <w:div w:id="1495488401">
              <w:marLeft w:val="0"/>
              <w:marRight w:val="0"/>
              <w:marTop w:val="240"/>
              <w:marBottom w:val="240"/>
              <w:divBdr>
                <w:top w:val="single" w:sz="2" w:space="0" w:color="auto"/>
                <w:left w:val="single" w:sz="2" w:space="0" w:color="auto"/>
                <w:bottom w:val="single" w:sz="2" w:space="0" w:color="auto"/>
                <w:right w:val="single" w:sz="2" w:space="0" w:color="auto"/>
              </w:divBdr>
              <w:divsChild>
                <w:div w:id="1045132145">
                  <w:marLeft w:val="0"/>
                  <w:marRight w:val="0"/>
                  <w:marTop w:val="0"/>
                  <w:marBottom w:val="0"/>
                  <w:divBdr>
                    <w:top w:val="single" w:sz="2" w:space="0" w:color="auto"/>
                    <w:left w:val="single" w:sz="2" w:space="0" w:color="auto"/>
                    <w:bottom w:val="single" w:sz="2" w:space="0" w:color="auto"/>
                    <w:right w:val="single" w:sz="2" w:space="0" w:color="auto"/>
                  </w:divBdr>
                  <w:divsChild>
                    <w:div w:id="206537387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545676245">
      <w:bodyDiv w:val="1"/>
      <w:marLeft w:val="0"/>
      <w:marRight w:val="0"/>
      <w:marTop w:val="0"/>
      <w:marBottom w:val="0"/>
      <w:divBdr>
        <w:top w:val="none" w:sz="0" w:space="0" w:color="auto"/>
        <w:left w:val="none" w:sz="0" w:space="0" w:color="auto"/>
        <w:bottom w:val="none" w:sz="0" w:space="0" w:color="auto"/>
        <w:right w:val="none" w:sz="0" w:space="0" w:color="auto"/>
      </w:divBdr>
    </w:div>
    <w:div w:id="547765701">
      <w:bodyDiv w:val="1"/>
      <w:marLeft w:val="0"/>
      <w:marRight w:val="0"/>
      <w:marTop w:val="0"/>
      <w:marBottom w:val="0"/>
      <w:divBdr>
        <w:top w:val="none" w:sz="0" w:space="0" w:color="auto"/>
        <w:left w:val="none" w:sz="0" w:space="0" w:color="auto"/>
        <w:bottom w:val="none" w:sz="0" w:space="0" w:color="auto"/>
        <w:right w:val="none" w:sz="0" w:space="0" w:color="auto"/>
      </w:divBdr>
      <w:divsChild>
        <w:div w:id="1092430872">
          <w:marLeft w:val="0"/>
          <w:marRight w:val="0"/>
          <w:marTop w:val="0"/>
          <w:marBottom w:val="0"/>
          <w:divBdr>
            <w:top w:val="none" w:sz="0" w:space="0" w:color="auto"/>
            <w:left w:val="none" w:sz="0" w:space="0" w:color="auto"/>
            <w:bottom w:val="none" w:sz="0" w:space="0" w:color="auto"/>
            <w:right w:val="none" w:sz="0" w:space="0" w:color="auto"/>
          </w:divBdr>
          <w:divsChild>
            <w:div w:id="68013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078935">
      <w:bodyDiv w:val="1"/>
      <w:marLeft w:val="0"/>
      <w:marRight w:val="0"/>
      <w:marTop w:val="0"/>
      <w:marBottom w:val="0"/>
      <w:divBdr>
        <w:top w:val="none" w:sz="0" w:space="0" w:color="auto"/>
        <w:left w:val="none" w:sz="0" w:space="0" w:color="auto"/>
        <w:bottom w:val="none" w:sz="0" w:space="0" w:color="auto"/>
        <w:right w:val="none" w:sz="0" w:space="0" w:color="auto"/>
      </w:divBdr>
    </w:div>
    <w:div w:id="564491672">
      <w:bodyDiv w:val="1"/>
      <w:marLeft w:val="0"/>
      <w:marRight w:val="0"/>
      <w:marTop w:val="0"/>
      <w:marBottom w:val="0"/>
      <w:divBdr>
        <w:top w:val="none" w:sz="0" w:space="0" w:color="auto"/>
        <w:left w:val="none" w:sz="0" w:space="0" w:color="auto"/>
        <w:bottom w:val="none" w:sz="0" w:space="0" w:color="auto"/>
        <w:right w:val="none" w:sz="0" w:space="0" w:color="auto"/>
      </w:divBdr>
    </w:div>
    <w:div w:id="565385900">
      <w:bodyDiv w:val="1"/>
      <w:marLeft w:val="0"/>
      <w:marRight w:val="0"/>
      <w:marTop w:val="0"/>
      <w:marBottom w:val="0"/>
      <w:divBdr>
        <w:top w:val="none" w:sz="0" w:space="0" w:color="auto"/>
        <w:left w:val="none" w:sz="0" w:space="0" w:color="auto"/>
        <w:bottom w:val="none" w:sz="0" w:space="0" w:color="auto"/>
        <w:right w:val="none" w:sz="0" w:space="0" w:color="auto"/>
      </w:divBdr>
    </w:div>
    <w:div w:id="567032587">
      <w:bodyDiv w:val="1"/>
      <w:marLeft w:val="0"/>
      <w:marRight w:val="0"/>
      <w:marTop w:val="0"/>
      <w:marBottom w:val="0"/>
      <w:divBdr>
        <w:top w:val="none" w:sz="0" w:space="0" w:color="auto"/>
        <w:left w:val="none" w:sz="0" w:space="0" w:color="auto"/>
        <w:bottom w:val="none" w:sz="0" w:space="0" w:color="auto"/>
        <w:right w:val="none" w:sz="0" w:space="0" w:color="auto"/>
      </w:divBdr>
    </w:div>
    <w:div w:id="568198471">
      <w:bodyDiv w:val="1"/>
      <w:marLeft w:val="0"/>
      <w:marRight w:val="0"/>
      <w:marTop w:val="0"/>
      <w:marBottom w:val="0"/>
      <w:divBdr>
        <w:top w:val="none" w:sz="0" w:space="0" w:color="auto"/>
        <w:left w:val="none" w:sz="0" w:space="0" w:color="auto"/>
        <w:bottom w:val="none" w:sz="0" w:space="0" w:color="auto"/>
        <w:right w:val="none" w:sz="0" w:space="0" w:color="auto"/>
      </w:divBdr>
    </w:div>
    <w:div w:id="570505292">
      <w:bodyDiv w:val="1"/>
      <w:marLeft w:val="0"/>
      <w:marRight w:val="0"/>
      <w:marTop w:val="0"/>
      <w:marBottom w:val="0"/>
      <w:divBdr>
        <w:top w:val="none" w:sz="0" w:space="0" w:color="auto"/>
        <w:left w:val="none" w:sz="0" w:space="0" w:color="auto"/>
        <w:bottom w:val="none" w:sz="0" w:space="0" w:color="auto"/>
        <w:right w:val="none" w:sz="0" w:space="0" w:color="auto"/>
      </w:divBdr>
    </w:div>
    <w:div w:id="574097520">
      <w:bodyDiv w:val="1"/>
      <w:marLeft w:val="0"/>
      <w:marRight w:val="0"/>
      <w:marTop w:val="0"/>
      <w:marBottom w:val="0"/>
      <w:divBdr>
        <w:top w:val="none" w:sz="0" w:space="0" w:color="auto"/>
        <w:left w:val="none" w:sz="0" w:space="0" w:color="auto"/>
        <w:bottom w:val="none" w:sz="0" w:space="0" w:color="auto"/>
        <w:right w:val="none" w:sz="0" w:space="0" w:color="auto"/>
      </w:divBdr>
    </w:div>
    <w:div w:id="584264502">
      <w:bodyDiv w:val="1"/>
      <w:marLeft w:val="0"/>
      <w:marRight w:val="0"/>
      <w:marTop w:val="0"/>
      <w:marBottom w:val="0"/>
      <w:divBdr>
        <w:top w:val="none" w:sz="0" w:space="0" w:color="auto"/>
        <w:left w:val="none" w:sz="0" w:space="0" w:color="auto"/>
        <w:bottom w:val="none" w:sz="0" w:space="0" w:color="auto"/>
        <w:right w:val="none" w:sz="0" w:space="0" w:color="auto"/>
      </w:divBdr>
    </w:div>
    <w:div w:id="598492812">
      <w:bodyDiv w:val="1"/>
      <w:marLeft w:val="0"/>
      <w:marRight w:val="0"/>
      <w:marTop w:val="0"/>
      <w:marBottom w:val="0"/>
      <w:divBdr>
        <w:top w:val="none" w:sz="0" w:space="0" w:color="auto"/>
        <w:left w:val="none" w:sz="0" w:space="0" w:color="auto"/>
        <w:bottom w:val="none" w:sz="0" w:space="0" w:color="auto"/>
        <w:right w:val="none" w:sz="0" w:space="0" w:color="auto"/>
      </w:divBdr>
    </w:div>
    <w:div w:id="606959958">
      <w:bodyDiv w:val="1"/>
      <w:marLeft w:val="0"/>
      <w:marRight w:val="0"/>
      <w:marTop w:val="0"/>
      <w:marBottom w:val="0"/>
      <w:divBdr>
        <w:top w:val="none" w:sz="0" w:space="0" w:color="auto"/>
        <w:left w:val="none" w:sz="0" w:space="0" w:color="auto"/>
        <w:bottom w:val="none" w:sz="0" w:space="0" w:color="auto"/>
        <w:right w:val="none" w:sz="0" w:space="0" w:color="auto"/>
      </w:divBdr>
    </w:div>
    <w:div w:id="608316807">
      <w:bodyDiv w:val="1"/>
      <w:marLeft w:val="0"/>
      <w:marRight w:val="0"/>
      <w:marTop w:val="0"/>
      <w:marBottom w:val="0"/>
      <w:divBdr>
        <w:top w:val="none" w:sz="0" w:space="0" w:color="auto"/>
        <w:left w:val="none" w:sz="0" w:space="0" w:color="auto"/>
        <w:bottom w:val="none" w:sz="0" w:space="0" w:color="auto"/>
        <w:right w:val="none" w:sz="0" w:space="0" w:color="auto"/>
      </w:divBdr>
    </w:div>
    <w:div w:id="609124153">
      <w:bodyDiv w:val="1"/>
      <w:marLeft w:val="0"/>
      <w:marRight w:val="0"/>
      <w:marTop w:val="0"/>
      <w:marBottom w:val="0"/>
      <w:divBdr>
        <w:top w:val="none" w:sz="0" w:space="0" w:color="auto"/>
        <w:left w:val="none" w:sz="0" w:space="0" w:color="auto"/>
        <w:bottom w:val="none" w:sz="0" w:space="0" w:color="auto"/>
        <w:right w:val="none" w:sz="0" w:space="0" w:color="auto"/>
      </w:divBdr>
    </w:div>
    <w:div w:id="610549212">
      <w:bodyDiv w:val="1"/>
      <w:marLeft w:val="0"/>
      <w:marRight w:val="0"/>
      <w:marTop w:val="0"/>
      <w:marBottom w:val="0"/>
      <w:divBdr>
        <w:top w:val="none" w:sz="0" w:space="0" w:color="auto"/>
        <w:left w:val="none" w:sz="0" w:space="0" w:color="auto"/>
        <w:bottom w:val="none" w:sz="0" w:space="0" w:color="auto"/>
        <w:right w:val="none" w:sz="0" w:space="0" w:color="auto"/>
      </w:divBdr>
    </w:div>
    <w:div w:id="615333753">
      <w:bodyDiv w:val="1"/>
      <w:marLeft w:val="0"/>
      <w:marRight w:val="0"/>
      <w:marTop w:val="0"/>
      <w:marBottom w:val="0"/>
      <w:divBdr>
        <w:top w:val="none" w:sz="0" w:space="0" w:color="auto"/>
        <w:left w:val="none" w:sz="0" w:space="0" w:color="auto"/>
        <w:bottom w:val="none" w:sz="0" w:space="0" w:color="auto"/>
        <w:right w:val="none" w:sz="0" w:space="0" w:color="auto"/>
      </w:divBdr>
    </w:div>
    <w:div w:id="616906816">
      <w:bodyDiv w:val="1"/>
      <w:marLeft w:val="0"/>
      <w:marRight w:val="0"/>
      <w:marTop w:val="0"/>
      <w:marBottom w:val="0"/>
      <w:divBdr>
        <w:top w:val="none" w:sz="0" w:space="0" w:color="auto"/>
        <w:left w:val="none" w:sz="0" w:space="0" w:color="auto"/>
        <w:bottom w:val="none" w:sz="0" w:space="0" w:color="auto"/>
        <w:right w:val="none" w:sz="0" w:space="0" w:color="auto"/>
      </w:divBdr>
    </w:div>
    <w:div w:id="626205064">
      <w:bodyDiv w:val="1"/>
      <w:marLeft w:val="0"/>
      <w:marRight w:val="0"/>
      <w:marTop w:val="0"/>
      <w:marBottom w:val="0"/>
      <w:divBdr>
        <w:top w:val="none" w:sz="0" w:space="0" w:color="auto"/>
        <w:left w:val="none" w:sz="0" w:space="0" w:color="auto"/>
        <w:bottom w:val="none" w:sz="0" w:space="0" w:color="auto"/>
        <w:right w:val="none" w:sz="0" w:space="0" w:color="auto"/>
      </w:divBdr>
    </w:div>
    <w:div w:id="627660675">
      <w:bodyDiv w:val="1"/>
      <w:marLeft w:val="0"/>
      <w:marRight w:val="0"/>
      <w:marTop w:val="0"/>
      <w:marBottom w:val="0"/>
      <w:divBdr>
        <w:top w:val="none" w:sz="0" w:space="0" w:color="auto"/>
        <w:left w:val="none" w:sz="0" w:space="0" w:color="auto"/>
        <w:bottom w:val="none" w:sz="0" w:space="0" w:color="auto"/>
        <w:right w:val="none" w:sz="0" w:space="0" w:color="auto"/>
      </w:divBdr>
    </w:div>
    <w:div w:id="630944829">
      <w:bodyDiv w:val="1"/>
      <w:marLeft w:val="0"/>
      <w:marRight w:val="0"/>
      <w:marTop w:val="0"/>
      <w:marBottom w:val="0"/>
      <w:divBdr>
        <w:top w:val="none" w:sz="0" w:space="0" w:color="auto"/>
        <w:left w:val="none" w:sz="0" w:space="0" w:color="auto"/>
        <w:bottom w:val="none" w:sz="0" w:space="0" w:color="auto"/>
        <w:right w:val="none" w:sz="0" w:space="0" w:color="auto"/>
      </w:divBdr>
    </w:div>
    <w:div w:id="631640345">
      <w:bodyDiv w:val="1"/>
      <w:marLeft w:val="0"/>
      <w:marRight w:val="0"/>
      <w:marTop w:val="0"/>
      <w:marBottom w:val="0"/>
      <w:divBdr>
        <w:top w:val="none" w:sz="0" w:space="0" w:color="auto"/>
        <w:left w:val="none" w:sz="0" w:space="0" w:color="auto"/>
        <w:bottom w:val="none" w:sz="0" w:space="0" w:color="auto"/>
        <w:right w:val="none" w:sz="0" w:space="0" w:color="auto"/>
      </w:divBdr>
    </w:div>
    <w:div w:id="635337814">
      <w:bodyDiv w:val="1"/>
      <w:marLeft w:val="0"/>
      <w:marRight w:val="0"/>
      <w:marTop w:val="0"/>
      <w:marBottom w:val="0"/>
      <w:divBdr>
        <w:top w:val="none" w:sz="0" w:space="0" w:color="auto"/>
        <w:left w:val="none" w:sz="0" w:space="0" w:color="auto"/>
        <w:bottom w:val="none" w:sz="0" w:space="0" w:color="auto"/>
        <w:right w:val="none" w:sz="0" w:space="0" w:color="auto"/>
      </w:divBdr>
    </w:div>
    <w:div w:id="635838125">
      <w:bodyDiv w:val="1"/>
      <w:marLeft w:val="0"/>
      <w:marRight w:val="0"/>
      <w:marTop w:val="0"/>
      <w:marBottom w:val="0"/>
      <w:divBdr>
        <w:top w:val="none" w:sz="0" w:space="0" w:color="auto"/>
        <w:left w:val="none" w:sz="0" w:space="0" w:color="auto"/>
        <w:bottom w:val="none" w:sz="0" w:space="0" w:color="auto"/>
        <w:right w:val="none" w:sz="0" w:space="0" w:color="auto"/>
      </w:divBdr>
    </w:div>
    <w:div w:id="638876658">
      <w:bodyDiv w:val="1"/>
      <w:marLeft w:val="0"/>
      <w:marRight w:val="0"/>
      <w:marTop w:val="0"/>
      <w:marBottom w:val="0"/>
      <w:divBdr>
        <w:top w:val="none" w:sz="0" w:space="0" w:color="auto"/>
        <w:left w:val="none" w:sz="0" w:space="0" w:color="auto"/>
        <w:bottom w:val="none" w:sz="0" w:space="0" w:color="auto"/>
        <w:right w:val="none" w:sz="0" w:space="0" w:color="auto"/>
      </w:divBdr>
    </w:div>
    <w:div w:id="638918443">
      <w:bodyDiv w:val="1"/>
      <w:marLeft w:val="0"/>
      <w:marRight w:val="0"/>
      <w:marTop w:val="0"/>
      <w:marBottom w:val="0"/>
      <w:divBdr>
        <w:top w:val="none" w:sz="0" w:space="0" w:color="auto"/>
        <w:left w:val="none" w:sz="0" w:space="0" w:color="auto"/>
        <w:bottom w:val="none" w:sz="0" w:space="0" w:color="auto"/>
        <w:right w:val="none" w:sz="0" w:space="0" w:color="auto"/>
      </w:divBdr>
      <w:divsChild>
        <w:div w:id="413363205">
          <w:marLeft w:val="0"/>
          <w:marRight w:val="0"/>
          <w:marTop w:val="0"/>
          <w:marBottom w:val="0"/>
          <w:divBdr>
            <w:top w:val="none" w:sz="0" w:space="0" w:color="auto"/>
            <w:left w:val="none" w:sz="0" w:space="0" w:color="auto"/>
            <w:bottom w:val="none" w:sz="0" w:space="0" w:color="auto"/>
            <w:right w:val="none" w:sz="0" w:space="0" w:color="auto"/>
          </w:divBdr>
        </w:div>
        <w:div w:id="630743985">
          <w:marLeft w:val="0"/>
          <w:marRight w:val="0"/>
          <w:marTop w:val="0"/>
          <w:marBottom w:val="0"/>
          <w:divBdr>
            <w:top w:val="none" w:sz="0" w:space="0" w:color="auto"/>
            <w:left w:val="none" w:sz="0" w:space="0" w:color="auto"/>
            <w:bottom w:val="none" w:sz="0" w:space="0" w:color="auto"/>
            <w:right w:val="none" w:sz="0" w:space="0" w:color="auto"/>
          </w:divBdr>
        </w:div>
      </w:divsChild>
    </w:div>
    <w:div w:id="641159957">
      <w:bodyDiv w:val="1"/>
      <w:marLeft w:val="0"/>
      <w:marRight w:val="0"/>
      <w:marTop w:val="0"/>
      <w:marBottom w:val="0"/>
      <w:divBdr>
        <w:top w:val="none" w:sz="0" w:space="0" w:color="auto"/>
        <w:left w:val="none" w:sz="0" w:space="0" w:color="auto"/>
        <w:bottom w:val="none" w:sz="0" w:space="0" w:color="auto"/>
        <w:right w:val="none" w:sz="0" w:space="0" w:color="auto"/>
      </w:divBdr>
      <w:divsChild>
        <w:div w:id="10304492">
          <w:marLeft w:val="0"/>
          <w:marRight w:val="0"/>
          <w:marTop w:val="0"/>
          <w:marBottom w:val="0"/>
          <w:divBdr>
            <w:top w:val="none" w:sz="0" w:space="0" w:color="auto"/>
            <w:left w:val="none" w:sz="0" w:space="0" w:color="auto"/>
            <w:bottom w:val="none" w:sz="0" w:space="0" w:color="auto"/>
            <w:right w:val="none" w:sz="0" w:space="0" w:color="auto"/>
          </w:divBdr>
        </w:div>
        <w:div w:id="1611931591">
          <w:marLeft w:val="0"/>
          <w:marRight w:val="0"/>
          <w:marTop w:val="0"/>
          <w:marBottom w:val="0"/>
          <w:divBdr>
            <w:top w:val="none" w:sz="0" w:space="0" w:color="auto"/>
            <w:left w:val="none" w:sz="0" w:space="0" w:color="auto"/>
            <w:bottom w:val="none" w:sz="0" w:space="0" w:color="auto"/>
            <w:right w:val="none" w:sz="0" w:space="0" w:color="auto"/>
          </w:divBdr>
        </w:div>
      </w:divsChild>
    </w:div>
    <w:div w:id="643856137">
      <w:bodyDiv w:val="1"/>
      <w:marLeft w:val="0"/>
      <w:marRight w:val="0"/>
      <w:marTop w:val="0"/>
      <w:marBottom w:val="0"/>
      <w:divBdr>
        <w:top w:val="none" w:sz="0" w:space="0" w:color="auto"/>
        <w:left w:val="none" w:sz="0" w:space="0" w:color="auto"/>
        <w:bottom w:val="none" w:sz="0" w:space="0" w:color="auto"/>
        <w:right w:val="none" w:sz="0" w:space="0" w:color="auto"/>
      </w:divBdr>
      <w:divsChild>
        <w:div w:id="21171476">
          <w:marLeft w:val="0"/>
          <w:marRight w:val="0"/>
          <w:marTop w:val="0"/>
          <w:marBottom w:val="0"/>
          <w:divBdr>
            <w:top w:val="none" w:sz="0" w:space="0" w:color="auto"/>
            <w:left w:val="none" w:sz="0" w:space="0" w:color="auto"/>
            <w:bottom w:val="none" w:sz="0" w:space="0" w:color="auto"/>
            <w:right w:val="none" w:sz="0" w:space="0" w:color="auto"/>
          </w:divBdr>
          <w:divsChild>
            <w:div w:id="414202941">
              <w:marLeft w:val="0"/>
              <w:marRight w:val="0"/>
              <w:marTop w:val="0"/>
              <w:marBottom w:val="0"/>
              <w:divBdr>
                <w:top w:val="none" w:sz="0" w:space="0" w:color="auto"/>
                <w:left w:val="none" w:sz="0" w:space="0" w:color="auto"/>
                <w:bottom w:val="none" w:sz="0" w:space="0" w:color="auto"/>
                <w:right w:val="none" w:sz="0" w:space="0" w:color="auto"/>
              </w:divBdr>
            </w:div>
          </w:divsChild>
        </w:div>
        <w:div w:id="166944946">
          <w:marLeft w:val="0"/>
          <w:marRight w:val="0"/>
          <w:marTop w:val="0"/>
          <w:marBottom w:val="0"/>
          <w:divBdr>
            <w:top w:val="none" w:sz="0" w:space="0" w:color="auto"/>
            <w:left w:val="none" w:sz="0" w:space="0" w:color="auto"/>
            <w:bottom w:val="none" w:sz="0" w:space="0" w:color="auto"/>
            <w:right w:val="none" w:sz="0" w:space="0" w:color="auto"/>
          </w:divBdr>
          <w:divsChild>
            <w:div w:id="1231843396">
              <w:marLeft w:val="0"/>
              <w:marRight w:val="0"/>
              <w:marTop w:val="0"/>
              <w:marBottom w:val="0"/>
              <w:divBdr>
                <w:top w:val="none" w:sz="0" w:space="0" w:color="auto"/>
                <w:left w:val="none" w:sz="0" w:space="0" w:color="auto"/>
                <w:bottom w:val="none" w:sz="0" w:space="0" w:color="auto"/>
                <w:right w:val="none" w:sz="0" w:space="0" w:color="auto"/>
              </w:divBdr>
            </w:div>
          </w:divsChild>
        </w:div>
        <w:div w:id="493448951">
          <w:marLeft w:val="0"/>
          <w:marRight w:val="0"/>
          <w:marTop w:val="0"/>
          <w:marBottom w:val="0"/>
          <w:divBdr>
            <w:top w:val="none" w:sz="0" w:space="0" w:color="auto"/>
            <w:left w:val="none" w:sz="0" w:space="0" w:color="auto"/>
            <w:bottom w:val="none" w:sz="0" w:space="0" w:color="auto"/>
            <w:right w:val="none" w:sz="0" w:space="0" w:color="auto"/>
          </w:divBdr>
          <w:divsChild>
            <w:div w:id="1209298145">
              <w:marLeft w:val="0"/>
              <w:marRight w:val="0"/>
              <w:marTop w:val="0"/>
              <w:marBottom w:val="0"/>
              <w:divBdr>
                <w:top w:val="none" w:sz="0" w:space="0" w:color="auto"/>
                <w:left w:val="none" w:sz="0" w:space="0" w:color="auto"/>
                <w:bottom w:val="none" w:sz="0" w:space="0" w:color="auto"/>
                <w:right w:val="none" w:sz="0" w:space="0" w:color="auto"/>
              </w:divBdr>
            </w:div>
          </w:divsChild>
        </w:div>
        <w:div w:id="580331287">
          <w:marLeft w:val="0"/>
          <w:marRight w:val="0"/>
          <w:marTop w:val="0"/>
          <w:marBottom w:val="0"/>
          <w:divBdr>
            <w:top w:val="none" w:sz="0" w:space="0" w:color="auto"/>
            <w:left w:val="none" w:sz="0" w:space="0" w:color="auto"/>
            <w:bottom w:val="none" w:sz="0" w:space="0" w:color="auto"/>
            <w:right w:val="none" w:sz="0" w:space="0" w:color="auto"/>
          </w:divBdr>
          <w:divsChild>
            <w:div w:id="456921103">
              <w:marLeft w:val="0"/>
              <w:marRight w:val="0"/>
              <w:marTop w:val="0"/>
              <w:marBottom w:val="0"/>
              <w:divBdr>
                <w:top w:val="none" w:sz="0" w:space="0" w:color="auto"/>
                <w:left w:val="none" w:sz="0" w:space="0" w:color="auto"/>
                <w:bottom w:val="none" w:sz="0" w:space="0" w:color="auto"/>
                <w:right w:val="none" w:sz="0" w:space="0" w:color="auto"/>
              </w:divBdr>
            </w:div>
          </w:divsChild>
        </w:div>
        <w:div w:id="833880184">
          <w:marLeft w:val="0"/>
          <w:marRight w:val="0"/>
          <w:marTop w:val="0"/>
          <w:marBottom w:val="0"/>
          <w:divBdr>
            <w:top w:val="none" w:sz="0" w:space="0" w:color="auto"/>
            <w:left w:val="none" w:sz="0" w:space="0" w:color="auto"/>
            <w:bottom w:val="none" w:sz="0" w:space="0" w:color="auto"/>
            <w:right w:val="none" w:sz="0" w:space="0" w:color="auto"/>
          </w:divBdr>
          <w:divsChild>
            <w:div w:id="1410073972">
              <w:marLeft w:val="0"/>
              <w:marRight w:val="0"/>
              <w:marTop w:val="0"/>
              <w:marBottom w:val="0"/>
              <w:divBdr>
                <w:top w:val="none" w:sz="0" w:space="0" w:color="auto"/>
                <w:left w:val="none" w:sz="0" w:space="0" w:color="auto"/>
                <w:bottom w:val="none" w:sz="0" w:space="0" w:color="auto"/>
                <w:right w:val="none" w:sz="0" w:space="0" w:color="auto"/>
              </w:divBdr>
            </w:div>
          </w:divsChild>
        </w:div>
        <w:div w:id="1164010882">
          <w:marLeft w:val="0"/>
          <w:marRight w:val="0"/>
          <w:marTop w:val="0"/>
          <w:marBottom w:val="0"/>
          <w:divBdr>
            <w:top w:val="none" w:sz="0" w:space="0" w:color="auto"/>
            <w:left w:val="none" w:sz="0" w:space="0" w:color="auto"/>
            <w:bottom w:val="none" w:sz="0" w:space="0" w:color="auto"/>
            <w:right w:val="none" w:sz="0" w:space="0" w:color="auto"/>
          </w:divBdr>
          <w:divsChild>
            <w:div w:id="701369370">
              <w:marLeft w:val="0"/>
              <w:marRight w:val="0"/>
              <w:marTop w:val="0"/>
              <w:marBottom w:val="0"/>
              <w:divBdr>
                <w:top w:val="none" w:sz="0" w:space="0" w:color="auto"/>
                <w:left w:val="none" w:sz="0" w:space="0" w:color="auto"/>
                <w:bottom w:val="none" w:sz="0" w:space="0" w:color="auto"/>
                <w:right w:val="none" w:sz="0" w:space="0" w:color="auto"/>
              </w:divBdr>
            </w:div>
          </w:divsChild>
        </w:div>
        <w:div w:id="1177499373">
          <w:marLeft w:val="0"/>
          <w:marRight w:val="0"/>
          <w:marTop w:val="0"/>
          <w:marBottom w:val="0"/>
          <w:divBdr>
            <w:top w:val="none" w:sz="0" w:space="0" w:color="auto"/>
            <w:left w:val="none" w:sz="0" w:space="0" w:color="auto"/>
            <w:bottom w:val="none" w:sz="0" w:space="0" w:color="auto"/>
            <w:right w:val="none" w:sz="0" w:space="0" w:color="auto"/>
          </w:divBdr>
          <w:divsChild>
            <w:div w:id="2115705689">
              <w:marLeft w:val="0"/>
              <w:marRight w:val="0"/>
              <w:marTop w:val="0"/>
              <w:marBottom w:val="0"/>
              <w:divBdr>
                <w:top w:val="none" w:sz="0" w:space="0" w:color="auto"/>
                <w:left w:val="none" w:sz="0" w:space="0" w:color="auto"/>
                <w:bottom w:val="none" w:sz="0" w:space="0" w:color="auto"/>
                <w:right w:val="none" w:sz="0" w:space="0" w:color="auto"/>
              </w:divBdr>
            </w:div>
          </w:divsChild>
        </w:div>
        <w:div w:id="1258752800">
          <w:marLeft w:val="0"/>
          <w:marRight w:val="0"/>
          <w:marTop w:val="0"/>
          <w:marBottom w:val="0"/>
          <w:divBdr>
            <w:top w:val="none" w:sz="0" w:space="0" w:color="auto"/>
            <w:left w:val="none" w:sz="0" w:space="0" w:color="auto"/>
            <w:bottom w:val="none" w:sz="0" w:space="0" w:color="auto"/>
            <w:right w:val="none" w:sz="0" w:space="0" w:color="auto"/>
          </w:divBdr>
          <w:divsChild>
            <w:div w:id="1523200275">
              <w:marLeft w:val="0"/>
              <w:marRight w:val="0"/>
              <w:marTop w:val="0"/>
              <w:marBottom w:val="0"/>
              <w:divBdr>
                <w:top w:val="none" w:sz="0" w:space="0" w:color="auto"/>
                <w:left w:val="none" w:sz="0" w:space="0" w:color="auto"/>
                <w:bottom w:val="none" w:sz="0" w:space="0" w:color="auto"/>
                <w:right w:val="none" w:sz="0" w:space="0" w:color="auto"/>
              </w:divBdr>
            </w:div>
          </w:divsChild>
        </w:div>
        <w:div w:id="1373192709">
          <w:marLeft w:val="0"/>
          <w:marRight w:val="0"/>
          <w:marTop w:val="0"/>
          <w:marBottom w:val="0"/>
          <w:divBdr>
            <w:top w:val="none" w:sz="0" w:space="0" w:color="auto"/>
            <w:left w:val="none" w:sz="0" w:space="0" w:color="auto"/>
            <w:bottom w:val="none" w:sz="0" w:space="0" w:color="auto"/>
            <w:right w:val="none" w:sz="0" w:space="0" w:color="auto"/>
          </w:divBdr>
          <w:divsChild>
            <w:div w:id="1546478437">
              <w:marLeft w:val="0"/>
              <w:marRight w:val="0"/>
              <w:marTop w:val="0"/>
              <w:marBottom w:val="0"/>
              <w:divBdr>
                <w:top w:val="none" w:sz="0" w:space="0" w:color="auto"/>
                <w:left w:val="none" w:sz="0" w:space="0" w:color="auto"/>
                <w:bottom w:val="none" w:sz="0" w:space="0" w:color="auto"/>
                <w:right w:val="none" w:sz="0" w:space="0" w:color="auto"/>
              </w:divBdr>
            </w:div>
          </w:divsChild>
        </w:div>
        <w:div w:id="1417047872">
          <w:marLeft w:val="0"/>
          <w:marRight w:val="0"/>
          <w:marTop w:val="0"/>
          <w:marBottom w:val="0"/>
          <w:divBdr>
            <w:top w:val="none" w:sz="0" w:space="0" w:color="auto"/>
            <w:left w:val="none" w:sz="0" w:space="0" w:color="auto"/>
            <w:bottom w:val="none" w:sz="0" w:space="0" w:color="auto"/>
            <w:right w:val="none" w:sz="0" w:space="0" w:color="auto"/>
          </w:divBdr>
          <w:divsChild>
            <w:div w:id="569966934">
              <w:marLeft w:val="0"/>
              <w:marRight w:val="0"/>
              <w:marTop w:val="0"/>
              <w:marBottom w:val="0"/>
              <w:divBdr>
                <w:top w:val="none" w:sz="0" w:space="0" w:color="auto"/>
                <w:left w:val="none" w:sz="0" w:space="0" w:color="auto"/>
                <w:bottom w:val="none" w:sz="0" w:space="0" w:color="auto"/>
                <w:right w:val="none" w:sz="0" w:space="0" w:color="auto"/>
              </w:divBdr>
            </w:div>
          </w:divsChild>
        </w:div>
        <w:div w:id="1464932358">
          <w:marLeft w:val="0"/>
          <w:marRight w:val="0"/>
          <w:marTop w:val="0"/>
          <w:marBottom w:val="0"/>
          <w:divBdr>
            <w:top w:val="none" w:sz="0" w:space="0" w:color="auto"/>
            <w:left w:val="none" w:sz="0" w:space="0" w:color="auto"/>
            <w:bottom w:val="none" w:sz="0" w:space="0" w:color="auto"/>
            <w:right w:val="none" w:sz="0" w:space="0" w:color="auto"/>
          </w:divBdr>
          <w:divsChild>
            <w:div w:id="1479151279">
              <w:marLeft w:val="0"/>
              <w:marRight w:val="0"/>
              <w:marTop w:val="0"/>
              <w:marBottom w:val="0"/>
              <w:divBdr>
                <w:top w:val="none" w:sz="0" w:space="0" w:color="auto"/>
                <w:left w:val="none" w:sz="0" w:space="0" w:color="auto"/>
                <w:bottom w:val="none" w:sz="0" w:space="0" w:color="auto"/>
                <w:right w:val="none" w:sz="0" w:space="0" w:color="auto"/>
              </w:divBdr>
            </w:div>
          </w:divsChild>
        </w:div>
        <w:div w:id="1476145181">
          <w:marLeft w:val="0"/>
          <w:marRight w:val="0"/>
          <w:marTop w:val="0"/>
          <w:marBottom w:val="0"/>
          <w:divBdr>
            <w:top w:val="none" w:sz="0" w:space="0" w:color="auto"/>
            <w:left w:val="none" w:sz="0" w:space="0" w:color="auto"/>
            <w:bottom w:val="none" w:sz="0" w:space="0" w:color="auto"/>
            <w:right w:val="none" w:sz="0" w:space="0" w:color="auto"/>
          </w:divBdr>
          <w:divsChild>
            <w:div w:id="1723015930">
              <w:marLeft w:val="0"/>
              <w:marRight w:val="0"/>
              <w:marTop w:val="0"/>
              <w:marBottom w:val="0"/>
              <w:divBdr>
                <w:top w:val="none" w:sz="0" w:space="0" w:color="auto"/>
                <w:left w:val="none" w:sz="0" w:space="0" w:color="auto"/>
                <w:bottom w:val="none" w:sz="0" w:space="0" w:color="auto"/>
                <w:right w:val="none" w:sz="0" w:space="0" w:color="auto"/>
              </w:divBdr>
            </w:div>
          </w:divsChild>
        </w:div>
        <w:div w:id="1524587948">
          <w:marLeft w:val="0"/>
          <w:marRight w:val="0"/>
          <w:marTop w:val="0"/>
          <w:marBottom w:val="0"/>
          <w:divBdr>
            <w:top w:val="none" w:sz="0" w:space="0" w:color="auto"/>
            <w:left w:val="none" w:sz="0" w:space="0" w:color="auto"/>
            <w:bottom w:val="none" w:sz="0" w:space="0" w:color="auto"/>
            <w:right w:val="none" w:sz="0" w:space="0" w:color="auto"/>
          </w:divBdr>
          <w:divsChild>
            <w:div w:id="1295404820">
              <w:marLeft w:val="0"/>
              <w:marRight w:val="0"/>
              <w:marTop w:val="0"/>
              <w:marBottom w:val="0"/>
              <w:divBdr>
                <w:top w:val="none" w:sz="0" w:space="0" w:color="auto"/>
                <w:left w:val="none" w:sz="0" w:space="0" w:color="auto"/>
                <w:bottom w:val="none" w:sz="0" w:space="0" w:color="auto"/>
                <w:right w:val="none" w:sz="0" w:space="0" w:color="auto"/>
              </w:divBdr>
            </w:div>
          </w:divsChild>
        </w:div>
        <w:div w:id="1716344333">
          <w:marLeft w:val="0"/>
          <w:marRight w:val="0"/>
          <w:marTop w:val="0"/>
          <w:marBottom w:val="0"/>
          <w:divBdr>
            <w:top w:val="none" w:sz="0" w:space="0" w:color="auto"/>
            <w:left w:val="none" w:sz="0" w:space="0" w:color="auto"/>
            <w:bottom w:val="none" w:sz="0" w:space="0" w:color="auto"/>
            <w:right w:val="none" w:sz="0" w:space="0" w:color="auto"/>
          </w:divBdr>
          <w:divsChild>
            <w:div w:id="66459062">
              <w:marLeft w:val="0"/>
              <w:marRight w:val="0"/>
              <w:marTop w:val="0"/>
              <w:marBottom w:val="0"/>
              <w:divBdr>
                <w:top w:val="none" w:sz="0" w:space="0" w:color="auto"/>
                <w:left w:val="none" w:sz="0" w:space="0" w:color="auto"/>
                <w:bottom w:val="none" w:sz="0" w:space="0" w:color="auto"/>
                <w:right w:val="none" w:sz="0" w:space="0" w:color="auto"/>
              </w:divBdr>
            </w:div>
          </w:divsChild>
        </w:div>
        <w:div w:id="1736539315">
          <w:marLeft w:val="0"/>
          <w:marRight w:val="0"/>
          <w:marTop w:val="0"/>
          <w:marBottom w:val="0"/>
          <w:divBdr>
            <w:top w:val="none" w:sz="0" w:space="0" w:color="auto"/>
            <w:left w:val="none" w:sz="0" w:space="0" w:color="auto"/>
            <w:bottom w:val="none" w:sz="0" w:space="0" w:color="auto"/>
            <w:right w:val="none" w:sz="0" w:space="0" w:color="auto"/>
          </w:divBdr>
          <w:divsChild>
            <w:div w:id="1780567341">
              <w:marLeft w:val="0"/>
              <w:marRight w:val="0"/>
              <w:marTop w:val="0"/>
              <w:marBottom w:val="0"/>
              <w:divBdr>
                <w:top w:val="none" w:sz="0" w:space="0" w:color="auto"/>
                <w:left w:val="none" w:sz="0" w:space="0" w:color="auto"/>
                <w:bottom w:val="none" w:sz="0" w:space="0" w:color="auto"/>
                <w:right w:val="none" w:sz="0" w:space="0" w:color="auto"/>
              </w:divBdr>
            </w:div>
          </w:divsChild>
        </w:div>
        <w:div w:id="1961957882">
          <w:marLeft w:val="0"/>
          <w:marRight w:val="0"/>
          <w:marTop w:val="0"/>
          <w:marBottom w:val="0"/>
          <w:divBdr>
            <w:top w:val="none" w:sz="0" w:space="0" w:color="auto"/>
            <w:left w:val="none" w:sz="0" w:space="0" w:color="auto"/>
            <w:bottom w:val="none" w:sz="0" w:space="0" w:color="auto"/>
            <w:right w:val="none" w:sz="0" w:space="0" w:color="auto"/>
          </w:divBdr>
          <w:divsChild>
            <w:div w:id="332874299">
              <w:marLeft w:val="0"/>
              <w:marRight w:val="0"/>
              <w:marTop w:val="0"/>
              <w:marBottom w:val="0"/>
              <w:divBdr>
                <w:top w:val="none" w:sz="0" w:space="0" w:color="auto"/>
                <w:left w:val="none" w:sz="0" w:space="0" w:color="auto"/>
                <w:bottom w:val="none" w:sz="0" w:space="0" w:color="auto"/>
                <w:right w:val="none" w:sz="0" w:space="0" w:color="auto"/>
              </w:divBdr>
            </w:div>
          </w:divsChild>
        </w:div>
        <w:div w:id="2054651710">
          <w:marLeft w:val="0"/>
          <w:marRight w:val="0"/>
          <w:marTop w:val="0"/>
          <w:marBottom w:val="0"/>
          <w:divBdr>
            <w:top w:val="none" w:sz="0" w:space="0" w:color="auto"/>
            <w:left w:val="none" w:sz="0" w:space="0" w:color="auto"/>
            <w:bottom w:val="none" w:sz="0" w:space="0" w:color="auto"/>
            <w:right w:val="none" w:sz="0" w:space="0" w:color="auto"/>
          </w:divBdr>
          <w:divsChild>
            <w:div w:id="2018993733">
              <w:marLeft w:val="0"/>
              <w:marRight w:val="0"/>
              <w:marTop w:val="0"/>
              <w:marBottom w:val="0"/>
              <w:divBdr>
                <w:top w:val="none" w:sz="0" w:space="0" w:color="auto"/>
                <w:left w:val="none" w:sz="0" w:space="0" w:color="auto"/>
                <w:bottom w:val="none" w:sz="0" w:space="0" w:color="auto"/>
                <w:right w:val="none" w:sz="0" w:space="0" w:color="auto"/>
              </w:divBdr>
            </w:div>
          </w:divsChild>
        </w:div>
        <w:div w:id="2110544275">
          <w:marLeft w:val="0"/>
          <w:marRight w:val="0"/>
          <w:marTop w:val="0"/>
          <w:marBottom w:val="0"/>
          <w:divBdr>
            <w:top w:val="none" w:sz="0" w:space="0" w:color="auto"/>
            <w:left w:val="none" w:sz="0" w:space="0" w:color="auto"/>
            <w:bottom w:val="none" w:sz="0" w:space="0" w:color="auto"/>
            <w:right w:val="none" w:sz="0" w:space="0" w:color="auto"/>
          </w:divBdr>
          <w:divsChild>
            <w:div w:id="188541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865097">
      <w:bodyDiv w:val="1"/>
      <w:marLeft w:val="0"/>
      <w:marRight w:val="0"/>
      <w:marTop w:val="0"/>
      <w:marBottom w:val="0"/>
      <w:divBdr>
        <w:top w:val="none" w:sz="0" w:space="0" w:color="auto"/>
        <w:left w:val="none" w:sz="0" w:space="0" w:color="auto"/>
        <w:bottom w:val="none" w:sz="0" w:space="0" w:color="auto"/>
        <w:right w:val="none" w:sz="0" w:space="0" w:color="auto"/>
      </w:divBdr>
    </w:div>
    <w:div w:id="654794490">
      <w:bodyDiv w:val="1"/>
      <w:marLeft w:val="0"/>
      <w:marRight w:val="0"/>
      <w:marTop w:val="0"/>
      <w:marBottom w:val="0"/>
      <w:divBdr>
        <w:top w:val="none" w:sz="0" w:space="0" w:color="auto"/>
        <w:left w:val="none" w:sz="0" w:space="0" w:color="auto"/>
        <w:bottom w:val="none" w:sz="0" w:space="0" w:color="auto"/>
        <w:right w:val="none" w:sz="0" w:space="0" w:color="auto"/>
      </w:divBdr>
    </w:div>
    <w:div w:id="660544343">
      <w:bodyDiv w:val="1"/>
      <w:marLeft w:val="0"/>
      <w:marRight w:val="0"/>
      <w:marTop w:val="0"/>
      <w:marBottom w:val="0"/>
      <w:divBdr>
        <w:top w:val="none" w:sz="0" w:space="0" w:color="auto"/>
        <w:left w:val="none" w:sz="0" w:space="0" w:color="auto"/>
        <w:bottom w:val="none" w:sz="0" w:space="0" w:color="auto"/>
        <w:right w:val="none" w:sz="0" w:space="0" w:color="auto"/>
      </w:divBdr>
      <w:divsChild>
        <w:div w:id="376319827">
          <w:marLeft w:val="0"/>
          <w:marRight w:val="0"/>
          <w:marTop w:val="0"/>
          <w:marBottom w:val="0"/>
          <w:divBdr>
            <w:top w:val="none" w:sz="0" w:space="0" w:color="auto"/>
            <w:left w:val="none" w:sz="0" w:space="0" w:color="auto"/>
            <w:bottom w:val="none" w:sz="0" w:space="0" w:color="auto"/>
            <w:right w:val="none" w:sz="0" w:space="0" w:color="auto"/>
          </w:divBdr>
        </w:div>
        <w:div w:id="652607593">
          <w:marLeft w:val="0"/>
          <w:marRight w:val="0"/>
          <w:marTop w:val="0"/>
          <w:marBottom w:val="0"/>
          <w:divBdr>
            <w:top w:val="none" w:sz="0" w:space="0" w:color="auto"/>
            <w:left w:val="none" w:sz="0" w:space="0" w:color="auto"/>
            <w:bottom w:val="none" w:sz="0" w:space="0" w:color="auto"/>
            <w:right w:val="none" w:sz="0" w:space="0" w:color="auto"/>
          </w:divBdr>
        </w:div>
        <w:div w:id="869152419">
          <w:marLeft w:val="0"/>
          <w:marRight w:val="0"/>
          <w:marTop w:val="0"/>
          <w:marBottom w:val="0"/>
          <w:divBdr>
            <w:top w:val="none" w:sz="0" w:space="0" w:color="auto"/>
            <w:left w:val="none" w:sz="0" w:space="0" w:color="auto"/>
            <w:bottom w:val="none" w:sz="0" w:space="0" w:color="auto"/>
            <w:right w:val="none" w:sz="0" w:space="0" w:color="auto"/>
          </w:divBdr>
        </w:div>
      </w:divsChild>
    </w:div>
    <w:div w:id="664935907">
      <w:bodyDiv w:val="1"/>
      <w:marLeft w:val="0"/>
      <w:marRight w:val="0"/>
      <w:marTop w:val="0"/>
      <w:marBottom w:val="0"/>
      <w:divBdr>
        <w:top w:val="none" w:sz="0" w:space="0" w:color="auto"/>
        <w:left w:val="none" w:sz="0" w:space="0" w:color="auto"/>
        <w:bottom w:val="none" w:sz="0" w:space="0" w:color="auto"/>
        <w:right w:val="none" w:sz="0" w:space="0" w:color="auto"/>
      </w:divBdr>
      <w:divsChild>
        <w:div w:id="47650289">
          <w:marLeft w:val="0"/>
          <w:marRight w:val="0"/>
          <w:marTop w:val="0"/>
          <w:marBottom w:val="0"/>
          <w:divBdr>
            <w:top w:val="none" w:sz="0" w:space="0" w:color="auto"/>
            <w:left w:val="none" w:sz="0" w:space="0" w:color="auto"/>
            <w:bottom w:val="none" w:sz="0" w:space="0" w:color="auto"/>
            <w:right w:val="none" w:sz="0" w:space="0" w:color="auto"/>
          </w:divBdr>
        </w:div>
      </w:divsChild>
    </w:div>
    <w:div w:id="667294785">
      <w:bodyDiv w:val="1"/>
      <w:marLeft w:val="0"/>
      <w:marRight w:val="0"/>
      <w:marTop w:val="0"/>
      <w:marBottom w:val="0"/>
      <w:divBdr>
        <w:top w:val="none" w:sz="0" w:space="0" w:color="auto"/>
        <w:left w:val="none" w:sz="0" w:space="0" w:color="auto"/>
        <w:bottom w:val="none" w:sz="0" w:space="0" w:color="auto"/>
        <w:right w:val="none" w:sz="0" w:space="0" w:color="auto"/>
      </w:divBdr>
    </w:div>
    <w:div w:id="683701646">
      <w:bodyDiv w:val="1"/>
      <w:marLeft w:val="0"/>
      <w:marRight w:val="0"/>
      <w:marTop w:val="0"/>
      <w:marBottom w:val="0"/>
      <w:divBdr>
        <w:top w:val="none" w:sz="0" w:space="0" w:color="auto"/>
        <w:left w:val="none" w:sz="0" w:space="0" w:color="auto"/>
        <w:bottom w:val="none" w:sz="0" w:space="0" w:color="auto"/>
        <w:right w:val="none" w:sz="0" w:space="0" w:color="auto"/>
      </w:divBdr>
    </w:div>
    <w:div w:id="686829164">
      <w:bodyDiv w:val="1"/>
      <w:marLeft w:val="0"/>
      <w:marRight w:val="0"/>
      <w:marTop w:val="0"/>
      <w:marBottom w:val="0"/>
      <w:divBdr>
        <w:top w:val="none" w:sz="0" w:space="0" w:color="auto"/>
        <w:left w:val="none" w:sz="0" w:space="0" w:color="auto"/>
        <w:bottom w:val="none" w:sz="0" w:space="0" w:color="auto"/>
        <w:right w:val="none" w:sz="0" w:space="0" w:color="auto"/>
      </w:divBdr>
    </w:div>
    <w:div w:id="697124578">
      <w:bodyDiv w:val="1"/>
      <w:marLeft w:val="0"/>
      <w:marRight w:val="0"/>
      <w:marTop w:val="0"/>
      <w:marBottom w:val="0"/>
      <w:divBdr>
        <w:top w:val="none" w:sz="0" w:space="0" w:color="auto"/>
        <w:left w:val="none" w:sz="0" w:space="0" w:color="auto"/>
        <w:bottom w:val="none" w:sz="0" w:space="0" w:color="auto"/>
        <w:right w:val="none" w:sz="0" w:space="0" w:color="auto"/>
      </w:divBdr>
      <w:divsChild>
        <w:div w:id="150293916">
          <w:marLeft w:val="0"/>
          <w:marRight w:val="0"/>
          <w:marTop w:val="0"/>
          <w:marBottom w:val="0"/>
          <w:divBdr>
            <w:top w:val="none" w:sz="0" w:space="0" w:color="auto"/>
            <w:left w:val="none" w:sz="0" w:space="0" w:color="auto"/>
            <w:bottom w:val="none" w:sz="0" w:space="0" w:color="auto"/>
            <w:right w:val="none" w:sz="0" w:space="0" w:color="auto"/>
          </w:divBdr>
        </w:div>
        <w:div w:id="873351693">
          <w:marLeft w:val="0"/>
          <w:marRight w:val="0"/>
          <w:marTop w:val="0"/>
          <w:marBottom w:val="0"/>
          <w:divBdr>
            <w:top w:val="none" w:sz="0" w:space="0" w:color="auto"/>
            <w:left w:val="none" w:sz="0" w:space="0" w:color="auto"/>
            <w:bottom w:val="none" w:sz="0" w:space="0" w:color="auto"/>
            <w:right w:val="none" w:sz="0" w:space="0" w:color="auto"/>
          </w:divBdr>
        </w:div>
        <w:div w:id="1076392732">
          <w:marLeft w:val="0"/>
          <w:marRight w:val="0"/>
          <w:marTop w:val="0"/>
          <w:marBottom w:val="0"/>
          <w:divBdr>
            <w:top w:val="none" w:sz="0" w:space="0" w:color="auto"/>
            <w:left w:val="none" w:sz="0" w:space="0" w:color="auto"/>
            <w:bottom w:val="none" w:sz="0" w:space="0" w:color="auto"/>
            <w:right w:val="none" w:sz="0" w:space="0" w:color="auto"/>
          </w:divBdr>
        </w:div>
        <w:div w:id="1458570557">
          <w:marLeft w:val="0"/>
          <w:marRight w:val="0"/>
          <w:marTop w:val="0"/>
          <w:marBottom w:val="0"/>
          <w:divBdr>
            <w:top w:val="none" w:sz="0" w:space="0" w:color="auto"/>
            <w:left w:val="none" w:sz="0" w:space="0" w:color="auto"/>
            <w:bottom w:val="none" w:sz="0" w:space="0" w:color="auto"/>
            <w:right w:val="none" w:sz="0" w:space="0" w:color="auto"/>
          </w:divBdr>
        </w:div>
        <w:div w:id="1898005239">
          <w:marLeft w:val="0"/>
          <w:marRight w:val="0"/>
          <w:marTop w:val="0"/>
          <w:marBottom w:val="0"/>
          <w:divBdr>
            <w:top w:val="none" w:sz="0" w:space="0" w:color="auto"/>
            <w:left w:val="none" w:sz="0" w:space="0" w:color="auto"/>
            <w:bottom w:val="none" w:sz="0" w:space="0" w:color="auto"/>
            <w:right w:val="none" w:sz="0" w:space="0" w:color="auto"/>
          </w:divBdr>
        </w:div>
        <w:div w:id="2104910350">
          <w:marLeft w:val="0"/>
          <w:marRight w:val="0"/>
          <w:marTop w:val="0"/>
          <w:marBottom w:val="0"/>
          <w:divBdr>
            <w:top w:val="none" w:sz="0" w:space="0" w:color="auto"/>
            <w:left w:val="none" w:sz="0" w:space="0" w:color="auto"/>
            <w:bottom w:val="none" w:sz="0" w:space="0" w:color="auto"/>
            <w:right w:val="none" w:sz="0" w:space="0" w:color="auto"/>
          </w:divBdr>
        </w:div>
      </w:divsChild>
    </w:div>
    <w:div w:id="698549321">
      <w:bodyDiv w:val="1"/>
      <w:marLeft w:val="0"/>
      <w:marRight w:val="0"/>
      <w:marTop w:val="0"/>
      <w:marBottom w:val="0"/>
      <w:divBdr>
        <w:top w:val="none" w:sz="0" w:space="0" w:color="auto"/>
        <w:left w:val="none" w:sz="0" w:space="0" w:color="auto"/>
        <w:bottom w:val="none" w:sz="0" w:space="0" w:color="auto"/>
        <w:right w:val="none" w:sz="0" w:space="0" w:color="auto"/>
      </w:divBdr>
    </w:div>
    <w:div w:id="704330608">
      <w:bodyDiv w:val="1"/>
      <w:marLeft w:val="0"/>
      <w:marRight w:val="0"/>
      <w:marTop w:val="0"/>
      <w:marBottom w:val="0"/>
      <w:divBdr>
        <w:top w:val="none" w:sz="0" w:space="0" w:color="auto"/>
        <w:left w:val="none" w:sz="0" w:space="0" w:color="auto"/>
        <w:bottom w:val="none" w:sz="0" w:space="0" w:color="auto"/>
        <w:right w:val="none" w:sz="0" w:space="0" w:color="auto"/>
      </w:divBdr>
    </w:div>
    <w:div w:id="704789054">
      <w:bodyDiv w:val="1"/>
      <w:marLeft w:val="0"/>
      <w:marRight w:val="0"/>
      <w:marTop w:val="0"/>
      <w:marBottom w:val="0"/>
      <w:divBdr>
        <w:top w:val="none" w:sz="0" w:space="0" w:color="auto"/>
        <w:left w:val="none" w:sz="0" w:space="0" w:color="auto"/>
        <w:bottom w:val="none" w:sz="0" w:space="0" w:color="auto"/>
        <w:right w:val="none" w:sz="0" w:space="0" w:color="auto"/>
      </w:divBdr>
    </w:div>
    <w:div w:id="718894790">
      <w:bodyDiv w:val="1"/>
      <w:marLeft w:val="0"/>
      <w:marRight w:val="0"/>
      <w:marTop w:val="0"/>
      <w:marBottom w:val="0"/>
      <w:divBdr>
        <w:top w:val="none" w:sz="0" w:space="0" w:color="auto"/>
        <w:left w:val="none" w:sz="0" w:space="0" w:color="auto"/>
        <w:bottom w:val="none" w:sz="0" w:space="0" w:color="auto"/>
        <w:right w:val="none" w:sz="0" w:space="0" w:color="auto"/>
      </w:divBdr>
    </w:div>
    <w:div w:id="727536159">
      <w:bodyDiv w:val="1"/>
      <w:marLeft w:val="0"/>
      <w:marRight w:val="0"/>
      <w:marTop w:val="0"/>
      <w:marBottom w:val="0"/>
      <w:divBdr>
        <w:top w:val="none" w:sz="0" w:space="0" w:color="auto"/>
        <w:left w:val="none" w:sz="0" w:space="0" w:color="auto"/>
        <w:bottom w:val="none" w:sz="0" w:space="0" w:color="auto"/>
        <w:right w:val="none" w:sz="0" w:space="0" w:color="auto"/>
      </w:divBdr>
      <w:divsChild>
        <w:div w:id="1517936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1223290">
      <w:bodyDiv w:val="1"/>
      <w:marLeft w:val="0"/>
      <w:marRight w:val="0"/>
      <w:marTop w:val="0"/>
      <w:marBottom w:val="0"/>
      <w:divBdr>
        <w:top w:val="none" w:sz="0" w:space="0" w:color="auto"/>
        <w:left w:val="none" w:sz="0" w:space="0" w:color="auto"/>
        <w:bottom w:val="none" w:sz="0" w:space="0" w:color="auto"/>
        <w:right w:val="none" w:sz="0" w:space="0" w:color="auto"/>
      </w:divBdr>
      <w:divsChild>
        <w:div w:id="5640742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2435989">
      <w:bodyDiv w:val="1"/>
      <w:marLeft w:val="0"/>
      <w:marRight w:val="0"/>
      <w:marTop w:val="0"/>
      <w:marBottom w:val="0"/>
      <w:divBdr>
        <w:top w:val="none" w:sz="0" w:space="0" w:color="auto"/>
        <w:left w:val="none" w:sz="0" w:space="0" w:color="auto"/>
        <w:bottom w:val="none" w:sz="0" w:space="0" w:color="auto"/>
        <w:right w:val="none" w:sz="0" w:space="0" w:color="auto"/>
      </w:divBdr>
    </w:div>
    <w:div w:id="754595976">
      <w:bodyDiv w:val="1"/>
      <w:marLeft w:val="0"/>
      <w:marRight w:val="0"/>
      <w:marTop w:val="0"/>
      <w:marBottom w:val="0"/>
      <w:divBdr>
        <w:top w:val="none" w:sz="0" w:space="0" w:color="auto"/>
        <w:left w:val="none" w:sz="0" w:space="0" w:color="auto"/>
        <w:bottom w:val="none" w:sz="0" w:space="0" w:color="auto"/>
        <w:right w:val="none" w:sz="0" w:space="0" w:color="auto"/>
      </w:divBdr>
    </w:div>
    <w:div w:id="757678529">
      <w:bodyDiv w:val="1"/>
      <w:marLeft w:val="0"/>
      <w:marRight w:val="0"/>
      <w:marTop w:val="0"/>
      <w:marBottom w:val="0"/>
      <w:divBdr>
        <w:top w:val="none" w:sz="0" w:space="0" w:color="auto"/>
        <w:left w:val="none" w:sz="0" w:space="0" w:color="auto"/>
        <w:bottom w:val="none" w:sz="0" w:space="0" w:color="auto"/>
        <w:right w:val="none" w:sz="0" w:space="0" w:color="auto"/>
      </w:divBdr>
    </w:div>
    <w:div w:id="759452426">
      <w:bodyDiv w:val="1"/>
      <w:marLeft w:val="0"/>
      <w:marRight w:val="0"/>
      <w:marTop w:val="0"/>
      <w:marBottom w:val="0"/>
      <w:divBdr>
        <w:top w:val="none" w:sz="0" w:space="0" w:color="auto"/>
        <w:left w:val="none" w:sz="0" w:space="0" w:color="auto"/>
        <w:bottom w:val="none" w:sz="0" w:space="0" w:color="auto"/>
        <w:right w:val="none" w:sz="0" w:space="0" w:color="auto"/>
      </w:divBdr>
    </w:div>
    <w:div w:id="760182236">
      <w:bodyDiv w:val="1"/>
      <w:marLeft w:val="0"/>
      <w:marRight w:val="0"/>
      <w:marTop w:val="0"/>
      <w:marBottom w:val="0"/>
      <w:divBdr>
        <w:top w:val="none" w:sz="0" w:space="0" w:color="auto"/>
        <w:left w:val="none" w:sz="0" w:space="0" w:color="auto"/>
        <w:bottom w:val="none" w:sz="0" w:space="0" w:color="auto"/>
        <w:right w:val="none" w:sz="0" w:space="0" w:color="auto"/>
      </w:divBdr>
    </w:div>
    <w:div w:id="770010683">
      <w:bodyDiv w:val="1"/>
      <w:marLeft w:val="0"/>
      <w:marRight w:val="0"/>
      <w:marTop w:val="0"/>
      <w:marBottom w:val="0"/>
      <w:divBdr>
        <w:top w:val="none" w:sz="0" w:space="0" w:color="auto"/>
        <w:left w:val="none" w:sz="0" w:space="0" w:color="auto"/>
        <w:bottom w:val="none" w:sz="0" w:space="0" w:color="auto"/>
        <w:right w:val="none" w:sz="0" w:space="0" w:color="auto"/>
      </w:divBdr>
    </w:div>
    <w:div w:id="775977882">
      <w:bodyDiv w:val="1"/>
      <w:marLeft w:val="0"/>
      <w:marRight w:val="0"/>
      <w:marTop w:val="0"/>
      <w:marBottom w:val="0"/>
      <w:divBdr>
        <w:top w:val="none" w:sz="0" w:space="0" w:color="auto"/>
        <w:left w:val="none" w:sz="0" w:space="0" w:color="auto"/>
        <w:bottom w:val="none" w:sz="0" w:space="0" w:color="auto"/>
        <w:right w:val="none" w:sz="0" w:space="0" w:color="auto"/>
      </w:divBdr>
    </w:div>
    <w:div w:id="779885053">
      <w:bodyDiv w:val="1"/>
      <w:marLeft w:val="0"/>
      <w:marRight w:val="0"/>
      <w:marTop w:val="0"/>
      <w:marBottom w:val="0"/>
      <w:divBdr>
        <w:top w:val="none" w:sz="0" w:space="0" w:color="auto"/>
        <w:left w:val="none" w:sz="0" w:space="0" w:color="auto"/>
        <w:bottom w:val="none" w:sz="0" w:space="0" w:color="auto"/>
        <w:right w:val="none" w:sz="0" w:space="0" w:color="auto"/>
      </w:divBdr>
    </w:div>
    <w:div w:id="780610224">
      <w:bodyDiv w:val="1"/>
      <w:marLeft w:val="0"/>
      <w:marRight w:val="0"/>
      <w:marTop w:val="0"/>
      <w:marBottom w:val="0"/>
      <w:divBdr>
        <w:top w:val="none" w:sz="0" w:space="0" w:color="auto"/>
        <w:left w:val="none" w:sz="0" w:space="0" w:color="auto"/>
        <w:bottom w:val="none" w:sz="0" w:space="0" w:color="auto"/>
        <w:right w:val="none" w:sz="0" w:space="0" w:color="auto"/>
      </w:divBdr>
    </w:div>
    <w:div w:id="786460888">
      <w:bodyDiv w:val="1"/>
      <w:marLeft w:val="0"/>
      <w:marRight w:val="0"/>
      <w:marTop w:val="0"/>
      <w:marBottom w:val="0"/>
      <w:divBdr>
        <w:top w:val="none" w:sz="0" w:space="0" w:color="auto"/>
        <w:left w:val="none" w:sz="0" w:space="0" w:color="auto"/>
        <w:bottom w:val="none" w:sz="0" w:space="0" w:color="auto"/>
        <w:right w:val="none" w:sz="0" w:space="0" w:color="auto"/>
      </w:divBdr>
    </w:div>
    <w:div w:id="788863677">
      <w:bodyDiv w:val="1"/>
      <w:marLeft w:val="0"/>
      <w:marRight w:val="0"/>
      <w:marTop w:val="0"/>
      <w:marBottom w:val="0"/>
      <w:divBdr>
        <w:top w:val="none" w:sz="0" w:space="0" w:color="auto"/>
        <w:left w:val="none" w:sz="0" w:space="0" w:color="auto"/>
        <w:bottom w:val="none" w:sz="0" w:space="0" w:color="auto"/>
        <w:right w:val="none" w:sz="0" w:space="0" w:color="auto"/>
      </w:divBdr>
    </w:div>
    <w:div w:id="789013139">
      <w:bodyDiv w:val="1"/>
      <w:marLeft w:val="0"/>
      <w:marRight w:val="0"/>
      <w:marTop w:val="0"/>
      <w:marBottom w:val="0"/>
      <w:divBdr>
        <w:top w:val="none" w:sz="0" w:space="0" w:color="auto"/>
        <w:left w:val="none" w:sz="0" w:space="0" w:color="auto"/>
        <w:bottom w:val="none" w:sz="0" w:space="0" w:color="auto"/>
        <w:right w:val="none" w:sz="0" w:space="0" w:color="auto"/>
      </w:divBdr>
    </w:div>
    <w:div w:id="791485615">
      <w:bodyDiv w:val="1"/>
      <w:marLeft w:val="0"/>
      <w:marRight w:val="0"/>
      <w:marTop w:val="0"/>
      <w:marBottom w:val="0"/>
      <w:divBdr>
        <w:top w:val="none" w:sz="0" w:space="0" w:color="auto"/>
        <w:left w:val="none" w:sz="0" w:space="0" w:color="auto"/>
        <w:bottom w:val="none" w:sz="0" w:space="0" w:color="auto"/>
        <w:right w:val="none" w:sz="0" w:space="0" w:color="auto"/>
      </w:divBdr>
    </w:div>
    <w:div w:id="793132496">
      <w:bodyDiv w:val="1"/>
      <w:marLeft w:val="0"/>
      <w:marRight w:val="0"/>
      <w:marTop w:val="0"/>
      <w:marBottom w:val="0"/>
      <w:divBdr>
        <w:top w:val="none" w:sz="0" w:space="0" w:color="auto"/>
        <w:left w:val="none" w:sz="0" w:space="0" w:color="auto"/>
        <w:bottom w:val="none" w:sz="0" w:space="0" w:color="auto"/>
        <w:right w:val="none" w:sz="0" w:space="0" w:color="auto"/>
      </w:divBdr>
    </w:div>
    <w:div w:id="797604275">
      <w:bodyDiv w:val="1"/>
      <w:marLeft w:val="0"/>
      <w:marRight w:val="0"/>
      <w:marTop w:val="0"/>
      <w:marBottom w:val="0"/>
      <w:divBdr>
        <w:top w:val="none" w:sz="0" w:space="0" w:color="auto"/>
        <w:left w:val="none" w:sz="0" w:space="0" w:color="auto"/>
        <w:bottom w:val="none" w:sz="0" w:space="0" w:color="auto"/>
        <w:right w:val="none" w:sz="0" w:space="0" w:color="auto"/>
      </w:divBdr>
    </w:div>
    <w:div w:id="798180730">
      <w:bodyDiv w:val="1"/>
      <w:marLeft w:val="0"/>
      <w:marRight w:val="0"/>
      <w:marTop w:val="0"/>
      <w:marBottom w:val="0"/>
      <w:divBdr>
        <w:top w:val="none" w:sz="0" w:space="0" w:color="auto"/>
        <w:left w:val="none" w:sz="0" w:space="0" w:color="auto"/>
        <w:bottom w:val="none" w:sz="0" w:space="0" w:color="auto"/>
        <w:right w:val="none" w:sz="0" w:space="0" w:color="auto"/>
      </w:divBdr>
    </w:div>
    <w:div w:id="803697956">
      <w:bodyDiv w:val="1"/>
      <w:marLeft w:val="0"/>
      <w:marRight w:val="0"/>
      <w:marTop w:val="0"/>
      <w:marBottom w:val="0"/>
      <w:divBdr>
        <w:top w:val="none" w:sz="0" w:space="0" w:color="auto"/>
        <w:left w:val="none" w:sz="0" w:space="0" w:color="auto"/>
        <w:bottom w:val="none" w:sz="0" w:space="0" w:color="auto"/>
        <w:right w:val="none" w:sz="0" w:space="0" w:color="auto"/>
      </w:divBdr>
    </w:div>
    <w:div w:id="803736982">
      <w:bodyDiv w:val="1"/>
      <w:marLeft w:val="0"/>
      <w:marRight w:val="0"/>
      <w:marTop w:val="0"/>
      <w:marBottom w:val="0"/>
      <w:divBdr>
        <w:top w:val="none" w:sz="0" w:space="0" w:color="auto"/>
        <w:left w:val="none" w:sz="0" w:space="0" w:color="auto"/>
        <w:bottom w:val="none" w:sz="0" w:space="0" w:color="auto"/>
        <w:right w:val="none" w:sz="0" w:space="0" w:color="auto"/>
      </w:divBdr>
    </w:div>
    <w:div w:id="805125578">
      <w:bodyDiv w:val="1"/>
      <w:marLeft w:val="0"/>
      <w:marRight w:val="0"/>
      <w:marTop w:val="0"/>
      <w:marBottom w:val="0"/>
      <w:divBdr>
        <w:top w:val="none" w:sz="0" w:space="0" w:color="auto"/>
        <w:left w:val="none" w:sz="0" w:space="0" w:color="auto"/>
        <w:bottom w:val="none" w:sz="0" w:space="0" w:color="auto"/>
        <w:right w:val="none" w:sz="0" w:space="0" w:color="auto"/>
      </w:divBdr>
    </w:div>
    <w:div w:id="811093789">
      <w:bodyDiv w:val="1"/>
      <w:marLeft w:val="0"/>
      <w:marRight w:val="0"/>
      <w:marTop w:val="0"/>
      <w:marBottom w:val="0"/>
      <w:divBdr>
        <w:top w:val="none" w:sz="0" w:space="0" w:color="auto"/>
        <w:left w:val="none" w:sz="0" w:space="0" w:color="auto"/>
        <w:bottom w:val="none" w:sz="0" w:space="0" w:color="auto"/>
        <w:right w:val="none" w:sz="0" w:space="0" w:color="auto"/>
      </w:divBdr>
    </w:div>
    <w:div w:id="818307575">
      <w:bodyDiv w:val="1"/>
      <w:marLeft w:val="0"/>
      <w:marRight w:val="0"/>
      <w:marTop w:val="0"/>
      <w:marBottom w:val="0"/>
      <w:divBdr>
        <w:top w:val="none" w:sz="0" w:space="0" w:color="auto"/>
        <w:left w:val="none" w:sz="0" w:space="0" w:color="auto"/>
        <w:bottom w:val="none" w:sz="0" w:space="0" w:color="auto"/>
        <w:right w:val="none" w:sz="0" w:space="0" w:color="auto"/>
      </w:divBdr>
    </w:div>
    <w:div w:id="824975465">
      <w:bodyDiv w:val="1"/>
      <w:marLeft w:val="0"/>
      <w:marRight w:val="0"/>
      <w:marTop w:val="0"/>
      <w:marBottom w:val="0"/>
      <w:divBdr>
        <w:top w:val="none" w:sz="0" w:space="0" w:color="auto"/>
        <w:left w:val="none" w:sz="0" w:space="0" w:color="auto"/>
        <w:bottom w:val="none" w:sz="0" w:space="0" w:color="auto"/>
        <w:right w:val="none" w:sz="0" w:space="0" w:color="auto"/>
      </w:divBdr>
      <w:divsChild>
        <w:div w:id="712508384">
          <w:marLeft w:val="0"/>
          <w:marRight w:val="0"/>
          <w:marTop w:val="0"/>
          <w:marBottom w:val="0"/>
          <w:divBdr>
            <w:top w:val="none" w:sz="0" w:space="0" w:color="auto"/>
            <w:left w:val="none" w:sz="0" w:space="0" w:color="auto"/>
            <w:bottom w:val="none" w:sz="0" w:space="0" w:color="auto"/>
            <w:right w:val="none" w:sz="0" w:space="0" w:color="auto"/>
          </w:divBdr>
        </w:div>
      </w:divsChild>
    </w:div>
    <w:div w:id="826366506">
      <w:bodyDiv w:val="1"/>
      <w:marLeft w:val="0"/>
      <w:marRight w:val="0"/>
      <w:marTop w:val="0"/>
      <w:marBottom w:val="0"/>
      <w:divBdr>
        <w:top w:val="none" w:sz="0" w:space="0" w:color="auto"/>
        <w:left w:val="none" w:sz="0" w:space="0" w:color="auto"/>
        <w:bottom w:val="none" w:sz="0" w:space="0" w:color="auto"/>
        <w:right w:val="none" w:sz="0" w:space="0" w:color="auto"/>
      </w:divBdr>
    </w:div>
    <w:div w:id="827130418">
      <w:bodyDiv w:val="1"/>
      <w:marLeft w:val="0"/>
      <w:marRight w:val="0"/>
      <w:marTop w:val="0"/>
      <w:marBottom w:val="0"/>
      <w:divBdr>
        <w:top w:val="none" w:sz="0" w:space="0" w:color="auto"/>
        <w:left w:val="none" w:sz="0" w:space="0" w:color="auto"/>
        <w:bottom w:val="none" w:sz="0" w:space="0" w:color="auto"/>
        <w:right w:val="none" w:sz="0" w:space="0" w:color="auto"/>
      </w:divBdr>
    </w:div>
    <w:div w:id="829173104">
      <w:bodyDiv w:val="1"/>
      <w:marLeft w:val="0"/>
      <w:marRight w:val="0"/>
      <w:marTop w:val="0"/>
      <w:marBottom w:val="0"/>
      <w:divBdr>
        <w:top w:val="none" w:sz="0" w:space="0" w:color="auto"/>
        <w:left w:val="none" w:sz="0" w:space="0" w:color="auto"/>
        <w:bottom w:val="none" w:sz="0" w:space="0" w:color="auto"/>
        <w:right w:val="none" w:sz="0" w:space="0" w:color="auto"/>
      </w:divBdr>
    </w:div>
    <w:div w:id="830752130">
      <w:bodyDiv w:val="1"/>
      <w:marLeft w:val="0"/>
      <w:marRight w:val="0"/>
      <w:marTop w:val="0"/>
      <w:marBottom w:val="0"/>
      <w:divBdr>
        <w:top w:val="none" w:sz="0" w:space="0" w:color="auto"/>
        <w:left w:val="none" w:sz="0" w:space="0" w:color="auto"/>
        <w:bottom w:val="none" w:sz="0" w:space="0" w:color="auto"/>
        <w:right w:val="none" w:sz="0" w:space="0" w:color="auto"/>
      </w:divBdr>
    </w:div>
    <w:div w:id="833303984">
      <w:bodyDiv w:val="1"/>
      <w:marLeft w:val="0"/>
      <w:marRight w:val="0"/>
      <w:marTop w:val="0"/>
      <w:marBottom w:val="0"/>
      <w:divBdr>
        <w:top w:val="none" w:sz="0" w:space="0" w:color="auto"/>
        <w:left w:val="none" w:sz="0" w:space="0" w:color="auto"/>
        <w:bottom w:val="none" w:sz="0" w:space="0" w:color="auto"/>
        <w:right w:val="none" w:sz="0" w:space="0" w:color="auto"/>
      </w:divBdr>
      <w:divsChild>
        <w:div w:id="1245184185">
          <w:marLeft w:val="0"/>
          <w:marRight w:val="0"/>
          <w:marTop w:val="0"/>
          <w:marBottom w:val="0"/>
          <w:divBdr>
            <w:top w:val="single" w:sz="2" w:space="0" w:color="E5E7EB"/>
            <w:left w:val="single" w:sz="2" w:space="0" w:color="E5E7EB"/>
            <w:bottom w:val="single" w:sz="2" w:space="0" w:color="E5E7EB"/>
            <w:right w:val="single" w:sz="2" w:space="0" w:color="E5E7EB"/>
          </w:divBdr>
          <w:divsChild>
            <w:div w:id="10383135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834418925">
      <w:bodyDiv w:val="1"/>
      <w:marLeft w:val="0"/>
      <w:marRight w:val="0"/>
      <w:marTop w:val="0"/>
      <w:marBottom w:val="0"/>
      <w:divBdr>
        <w:top w:val="none" w:sz="0" w:space="0" w:color="auto"/>
        <w:left w:val="none" w:sz="0" w:space="0" w:color="auto"/>
        <w:bottom w:val="none" w:sz="0" w:space="0" w:color="auto"/>
        <w:right w:val="none" w:sz="0" w:space="0" w:color="auto"/>
      </w:divBdr>
    </w:div>
    <w:div w:id="834422831">
      <w:bodyDiv w:val="1"/>
      <w:marLeft w:val="0"/>
      <w:marRight w:val="0"/>
      <w:marTop w:val="0"/>
      <w:marBottom w:val="0"/>
      <w:divBdr>
        <w:top w:val="none" w:sz="0" w:space="0" w:color="auto"/>
        <w:left w:val="none" w:sz="0" w:space="0" w:color="auto"/>
        <w:bottom w:val="none" w:sz="0" w:space="0" w:color="auto"/>
        <w:right w:val="none" w:sz="0" w:space="0" w:color="auto"/>
      </w:divBdr>
    </w:div>
    <w:div w:id="836266754">
      <w:bodyDiv w:val="1"/>
      <w:marLeft w:val="0"/>
      <w:marRight w:val="0"/>
      <w:marTop w:val="0"/>
      <w:marBottom w:val="0"/>
      <w:divBdr>
        <w:top w:val="none" w:sz="0" w:space="0" w:color="auto"/>
        <w:left w:val="none" w:sz="0" w:space="0" w:color="auto"/>
        <w:bottom w:val="none" w:sz="0" w:space="0" w:color="auto"/>
        <w:right w:val="none" w:sz="0" w:space="0" w:color="auto"/>
      </w:divBdr>
      <w:divsChild>
        <w:div w:id="251009264">
          <w:marLeft w:val="0"/>
          <w:marRight w:val="0"/>
          <w:marTop w:val="0"/>
          <w:marBottom w:val="0"/>
          <w:divBdr>
            <w:top w:val="none" w:sz="0" w:space="0" w:color="auto"/>
            <w:left w:val="none" w:sz="0" w:space="0" w:color="auto"/>
            <w:bottom w:val="none" w:sz="0" w:space="0" w:color="auto"/>
            <w:right w:val="none" w:sz="0" w:space="0" w:color="auto"/>
          </w:divBdr>
        </w:div>
        <w:div w:id="828986495">
          <w:marLeft w:val="0"/>
          <w:marRight w:val="0"/>
          <w:marTop w:val="0"/>
          <w:marBottom w:val="0"/>
          <w:divBdr>
            <w:top w:val="none" w:sz="0" w:space="0" w:color="auto"/>
            <w:left w:val="none" w:sz="0" w:space="0" w:color="auto"/>
            <w:bottom w:val="none" w:sz="0" w:space="0" w:color="auto"/>
            <w:right w:val="none" w:sz="0" w:space="0" w:color="auto"/>
          </w:divBdr>
        </w:div>
      </w:divsChild>
    </w:div>
    <w:div w:id="838040034">
      <w:bodyDiv w:val="1"/>
      <w:marLeft w:val="0"/>
      <w:marRight w:val="0"/>
      <w:marTop w:val="0"/>
      <w:marBottom w:val="0"/>
      <w:divBdr>
        <w:top w:val="none" w:sz="0" w:space="0" w:color="auto"/>
        <w:left w:val="none" w:sz="0" w:space="0" w:color="auto"/>
        <w:bottom w:val="none" w:sz="0" w:space="0" w:color="auto"/>
        <w:right w:val="none" w:sz="0" w:space="0" w:color="auto"/>
      </w:divBdr>
    </w:div>
    <w:div w:id="846096882">
      <w:bodyDiv w:val="1"/>
      <w:marLeft w:val="0"/>
      <w:marRight w:val="0"/>
      <w:marTop w:val="0"/>
      <w:marBottom w:val="0"/>
      <w:divBdr>
        <w:top w:val="none" w:sz="0" w:space="0" w:color="auto"/>
        <w:left w:val="none" w:sz="0" w:space="0" w:color="auto"/>
        <w:bottom w:val="none" w:sz="0" w:space="0" w:color="auto"/>
        <w:right w:val="none" w:sz="0" w:space="0" w:color="auto"/>
      </w:divBdr>
    </w:div>
    <w:div w:id="846483649">
      <w:bodyDiv w:val="1"/>
      <w:marLeft w:val="0"/>
      <w:marRight w:val="0"/>
      <w:marTop w:val="0"/>
      <w:marBottom w:val="0"/>
      <w:divBdr>
        <w:top w:val="none" w:sz="0" w:space="0" w:color="auto"/>
        <w:left w:val="none" w:sz="0" w:space="0" w:color="auto"/>
        <w:bottom w:val="none" w:sz="0" w:space="0" w:color="auto"/>
        <w:right w:val="none" w:sz="0" w:space="0" w:color="auto"/>
      </w:divBdr>
    </w:div>
    <w:div w:id="853612236">
      <w:bodyDiv w:val="1"/>
      <w:marLeft w:val="0"/>
      <w:marRight w:val="0"/>
      <w:marTop w:val="0"/>
      <w:marBottom w:val="0"/>
      <w:divBdr>
        <w:top w:val="none" w:sz="0" w:space="0" w:color="auto"/>
        <w:left w:val="none" w:sz="0" w:space="0" w:color="auto"/>
        <w:bottom w:val="none" w:sz="0" w:space="0" w:color="auto"/>
        <w:right w:val="none" w:sz="0" w:space="0" w:color="auto"/>
      </w:divBdr>
    </w:div>
    <w:div w:id="854657573">
      <w:bodyDiv w:val="1"/>
      <w:marLeft w:val="0"/>
      <w:marRight w:val="0"/>
      <w:marTop w:val="0"/>
      <w:marBottom w:val="0"/>
      <w:divBdr>
        <w:top w:val="none" w:sz="0" w:space="0" w:color="auto"/>
        <w:left w:val="none" w:sz="0" w:space="0" w:color="auto"/>
        <w:bottom w:val="none" w:sz="0" w:space="0" w:color="auto"/>
        <w:right w:val="none" w:sz="0" w:space="0" w:color="auto"/>
      </w:divBdr>
    </w:div>
    <w:div w:id="855534270">
      <w:bodyDiv w:val="1"/>
      <w:marLeft w:val="0"/>
      <w:marRight w:val="0"/>
      <w:marTop w:val="0"/>
      <w:marBottom w:val="0"/>
      <w:divBdr>
        <w:top w:val="none" w:sz="0" w:space="0" w:color="auto"/>
        <w:left w:val="none" w:sz="0" w:space="0" w:color="auto"/>
        <w:bottom w:val="none" w:sz="0" w:space="0" w:color="auto"/>
        <w:right w:val="none" w:sz="0" w:space="0" w:color="auto"/>
      </w:divBdr>
    </w:div>
    <w:div w:id="865564297">
      <w:bodyDiv w:val="1"/>
      <w:marLeft w:val="0"/>
      <w:marRight w:val="0"/>
      <w:marTop w:val="0"/>
      <w:marBottom w:val="0"/>
      <w:divBdr>
        <w:top w:val="none" w:sz="0" w:space="0" w:color="auto"/>
        <w:left w:val="none" w:sz="0" w:space="0" w:color="auto"/>
        <w:bottom w:val="none" w:sz="0" w:space="0" w:color="auto"/>
        <w:right w:val="none" w:sz="0" w:space="0" w:color="auto"/>
      </w:divBdr>
    </w:div>
    <w:div w:id="866679681">
      <w:bodyDiv w:val="1"/>
      <w:marLeft w:val="0"/>
      <w:marRight w:val="0"/>
      <w:marTop w:val="0"/>
      <w:marBottom w:val="0"/>
      <w:divBdr>
        <w:top w:val="none" w:sz="0" w:space="0" w:color="auto"/>
        <w:left w:val="none" w:sz="0" w:space="0" w:color="auto"/>
        <w:bottom w:val="none" w:sz="0" w:space="0" w:color="auto"/>
        <w:right w:val="none" w:sz="0" w:space="0" w:color="auto"/>
      </w:divBdr>
    </w:div>
    <w:div w:id="867791629">
      <w:bodyDiv w:val="1"/>
      <w:marLeft w:val="0"/>
      <w:marRight w:val="0"/>
      <w:marTop w:val="0"/>
      <w:marBottom w:val="0"/>
      <w:divBdr>
        <w:top w:val="none" w:sz="0" w:space="0" w:color="auto"/>
        <w:left w:val="none" w:sz="0" w:space="0" w:color="auto"/>
        <w:bottom w:val="none" w:sz="0" w:space="0" w:color="auto"/>
        <w:right w:val="none" w:sz="0" w:space="0" w:color="auto"/>
      </w:divBdr>
    </w:div>
    <w:div w:id="868493517">
      <w:bodyDiv w:val="1"/>
      <w:marLeft w:val="0"/>
      <w:marRight w:val="0"/>
      <w:marTop w:val="0"/>
      <w:marBottom w:val="0"/>
      <w:divBdr>
        <w:top w:val="none" w:sz="0" w:space="0" w:color="auto"/>
        <w:left w:val="none" w:sz="0" w:space="0" w:color="auto"/>
        <w:bottom w:val="none" w:sz="0" w:space="0" w:color="auto"/>
        <w:right w:val="none" w:sz="0" w:space="0" w:color="auto"/>
      </w:divBdr>
    </w:div>
    <w:div w:id="869610571">
      <w:bodyDiv w:val="1"/>
      <w:marLeft w:val="0"/>
      <w:marRight w:val="0"/>
      <w:marTop w:val="0"/>
      <w:marBottom w:val="0"/>
      <w:divBdr>
        <w:top w:val="none" w:sz="0" w:space="0" w:color="auto"/>
        <w:left w:val="none" w:sz="0" w:space="0" w:color="auto"/>
        <w:bottom w:val="none" w:sz="0" w:space="0" w:color="auto"/>
        <w:right w:val="none" w:sz="0" w:space="0" w:color="auto"/>
      </w:divBdr>
    </w:div>
    <w:div w:id="872036804">
      <w:bodyDiv w:val="1"/>
      <w:marLeft w:val="0"/>
      <w:marRight w:val="0"/>
      <w:marTop w:val="0"/>
      <w:marBottom w:val="0"/>
      <w:divBdr>
        <w:top w:val="none" w:sz="0" w:space="0" w:color="auto"/>
        <w:left w:val="none" w:sz="0" w:space="0" w:color="auto"/>
        <w:bottom w:val="none" w:sz="0" w:space="0" w:color="auto"/>
        <w:right w:val="none" w:sz="0" w:space="0" w:color="auto"/>
      </w:divBdr>
    </w:div>
    <w:div w:id="882014823">
      <w:bodyDiv w:val="1"/>
      <w:marLeft w:val="0"/>
      <w:marRight w:val="0"/>
      <w:marTop w:val="0"/>
      <w:marBottom w:val="0"/>
      <w:divBdr>
        <w:top w:val="none" w:sz="0" w:space="0" w:color="auto"/>
        <w:left w:val="none" w:sz="0" w:space="0" w:color="auto"/>
        <w:bottom w:val="none" w:sz="0" w:space="0" w:color="auto"/>
        <w:right w:val="none" w:sz="0" w:space="0" w:color="auto"/>
      </w:divBdr>
    </w:div>
    <w:div w:id="885795655">
      <w:bodyDiv w:val="1"/>
      <w:marLeft w:val="0"/>
      <w:marRight w:val="0"/>
      <w:marTop w:val="0"/>
      <w:marBottom w:val="0"/>
      <w:divBdr>
        <w:top w:val="none" w:sz="0" w:space="0" w:color="auto"/>
        <w:left w:val="none" w:sz="0" w:space="0" w:color="auto"/>
        <w:bottom w:val="none" w:sz="0" w:space="0" w:color="auto"/>
        <w:right w:val="none" w:sz="0" w:space="0" w:color="auto"/>
      </w:divBdr>
    </w:div>
    <w:div w:id="886574636">
      <w:bodyDiv w:val="1"/>
      <w:marLeft w:val="0"/>
      <w:marRight w:val="0"/>
      <w:marTop w:val="0"/>
      <w:marBottom w:val="0"/>
      <w:divBdr>
        <w:top w:val="none" w:sz="0" w:space="0" w:color="auto"/>
        <w:left w:val="none" w:sz="0" w:space="0" w:color="auto"/>
        <w:bottom w:val="none" w:sz="0" w:space="0" w:color="auto"/>
        <w:right w:val="none" w:sz="0" w:space="0" w:color="auto"/>
      </w:divBdr>
    </w:div>
    <w:div w:id="886910929">
      <w:bodyDiv w:val="1"/>
      <w:marLeft w:val="0"/>
      <w:marRight w:val="0"/>
      <w:marTop w:val="0"/>
      <w:marBottom w:val="0"/>
      <w:divBdr>
        <w:top w:val="none" w:sz="0" w:space="0" w:color="auto"/>
        <w:left w:val="none" w:sz="0" w:space="0" w:color="auto"/>
        <w:bottom w:val="none" w:sz="0" w:space="0" w:color="auto"/>
        <w:right w:val="none" w:sz="0" w:space="0" w:color="auto"/>
      </w:divBdr>
    </w:div>
    <w:div w:id="890266516">
      <w:bodyDiv w:val="1"/>
      <w:marLeft w:val="0"/>
      <w:marRight w:val="0"/>
      <w:marTop w:val="0"/>
      <w:marBottom w:val="0"/>
      <w:divBdr>
        <w:top w:val="none" w:sz="0" w:space="0" w:color="auto"/>
        <w:left w:val="none" w:sz="0" w:space="0" w:color="auto"/>
        <w:bottom w:val="none" w:sz="0" w:space="0" w:color="auto"/>
        <w:right w:val="none" w:sz="0" w:space="0" w:color="auto"/>
      </w:divBdr>
      <w:divsChild>
        <w:div w:id="382366469">
          <w:marLeft w:val="0"/>
          <w:marRight w:val="0"/>
          <w:marTop w:val="0"/>
          <w:marBottom w:val="0"/>
          <w:divBdr>
            <w:top w:val="none" w:sz="0" w:space="0" w:color="auto"/>
            <w:left w:val="none" w:sz="0" w:space="0" w:color="auto"/>
            <w:bottom w:val="none" w:sz="0" w:space="0" w:color="auto"/>
            <w:right w:val="none" w:sz="0" w:space="0" w:color="auto"/>
          </w:divBdr>
        </w:div>
        <w:div w:id="1999573434">
          <w:marLeft w:val="0"/>
          <w:marRight w:val="0"/>
          <w:marTop w:val="0"/>
          <w:marBottom w:val="0"/>
          <w:divBdr>
            <w:top w:val="none" w:sz="0" w:space="0" w:color="auto"/>
            <w:left w:val="none" w:sz="0" w:space="0" w:color="auto"/>
            <w:bottom w:val="none" w:sz="0" w:space="0" w:color="auto"/>
            <w:right w:val="none" w:sz="0" w:space="0" w:color="auto"/>
          </w:divBdr>
        </w:div>
      </w:divsChild>
    </w:div>
    <w:div w:id="891577917">
      <w:bodyDiv w:val="1"/>
      <w:marLeft w:val="0"/>
      <w:marRight w:val="0"/>
      <w:marTop w:val="0"/>
      <w:marBottom w:val="0"/>
      <w:divBdr>
        <w:top w:val="none" w:sz="0" w:space="0" w:color="auto"/>
        <w:left w:val="none" w:sz="0" w:space="0" w:color="auto"/>
        <w:bottom w:val="none" w:sz="0" w:space="0" w:color="auto"/>
        <w:right w:val="none" w:sz="0" w:space="0" w:color="auto"/>
      </w:divBdr>
    </w:div>
    <w:div w:id="901525624">
      <w:bodyDiv w:val="1"/>
      <w:marLeft w:val="0"/>
      <w:marRight w:val="0"/>
      <w:marTop w:val="0"/>
      <w:marBottom w:val="0"/>
      <w:divBdr>
        <w:top w:val="none" w:sz="0" w:space="0" w:color="auto"/>
        <w:left w:val="none" w:sz="0" w:space="0" w:color="auto"/>
        <w:bottom w:val="none" w:sz="0" w:space="0" w:color="auto"/>
        <w:right w:val="none" w:sz="0" w:space="0" w:color="auto"/>
      </w:divBdr>
    </w:div>
    <w:div w:id="908226233">
      <w:bodyDiv w:val="1"/>
      <w:marLeft w:val="0"/>
      <w:marRight w:val="0"/>
      <w:marTop w:val="0"/>
      <w:marBottom w:val="0"/>
      <w:divBdr>
        <w:top w:val="none" w:sz="0" w:space="0" w:color="auto"/>
        <w:left w:val="none" w:sz="0" w:space="0" w:color="auto"/>
        <w:bottom w:val="none" w:sz="0" w:space="0" w:color="auto"/>
        <w:right w:val="none" w:sz="0" w:space="0" w:color="auto"/>
      </w:divBdr>
    </w:div>
    <w:div w:id="909146885">
      <w:bodyDiv w:val="1"/>
      <w:marLeft w:val="0"/>
      <w:marRight w:val="0"/>
      <w:marTop w:val="0"/>
      <w:marBottom w:val="0"/>
      <w:divBdr>
        <w:top w:val="none" w:sz="0" w:space="0" w:color="auto"/>
        <w:left w:val="none" w:sz="0" w:space="0" w:color="auto"/>
        <w:bottom w:val="none" w:sz="0" w:space="0" w:color="auto"/>
        <w:right w:val="none" w:sz="0" w:space="0" w:color="auto"/>
      </w:divBdr>
    </w:div>
    <w:div w:id="909925984">
      <w:bodyDiv w:val="1"/>
      <w:marLeft w:val="0"/>
      <w:marRight w:val="0"/>
      <w:marTop w:val="0"/>
      <w:marBottom w:val="0"/>
      <w:divBdr>
        <w:top w:val="none" w:sz="0" w:space="0" w:color="auto"/>
        <w:left w:val="none" w:sz="0" w:space="0" w:color="auto"/>
        <w:bottom w:val="none" w:sz="0" w:space="0" w:color="auto"/>
        <w:right w:val="none" w:sz="0" w:space="0" w:color="auto"/>
      </w:divBdr>
      <w:divsChild>
        <w:div w:id="451754056">
          <w:blockQuote w:val="1"/>
          <w:marLeft w:val="0"/>
          <w:marRight w:val="0"/>
          <w:marTop w:val="384"/>
          <w:marBottom w:val="384"/>
          <w:divBdr>
            <w:top w:val="single" w:sz="2" w:space="0" w:color="auto"/>
            <w:left w:val="single" w:sz="2" w:space="0" w:color="auto"/>
            <w:bottom w:val="single" w:sz="2" w:space="0" w:color="auto"/>
            <w:right w:val="single" w:sz="2" w:space="0" w:color="auto"/>
          </w:divBdr>
        </w:div>
      </w:divsChild>
    </w:div>
    <w:div w:id="910390629">
      <w:bodyDiv w:val="1"/>
      <w:marLeft w:val="0"/>
      <w:marRight w:val="0"/>
      <w:marTop w:val="0"/>
      <w:marBottom w:val="0"/>
      <w:divBdr>
        <w:top w:val="none" w:sz="0" w:space="0" w:color="auto"/>
        <w:left w:val="none" w:sz="0" w:space="0" w:color="auto"/>
        <w:bottom w:val="none" w:sz="0" w:space="0" w:color="auto"/>
        <w:right w:val="none" w:sz="0" w:space="0" w:color="auto"/>
      </w:divBdr>
    </w:div>
    <w:div w:id="912348413">
      <w:bodyDiv w:val="1"/>
      <w:marLeft w:val="0"/>
      <w:marRight w:val="0"/>
      <w:marTop w:val="0"/>
      <w:marBottom w:val="0"/>
      <w:divBdr>
        <w:top w:val="none" w:sz="0" w:space="0" w:color="auto"/>
        <w:left w:val="none" w:sz="0" w:space="0" w:color="auto"/>
        <w:bottom w:val="none" w:sz="0" w:space="0" w:color="auto"/>
        <w:right w:val="none" w:sz="0" w:space="0" w:color="auto"/>
      </w:divBdr>
    </w:div>
    <w:div w:id="913395008">
      <w:bodyDiv w:val="1"/>
      <w:marLeft w:val="0"/>
      <w:marRight w:val="0"/>
      <w:marTop w:val="0"/>
      <w:marBottom w:val="0"/>
      <w:divBdr>
        <w:top w:val="none" w:sz="0" w:space="0" w:color="auto"/>
        <w:left w:val="none" w:sz="0" w:space="0" w:color="auto"/>
        <w:bottom w:val="none" w:sz="0" w:space="0" w:color="auto"/>
        <w:right w:val="none" w:sz="0" w:space="0" w:color="auto"/>
      </w:divBdr>
    </w:div>
    <w:div w:id="913781385">
      <w:bodyDiv w:val="1"/>
      <w:marLeft w:val="0"/>
      <w:marRight w:val="0"/>
      <w:marTop w:val="0"/>
      <w:marBottom w:val="0"/>
      <w:divBdr>
        <w:top w:val="none" w:sz="0" w:space="0" w:color="auto"/>
        <w:left w:val="none" w:sz="0" w:space="0" w:color="auto"/>
        <w:bottom w:val="none" w:sz="0" w:space="0" w:color="auto"/>
        <w:right w:val="none" w:sz="0" w:space="0" w:color="auto"/>
      </w:divBdr>
    </w:div>
    <w:div w:id="918907080">
      <w:bodyDiv w:val="1"/>
      <w:marLeft w:val="0"/>
      <w:marRight w:val="0"/>
      <w:marTop w:val="0"/>
      <w:marBottom w:val="0"/>
      <w:divBdr>
        <w:top w:val="none" w:sz="0" w:space="0" w:color="auto"/>
        <w:left w:val="none" w:sz="0" w:space="0" w:color="auto"/>
        <w:bottom w:val="none" w:sz="0" w:space="0" w:color="auto"/>
        <w:right w:val="none" w:sz="0" w:space="0" w:color="auto"/>
      </w:divBdr>
    </w:div>
    <w:div w:id="931935328">
      <w:bodyDiv w:val="1"/>
      <w:marLeft w:val="0"/>
      <w:marRight w:val="0"/>
      <w:marTop w:val="0"/>
      <w:marBottom w:val="0"/>
      <w:divBdr>
        <w:top w:val="none" w:sz="0" w:space="0" w:color="auto"/>
        <w:left w:val="none" w:sz="0" w:space="0" w:color="auto"/>
        <w:bottom w:val="none" w:sz="0" w:space="0" w:color="auto"/>
        <w:right w:val="none" w:sz="0" w:space="0" w:color="auto"/>
      </w:divBdr>
    </w:div>
    <w:div w:id="933049007">
      <w:bodyDiv w:val="1"/>
      <w:marLeft w:val="0"/>
      <w:marRight w:val="0"/>
      <w:marTop w:val="0"/>
      <w:marBottom w:val="0"/>
      <w:divBdr>
        <w:top w:val="none" w:sz="0" w:space="0" w:color="auto"/>
        <w:left w:val="none" w:sz="0" w:space="0" w:color="auto"/>
        <w:bottom w:val="none" w:sz="0" w:space="0" w:color="auto"/>
        <w:right w:val="none" w:sz="0" w:space="0" w:color="auto"/>
      </w:divBdr>
    </w:div>
    <w:div w:id="933518785">
      <w:bodyDiv w:val="1"/>
      <w:marLeft w:val="0"/>
      <w:marRight w:val="0"/>
      <w:marTop w:val="0"/>
      <w:marBottom w:val="0"/>
      <w:divBdr>
        <w:top w:val="none" w:sz="0" w:space="0" w:color="auto"/>
        <w:left w:val="none" w:sz="0" w:space="0" w:color="auto"/>
        <w:bottom w:val="none" w:sz="0" w:space="0" w:color="auto"/>
        <w:right w:val="none" w:sz="0" w:space="0" w:color="auto"/>
      </w:divBdr>
    </w:div>
    <w:div w:id="942303419">
      <w:bodyDiv w:val="1"/>
      <w:marLeft w:val="0"/>
      <w:marRight w:val="0"/>
      <w:marTop w:val="0"/>
      <w:marBottom w:val="0"/>
      <w:divBdr>
        <w:top w:val="none" w:sz="0" w:space="0" w:color="auto"/>
        <w:left w:val="none" w:sz="0" w:space="0" w:color="auto"/>
        <w:bottom w:val="none" w:sz="0" w:space="0" w:color="auto"/>
        <w:right w:val="none" w:sz="0" w:space="0" w:color="auto"/>
      </w:divBdr>
    </w:div>
    <w:div w:id="943924613">
      <w:bodyDiv w:val="1"/>
      <w:marLeft w:val="0"/>
      <w:marRight w:val="0"/>
      <w:marTop w:val="0"/>
      <w:marBottom w:val="0"/>
      <w:divBdr>
        <w:top w:val="none" w:sz="0" w:space="0" w:color="auto"/>
        <w:left w:val="none" w:sz="0" w:space="0" w:color="auto"/>
        <w:bottom w:val="none" w:sz="0" w:space="0" w:color="auto"/>
        <w:right w:val="none" w:sz="0" w:space="0" w:color="auto"/>
      </w:divBdr>
    </w:div>
    <w:div w:id="954213034">
      <w:bodyDiv w:val="1"/>
      <w:marLeft w:val="0"/>
      <w:marRight w:val="0"/>
      <w:marTop w:val="0"/>
      <w:marBottom w:val="0"/>
      <w:divBdr>
        <w:top w:val="none" w:sz="0" w:space="0" w:color="auto"/>
        <w:left w:val="none" w:sz="0" w:space="0" w:color="auto"/>
        <w:bottom w:val="none" w:sz="0" w:space="0" w:color="auto"/>
        <w:right w:val="none" w:sz="0" w:space="0" w:color="auto"/>
      </w:divBdr>
    </w:div>
    <w:div w:id="961618401">
      <w:bodyDiv w:val="1"/>
      <w:marLeft w:val="0"/>
      <w:marRight w:val="0"/>
      <w:marTop w:val="0"/>
      <w:marBottom w:val="0"/>
      <w:divBdr>
        <w:top w:val="none" w:sz="0" w:space="0" w:color="auto"/>
        <w:left w:val="none" w:sz="0" w:space="0" w:color="auto"/>
        <w:bottom w:val="none" w:sz="0" w:space="0" w:color="auto"/>
        <w:right w:val="none" w:sz="0" w:space="0" w:color="auto"/>
      </w:divBdr>
    </w:div>
    <w:div w:id="965159738">
      <w:bodyDiv w:val="1"/>
      <w:marLeft w:val="0"/>
      <w:marRight w:val="0"/>
      <w:marTop w:val="0"/>
      <w:marBottom w:val="0"/>
      <w:divBdr>
        <w:top w:val="none" w:sz="0" w:space="0" w:color="auto"/>
        <w:left w:val="none" w:sz="0" w:space="0" w:color="auto"/>
        <w:bottom w:val="none" w:sz="0" w:space="0" w:color="auto"/>
        <w:right w:val="none" w:sz="0" w:space="0" w:color="auto"/>
      </w:divBdr>
    </w:div>
    <w:div w:id="970213197">
      <w:bodyDiv w:val="1"/>
      <w:marLeft w:val="0"/>
      <w:marRight w:val="0"/>
      <w:marTop w:val="0"/>
      <w:marBottom w:val="0"/>
      <w:divBdr>
        <w:top w:val="none" w:sz="0" w:space="0" w:color="auto"/>
        <w:left w:val="none" w:sz="0" w:space="0" w:color="auto"/>
        <w:bottom w:val="none" w:sz="0" w:space="0" w:color="auto"/>
        <w:right w:val="none" w:sz="0" w:space="0" w:color="auto"/>
      </w:divBdr>
    </w:div>
    <w:div w:id="970549896">
      <w:bodyDiv w:val="1"/>
      <w:marLeft w:val="0"/>
      <w:marRight w:val="0"/>
      <w:marTop w:val="0"/>
      <w:marBottom w:val="0"/>
      <w:divBdr>
        <w:top w:val="none" w:sz="0" w:space="0" w:color="auto"/>
        <w:left w:val="none" w:sz="0" w:space="0" w:color="auto"/>
        <w:bottom w:val="none" w:sz="0" w:space="0" w:color="auto"/>
        <w:right w:val="none" w:sz="0" w:space="0" w:color="auto"/>
      </w:divBdr>
    </w:div>
    <w:div w:id="979648266">
      <w:bodyDiv w:val="1"/>
      <w:marLeft w:val="0"/>
      <w:marRight w:val="0"/>
      <w:marTop w:val="0"/>
      <w:marBottom w:val="0"/>
      <w:divBdr>
        <w:top w:val="none" w:sz="0" w:space="0" w:color="auto"/>
        <w:left w:val="none" w:sz="0" w:space="0" w:color="auto"/>
        <w:bottom w:val="none" w:sz="0" w:space="0" w:color="auto"/>
        <w:right w:val="none" w:sz="0" w:space="0" w:color="auto"/>
      </w:divBdr>
    </w:div>
    <w:div w:id="980310912">
      <w:bodyDiv w:val="1"/>
      <w:marLeft w:val="0"/>
      <w:marRight w:val="0"/>
      <w:marTop w:val="0"/>
      <w:marBottom w:val="0"/>
      <w:divBdr>
        <w:top w:val="none" w:sz="0" w:space="0" w:color="auto"/>
        <w:left w:val="none" w:sz="0" w:space="0" w:color="auto"/>
        <w:bottom w:val="none" w:sz="0" w:space="0" w:color="auto"/>
        <w:right w:val="none" w:sz="0" w:space="0" w:color="auto"/>
      </w:divBdr>
      <w:divsChild>
        <w:div w:id="19339696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80618467">
      <w:bodyDiv w:val="1"/>
      <w:marLeft w:val="0"/>
      <w:marRight w:val="0"/>
      <w:marTop w:val="0"/>
      <w:marBottom w:val="0"/>
      <w:divBdr>
        <w:top w:val="none" w:sz="0" w:space="0" w:color="auto"/>
        <w:left w:val="none" w:sz="0" w:space="0" w:color="auto"/>
        <w:bottom w:val="none" w:sz="0" w:space="0" w:color="auto"/>
        <w:right w:val="none" w:sz="0" w:space="0" w:color="auto"/>
      </w:divBdr>
    </w:div>
    <w:div w:id="982007678">
      <w:bodyDiv w:val="1"/>
      <w:marLeft w:val="0"/>
      <w:marRight w:val="0"/>
      <w:marTop w:val="0"/>
      <w:marBottom w:val="0"/>
      <w:divBdr>
        <w:top w:val="none" w:sz="0" w:space="0" w:color="auto"/>
        <w:left w:val="none" w:sz="0" w:space="0" w:color="auto"/>
        <w:bottom w:val="none" w:sz="0" w:space="0" w:color="auto"/>
        <w:right w:val="none" w:sz="0" w:space="0" w:color="auto"/>
      </w:divBdr>
    </w:div>
    <w:div w:id="983776859">
      <w:bodyDiv w:val="1"/>
      <w:marLeft w:val="0"/>
      <w:marRight w:val="0"/>
      <w:marTop w:val="0"/>
      <w:marBottom w:val="0"/>
      <w:divBdr>
        <w:top w:val="none" w:sz="0" w:space="0" w:color="auto"/>
        <w:left w:val="none" w:sz="0" w:space="0" w:color="auto"/>
        <w:bottom w:val="none" w:sz="0" w:space="0" w:color="auto"/>
        <w:right w:val="none" w:sz="0" w:space="0" w:color="auto"/>
      </w:divBdr>
      <w:divsChild>
        <w:div w:id="1295482120">
          <w:marLeft w:val="0"/>
          <w:marRight w:val="0"/>
          <w:marTop w:val="0"/>
          <w:marBottom w:val="0"/>
          <w:divBdr>
            <w:top w:val="none" w:sz="0" w:space="0" w:color="auto"/>
            <w:left w:val="none" w:sz="0" w:space="0" w:color="auto"/>
            <w:bottom w:val="none" w:sz="0" w:space="0" w:color="auto"/>
            <w:right w:val="none" w:sz="0" w:space="0" w:color="auto"/>
          </w:divBdr>
          <w:divsChild>
            <w:div w:id="1290667060">
              <w:marLeft w:val="0"/>
              <w:marRight w:val="0"/>
              <w:marTop w:val="0"/>
              <w:marBottom w:val="0"/>
              <w:divBdr>
                <w:top w:val="none" w:sz="0" w:space="0" w:color="auto"/>
                <w:left w:val="none" w:sz="0" w:space="0" w:color="auto"/>
                <w:bottom w:val="none" w:sz="0" w:space="0" w:color="auto"/>
                <w:right w:val="none" w:sz="0" w:space="0" w:color="auto"/>
              </w:divBdr>
              <w:divsChild>
                <w:div w:id="1742633027">
                  <w:marLeft w:val="0"/>
                  <w:marRight w:val="0"/>
                  <w:marTop w:val="0"/>
                  <w:marBottom w:val="0"/>
                  <w:divBdr>
                    <w:top w:val="none" w:sz="0" w:space="0" w:color="auto"/>
                    <w:left w:val="none" w:sz="0" w:space="0" w:color="auto"/>
                    <w:bottom w:val="none" w:sz="0" w:space="0" w:color="auto"/>
                    <w:right w:val="none" w:sz="0" w:space="0" w:color="auto"/>
                  </w:divBdr>
                  <w:divsChild>
                    <w:div w:id="122386536">
                      <w:marLeft w:val="0"/>
                      <w:marRight w:val="0"/>
                      <w:marTop w:val="0"/>
                      <w:marBottom w:val="0"/>
                      <w:divBdr>
                        <w:top w:val="none" w:sz="0" w:space="0" w:color="auto"/>
                        <w:left w:val="none" w:sz="0" w:space="0" w:color="auto"/>
                        <w:bottom w:val="none" w:sz="0" w:space="0" w:color="auto"/>
                        <w:right w:val="none" w:sz="0" w:space="0" w:color="auto"/>
                      </w:divBdr>
                    </w:div>
                  </w:divsChild>
                </w:div>
                <w:div w:id="1868791644">
                  <w:marLeft w:val="0"/>
                  <w:marRight w:val="0"/>
                  <w:marTop w:val="0"/>
                  <w:marBottom w:val="0"/>
                  <w:divBdr>
                    <w:top w:val="none" w:sz="0" w:space="0" w:color="auto"/>
                    <w:left w:val="none" w:sz="0" w:space="0" w:color="auto"/>
                    <w:bottom w:val="none" w:sz="0" w:space="0" w:color="auto"/>
                    <w:right w:val="none" w:sz="0" w:space="0" w:color="auto"/>
                  </w:divBdr>
                  <w:divsChild>
                    <w:div w:id="74731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550284">
          <w:marLeft w:val="0"/>
          <w:marRight w:val="0"/>
          <w:marTop w:val="0"/>
          <w:marBottom w:val="0"/>
          <w:divBdr>
            <w:top w:val="none" w:sz="0" w:space="0" w:color="auto"/>
            <w:left w:val="none" w:sz="0" w:space="0" w:color="auto"/>
            <w:bottom w:val="none" w:sz="0" w:space="0" w:color="auto"/>
            <w:right w:val="none" w:sz="0" w:space="0" w:color="auto"/>
          </w:divBdr>
        </w:div>
      </w:divsChild>
    </w:div>
    <w:div w:id="986783916">
      <w:bodyDiv w:val="1"/>
      <w:marLeft w:val="0"/>
      <w:marRight w:val="0"/>
      <w:marTop w:val="0"/>
      <w:marBottom w:val="0"/>
      <w:divBdr>
        <w:top w:val="none" w:sz="0" w:space="0" w:color="auto"/>
        <w:left w:val="none" w:sz="0" w:space="0" w:color="auto"/>
        <w:bottom w:val="none" w:sz="0" w:space="0" w:color="auto"/>
        <w:right w:val="none" w:sz="0" w:space="0" w:color="auto"/>
      </w:divBdr>
      <w:divsChild>
        <w:div w:id="1032921063">
          <w:marLeft w:val="0"/>
          <w:marRight w:val="0"/>
          <w:marTop w:val="0"/>
          <w:marBottom w:val="0"/>
          <w:divBdr>
            <w:top w:val="none" w:sz="0" w:space="0" w:color="auto"/>
            <w:left w:val="none" w:sz="0" w:space="0" w:color="auto"/>
            <w:bottom w:val="none" w:sz="0" w:space="0" w:color="auto"/>
            <w:right w:val="none" w:sz="0" w:space="0" w:color="auto"/>
          </w:divBdr>
        </w:div>
        <w:div w:id="2085058987">
          <w:marLeft w:val="0"/>
          <w:marRight w:val="0"/>
          <w:marTop w:val="0"/>
          <w:marBottom w:val="0"/>
          <w:divBdr>
            <w:top w:val="none" w:sz="0" w:space="0" w:color="auto"/>
            <w:left w:val="none" w:sz="0" w:space="0" w:color="auto"/>
            <w:bottom w:val="none" w:sz="0" w:space="0" w:color="auto"/>
            <w:right w:val="none" w:sz="0" w:space="0" w:color="auto"/>
          </w:divBdr>
        </w:div>
      </w:divsChild>
    </w:div>
    <w:div w:id="991131341">
      <w:bodyDiv w:val="1"/>
      <w:marLeft w:val="0"/>
      <w:marRight w:val="0"/>
      <w:marTop w:val="0"/>
      <w:marBottom w:val="0"/>
      <w:divBdr>
        <w:top w:val="none" w:sz="0" w:space="0" w:color="auto"/>
        <w:left w:val="none" w:sz="0" w:space="0" w:color="auto"/>
        <w:bottom w:val="none" w:sz="0" w:space="0" w:color="auto"/>
        <w:right w:val="none" w:sz="0" w:space="0" w:color="auto"/>
      </w:divBdr>
    </w:div>
    <w:div w:id="992373462">
      <w:bodyDiv w:val="1"/>
      <w:marLeft w:val="0"/>
      <w:marRight w:val="0"/>
      <w:marTop w:val="0"/>
      <w:marBottom w:val="0"/>
      <w:divBdr>
        <w:top w:val="none" w:sz="0" w:space="0" w:color="auto"/>
        <w:left w:val="none" w:sz="0" w:space="0" w:color="auto"/>
        <w:bottom w:val="none" w:sz="0" w:space="0" w:color="auto"/>
        <w:right w:val="none" w:sz="0" w:space="0" w:color="auto"/>
      </w:divBdr>
    </w:div>
    <w:div w:id="993414607">
      <w:bodyDiv w:val="1"/>
      <w:marLeft w:val="0"/>
      <w:marRight w:val="0"/>
      <w:marTop w:val="0"/>
      <w:marBottom w:val="0"/>
      <w:divBdr>
        <w:top w:val="none" w:sz="0" w:space="0" w:color="auto"/>
        <w:left w:val="none" w:sz="0" w:space="0" w:color="auto"/>
        <w:bottom w:val="none" w:sz="0" w:space="0" w:color="auto"/>
        <w:right w:val="none" w:sz="0" w:space="0" w:color="auto"/>
      </w:divBdr>
    </w:div>
    <w:div w:id="993682125">
      <w:bodyDiv w:val="1"/>
      <w:marLeft w:val="0"/>
      <w:marRight w:val="0"/>
      <w:marTop w:val="0"/>
      <w:marBottom w:val="0"/>
      <w:divBdr>
        <w:top w:val="none" w:sz="0" w:space="0" w:color="auto"/>
        <w:left w:val="none" w:sz="0" w:space="0" w:color="auto"/>
        <w:bottom w:val="none" w:sz="0" w:space="0" w:color="auto"/>
        <w:right w:val="none" w:sz="0" w:space="0" w:color="auto"/>
      </w:divBdr>
    </w:div>
    <w:div w:id="1000156852">
      <w:bodyDiv w:val="1"/>
      <w:marLeft w:val="0"/>
      <w:marRight w:val="0"/>
      <w:marTop w:val="0"/>
      <w:marBottom w:val="0"/>
      <w:divBdr>
        <w:top w:val="none" w:sz="0" w:space="0" w:color="auto"/>
        <w:left w:val="none" w:sz="0" w:space="0" w:color="auto"/>
        <w:bottom w:val="none" w:sz="0" w:space="0" w:color="auto"/>
        <w:right w:val="none" w:sz="0" w:space="0" w:color="auto"/>
      </w:divBdr>
    </w:div>
    <w:div w:id="1000736869">
      <w:bodyDiv w:val="1"/>
      <w:marLeft w:val="0"/>
      <w:marRight w:val="0"/>
      <w:marTop w:val="0"/>
      <w:marBottom w:val="0"/>
      <w:divBdr>
        <w:top w:val="none" w:sz="0" w:space="0" w:color="auto"/>
        <w:left w:val="none" w:sz="0" w:space="0" w:color="auto"/>
        <w:bottom w:val="none" w:sz="0" w:space="0" w:color="auto"/>
        <w:right w:val="none" w:sz="0" w:space="0" w:color="auto"/>
      </w:divBdr>
    </w:div>
    <w:div w:id="1004358860">
      <w:bodyDiv w:val="1"/>
      <w:marLeft w:val="0"/>
      <w:marRight w:val="0"/>
      <w:marTop w:val="0"/>
      <w:marBottom w:val="0"/>
      <w:divBdr>
        <w:top w:val="none" w:sz="0" w:space="0" w:color="auto"/>
        <w:left w:val="none" w:sz="0" w:space="0" w:color="auto"/>
        <w:bottom w:val="none" w:sz="0" w:space="0" w:color="auto"/>
        <w:right w:val="none" w:sz="0" w:space="0" w:color="auto"/>
      </w:divBdr>
    </w:div>
    <w:div w:id="1019038758">
      <w:bodyDiv w:val="1"/>
      <w:marLeft w:val="0"/>
      <w:marRight w:val="0"/>
      <w:marTop w:val="0"/>
      <w:marBottom w:val="0"/>
      <w:divBdr>
        <w:top w:val="none" w:sz="0" w:space="0" w:color="auto"/>
        <w:left w:val="none" w:sz="0" w:space="0" w:color="auto"/>
        <w:bottom w:val="none" w:sz="0" w:space="0" w:color="auto"/>
        <w:right w:val="none" w:sz="0" w:space="0" w:color="auto"/>
      </w:divBdr>
    </w:div>
    <w:div w:id="1019240640">
      <w:bodyDiv w:val="1"/>
      <w:marLeft w:val="0"/>
      <w:marRight w:val="0"/>
      <w:marTop w:val="0"/>
      <w:marBottom w:val="0"/>
      <w:divBdr>
        <w:top w:val="none" w:sz="0" w:space="0" w:color="auto"/>
        <w:left w:val="none" w:sz="0" w:space="0" w:color="auto"/>
        <w:bottom w:val="none" w:sz="0" w:space="0" w:color="auto"/>
        <w:right w:val="none" w:sz="0" w:space="0" w:color="auto"/>
      </w:divBdr>
    </w:div>
    <w:div w:id="1025601097">
      <w:bodyDiv w:val="1"/>
      <w:marLeft w:val="0"/>
      <w:marRight w:val="0"/>
      <w:marTop w:val="0"/>
      <w:marBottom w:val="0"/>
      <w:divBdr>
        <w:top w:val="none" w:sz="0" w:space="0" w:color="auto"/>
        <w:left w:val="none" w:sz="0" w:space="0" w:color="auto"/>
        <w:bottom w:val="none" w:sz="0" w:space="0" w:color="auto"/>
        <w:right w:val="none" w:sz="0" w:space="0" w:color="auto"/>
      </w:divBdr>
    </w:div>
    <w:div w:id="1028415411">
      <w:bodyDiv w:val="1"/>
      <w:marLeft w:val="0"/>
      <w:marRight w:val="0"/>
      <w:marTop w:val="0"/>
      <w:marBottom w:val="0"/>
      <w:divBdr>
        <w:top w:val="none" w:sz="0" w:space="0" w:color="auto"/>
        <w:left w:val="none" w:sz="0" w:space="0" w:color="auto"/>
        <w:bottom w:val="none" w:sz="0" w:space="0" w:color="auto"/>
        <w:right w:val="none" w:sz="0" w:space="0" w:color="auto"/>
      </w:divBdr>
    </w:div>
    <w:div w:id="1029721804">
      <w:bodyDiv w:val="1"/>
      <w:marLeft w:val="0"/>
      <w:marRight w:val="0"/>
      <w:marTop w:val="0"/>
      <w:marBottom w:val="0"/>
      <w:divBdr>
        <w:top w:val="none" w:sz="0" w:space="0" w:color="auto"/>
        <w:left w:val="none" w:sz="0" w:space="0" w:color="auto"/>
        <w:bottom w:val="none" w:sz="0" w:space="0" w:color="auto"/>
        <w:right w:val="none" w:sz="0" w:space="0" w:color="auto"/>
      </w:divBdr>
    </w:div>
    <w:div w:id="1033769684">
      <w:bodyDiv w:val="1"/>
      <w:marLeft w:val="0"/>
      <w:marRight w:val="0"/>
      <w:marTop w:val="0"/>
      <w:marBottom w:val="0"/>
      <w:divBdr>
        <w:top w:val="none" w:sz="0" w:space="0" w:color="auto"/>
        <w:left w:val="none" w:sz="0" w:space="0" w:color="auto"/>
        <w:bottom w:val="none" w:sz="0" w:space="0" w:color="auto"/>
        <w:right w:val="none" w:sz="0" w:space="0" w:color="auto"/>
      </w:divBdr>
      <w:divsChild>
        <w:div w:id="1276909204">
          <w:marLeft w:val="0"/>
          <w:marRight w:val="0"/>
          <w:marTop w:val="0"/>
          <w:marBottom w:val="0"/>
          <w:divBdr>
            <w:top w:val="single" w:sz="2" w:space="0" w:color="auto"/>
            <w:left w:val="single" w:sz="2" w:space="0" w:color="auto"/>
            <w:bottom w:val="single" w:sz="2" w:space="0" w:color="auto"/>
            <w:right w:val="single" w:sz="2" w:space="0" w:color="auto"/>
          </w:divBdr>
          <w:divsChild>
            <w:div w:id="1577085187">
              <w:marLeft w:val="0"/>
              <w:marRight w:val="0"/>
              <w:marTop w:val="240"/>
              <w:marBottom w:val="240"/>
              <w:divBdr>
                <w:top w:val="single" w:sz="2" w:space="0" w:color="auto"/>
                <w:left w:val="single" w:sz="2" w:space="0" w:color="auto"/>
                <w:bottom w:val="single" w:sz="2" w:space="0" w:color="auto"/>
                <w:right w:val="single" w:sz="2" w:space="0" w:color="auto"/>
              </w:divBdr>
              <w:divsChild>
                <w:div w:id="1837646154">
                  <w:marLeft w:val="0"/>
                  <w:marRight w:val="0"/>
                  <w:marTop w:val="0"/>
                  <w:marBottom w:val="0"/>
                  <w:divBdr>
                    <w:top w:val="single" w:sz="2" w:space="0" w:color="auto"/>
                    <w:left w:val="single" w:sz="2" w:space="0" w:color="auto"/>
                    <w:bottom w:val="single" w:sz="2" w:space="0" w:color="auto"/>
                    <w:right w:val="single" w:sz="2" w:space="0" w:color="auto"/>
                  </w:divBdr>
                  <w:divsChild>
                    <w:div w:id="29425913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040669556">
      <w:bodyDiv w:val="1"/>
      <w:marLeft w:val="0"/>
      <w:marRight w:val="0"/>
      <w:marTop w:val="0"/>
      <w:marBottom w:val="0"/>
      <w:divBdr>
        <w:top w:val="none" w:sz="0" w:space="0" w:color="auto"/>
        <w:left w:val="none" w:sz="0" w:space="0" w:color="auto"/>
        <w:bottom w:val="none" w:sz="0" w:space="0" w:color="auto"/>
        <w:right w:val="none" w:sz="0" w:space="0" w:color="auto"/>
      </w:divBdr>
    </w:div>
    <w:div w:id="1048408717">
      <w:bodyDiv w:val="1"/>
      <w:marLeft w:val="0"/>
      <w:marRight w:val="0"/>
      <w:marTop w:val="0"/>
      <w:marBottom w:val="0"/>
      <w:divBdr>
        <w:top w:val="none" w:sz="0" w:space="0" w:color="auto"/>
        <w:left w:val="none" w:sz="0" w:space="0" w:color="auto"/>
        <w:bottom w:val="none" w:sz="0" w:space="0" w:color="auto"/>
        <w:right w:val="none" w:sz="0" w:space="0" w:color="auto"/>
      </w:divBdr>
    </w:div>
    <w:div w:id="1049956761">
      <w:bodyDiv w:val="1"/>
      <w:marLeft w:val="0"/>
      <w:marRight w:val="0"/>
      <w:marTop w:val="0"/>
      <w:marBottom w:val="0"/>
      <w:divBdr>
        <w:top w:val="none" w:sz="0" w:space="0" w:color="auto"/>
        <w:left w:val="none" w:sz="0" w:space="0" w:color="auto"/>
        <w:bottom w:val="none" w:sz="0" w:space="0" w:color="auto"/>
        <w:right w:val="none" w:sz="0" w:space="0" w:color="auto"/>
      </w:divBdr>
    </w:div>
    <w:div w:id="1054432418">
      <w:bodyDiv w:val="1"/>
      <w:marLeft w:val="0"/>
      <w:marRight w:val="0"/>
      <w:marTop w:val="0"/>
      <w:marBottom w:val="0"/>
      <w:divBdr>
        <w:top w:val="none" w:sz="0" w:space="0" w:color="auto"/>
        <w:left w:val="none" w:sz="0" w:space="0" w:color="auto"/>
        <w:bottom w:val="none" w:sz="0" w:space="0" w:color="auto"/>
        <w:right w:val="none" w:sz="0" w:space="0" w:color="auto"/>
      </w:divBdr>
    </w:div>
    <w:div w:id="1062018949">
      <w:bodyDiv w:val="1"/>
      <w:marLeft w:val="0"/>
      <w:marRight w:val="0"/>
      <w:marTop w:val="0"/>
      <w:marBottom w:val="0"/>
      <w:divBdr>
        <w:top w:val="none" w:sz="0" w:space="0" w:color="auto"/>
        <w:left w:val="none" w:sz="0" w:space="0" w:color="auto"/>
        <w:bottom w:val="none" w:sz="0" w:space="0" w:color="auto"/>
        <w:right w:val="none" w:sz="0" w:space="0" w:color="auto"/>
      </w:divBdr>
    </w:div>
    <w:div w:id="1065955790">
      <w:bodyDiv w:val="1"/>
      <w:marLeft w:val="0"/>
      <w:marRight w:val="0"/>
      <w:marTop w:val="0"/>
      <w:marBottom w:val="0"/>
      <w:divBdr>
        <w:top w:val="none" w:sz="0" w:space="0" w:color="auto"/>
        <w:left w:val="none" w:sz="0" w:space="0" w:color="auto"/>
        <w:bottom w:val="none" w:sz="0" w:space="0" w:color="auto"/>
        <w:right w:val="none" w:sz="0" w:space="0" w:color="auto"/>
      </w:divBdr>
    </w:div>
    <w:div w:id="1067844997">
      <w:bodyDiv w:val="1"/>
      <w:marLeft w:val="0"/>
      <w:marRight w:val="0"/>
      <w:marTop w:val="0"/>
      <w:marBottom w:val="0"/>
      <w:divBdr>
        <w:top w:val="none" w:sz="0" w:space="0" w:color="auto"/>
        <w:left w:val="none" w:sz="0" w:space="0" w:color="auto"/>
        <w:bottom w:val="none" w:sz="0" w:space="0" w:color="auto"/>
        <w:right w:val="none" w:sz="0" w:space="0" w:color="auto"/>
      </w:divBdr>
    </w:div>
    <w:div w:id="1070888888">
      <w:bodyDiv w:val="1"/>
      <w:marLeft w:val="0"/>
      <w:marRight w:val="0"/>
      <w:marTop w:val="0"/>
      <w:marBottom w:val="0"/>
      <w:divBdr>
        <w:top w:val="none" w:sz="0" w:space="0" w:color="auto"/>
        <w:left w:val="none" w:sz="0" w:space="0" w:color="auto"/>
        <w:bottom w:val="none" w:sz="0" w:space="0" w:color="auto"/>
        <w:right w:val="none" w:sz="0" w:space="0" w:color="auto"/>
      </w:divBdr>
    </w:div>
    <w:div w:id="1073698380">
      <w:bodyDiv w:val="1"/>
      <w:marLeft w:val="0"/>
      <w:marRight w:val="0"/>
      <w:marTop w:val="0"/>
      <w:marBottom w:val="0"/>
      <w:divBdr>
        <w:top w:val="none" w:sz="0" w:space="0" w:color="auto"/>
        <w:left w:val="none" w:sz="0" w:space="0" w:color="auto"/>
        <w:bottom w:val="none" w:sz="0" w:space="0" w:color="auto"/>
        <w:right w:val="none" w:sz="0" w:space="0" w:color="auto"/>
      </w:divBdr>
    </w:div>
    <w:div w:id="1075589087">
      <w:bodyDiv w:val="1"/>
      <w:marLeft w:val="0"/>
      <w:marRight w:val="0"/>
      <w:marTop w:val="0"/>
      <w:marBottom w:val="0"/>
      <w:divBdr>
        <w:top w:val="none" w:sz="0" w:space="0" w:color="auto"/>
        <w:left w:val="none" w:sz="0" w:space="0" w:color="auto"/>
        <w:bottom w:val="none" w:sz="0" w:space="0" w:color="auto"/>
        <w:right w:val="none" w:sz="0" w:space="0" w:color="auto"/>
      </w:divBdr>
      <w:divsChild>
        <w:div w:id="149905902">
          <w:marLeft w:val="0"/>
          <w:marRight w:val="0"/>
          <w:marTop w:val="0"/>
          <w:marBottom w:val="0"/>
          <w:divBdr>
            <w:top w:val="none" w:sz="0" w:space="0" w:color="auto"/>
            <w:left w:val="none" w:sz="0" w:space="0" w:color="auto"/>
            <w:bottom w:val="none" w:sz="0" w:space="0" w:color="auto"/>
            <w:right w:val="none" w:sz="0" w:space="0" w:color="auto"/>
          </w:divBdr>
          <w:divsChild>
            <w:div w:id="1771193552">
              <w:marLeft w:val="0"/>
              <w:marRight w:val="0"/>
              <w:marTop w:val="0"/>
              <w:marBottom w:val="0"/>
              <w:divBdr>
                <w:top w:val="none" w:sz="0" w:space="0" w:color="auto"/>
                <w:left w:val="none" w:sz="0" w:space="0" w:color="auto"/>
                <w:bottom w:val="none" w:sz="0" w:space="0" w:color="auto"/>
                <w:right w:val="none" w:sz="0" w:space="0" w:color="auto"/>
              </w:divBdr>
            </w:div>
          </w:divsChild>
        </w:div>
        <w:div w:id="163936218">
          <w:marLeft w:val="0"/>
          <w:marRight w:val="0"/>
          <w:marTop w:val="0"/>
          <w:marBottom w:val="0"/>
          <w:divBdr>
            <w:top w:val="none" w:sz="0" w:space="0" w:color="auto"/>
            <w:left w:val="none" w:sz="0" w:space="0" w:color="auto"/>
            <w:bottom w:val="none" w:sz="0" w:space="0" w:color="auto"/>
            <w:right w:val="none" w:sz="0" w:space="0" w:color="auto"/>
          </w:divBdr>
          <w:divsChild>
            <w:div w:id="1420633531">
              <w:marLeft w:val="0"/>
              <w:marRight w:val="0"/>
              <w:marTop w:val="0"/>
              <w:marBottom w:val="0"/>
              <w:divBdr>
                <w:top w:val="none" w:sz="0" w:space="0" w:color="auto"/>
                <w:left w:val="none" w:sz="0" w:space="0" w:color="auto"/>
                <w:bottom w:val="none" w:sz="0" w:space="0" w:color="auto"/>
                <w:right w:val="none" w:sz="0" w:space="0" w:color="auto"/>
              </w:divBdr>
            </w:div>
          </w:divsChild>
        </w:div>
        <w:div w:id="176038650">
          <w:marLeft w:val="0"/>
          <w:marRight w:val="0"/>
          <w:marTop w:val="0"/>
          <w:marBottom w:val="0"/>
          <w:divBdr>
            <w:top w:val="none" w:sz="0" w:space="0" w:color="auto"/>
            <w:left w:val="none" w:sz="0" w:space="0" w:color="auto"/>
            <w:bottom w:val="none" w:sz="0" w:space="0" w:color="auto"/>
            <w:right w:val="none" w:sz="0" w:space="0" w:color="auto"/>
          </w:divBdr>
          <w:divsChild>
            <w:div w:id="548306386">
              <w:marLeft w:val="0"/>
              <w:marRight w:val="0"/>
              <w:marTop w:val="0"/>
              <w:marBottom w:val="0"/>
              <w:divBdr>
                <w:top w:val="none" w:sz="0" w:space="0" w:color="auto"/>
                <w:left w:val="none" w:sz="0" w:space="0" w:color="auto"/>
                <w:bottom w:val="none" w:sz="0" w:space="0" w:color="auto"/>
                <w:right w:val="none" w:sz="0" w:space="0" w:color="auto"/>
              </w:divBdr>
            </w:div>
          </w:divsChild>
        </w:div>
        <w:div w:id="196084920">
          <w:marLeft w:val="0"/>
          <w:marRight w:val="0"/>
          <w:marTop w:val="0"/>
          <w:marBottom w:val="0"/>
          <w:divBdr>
            <w:top w:val="none" w:sz="0" w:space="0" w:color="auto"/>
            <w:left w:val="none" w:sz="0" w:space="0" w:color="auto"/>
            <w:bottom w:val="none" w:sz="0" w:space="0" w:color="auto"/>
            <w:right w:val="none" w:sz="0" w:space="0" w:color="auto"/>
          </w:divBdr>
          <w:divsChild>
            <w:div w:id="465270919">
              <w:marLeft w:val="0"/>
              <w:marRight w:val="0"/>
              <w:marTop w:val="0"/>
              <w:marBottom w:val="0"/>
              <w:divBdr>
                <w:top w:val="none" w:sz="0" w:space="0" w:color="auto"/>
                <w:left w:val="none" w:sz="0" w:space="0" w:color="auto"/>
                <w:bottom w:val="none" w:sz="0" w:space="0" w:color="auto"/>
                <w:right w:val="none" w:sz="0" w:space="0" w:color="auto"/>
              </w:divBdr>
            </w:div>
          </w:divsChild>
        </w:div>
        <w:div w:id="475877854">
          <w:marLeft w:val="0"/>
          <w:marRight w:val="0"/>
          <w:marTop w:val="0"/>
          <w:marBottom w:val="0"/>
          <w:divBdr>
            <w:top w:val="none" w:sz="0" w:space="0" w:color="auto"/>
            <w:left w:val="none" w:sz="0" w:space="0" w:color="auto"/>
            <w:bottom w:val="none" w:sz="0" w:space="0" w:color="auto"/>
            <w:right w:val="none" w:sz="0" w:space="0" w:color="auto"/>
          </w:divBdr>
          <w:divsChild>
            <w:div w:id="1991975829">
              <w:marLeft w:val="0"/>
              <w:marRight w:val="0"/>
              <w:marTop w:val="0"/>
              <w:marBottom w:val="0"/>
              <w:divBdr>
                <w:top w:val="none" w:sz="0" w:space="0" w:color="auto"/>
                <w:left w:val="none" w:sz="0" w:space="0" w:color="auto"/>
                <w:bottom w:val="none" w:sz="0" w:space="0" w:color="auto"/>
                <w:right w:val="none" w:sz="0" w:space="0" w:color="auto"/>
              </w:divBdr>
            </w:div>
          </w:divsChild>
        </w:div>
        <w:div w:id="656107022">
          <w:marLeft w:val="0"/>
          <w:marRight w:val="0"/>
          <w:marTop w:val="0"/>
          <w:marBottom w:val="0"/>
          <w:divBdr>
            <w:top w:val="none" w:sz="0" w:space="0" w:color="auto"/>
            <w:left w:val="none" w:sz="0" w:space="0" w:color="auto"/>
            <w:bottom w:val="none" w:sz="0" w:space="0" w:color="auto"/>
            <w:right w:val="none" w:sz="0" w:space="0" w:color="auto"/>
          </w:divBdr>
          <w:divsChild>
            <w:div w:id="803617160">
              <w:marLeft w:val="0"/>
              <w:marRight w:val="0"/>
              <w:marTop w:val="0"/>
              <w:marBottom w:val="0"/>
              <w:divBdr>
                <w:top w:val="none" w:sz="0" w:space="0" w:color="auto"/>
                <w:left w:val="none" w:sz="0" w:space="0" w:color="auto"/>
                <w:bottom w:val="none" w:sz="0" w:space="0" w:color="auto"/>
                <w:right w:val="none" w:sz="0" w:space="0" w:color="auto"/>
              </w:divBdr>
            </w:div>
          </w:divsChild>
        </w:div>
        <w:div w:id="839806568">
          <w:marLeft w:val="0"/>
          <w:marRight w:val="0"/>
          <w:marTop w:val="0"/>
          <w:marBottom w:val="0"/>
          <w:divBdr>
            <w:top w:val="none" w:sz="0" w:space="0" w:color="auto"/>
            <w:left w:val="none" w:sz="0" w:space="0" w:color="auto"/>
            <w:bottom w:val="none" w:sz="0" w:space="0" w:color="auto"/>
            <w:right w:val="none" w:sz="0" w:space="0" w:color="auto"/>
          </w:divBdr>
          <w:divsChild>
            <w:div w:id="1063337776">
              <w:marLeft w:val="0"/>
              <w:marRight w:val="0"/>
              <w:marTop w:val="0"/>
              <w:marBottom w:val="0"/>
              <w:divBdr>
                <w:top w:val="none" w:sz="0" w:space="0" w:color="auto"/>
                <w:left w:val="none" w:sz="0" w:space="0" w:color="auto"/>
                <w:bottom w:val="none" w:sz="0" w:space="0" w:color="auto"/>
                <w:right w:val="none" w:sz="0" w:space="0" w:color="auto"/>
              </w:divBdr>
            </w:div>
          </w:divsChild>
        </w:div>
        <w:div w:id="915092839">
          <w:marLeft w:val="0"/>
          <w:marRight w:val="0"/>
          <w:marTop w:val="0"/>
          <w:marBottom w:val="0"/>
          <w:divBdr>
            <w:top w:val="none" w:sz="0" w:space="0" w:color="auto"/>
            <w:left w:val="none" w:sz="0" w:space="0" w:color="auto"/>
            <w:bottom w:val="none" w:sz="0" w:space="0" w:color="auto"/>
            <w:right w:val="none" w:sz="0" w:space="0" w:color="auto"/>
          </w:divBdr>
          <w:divsChild>
            <w:div w:id="2121072962">
              <w:marLeft w:val="0"/>
              <w:marRight w:val="0"/>
              <w:marTop w:val="0"/>
              <w:marBottom w:val="0"/>
              <w:divBdr>
                <w:top w:val="none" w:sz="0" w:space="0" w:color="auto"/>
                <w:left w:val="none" w:sz="0" w:space="0" w:color="auto"/>
                <w:bottom w:val="none" w:sz="0" w:space="0" w:color="auto"/>
                <w:right w:val="none" w:sz="0" w:space="0" w:color="auto"/>
              </w:divBdr>
            </w:div>
          </w:divsChild>
        </w:div>
        <w:div w:id="934871392">
          <w:marLeft w:val="0"/>
          <w:marRight w:val="0"/>
          <w:marTop w:val="0"/>
          <w:marBottom w:val="0"/>
          <w:divBdr>
            <w:top w:val="none" w:sz="0" w:space="0" w:color="auto"/>
            <w:left w:val="none" w:sz="0" w:space="0" w:color="auto"/>
            <w:bottom w:val="none" w:sz="0" w:space="0" w:color="auto"/>
            <w:right w:val="none" w:sz="0" w:space="0" w:color="auto"/>
          </w:divBdr>
          <w:divsChild>
            <w:div w:id="1172834686">
              <w:marLeft w:val="0"/>
              <w:marRight w:val="0"/>
              <w:marTop w:val="0"/>
              <w:marBottom w:val="0"/>
              <w:divBdr>
                <w:top w:val="none" w:sz="0" w:space="0" w:color="auto"/>
                <w:left w:val="none" w:sz="0" w:space="0" w:color="auto"/>
                <w:bottom w:val="none" w:sz="0" w:space="0" w:color="auto"/>
                <w:right w:val="none" w:sz="0" w:space="0" w:color="auto"/>
              </w:divBdr>
            </w:div>
          </w:divsChild>
        </w:div>
        <w:div w:id="1040934357">
          <w:marLeft w:val="0"/>
          <w:marRight w:val="0"/>
          <w:marTop w:val="0"/>
          <w:marBottom w:val="0"/>
          <w:divBdr>
            <w:top w:val="none" w:sz="0" w:space="0" w:color="auto"/>
            <w:left w:val="none" w:sz="0" w:space="0" w:color="auto"/>
            <w:bottom w:val="none" w:sz="0" w:space="0" w:color="auto"/>
            <w:right w:val="none" w:sz="0" w:space="0" w:color="auto"/>
          </w:divBdr>
          <w:divsChild>
            <w:div w:id="577374243">
              <w:marLeft w:val="0"/>
              <w:marRight w:val="0"/>
              <w:marTop w:val="0"/>
              <w:marBottom w:val="0"/>
              <w:divBdr>
                <w:top w:val="none" w:sz="0" w:space="0" w:color="auto"/>
                <w:left w:val="none" w:sz="0" w:space="0" w:color="auto"/>
                <w:bottom w:val="none" w:sz="0" w:space="0" w:color="auto"/>
                <w:right w:val="none" w:sz="0" w:space="0" w:color="auto"/>
              </w:divBdr>
            </w:div>
          </w:divsChild>
        </w:div>
        <w:div w:id="1146318957">
          <w:marLeft w:val="0"/>
          <w:marRight w:val="0"/>
          <w:marTop w:val="0"/>
          <w:marBottom w:val="0"/>
          <w:divBdr>
            <w:top w:val="none" w:sz="0" w:space="0" w:color="auto"/>
            <w:left w:val="none" w:sz="0" w:space="0" w:color="auto"/>
            <w:bottom w:val="none" w:sz="0" w:space="0" w:color="auto"/>
            <w:right w:val="none" w:sz="0" w:space="0" w:color="auto"/>
          </w:divBdr>
          <w:divsChild>
            <w:div w:id="1000305327">
              <w:marLeft w:val="0"/>
              <w:marRight w:val="0"/>
              <w:marTop w:val="0"/>
              <w:marBottom w:val="0"/>
              <w:divBdr>
                <w:top w:val="none" w:sz="0" w:space="0" w:color="auto"/>
                <w:left w:val="none" w:sz="0" w:space="0" w:color="auto"/>
                <w:bottom w:val="none" w:sz="0" w:space="0" w:color="auto"/>
                <w:right w:val="none" w:sz="0" w:space="0" w:color="auto"/>
              </w:divBdr>
            </w:div>
          </w:divsChild>
        </w:div>
        <w:div w:id="1262958919">
          <w:marLeft w:val="0"/>
          <w:marRight w:val="0"/>
          <w:marTop w:val="0"/>
          <w:marBottom w:val="0"/>
          <w:divBdr>
            <w:top w:val="none" w:sz="0" w:space="0" w:color="auto"/>
            <w:left w:val="none" w:sz="0" w:space="0" w:color="auto"/>
            <w:bottom w:val="none" w:sz="0" w:space="0" w:color="auto"/>
            <w:right w:val="none" w:sz="0" w:space="0" w:color="auto"/>
          </w:divBdr>
          <w:divsChild>
            <w:div w:id="16204119">
              <w:marLeft w:val="0"/>
              <w:marRight w:val="0"/>
              <w:marTop w:val="0"/>
              <w:marBottom w:val="0"/>
              <w:divBdr>
                <w:top w:val="none" w:sz="0" w:space="0" w:color="auto"/>
                <w:left w:val="none" w:sz="0" w:space="0" w:color="auto"/>
                <w:bottom w:val="none" w:sz="0" w:space="0" w:color="auto"/>
                <w:right w:val="none" w:sz="0" w:space="0" w:color="auto"/>
              </w:divBdr>
            </w:div>
          </w:divsChild>
        </w:div>
        <w:div w:id="1381394379">
          <w:marLeft w:val="0"/>
          <w:marRight w:val="0"/>
          <w:marTop w:val="0"/>
          <w:marBottom w:val="0"/>
          <w:divBdr>
            <w:top w:val="none" w:sz="0" w:space="0" w:color="auto"/>
            <w:left w:val="none" w:sz="0" w:space="0" w:color="auto"/>
            <w:bottom w:val="none" w:sz="0" w:space="0" w:color="auto"/>
            <w:right w:val="none" w:sz="0" w:space="0" w:color="auto"/>
          </w:divBdr>
          <w:divsChild>
            <w:div w:id="27294871">
              <w:marLeft w:val="0"/>
              <w:marRight w:val="0"/>
              <w:marTop w:val="0"/>
              <w:marBottom w:val="0"/>
              <w:divBdr>
                <w:top w:val="none" w:sz="0" w:space="0" w:color="auto"/>
                <w:left w:val="none" w:sz="0" w:space="0" w:color="auto"/>
                <w:bottom w:val="none" w:sz="0" w:space="0" w:color="auto"/>
                <w:right w:val="none" w:sz="0" w:space="0" w:color="auto"/>
              </w:divBdr>
            </w:div>
          </w:divsChild>
        </w:div>
        <w:div w:id="1837301823">
          <w:marLeft w:val="0"/>
          <w:marRight w:val="0"/>
          <w:marTop w:val="0"/>
          <w:marBottom w:val="0"/>
          <w:divBdr>
            <w:top w:val="none" w:sz="0" w:space="0" w:color="auto"/>
            <w:left w:val="none" w:sz="0" w:space="0" w:color="auto"/>
            <w:bottom w:val="none" w:sz="0" w:space="0" w:color="auto"/>
            <w:right w:val="none" w:sz="0" w:space="0" w:color="auto"/>
          </w:divBdr>
          <w:divsChild>
            <w:div w:id="2103446768">
              <w:marLeft w:val="0"/>
              <w:marRight w:val="0"/>
              <w:marTop w:val="0"/>
              <w:marBottom w:val="0"/>
              <w:divBdr>
                <w:top w:val="none" w:sz="0" w:space="0" w:color="auto"/>
                <w:left w:val="none" w:sz="0" w:space="0" w:color="auto"/>
                <w:bottom w:val="none" w:sz="0" w:space="0" w:color="auto"/>
                <w:right w:val="none" w:sz="0" w:space="0" w:color="auto"/>
              </w:divBdr>
            </w:div>
          </w:divsChild>
        </w:div>
        <w:div w:id="1999797840">
          <w:marLeft w:val="0"/>
          <w:marRight w:val="0"/>
          <w:marTop w:val="0"/>
          <w:marBottom w:val="0"/>
          <w:divBdr>
            <w:top w:val="none" w:sz="0" w:space="0" w:color="auto"/>
            <w:left w:val="none" w:sz="0" w:space="0" w:color="auto"/>
            <w:bottom w:val="none" w:sz="0" w:space="0" w:color="auto"/>
            <w:right w:val="none" w:sz="0" w:space="0" w:color="auto"/>
          </w:divBdr>
          <w:divsChild>
            <w:div w:id="1501198134">
              <w:marLeft w:val="0"/>
              <w:marRight w:val="0"/>
              <w:marTop w:val="0"/>
              <w:marBottom w:val="0"/>
              <w:divBdr>
                <w:top w:val="none" w:sz="0" w:space="0" w:color="auto"/>
                <w:left w:val="none" w:sz="0" w:space="0" w:color="auto"/>
                <w:bottom w:val="none" w:sz="0" w:space="0" w:color="auto"/>
                <w:right w:val="none" w:sz="0" w:space="0" w:color="auto"/>
              </w:divBdr>
            </w:div>
          </w:divsChild>
        </w:div>
        <w:div w:id="2022274158">
          <w:marLeft w:val="0"/>
          <w:marRight w:val="0"/>
          <w:marTop w:val="0"/>
          <w:marBottom w:val="0"/>
          <w:divBdr>
            <w:top w:val="none" w:sz="0" w:space="0" w:color="auto"/>
            <w:left w:val="none" w:sz="0" w:space="0" w:color="auto"/>
            <w:bottom w:val="none" w:sz="0" w:space="0" w:color="auto"/>
            <w:right w:val="none" w:sz="0" w:space="0" w:color="auto"/>
          </w:divBdr>
          <w:divsChild>
            <w:div w:id="965962372">
              <w:marLeft w:val="0"/>
              <w:marRight w:val="0"/>
              <w:marTop w:val="0"/>
              <w:marBottom w:val="0"/>
              <w:divBdr>
                <w:top w:val="none" w:sz="0" w:space="0" w:color="auto"/>
                <w:left w:val="none" w:sz="0" w:space="0" w:color="auto"/>
                <w:bottom w:val="none" w:sz="0" w:space="0" w:color="auto"/>
                <w:right w:val="none" w:sz="0" w:space="0" w:color="auto"/>
              </w:divBdr>
            </w:div>
          </w:divsChild>
        </w:div>
        <w:div w:id="2043706978">
          <w:marLeft w:val="0"/>
          <w:marRight w:val="0"/>
          <w:marTop w:val="0"/>
          <w:marBottom w:val="0"/>
          <w:divBdr>
            <w:top w:val="none" w:sz="0" w:space="0" w:color="auto"/>
            <w:left w:val="none" w:sz="0" w:space="0" w:color="auto"/>
            <w:bottom w:val="none" w:sz="0" w:space="0" w:color="auto"/>
            <w:right w:val="none" w:sz="0" w:space="0" w:color="auto"/>
          </w:divBdr>
          <w:divsChild>
            <w:div w:id="191263905">
              <w:marLeft w:val="0"/>
              <w:marRight w:val="0"/>
              <w:marTop w:val="0"/>
              <w:marBottom w:val="0"/>
              <w:divBdr>
                <w:top w:val="none" w:sz="0" w:space="0" w:color="auto"/>
                <w:left w:val="none" w:sz="0" w:space="0" w:color="auto"/>
                <w:bottom w:val="none" w:sz="0" w:space="0" w:color="auto"/>
                <w:right w:val="none" w:sz="0" w:space="0" w:color="auto"/>
              </w:divBdr>
            </w:div>
          </w:divsChild>
        </w:div>
        <w:div w:id="2098400879">
          <w:marLeft w:val="0"/>
          <w:marRight w:val="0"/>
          <w:marTop w:val="0"/>
          <w:marBottom w:val="0"/>
          <w:divBdr>
            <w:top w:val="none" w:sz="0" w:space="0" w:color="auto"/>
            <w:left w:val="none" w:sz="0" w:space="0" w:color="auto"/>
            <w:bottom w:val="none" w:sz="0" w:space="0" w:color="auto"/>
            <w:right w:val="none" w:sz="0" w:space="0" w:color="auto"/>
          </w:divBdr>
          <w:divsChild>
            <w:div w:id="100836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67442">
      <w:bodyDiv w:val="1"/>
      <w:marLeft w:val="0"/>
      <w:marRight w:val="0"/>
      <w:marTop w:val="0"/>
      <w:marBottom w:val="0"/>
      <w:divBdr>
        <w:top w:val="none" w:sz="0" w:space="0" w:color="auto"/>
        <w:left w:val="none" w:sz="0" w:space="0" w:color="auto"/>
        <w:bottom w:val="none" w:sz="0" w:space="0" w:color="auto"/>
        <w:right w:val="none" w:sz="0" w:space="0" w:color="auto"/>
      </w:divBdr>
    </w:div>
    <w:div w:id="1080831767">
      <w:bodyDiv w:val="1"/>
      <w:marLeft w:val="0"/>
      <w:marRight w:val="0"/>
      <w:marTop w:val="0"/>
      <w:marBottom w:val="0"/>
      <w:divBdr>
        <w:top w:val="none" w:sz="0" w:space="0" w:color="auto"/>
        <w:left w:val="none" w:sz="0" w:space="0" w:color="auto"/>
        <w:bottom w:val="none" w:sz="0" w:space="0" w:color="auto"/>
        <w:right w:val="none" w:sz="0" w:space="0" w:color="auto"/>
      </w:divBdr>
      <w:divsChild>
        <w:div w:id="28729936">
          <w:marLeft w:val="0"/>
          <w:marRight w:val="0"/>
          <w:marTop w:val="0"/>
          <w:marBottom w:val="0"/>
          <w:divBdr>
            <w:top w:val="none" w:sz="0" w:space="0" w:color="auto"/>
            <w:left w:val="none" w:sz="0" w:space="0" w:color="auto"/>
            <w:bottom w:val="none" w:sz="0" w:space="0" w:color="auto"/>
            <w:right w:val="none" w:sz="0" w:space="0" w:color="auto"/>
          </w:divBdr>
        </w:div>
        <w:div w:id="1759980710">
          <w:marLeft w:val="0"/>
          <w:marRight w:val="0"/>
          <w:marTop w:val="0"/>
          <w:marBottom w:val="0"/>
          <w:divBdr>
            <w:top w:val="none" w:sz="0" w:space="0" w:color="auto"/>
            <w:left w:val="none" w:sz="0" w:space="0" w:color="auto"/>
            <w:bottom w:val="none" w:sz="0" w:space="0" w:color="auto"/>
            <w:right w:val="none" w:sz="0" w:space="0" w:color="auto"/>
          </w:divBdr>
        </w:div>
      </w:divsChild>
    </w:div>
    <w:div w:id="1081637937">
      <w:bodyDiv w:val="1"/>
      <w:marLeft w:val="0"/>
      <w:marRight w:val="0"/>
      <w:marTop w:val="0"/>
      <w:marBottom w:val="0"/>
      <w:divBdr>
        <w:top w:val="none" w:sz="0" w:space="0" w:color="auto"/>
        <w:left w:val="none" w:sz="0" w:space="0" w:color="auto"/>
        <w:bottom w:val="none" w:sz="0" w:space="0" w:color="auto"/>
        <w:right w:val="none" w:sz="0" w:space="0" w:color="auto"/>
      </w:divBdr>
      <w:divsChild>
        <w:div w:id="163127996">
          <w:marLeft w:val="1080"/>
          <w:marRight w:val="0"/>
          <w:marTop w:val="100"/>
          <w:marBottom w:val="0"/>
          <w:divBdr>
            <w:top w:val="none" w:sz="0" w:space="0" w:color="auto"/>
            <w:left w:val="none" w:sz="0" w:space="0" w:color="auto"/>
            <w:bottom w:val="none" w:sz="0" w:space="0" w:color="auto"/>
            <w:right w:val="none" w:sz="0" w:space="0" w:color="auto"/>
          </w:divBdr>
        </w:div>
        <w:div w:id="233975067">
          <w:marLeft w:val="360"/>
          <w:marRight w:val="0"/>
          <w:marTop w:val="200"/>
          <w:marBottom w:val="0"/>
          <w:divBdr>
            <w:top w:val="none" w:sz="0" w:space="0" w:color="auto"/>
            <w:left w:val="none" w:sz="0" w:space="0" w:color="auto"/>
            <w:bottom w:val="none" w:sz="0" w:space="0" w:color="auto"/>
            <w:right w:val="none" w:sz="0" w:space="0" w:color="auto"/>
          </w:divBdr>
        </w:div>
        <w:div w:id="318310368">
          <w:marLeft w:val="1080"/>
          <w:marRight w:val="0"/>
          <w:marTop w:val="100"/>
          <w:marBottom w:val="0"/>
          <w:divBdr>
            <w:top w:val="none" w:sz="0" w:space="0" w:color="auto"/>
            <w:left w:val="none" w:sz="0" w:space="0" w:color="auto"/>
            <w:bottom w:val="none" w:sz="0" w:space="0" w:color="auto"/>
            <w:right w:val="none" w:sz="0" w:space="0" w:color="auto"/>
          </w:divBdr>
        </w:div>
        <w:div w:id="550656055">
          <w:marLeft w:val="360"/>
          <w:marRight w:val="0"/>
          <w:marTop w:val="200"/>
          <w:marBottom w:val="0"/>
          <w:divBdr>
            <w:top w:val="none" w:sz="0" w:space="0" w:color="auto"/>
            <w:left w:val="none" w:sz="0" w:space="0" w:color="auto"/>
            <w:bottom w:val="none" w:sz="0" w:space="0" w:color="auto"/>
            <w:right w:val="none" w:sz="0" w:space="0" w:color="auto"/>
          </w:divBdr>
        </w:div>
        <w:div w:id="996037276">
          <w:marLeft w:val="1080"/>
          <w:marRight w:val="0"/>
          <w:marTop w:val="100"/>
          <w:marBottom w:val="0"/>
          <w:divBdr>
            <w:top w:val="none" w:sz="0" w:space="0" w:color="auto"/>
            <w:left w:val="none" w:sz="0" w:space="0" w:color="auto"/>
            <w:bottom w:val="none" w:sz="0" w:space="0" w:color="auto"/>
            <w:right w:val="none" w:sz="0" w:space="0" w:color="auto"/>
          </w:divBdr>
        </w:div>
        <w:div w:id="1245339862">
          <w:marLeft w:val="1080"/>
          <w:marRight w:val="0"/>
          <w:marTop w:val="100"/>
          <w:marBottom w:val="0"/>
          <w:divBdr>
            <w:top w:val="none" w:sz="0" w:space="0" w:color="auto"/>
            <w:left w:val="none" w:sz="0" w:space="0" w:color="auto"/>
            <w:bottom w:val="none" w:sz="0" w:space="0" w:color="auto"/>
            <w:right w:val="none" w:sz="0" w:space="0" w:color="auto"/>
          </w:divBdr>
        </w:div>
        <w:div w:id="1791045307">
          <w:marLeft w:val="360"/>
          <w:marRight w:val="0"/>
          <w:marTop w:val="200"/>
          <w:marBottom w:val="0"/>
          <w:divBdr>
            <w:top w:val="none" w:sz="0" w:space="0" w:color="auto"/>
            <w:left w:val="none" w:sz="0" w:space="0" w:color="auto"/>
            <w:bottom w:val="none" w:sz="0" w:space="0" w:color="auto"/>
            <w:right w:val="none" w:sz="0" w:space="0" w:color="auto"/>
          </w:divBdr>
        </w:div>
        <w:div w:id="1796024522">
          <w:marLeft w:val="360"/>
          <w:marRight w:val="0"/>
          <w:marTop w:val="200"/>
          <w:marBottom w:val="0"/>
          <w:divBdr>
            <w:top w:val="none" w:sz="0" w:space="0" w:color="auto"/>
            <w:left w:val="none" w:sz="0" w:space="0" w:color="auto"/>
            <w:bottom w:val="none" w:sz="0" w:space="0" w:color="auto"/>
            <w:right w:val="none" w:sz="0" w:space="0" w:color="auto"/>
          </w:divBdr>
        </w:div>
        <w:div w:id="1838375546">
          <w:marLeft w:val="1080"/>
          <w:marRight w:val="0"/>
          <w:marTop w:val="100"/>
          <w:marBottom w:val="0"/>
          <w:divBdr>
            <w:top w:val="none" w:sz="0" w:space="0" w:color="auto"/>
            <w:left w:val="none" w:sz="0" w:space="0" w:color="auto"/>
            <w:bottom w:val="none" w:sz="0" w:space="0" w:color="auto"/>
            <w:right w:val="none" w:sz="0" w:space="0" w:color="auto"/>
          </w:divBdr>
        </w:div>
        <w:div w:id="1979408075">
          <w:marLeft w:val="360"/>
          <w:marRight w:val="0"/>
          <w:marTop w:val="200"/>
          <w:marBottom w:val="0"/>
          <w:divBdr>
            <w:top w:val="none" w:sz="0" w:space="0" w:color="auto"/>
            <w:left w:val="none" w:sz="0" w:space="0" w:color="auto"/>
            <w:bottom w:val="none" w:sz="0" w:space="0" w:color="auto"/>
            <w:right w:val="none" w:sz="0" w:space="0" w:color="auto"/>
          </w:divBdr>
        </w:div>
      </w:divsChild>
    </w:div>
    <w:div w:id="1089619524">
      <w:bodyDiv w:val="1"/>
      <w:marLeft w:val="0"/>
      <w:marRight w:val="0"/>
      <w:marTop w:val="0"/>
      <w:marBottom w:val="0"/>
      <w:divBdr>
        <w:top w:val="none" w:sz="0" w:space="0" w:color="auto"/>
        <w:left w:val="none" w:sz="0" w:space="0" w:color="auto"/>
        <w:bottom w:val="none" w:sz="0" w:space="0" w:color="auto"/>
        <w:right w:val="none" w:sz="0" w:space="0" w:color="auto"/>
      </w:divBdr>
    </w:div>
    <w:div w:id="1101685406">
      <w:bodyDiv w:val="1"/>
      <w:marLeft w:val="0"/>
      <w:marRight w:val="0"/>
      <w:marTop w:val="0"/>
      <w:marBottom w:val="0"/>
      <w:divBdr>
        <w:top w:val="none" w:sz="0" w:space="0" w:color="auto"/>
        <w:left w:val="none" w:sz="0" w:space="0" w:color="auto"/>
        <w:bottom w:val="none" w:sz="0" w:space="0" w:color="auto"/>
        <w:right w:val="none" w:sz="0" w:space="0" w:color="auto"/>
      </w:divBdr>
      <w:divsChild>
        <w:div w:id="634793946">
          <w:marLeft w:val="0"/>
          <w:marRight w:val="0"/>
          <w:marTop w:val="0"/>
          <w:marBottom w:val="0"/>
          <w:divBdr>
            <w:top w:val="none" w:sz="0" w:space="0" w:color="auto"/>
            <w:left w:val="none" w:sz="0" w:space="0" w:color="auto"/>
            <w:bottom w:val="none" w:sz="0" w:space="0" w:color="auto"/>
            <w:right w:val="none" w:sz="0" w:space="0" w:color="auto"/>
          </w:divBdr>
        </w:div>
        <w:div w:id="1083837308">
          <w:marLeft w:val="0"/>
          <w:marRight w:val="0"/>
          <w:marTop w:val="0"/>
          <w:marBottom w:val="0"/>
          <w:divBdr>
            <w:top w:val="none" w:sz="0" w:space="0" w:color="auto"/>
            <w:left w:val="none" w:sz="0" w:space="0" w:color="auto"/>
            <w:bottom w:val="none" w:sz="0" w:space="0" w:color="auto"/>
            <w:right w:val="none" w:sz="0" w:space="0" w:color="auto"/>
          </w:divBdr>
        </w:div>
        <w:div w:id="2082217441">
          <w:marLeft w:val="0"/>
          <w:marRight w:val="0"/>
          <w:marTop w:val="0"/>
          <w:marBottom w:val="0"/>
          <w:divBdr>
            <w:top w:val="none" w:sz="0" w:space="0" w:color="auto"/>
            <w:left w:val="none" w:sz="0" w:space="0" w:color="auto"/>
            <w:bottom w:val="none" w:sz="0" w:space="0" w:color="auto"/>
            <w:right w:val="none" w:sz="0" w:space="0" w:color="auto"/>
          </w:divBdr>
        </w:div>
      </w:divsChild>
    </w:div>
    <w:div w:id="1108307108">
      <w:bodyDiv w:val="1"/>
      <w:marLeft w:val="0"/>
      <w:marRight w:val="0"/>
      <w:marTop w:val="0"/>
      <w:marBottom w:val="0"/>
      <w:divBdr>
        <w:top w:val="none" w:sz="0" w:space="0" w:color="auto"/>
        <w:left w:val="none" w:sz="0" w:space="0" w:color="auto"/>
        <w:bottom w:val="none" w:sz="0" w:space="0" w:color="auto"/>
        <w:right w:val="none" w:sz="0" w:space="0" w:color="auto"/>
      </w:divBdr>
      <w:divsChild>
        <w:div w:id="40401028">
          <w:marLeft w:val="0"/>
          <w:marRight w:val="0"/>
          <w:marTop w:val="0"/>
          <w:marBottom w:val="0"/>
          <w:divBdr>
            <w:top w:val="none" w:sz="0" w:space="0" w:color="auto"/>
            <w:left w:val="none" w:sz="0" w:space="0" w:color="auto"/>
            <w:bottom w:val="none" w:sz="0" w:space="0" w:color="auto"/>
            <w:right w:val="none" w:sz="0" w:space="0" w:color="auto"/>
          </w:divBdr>
          <w:divsChild>
            <w:div w:id="2120635531">
              <w:marLeft w:val="0"/>
              <w:marRight w:val="0"/>
              <w:marTop w:val="0"/>
              <w:marBottom w:val="0"/>
              <w:divBdr>
                <w:top w:val="none" w:sz="0" w:space="0" w:color="auto"/>
                <w:left w:val="none" w:sz="0" w:space="0" w:color="auto"/>
                <w:bottom w:val="none" w:sz="0" w:space="0" w:color="auto"/>
                <w:right w:val="none" w:sz="0" w:space="0" w:color="auto"/>
              </w:divBdr>
            </w:div>
          </w:divsChild>
        </w:div>
        <w:div w:id="810177660">
          <w:marLeft w:val="0"/>
          <w:marRight w:val="0"/>
          <w:marTop w:val="0"/>
          <w:marBottom w:val="0"/>
          <w:divBdr>
            <w:top w:val="none" w:sz="0" w:space="0" w:color="auto"/>
            <w:left w:val="none" w:sz="0" w:space="0" w:color="auto"/>
            <w:bottom w:val="none" w:sz="0" w:space="0" w:color="auto"/>
            <w:right w:val="none" w:sz="0" w:space="0" w:color="auto"/>
          </w:divBdr>
          <w:divsChild>
            <w:div w:id="307591421">
              <w:marLeft w:val="0"/>
              <w:marRight w:val="0"/>
              <w:marTop w:val="0"/>
              <w:marBottom w:val="0"/>
              <w:divBdr>
                <w:top w:val="none" w:sz="0" w:space="0" w:color="auto"/>
                <w:left w:val="none" w:sz="0" w:space="0" w:color="auto"/>
                <w:bottom w:val="none" w:sz="0" w:space="0" w:color="auto"/>
                <w:right w:val="none" w:sz="0" w:space="0" w:color="auto"/>
              </w:divBdr>
            </w:div>
            <w:div w:id="1081098445">
              <w:marLeft w:val="0"/>
              <w:marRight w:val="0"/>
              <w:marTop w:val="0"/>
              <w:marBottom w:val="0"/>
              <w:divBdr>
                <w:top w:val="none" w:sz="0" w:space="0" w:color="auto"/>
                <w:left w:val="none" w:sz="0" w:space="0" w:color="auto"/>
                <w:bottom w:val="none" w:sz="0" w:space="0" w:color="auto"/>
                <w:right w:val="none" w:sz="0" w:space="0" w:color="auto"/>
              </w:divBdr>
              <w:divsChild>
                <w:div w:id="1086456260">
                  <w:marLeft w:val="0"/>
                  <w:marRight w:val="0"/>
                  <w:marTop w:val="0"/>
                  <w:marBottom w:val="0"/>
                  <w:divBdr>
                    <w:top w:val="none" w:sz="0" w:space="0" w:color="auto"/>
                    <w:left w:val="none" w:sz="0" w:space="0" w:color="auto"/>
                    <w:bottom w:val="none" w:sz="0" w:space="0" w:color="auto"/>
                    <w:right w:val="none" w:sz="0" w:space="0" w:color="auto"/>
                  </w:divBdr>
                  <w:divsChild>
                    <w:div w:id="1073311220">
                      <w:marLeft w:val="0"/>
                      <w:marRight w:val="0"/>
                      <w:marTop w:val="0"/>
                      <w:marBottom w:val="0"/>
                      <w:divBdr>
                        <w:top w:val="none" w:sz="0" w:space="0" w:color="auto"/>
                        <w:left w:val="none" w:sz="0" w:space="0" w:color="auto"/>
                        <w:bottom w:val="none" w:sz="0" w:space="0" w:color="auto"/>
                        <w:right w:val="none" w:sz="0" w:space="0" w:color="auto"/>
                      </w:divBdr>
                      <w:divsChild>
                        <w:div w:id="43807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1362062">
      <w:bodyDiv w:val="1"/>
      <w:marLeft w:val="0"/>
      <w:marRight w:val="0"/>
      <w:marTop w:val="0"/>
      <w:marBottom w:val="0"/>
      <w:divBdr>
        <w:top w:val="none" w:sz="0" w:space="0" w:color="auto"/>
        <w:left w:val="none" w:sz="0" w:space="0" w:color="auto"/>
        <w:bottom w:val="none" w:sz="0" w:space="0" w:color="auto"/>
        <w:right w:val="none" w:sz="0" w:space="0" w:color="auto"/>
      </w:divBdr>
    </w:div>
    <w:div w:id="1116096743">
      <w:bodyDiv w:val="1"/>
      <w:marLeft w:val="0"/>
      <w:marRight w:val="0"/>
      <w:marTop w:val="0"/>
      <w:marBottom w:val="0"/>
      <w:divBdr>
        <w:top w:val="none" w:sz="0" w:space="0" w:color="auto"/>
        <w:left w:val="none" w:sz="0" w:space="0" w:color="auto"/>
        <w:bottom w:val="none" w:sz="0" w:space="0" w:color="auto"/>
        <w:right w:val="none" w:sz="0" w:space="0" w:color="auto"/>
      </w:divBdr>
    </w:div>
    <w:div w:id="1121149836">
      <w:bodyDiv w:val="1"/>
      <w:marLeft w:val="0"/>
      <w:marRight w:val="0"/>
      <w:marTop w:val="0"/>
      <w:marBottom w:val="0"/>
      <w:divBdr>
        <w:top w:val="none" w:sz="0" w:space="0" w:color="auto"/>
        <w:left w:val="none" w:sz="0" w:space="0" w:color="auto"/>
        <w:bottom w:val="none" w:sz="0" w:space="0" w:color="auto"/>
        <w:right w:val="none" w:sz="0" w:space="0" w:color="auto"/>
      </w:divBdr>
    </w:div>
    <w:div w:id="1123423464">
      <w:bodyDiv w:val="1"/>
      <w:marLeft w:val="0"/>
      <w:marRight w:val="0"/>
      <w:marTop w:val="0"/>
      <w:marBottom w:val="0"/>
      <w:divBdr>
        <w:top w:val="none" w:sz="0" w:space="0" w:color="auto"/>
        <w:left w:val="none" w:sz="0" w:space="0" w:color="auto"/>
        <w:bottom w:val="none" w:sz="0" w:space="0" w:color="auto"/>
        <w:right w:val="none" w:sz="0" w:space="0" w:color="auto"/>
      </w:divBdr>
    </w:div>
    <w:div w:id="1130705275">
      <w:bodyDiv w:val="1"/>
      <w:marLeft w:val="0"/>
      <w:marRight w:val="0"/>
      <w:marTop w:val="0"/>
      <w:marBottom w:val="0"/>
      <w:divBdr>
        <w:top w:val="none" w:sz="0" w:space="0" w:color="auto"/>
        <w:left w:val="none" w:sz="0" w:space="0" w:color="auto"/>
        <w:bottom w:val="none" w:sz="0" w:space="0" w:color="auto"/>
        <w:right w:val="none" w:sz="0" w:space="0" w:color="auto"/>
      </w:divBdr>
    </w:div>
    <w:div w:id="1137339547">
      <w:bodyDiv w:val="1"/>
      <w:marLeft w:val="0"/>
      <w:marRight w:val="0"/>
      <w:marTop w:val="0"/>
      <w:marBottom w:val="0"/>
      <w:divBdr>
        <w:top w:val="none" w:sz="0" w:space="0" w:color="auto"/>
        <w:left w:val="none" w:sz="0" w:space="0" w:color="auto"/>
        <w:bottom w:val="none" w:sz="0" w:space="0" w:color="auto"/>
        <w:right w:val="none" w:sz="0" w:space="0" w:color="auto"/>
      </w:divBdr>
    </w:div>
    <w:div w:id="1139299762">
      <w:bodyDiv w:val="1"/>
      <w:marLeft w:val="0"/>
      <w:marRight w:val="0"/>
      <w:marTop w:val="0"/>
      <w:marBottom w:val="0"/>
      <w:divBdr>
        <w:top w:val="none" w:sz="0" w:space="0" w:color="auto"/>
        <w:left w:val="none" w:sz="0" w:space="0" w:color="auto"/>
        <w:bottom w:val="none" w:sz="0" w:space="0" w:color="auto"/>
        <w:right w:val="none" w:sz="0" w:space="0" w:color="auto"/>
      </w:divBdr>
    </w:div>
    <w:div w:id="1143884207">
      <w:bodyDiv w:val="1"/>
      <w:marLeft w:val="0"/>
      <w:marRight w:val="0"/>
      <w:marTop w:val="0"/>
      <w:marBottom w:val="0"/>
      <w:divBdr>
        <w:top w:val="none" w:sz="0" w:space="0" w:color="auto"/>
        <w:left w:val="none" w:sz="0" w:space="0" w:color="auto"/>
        <w:bottom w:val="none" w:sz="0" w:space="0" w:color="auto"/>
        <w:right w:val="none" w:sz="0" w:space="0" w:color="auto"/>
      </w:divBdr>
    </w:div>
    <w:div w:id="1147864513">
      <w:bodyDiv w:val="1"/>
      <w:marLeft w:val="0"/>
      <w:marRight w:val="0"/>
      <w:marTop w:val="0"/>
      <w:marBottom w:val="0"/>
      <w:divBdr>
        <w:top w:val="none" w:sz="0" w:space="0" w:color="auto"/>
        <w:left w:val="none" w:sz="0" w:space="0" w:color="auto"/>
        <w:bottom w:val="none" w:sz="0" w:space="0" w:color="auto"/>
        <w:right w:val="none" w:sz="0" w:space="0" w:color="auto"/>
      </w:divBdr>
    </w:div>
    <w:div w:id="1148470757">
      <w:bodyDiv w:val="1"/>
      <w:marLeft w:val="0"/>
      <w:marRight w:val="0"/>
      <w:marTop w:val="0"/>
      <w:marBottom w:val="0"/>
      <w:divBdr>
        <w:top w:val="none" w:sz="0" w:space="0" w:color="auto"/>
        <w:left w:val="none" w:sz="0" w:space="0" w:color="auto"/>
        <w:bottom w:val="none" w:sz="0" w:space="0" w:color="auto"/>
        <w:right w:val="none" w:sz="0" w:space="0" w:color="auto"/>
      </w:divBdr>
    </w:div>
    <w:div w:id="1152335199">
      <w:bodyDiv w:val="1"/>
      <w:marLeft w:val="0"/>
      <w:marRight w:val="0"/>
      <w:marTop w:val="0"/>
      <w:marBottom w:val="0"/>
      <w:divBdr>
        <w:top w:val="none" w:sz="0" w:space="0" w:color="auto"/>
        <w:left w:val="none" w:sz="0" w:space="0" w:color="auto"/>
        <w:bottom w:val="none" w:sz="0" w:space="0" w:color="auto"/>
        <w:right w:val="none" w:sz="0" w:space="0" w:color="auto"/>
      </w:divBdr>
    </w:div>
    <w:div w:id="1152603030">
      <w:bodyDiv w:val="1"/>
      <w:marLeft w:val="0"/>
      <w:marRight w:val="0"/>
      <w:marTop w:val="0"/>
      <w:marBottom w:val="0"/>
      <w:divBdr>
        <w:top w:val="none" w:sz="0" w:space="0" w:color="auto"/>
        <w:left w:val="none" w:sz="0" w:space="0" w:color="auto"/>
        <w:bottom w:val="none" w:sz="0" w:space="0" w:color="auto"/>
        <w:right w:val="none" w:sz="0" w:space="0" w:color="auto"/>
      </w:divBdr>
    </w:div>
    <w:div w:id="1156994775">
      <w:bodyDiv w:val="1"/>
      <w:marLeft w:val="0"/>
      <w:marRight w:val="0"/>
      <w:marTop w:val="0"/>
      <w:marBottom w:val="0"/>
      <w:divBdr>
        <w:top w:val="none" w:sz="0" w:space="0" w:color="auto"/>
        <w:left w:val="none" w:sz="0" w:space="0" w:color="auto"/>
        <w:bottom w:val="none" w:sz="0" w:space="0" w:color="auto"/>
        <w:right w:val="none" w:sz="0" w:space="0" w:color="auto"/>
      </w:divBdr>
    </w:div>
    <w:div w:id="1160000549">
      <w:bodyDiv w:val="1"/>
      <w:marLeft w:val="0"/>
      <w:marRight w:val="0"/>
      <w:marTop w:val="0"/>
      <w:marBottom w:val="0"/>
      <w:divBdr>
        <w:top w:val="none" w:sz="0" w:space="0" w:color="auto"/>
        <w:left w:val="none" w:sz="0" w:space="0" w:color="auto"/>
        <w:bottom w:val="none" w:sz="0" w:space="0" w:color="auto"/>
        <w:right w:val="none" w:sz="0" w:space="0" w:color="auto"/>
      </w:divBdr>
    </w:div>
    <w:div w:id="1160122317">
      <w:bodyDiv w:val="1"/>
      <w:marLeft w:val="0"/>
      <w:marRight w:val="0"/>
      <w:marTop w:val="0"/>
      <w:marBottom w:val="0"/>
      <w:divBdr>
        <w:top w:val="none" w:sz="0" w:space="0" w:color="auto"/>
        <w:left w:val="none" w:sz="0" w:space="0" w:color="auto"/>
        <w:bottom w:val="none" w:sz="0" w:space="0" w:color="auto"/>
        <w:right w:val="none" w:sz="0" w:space="0" w:color="auto"/>
      </w:divBdr>
    </w:div>
    <w:div w:id="1161889056">
      <w:bodyDiv w:val="1"/>
      <w:marLeft w:val="0"/>
      <w:marRight w:val="0"/>
      <w:marTop w:val="0"/>
      <w:marBottom w:val="0"/>
      <w:divBdr>
        <w:top w:val="none" w:sz="0" w:space="0" w:color="auto"/>
        <w:left w:val="none" w:sz="0" w:space="0" w:color="auto"/>
        <w:bottom w:val="none" w:sz="0" w:space="0" w:color="auto"/>
        <w:right w:val="none" w:sz="0" w:space="0" w:color="auto"/>
      </w:divBdr>
    </w:div>
    <w:div w:id="1172720728">
      <w:bodyDiv w:val="1"/>
      <w:marLeft w:val="0"/>
      <w:marRight w:val="0"/>
      <w:marTop w:val="0"/>
      <w:marBottom w:val="0"/>
      <w:divBdr>
        <w:top w:val="none" w:sz="0" w:space="0" w:color="auto"/>
        <w:left w:val="none" w:sz="0" w:space="0" w:color="auto"/>
        <w:bottom w:val="none" w:sz="0" w:space="0" w:color="auto"/>
        <w:right w:val="none" w:sz="0" w:space="0" w:color="auto"/>
      </w:divBdr>
    </w:div>
    <w:div w:id="1173226828">
      <w:bodyDiv w:val="1"/>
      <w:marLeft w:val="0"/>
      <w:marRight w:val="0"/>
      <w:marTop w:val="0"/>
      <w:marBottom w:val="0"/>
      <w:divBdr>
        <w:top w:val="none" w:sz="0" w:space="0" w:color="auto"/>
        <w:left w:val="none" w:sz="0" w:space="0" w:color="auto"/>
        <w:bottom w:val="none" w:sz="0" w:space="0" w:color="auto"/>
        <w:right w:val="none" w:sz="0" w:space="0" w:color="auto"/>
      </w:divBdr>
    </w:div>
    <w:div w:id="1176845820">
      <w:bodyDiv w:val="1"/>
      <w:marLeft w:val="0"/>
      <w:marRight w:val="0"/>
      <w:marTop w:val="0"/>
      <w:marBottom w:val="0"/>
      <w:divBdr>
        <w:top w:val="none" w:sz="0" w:space="0" w:color="auto"/>
        <w:left w:val="none" w:sz="0" w:space="0" w:color="auto"/>
        <w:bottom w:val="none" w:sz="0" w:space="0" w:color="auto"/>
        <w:right w:val="none" w:sz="0" w:space="0" w:color="auto"/>
      </w:divBdr>
    </w:div>
    <w:div w:id="1178737412">
      <w:bodyDiv w:val="1"/>
      <w:marLeft w:val="0"/>
      <w:marRight w:val="0"/>
      <w:marTop w:val="0"/>
      <w:marBottom w:val="0"/>
      <w:divBdr>
        <w:top w:val="none" w:sz="0" w:space="0" w:color="auto"/>
        <w:left w:val="none" w:sz="0" w:space="0" w:color="auto"/>
        <w:bottom w:val="none" w:sz="0" w:space="0" w:color="auto"/>
        <w:right w:val="none" w:sz="0" w:space="0" w:color="auto"/>
      </w:divBdr>
    </w:div>
    <w:div w:id="1190220051">
      <w:bodyDiv w:val="1"/>
      <w:marLeft w:val="0"/>
      <w:marRight w:val="0"/>
      <w:marTop w:val="0"/>
      <w:marBottom w:val="0"/>
      <w:divBdr>
        <w:top w:val="none" w:sz="0" w:space="0" w:color="auto"/>
        <w:left w:val="none" w:sz="0" w:space="0" w:color="auto"/>
        <w:bottom w:val="none" w:sz="0" w:space="0" w:color="auto"/>
        <w:right w:val="none" w:sz="0" w:space="0" w:color="auto"/>
      </w:divBdr>
    </w:div>
    <w:div w:id="1191407241">
      <w:bodyDiv w:val="1"/>
      <w:marLeft w:val="0"/>
      <w:marRight w:val="0"/>
      <w:marTop w:val="0"/>
      <w:marBottom w:val="0"/>
      <w:divBdr>
        <w:top w:val="none" w:sz="0" w:space="0" w:color="auto"/>
        <w:left w:val="none" w:sz="0" w:space="0" w:color="auto"/>
        <w:bottom w:val="none" w:sz="0" w:space="0" w:color="auto"/>
        <w:right w:val="none" w:sz="0" w:space="0" w:color="auto"/>
      </w:divBdr>
    </w:div>
    <w:div w:id="1192959487">
      <w:bodyDiv w:val="1"/>
      <w:marLeft w:val="0"/>
      <w:marRight w:val="0"/>
      <w:marTop w:val="0"/>
      <w:marBottom w:val="0"/>
      <w:divBdr>
        <w:top w:val="none" w:sz="0" w:space="0" w:color="auto"/>
        <w:left w:val="none" w:sz="0" w:space="0" w:color="auto"/>
        <w:bottom w:val="none" w:sz="0" w:space="0" w:color="auto"/>
        <w:right w:val="none" w:sz="0" w:space="0" w:color="auto"/>
      </w:divBdr>
    </w:div>
    <w:div w:id="1194344022">
      <w:bodyDiv w:val="1"/>
      <w:marLeft w:val="0"/>
      <w:marRight w:val="0"/>
      <w:marTop w:val="0"/>
      <w:marBottom w:val="0"/>
      <w:divBdr>
        <w:top w:val="none" w:sz="0" w:space="0" w:color="auto"/>
        <w:left w:val="none" w:sz="0" w:space="0" w:color="auto"/>
        <w:bottom w:val="none" w:sz="0" w:space="0" w:color="auto"/>
        <w:right w:val="none" w:sz="0" w:space="0" w:color="auto"/>
      </w:divBdr>
    </w:div>
    <w:div w:id="1194881767">
      <w:bodyDiv w:val="1"/>
      <w:marLeft w:val="0"/>
      <w:marRight w:val="0"/>
      <w:marTop w:val="0"/>
      <w:marBottom w:val="0"/>
      <w:divBdr>
        <w:top w:val="none" w:sz="0" w:space="0" w:color="auto"/>
        <w:left w:val="none" w:sz="0" w:space="0" w:color="auto"/>
        <w:bottom w:val="none" w:sz="0" w:space="0" w:color="auto"/>
        <w:right w:val="none" w:sz="0" w:space="0" w:color="auto"/>
      </w:divBdr>
    </w:div>
    <w:div w:id="1198467001">
      <w:bodyDiv w:val="1"/>
      <w:marLeft w:val="0"/>
      <w:marRight w:val="0"/>
      <w:marTop w:val="0"/>
      <w:marBottom w:val="0"/>
      <w:divBdr>
        <w:top w:val="none" w:sz="0" w:space="0" w:color="auto"/>
        <w:left w:val="none" w:sz="0" w:space="0" w:color="auto"/>
        <w:bottom w:val="none" w:sz="0" w:space="0" w:color="auto"/>
        <w:right w:val="none" w:sz="0" w:space="0" w:color="auto"/>
      </w:divBdr>
    </w:div>
    <w:div w:id="1200628016">
      <w:bodyDiv w:val="1"/>
      <w:marLeft w:val="0"/>
      <w:marRight w:val="0"/>
      <w:marTop w:val="0"/>
      <w:marBottom w:val="0"/>
      <w:divBdr>
        <w:top w:val="none" w:sz="0" w:space="0" w:color="auto"/>
        <w:left w:val="none" w:sz="0" w:space="0" w:color="auto"/>
        <w:bottom w:val="none" w:sz="0" w:space="0" w:color="auto"/>
        <w:right w:val="none" w:sz="0" w:space="0" w:color="auto"/>
      </w:divBdr>
    </w:div>
    <w:div w:id="1200970707">
      <w:bodyDiv w:val="1"/>
      <w:marLeft w:val="0"/>
      <w:marRight w:val="0"/>
      <w:marTop w:val="0"/>
      <w:marBottom w:val="0"/>
      <w:divBdr>
        <w:top w:val="none" w:sz="0" w:space="0" w:color="auto"/>
        <w:left w:val="none" w:sz="0" w:space="0" w:color="auto"/>
        <w:bottom w:val="none" w:sz="0" w:space="0" w:color="auto"/>
        <w:right w:val="none" w:sz="0" w:space="0" w:color="auto"/>
      </w:divBdr>
    </w:div>
    <w:div w:id="1201287021">
      <w:bodyDiv w:val="1"/>
      <w:marLeft w:val="0"/>
      <w:marRight w:val="0"/>
      <w:marTop w:val="0"/>
      <w:marBottom w:val="0"/>
      <w:divBdr>
        <w:top w:val="none" w:sz="0" w:space="0" w:color="auto"/>
        <w:left w:val="none" w:sz="0" w:space="0" w:color="auto"/>
        <w:bottom w:val="none" w:sz="0" w:space="0" w:color="auto"/>
        <w:right w:val="none" w:sz="0" w:space="0" w:color="auto"/>
      </w:divBdr>
    </w:div>
    <w:div w:id="1209411068">
      <w:bodyDiv w:val="1"/>
      <w:marLeft w:val="0"/>
      <w:marRight w:val="0"/>
      <w:marTop w:val="0"/>
      <w:marBottom w:val="0"/>
      <w:divBdr>
        <w:top w:val="none" w:sz="0" w:space="0" w:color="auto"/>
        <w:left w:val="none" w:sz="0" w:space="0" w:color="auto"/>
        <w:bottom w:val="none" w:sz="0" w:space="0" w:color="auto"/>
        <w:right w:val="none" w:sz="0" w:space="0" w:color="auto"/>
      </w:divBdr>
    </w:div>
    <w:div w:id="1218315966">
      <w:bodyDiv w:val="1"/>
      <w:marLeft w:val="0"/>
      <w:marRight w:val="0"/>
      <w:marTop w:val="0"/>
      <w:marBottom w:val="0"/>
      <w:divBdr>
        <w:top w:val="none" w:sz="0" w:space="0" w:color="auto"/>
        <w:left w:val="none" w:sz="0" w:space="0" w:color="auto"/>
        <w:bottom w:val="none" w:sz="0" w:space="0" w:color="auto"/>
        <w:right w:val="none" w:sz="0" w:space="0" w:color="auto"/>
      </w:divBdr>
    </w:div>
    <w:div w:id="1224171846">
      <w:bodyDiv w:val="1"/>
      <w:marLeft w:val="0"/>
      <w:marRight w:val="0"/>
      <w:marTop w:val="0"/>
      <w:marBottom w:val="0"/>
      <w:divBdr>
        <w:top w:val="none" w:sz="0" w:space="0" w:color="auto"/>
        <w:left w:val="none" w:sz="0" w:space="0" w:color="auto"/>
        <w:bottom w:val="none" w:sz="0" w:space="0" w:color="auto"/>
        <w:right w:val="none" w:sz="0" w:space="0" w:color="auto"/>
      </w:divBdr>
    </w:div>
    <w:div w:id="1238636259">
      <w:bodyDiv w:val="1"/>
      <w:marLeft w:val="0"/>
      <w:marRight w:val="0"/>
      <w:marTop w:val="0"/>
      <w:marBottom w:val="0"/>
      <w:divBdr>
        <w:top w:val="none" w:sz="0" w:space="0" w:color="auto"/>
        <w:left w:val="none" w:sz="0" w:space="0" w:color="auto"/>
        <w:bottom w:val="none" w:sz="0" w:space="0" w:color="auto"/>
        <w:right w:val="none" w:sz="0" w:space="0" w:color="auto"/>
      </w:divBdr>
    </w:div>
    <w:div w:id="1240406461">
      <w:bodyDiv w:val="1"/>
      <w:marLeft w:val="0"/>
      <w:marRight w:val="0"/>
      <w:marTop w:val="0"/>
      <w:marBottom w:val="0"/>
      <w:divBdr>
        <w:top w:val="none" w:sz="0" w:space="0" w:color="auto"/>
        <w:left w:val="none" w:sz="0" w:space="0" w:color="auto"/>
        <w:bottom w:val="none" w:sz="0" w:space="0" w:color="auto"/>
        <w:right w:val="none" w:sz="0" w:space="0" w:color="auto"/>
      </w:divBdr>
    </w:div>
    <w:div w:id="1240797439">
      <w:bodyDiv w:val="1"/>
      <w:marLeft w:val="0"/>
      <w:marRight w:val="0"/>
      <w:marTop w:val="0"/>
      <w:marBottom w:val="0"/>
      <w:divBdr>
        <w:top w:val="none" w:sz="0" w:space="0" w:color="auto"/>
        <w:left w:val="none" w:sz="0" w:space="0" w:color="auto"/>
        <w:bottom w:val="none" w:sz="0" w:space="0" w:color="auto"/>
        <w:right w:val="none" w:sz="0" w:space="0" w:color="auto"/>
      </w:divBdr>
    </w:div>
    <w:div w:id="1242715431">
      <w:bodyDiv w:val="1"/>
      <w:marLeft w:val="0"/>
      <w:marRight w:val="0"/>
      <w:marTop w:val="0"/>
      <w:marBottom w:val="0"/>
      <w:divBdr>
        <w:top w:val="none" w:sz="0" w:space="0" w:color="auto"/>
        <w:left w:val="none" w:sz="0" w:space="0" w:color="auto"/>
        <w:bottom w:val="none" w:sz="0" w:space="0" w:color="auto"/>
        <w:right w:val="none" w:sz="0" w:space="0" w:color="auto"/>
      </w:divBdr>
    </w:div>
    <w:div w:id="1246185018">
      <w:bodyDiv w:val="1"/>
      <w:marLeft w:val="0"/>
      <w:marRight w:val="0"/>
      <w:marTop w:val="0"/>
      <w:marBottom w:val="0"/>
      <w:divBdr>
        <w:top w:val="none" w:sz="0" w:space="0" w:color="auto"/>
        <w:left w:val="none" w:sz="0" w:space="0" w:color="auto"/>
        <w:bottom w:val="none" w:sz="0" w:space="0" w:color="auto"/>
        <w:right w:val="none" w:sz="0" w:space="0" w:color="auto"/>
      </w:divBdr>
    </w:div>
    <w:div w:id="1246256971">
      <w:bodyDiv w:val="1"/>
      <w:marLeft w:val="0"/>
      <w:marRight w:val="0"/>
      <w:marTop w:val="0"/>
      <w:marBottom w:val="0"/>
      <w:divBdr>
        <w:top w:val="none" w:sz="0" w:space="0" w:color="auto"/>
        <w:left w:val="none" w:sz="0" w:space="0" w:color="auto"/>
        <w:bottom w:val="none" w:sz="0" w:space="0" w:color="auto"/>
        <w:right w:val="none" w:sz="0" w:space="0" w:color="auto"/>
      </w:divBdr>
    </w:div>
    <w:div w:id="1247376629">
      <w:bodyDiv w:val="1"/>
      <w:marLeft w:val="0"/>
      <w:marRight w:val="0"/>
      <w:marTop w:val="0"/>
      <w:marBottom w:val="0"/>
      <w:divBdr>
        <w:top w:val="none" w:sz="0" w:space="0" w:color="auto"/>
        <w:left w:val="none" w:sz="0" w:space="0" w:color="auto"/>
        <w:bottom w:val="none" w:sz="0" w:space="0" w:color="auto"/>
        <w:right w:val="none" w:sz="0" w:space="0" w:color="auto"/>
      </w:divBdr>
    </w:div>
    <w:div w:id="1248273426">
      <w:bodyDiv w:val="1"/>
      <w:marLeft w:val="0"/>
      <w:marRight w:val="0"/>
      <w:marTop w:val="0"/>
      <w:marBottom w:val="0"/>
      <w:divBdr>
        <w:top w:val="none" w:sz="0" w:space="0" w:color="auto"/>
        <w:left w:val="none" w:sz="0" w:space="0" w:color="auto"/>
        <w:bottom w:val="none" w:sz="0" w:space="0" w:color="auto"/>
        <w:right w:val="none" w:sz="0" w:space="0" w:color="auto"/>
      </w:divBdr>
    </w:div>
    <w:div w:id="1275746316">
      <w:bodyDiv w:val="1"/>
      <w:marLeft w:val="0"/>
      <w:marRight w:val="0"/>
      <w:marTop w:val="0"/>
      <w:marBottom w:val="0"/>
      <w:divBdr>
        <w:top w:val="none" w:sz="0" w:space="0" w:color="auto"/>
        <w:left w:val="none" w:sz="0" w:space="0" w:color="auto"/>
        <w:bottom w:val="none" w:sz="0" w:space="0" w:color="auto"/>
        <w:right w:val="none" w:sz="0" w:space="0" w:color="auto"/>
      </w:divBdr>
    </w:div>
    <w:div w:id="1278946746">
      <w:bodyDiv w:val="1"/>
      <w:marLeft w:val="0"/>
      <w:marRight w:val="0"/>
      <w:marTop w:val="0"/>
      <w:marBottom w:val="0"/>
      <w:divBdr>
        <w:top w:val="none" w:sz="0" w:space="0" w:color="auto"/>
        <w:left w:val="none" w:sz="0" w:space="0" w:color="auto"/>
        <w:bottom w:val="none" w:sz="0" w:space="0" w:color="auto"/>
        <w:right w:val="none" w:sz="0" w:space="0" w:color="auto"/>
      </w:divBdr>
    </w:div>
    <w:div w:id="1281298844">
      <w:bodyDiv w:val="1"/>
      <w:marLeft w:val="0"/>
      <w:marRight w:val="0"/>
      <w:marTop w:val="0"/>
      <w:marBottom w:val="0"/>
      <w:divBdr>
        <w:top w:val="none" w:sz="0" w:space="0" w:color="auto"/>
        <w:left w:val="none" w:sz="0" w:space="0" w:color="auto"/>
        <w:bottom w:val="none" w:sz="0" w:space="0" w:color="auto"/>
        <w:right w:val="none" w:sz="0" w:space="0" w:color="auto"/>
      </w:divBdr>
    </w:div>
    <w:div w:id="1284926374">
      <w:bodyDiv w:val="1"/>
      <w:marLeft w:val="0"/>
      <w:marRight w:val="0"/>
      <w:marTop w:val="0"/>
      <w:marBottom w:val="0"/>
      <w:divBdr>
        <w:top w:val="none" w:sz="0" w:space="0" w:color="auto"/>
        <w:left w:val="none" w:sz="0" w:space="0" w:color="auto"/>
        <w:bottom w:val="none" w:sz="0" w:space="0" w:color="auto"/>
        <w:right w:val="none" w:sz="0" w:space="0" w:color="auto"/>
      </w:divBdr>
    </w:div>
    <w:div w:id="1286695452">
      <w:bodyDiv w:val="1"/>
      <w:marLeft w:val="0"/>
      <w:marRight w:val="0"/>
      <w:marTop w:val="0"/>
      <w:marBottom w:val="0"/>
      <w:divBdr>
        <w:top w:val="none" w:sz="0" w:space="0" w:color="auto"/>
        <w:left w:val="none" w:sz="0" w:space="0" w:color="auto"/>
        <w:bottom w:val="none" w:sz="0" w:space="0" w:color="auto"/>
        <w:right w:val="none" w:sz="0" w:space="0" w:color="auto"/>
      </w:divBdr>
    </w:div>
    <w:div w:id="1287614127">
      <w:bodyDiv w:val="1"/>
      <w:marLeft w:val="0"/>
      <w:marRight w:val="0"/>
      <w:marTop w:val="0"/>
      <w:marBottom w:val="0"/>
      <w:divBdr>
        <w:top w:val="none" w:sz="0" w:space="0" w:color="auto"/>
        <w:left w:val="none" w:sz="0" w:space="0" w:color="auto"/>
        <w:bottom w:val="none" w:sz="0" w:space="0" w:color="auto"/>
        <w:right w:val="none" w:sz="0" w:space="0" w:color="auto"/>
      </w:divBdr>
    </w:div>
    <w:div w:id="1290476120">
      <w:bodyDiv w:val="1"/>
      <w:marLeft w:val="0"/>
      <w:marRight w:val="0"/>
      <w:marTop w:val="0"/>
      <w:marBottom w:val="0"/>
      <w:divBdr>
        <w:top w:val="none" w:sz="0" w:space="0" w:color="auto"/>
        <w:left w:val="none" w:sz="0" w:space="0" w:color="auto"/>
        <w:bottom w:val="none" w:sz="0" w:space="0" w:color="auto"/>
        <w:right w:val="none" w:sz="0" w:space="0" w:color="auto"/>
      </w:divBdr>
    </w:div>
    <w:div w:id="1296839549">
      <w:bodyDiv w:val="1"/>
      <w:marLeft w:val="0"/>
      <w:marRight w:val="0"/>
      <w:marTop w:val="0"/>
      <w:marBottom w:val="0"/>
      <w:divBdr>
        <w:top w:val="none" w:sz="0" w:space="0" w:color="auto"/>
        <w:left w:val="none" w:sz="0" w:space="0" w:color="auto"/>
        <w:bottom w:val="none" w:sz="0" w:space="0" w:color="auto"/>
        <w:right w:val="none" w:sz="0" w:space="0" w:color="auto"/>
      </w:divBdr>
    </w:div>
    <w:div w:id="1298098801">
      <w:bodyDiv w:val="1"/>
      <w:marLeft w:val="0"/>
      <w:marRight w:val="0"/>
      <w:marTop w:val="0"/>
      <w:marBottom w:val="0"/>
      <w:divBdr>
        <w:top w:val="none" w:sz="0" w:space="0" w:color="auto"/>
        <w:left w:val="none" w:sz="0" w:space="0" w:color="auto"/>
        <w:bottom w:val="none" w:sz="0" w:space="0" w:color="auto"/>
        <w:right w:val="none" w:sz="0" w:space="0" w:color="auto"/>
      </w:divBdr>
    </w:div>
    <w:div w:id="1303659783">
      <w:bodyDiv w:val="1"/>
      <w:marLeft w:val="0"/>
      <w:marRight w:val="0"/>
      <w:marTop w:val="0"/>
      <w:marBottom w:val="0"/>
      <w:divBdr>
        <w:top w:val="none" w:sz="0" w:space="0" w:color="auto"/>
        <w:left w:val="none" w:sz="0" w:space="0" w:color="auto"/>
        <w:bottom w:val="none" w:sz="0" w:space="0" w:color="auto"/>
        <w:right w:val="none" w:sz="0" w:space="0" w:color="auto"/>
      </w:divBdr>
    </w:div>
    <w:div w:id="1305550296">
      <w:bodyDiv w:val="1"/>
      <w:marLeft w:val="0"/>
      <w:marRight w:val="0"/>
      <w:marTop w:val="0"/>
      <w:marBottom w:val="0"/>
      <w:divBdr>
        <w:top w:val="none" w:sz="0" w:space="0" w:color="auto"/>
        <w:left w:val="none" w:sz="0" w:space="0" w:color="auto"/>
        <w:bottom w:val="none" w:sz="0" w:space="0" w:color="auto"/>
        <w:right w:val="none" w:sz="0" w:space="0" w:color="auto"/>
      </w:divBdr>
    </w:div>
    <w:div w:id="1305968247">
      <w:bodyDiv w:val="1"/>
      <w:marLeft w:val="0"/>
      <w:marRight w:val="0"/>
      <w:marTop w:val="0"/>
      <w:marBottom w:val="0"/>
      <w:divBdr>
        <w:top w:val="none" w:sz="0" w:space="0" w:color="auto"/>
        <w:left w:val="none" w:sz="0" w:space="0" w:color="auto"/>
        <w:bottom w:val="none" w:sz="0" w:space="0" w:color="auto"/>
        <w:right w:val="none" w:sz="0" w:space="0" w:color="auto"/>
      </w:divBdr>
    </w:div>
    <w:div w:id="1308321626">
      <w:bodyDiv w:val="1"/>
      <w:marLeft w:val="0"/>
      <w:marRight w:val="0"/>
      <w:marTop w:val="0"/>
      <w:marBottom w:val="0"/>
      <w:divBdr>
        <w:top w:val="none" w:sz="0" w:space="0" w:color="auto"/>
        <w:left w:val="none" w:sz="0" w:space="0" w:color="auto"/>
        <w:bottom w:val="none" w:sz="0" w:space="0" w:color="auto"/>
        <w:right w:val="none" w:sz="0" w:space="0" w:color="auto"/>
      </w:divBdr>
    </w:div>
    <w:div w:id="1309165331">
      <w:bodyDiv w:val="1"/>
      <w:marLeft w:val="0"/>
      <w:marRight w:val="0"/>
      <w:marTop w:val="0"/>
      <w:marBottom w:val="0"/>
      <w:divBdr>
        <w:top w:val="none" w:sz="0" w:space="0" w:color="auto"/>
        <w:left w:val="none" w:sz="0" w:space="0" w:color="auto"/>
        <w:bottom w:val="none" w:sz="0" w:space="0" w:color="auto"/>
        <w:right w:val="none" w:sz="0" w:space="0" w:color="auto"/>
      </w:divBdr>
    </w:div>
    <w:div w:id="1314989724">
      <w:bodyDiv w:val="1"/>
      <w:marLeft w:val="0"/>
      <w:marRight w:val="0"/>
      <w:marTop w:val="0"/>
      <w:marBottom w:val="0"/>
      <w:divBdr>
        <w:top w:val="none" w:sz="0" w:space="0" w:color="auto"/>
        <w:left w:val="none" w:sz="0" w:space="0" w:color="auto"/>
        <w:bottom w:val="none" w:sz="0" w:space="0" w:color="auto"/>
        <w:right w:val="none" w:sz="0" w:space="0" w:color="auto"/>
      </w:divBdr>
    </w:div>
    <w:div w:id="1316763141">
      <w:bodyDiv w:val="1"/>
      <w:marLeft w:val="0"/>
      <w:marRight w:val="0"/>
      <w:marTop w:val="0"/>
      <w:marBottom w:val="0"/>
      <w:divBdr>
        <w:top w:val="none" w:sz="0" w:space="0" w:color="auto"/>
        <w:left w:val="none" w:sz="0" w:space="0" w:color="auto"/>
        <w:bottom w:val="none" w:sz="0" w:space="0" w:color="auto"/>
        <w:right w:val="none" w:sz="0" w:space="0" w:color="auto"/>
      </w:divBdr>
    </w:div>
    <w:div w:id="1317955637">
      <w:bodyDiv w:val="1"/>
      <w:marLeft w:val="0"/>
      <w:marRight w:val="0"/>
      <w:marTop w:val="0"/>
      <w:marBottom w:val="0"/>
      <w:divBdr>
        <w:top w:val="none" w:sz="0" w:space="0" w:color="auto"/>
        <w:left w:val="none" w:sz="0" w:space="0" w:color="auto"/>
        <w:bottom w:val="none" w:sz="0" w:space="0" w:color="auto"/>
        <w:right w:val="none" w:sz="0" w:space="0" w:color="auto"/>
      </w:divBdr>
    </w:div>
    <w:div w:id="1323319014">
      <w:bodyDiv w:val="1"/>
      <w:marLeft w:val="0"/>
      <w:marRight w:val="0"/>
      <w:marTop w:val="0"/>
      <w:marBottom w:val="0"/>
      <w:divBdr>
        <w:top w:val="none" w:sz="0" w:space="0" w:color="auto"/>
        <w:left w:val="none" w:sz="0" w:space="0" w:color="auto"/>
        <w:bottom w:val="none" w:sz="0" w:space="0" w:color="auto"/>
        <w:right w:val="none" w:sz="0" w:space="0" w:color="auto"/>
      </w:divBdr>
    </w:div>
    <w:div w:id="1325282490">
      <w:bodyDiv w:val="1"/>
      <w:marLeft w:val="0"/>
      <w:marRight w:val="0"/>
      <w:marTop w:val="0"/>
      <w:marBottom w:val="0"/>
      <w:divBdr>
        <w:top w:val="none" w:sz="0" w:space="0" w:color="auto"/>
        <w:left w:val="none" w:sz="0" w:space="0" w:color="auto"/>
        <w:bottom w:val="none" w:sz="0" w:space="0" w:color="auto"/>
        <w:right w:val="none" w:sz="0" w:space="0" w:color="auto"/>
      </w:divBdr>
    </w:div>
    <w:div w:id="1325402639">
      <w:bodyDiv w:val="1"/>
      <w:marLeft w:val="0"/>
      <w:marRight w:val="0"/>
      <w:marTop w:val="0"/>
      <w:marBottom w:val="0"/>
      <w:divBdr>
        <w:top w:val="none" w:sz="0" w:space="0" w:color="auto"/>
        <w:left w:val="none" w:sz="0" w:space="0" w:color="auto"/>
        <w:bottom w:val="none" w:sz="0" w:space="0" w:color="auto"/>
        <w:right w:val="none" w:sz="0" w:space="0" w:color="auto"/>
      </w:divBdr>
      <w:divsChild>
        <w:div w:id="1684239250">
          <w:marLeft w:val="0"/>
          <w:marRight w:val="0"/>
          <w:marTop w:val="0"/>
          <w:marBottom w:val="0"/>
          <w:divBdr>
            <w:top w:val="single" w:sz="2" w:space="0" w:color="auto"/>
            <w:left w:val="single" w:sz="2" w:space="0" w:color="auto"/>
            <w:bottom w:val="single" w:sz="2" w:space="0" w:color="auto"/>
            <w:right w:val="single" w:sz="2" w:space="0" w:color="auto"/>
          </w:divBdr>
          <w:divsChild>
            <w:div w:id="260529771">
              <w:marLeft w:val="0"/>
              <w:marRight w:val="0"/>
              <w:marTop w:val="0"/>
              <w:marBottom w:val="0"/>
              <w:divBdr>
                <w:top w:val="single" w:sz="2" w:space="0" w:color="auto"/>
                <w:left w:val="single" w:sz="2" w:space="0" w:color="auto"/>
                <w:bottom w:val="single" w:sz="2" w:space="0" w:color="auto"/>
                <w:right w:val="single" w:sz="2" w:space="0" w:color="auto"/>
              </w:divBdr>
              <w:divsChild>
                <w:div w:id="1679844746">
                  <w:marLeft w:val="0"/>
                  <w:marRight w:val="0"/>
                  <w:marTop w:val="0"/>
                  <w:marBottom w:val="0"/>
                  <w:divBdr>
                    <w:top w:val="single" w:sz="2" w:space="0" w:color="auto"/>
                    <w:left w:val="single" w:sz="2" w:space="0" w:color="auto"/>
                    <w:bottom w:val="single" w:sz="2" w:space="0" w:color="auto"/>
                    <w:right w:val="single" w:sz="2" w:space="0" w:color="auto"/>
                  </w:divBdr>
                  <w:divsChild>
                    <w:div w:id="1785538722">
                      <w:marLeft w:val="0"/>
                      <w:marRight w:val="0"/>
                      <w:marTop w:val="0"/>
                      <w:marBottom w:val="0"/>
                      <w:divBdr>
                        <w:top w:val="single" w:sz="2" w:space="0" w:color="auto"/>
                        <w:left w:val="single" w:sz="2" w:space="12" w:color="auto"/>
                        <w:bottom w:val="single" w:sz="2" w:space="0" w:color="auto"/>
                        <w:right w:val="single" w:sz="2" w:space="12" w:color="auto"/>
                      </w:divBdr>
                      <w:divsChild>
                        <w:div w:id="784734566">
                          <w:marLeft w:val="0"/>
                          <w:marRight w:val="0"/>
                          <w:marTop w:val="0"/>
                          <w:marBottom w:val="0"/>
                          <w:divBdr>
                            <w:top w:val="single" w:sz="2" w:space="12" w:color="auto"/>
                            <w:left w:val="single" w:sz="2" w:space="0" w:color="auto"/>
                            <w:bottom w:val="single" w:sz="6" w:space="0" w:color="auto"/>
                            <w:right w:val="single" w:sz="2" w:space="0" w:color="auto"/>
                          </w:divBdr>
                          <w:divsChild>
                            <w:div w:id="1662150778">
                              <w:marLeft w:val="0"/>
                              <w:marRight w:val="0"/>
                              <w:marTop w:val="0"/>
                              <w:marBottom w:val="0"/>
                              <w:divBdr>
                                <w:top w:val="single" w:sz="2" w:space="0" w:color="auto"/>
                                <w:left w:val="single" w:sz="2" w:space="0" w:color="auto"/>
                                <w:bottom w:val="single" w:sz="2" w:space="0" w:color="auto"/>
                                <w:right w:val="single" w:sz="2" w:space="0" w:color="auto"/>
                              </w:divBdr>
                              <w:divsChild>
                                <w:div w:id="1495296730">
                                  <w:marLeft w:val="0"/>
                                  <w:marRight w:val="0"/>
                                  <w:marTop w:val="0"/>
                                  <w:marBottom w:val="0"/>
                                  <w:divBdr>
                                    <w:top w:val="single" w:sz="2" w:space="0" w:color="auto"/>
                                    <w:left w:val="single" w:sz="2" w:space="0" w:color="auto"/>
                                    <w:bottom w:val="single" w:sz="2" w:space="0" w:color="auto"/>
                                    <w:right w:val="single" w:sz="2" w:space="0" w:color="auto"/>
                                  </w:divBdr>
                                  <w:divsChild>
                                    <w:div w:id="502283060">
                                      <w:marLeft w:val="0"/>
                                      <w:marRight w:val="0"/>
                                      <w:marTop w:val="0"/>
                                      <w:marBottom w:val="0"/>
                                      <w:divBdr>
                                        <w:top w:val="single" w:sz="2" w:space="0" w:color="auto"/>
                                        <w:left w:val="single" w:sz="2" w:space="0" w:color="auto"/>
                                        <w:bottom w:val="single" w:sz="2" w:space="0" w:color="auto"/>
                                        <w:right w:val="single" w:sz="2" w:space="0" w:color="auto"/>
                                      </w:divBdr>
                                      <w:divsChild>
                                        <w:div w:id="1321079136">
                                          <w:marLeft w:val="0"/>
                                          <w:marRight w:val="0"/>
                                          <w:marTop w:val="0"/>
                                          <w:marBottom w:val="0"/>
                                          <w:divBdr>
                                            <w:top w:val="single" w:sz="2" w:space="0" w:color="auto"/>
                                            <w:left w:val="single" w:sz="2" w:space="0" w:color="auto"/>
                                            <w:bottom w:val="single" w:sz="2" w:space="0" w:color="auto"/>
                                            <w:right w:val="single" w:sz="2" w:space="0" w:color="auto"/>
                                          </w:divBdr>
                                          <w:divsChild>
                                            <w:div w:id="335882098">
                                              <w:marLeft w:val="0"/>
                                              <w:marRight w:val="0"/>
                                              <w:marTop w:val="0"/>
                                              <w:marBottom w:val="0"/>
                                              <w:divBdr>
                                                <w:top w:val="single" w:sz="2" w:space="0" w:color="auto"/>
                                                <w:left w:val="single" w:sz="2" w:space="0" w:color="auto"/>
                                                <w:bottom w:val="single" w:sz="2" w:space="0" w:color="auto"/>
                                                <w:right w:val="single" w:sz="2" w:space="0" w:color="auto"/>
                                              </w:divBdr>
                                              <w:divsChild>
                                                <w:div w:id="1405757276">
                                                  <w:marLeft w:val="0"/>
                                                  <w:marRight w:val="0"/>
                                                  <w:marTop w:val="0"/>
                                                  <w:marBottom w:val="0"/>
                                                  <w:divBdr>
                                                    <w:top w:val="single" w:sz="2" w:space="0" w:color="auto"/>
                                                    <w:left w:val="single" w:sz="2" w:space="0" w:color="auto"/>
                                                    <w:bottom w:val="single" w:sz="2" w:space="0" w:color="auto"/>
                                                    <w:right w:val="single" w:sz="2" w:space="0" w:color="auto"/>
                                                  </w:divBdr>
                                                  <w:divsChild>
                                                    <w:div w:id="1356346047">
                                                      <w:marLeft w:val="0"/>
                                                      <w:marRight w:val="0"/>
                                                      <w:marTop w:val="0"/>
                                                      <w:marBottom w:val="0"/>
                                                      <w:divBdr>
                                                        <w:top w:val="single" w:sz="2" w:space="0" w:color="auto"/>
                                                        <w:left w:val="single" w:sz="2" w:space="0" w:color="auto"/>
                                                        <w:bottom w:val="single" w:sz="2" w:space="0" w:color="auto"/>
                                                        <w:right w:val="single" w:sz="2" w:space="0" w:color="auto"/>
                                                      </w:divBdr>
                                                      <w:divsChild>
                                                        <w:div w:id="641083887">
                                                          <w:marLeft w:val="0"/>
                                                          <w:marRight w:val="0"/>
                                                          <w:marTop w:val="0"/>
                                                          <w:marBottom w:val="0"/>
                                                          <w:divBdr>
                                                            <w:top w:val="single" w:sz="2" w:space="0" w:color="auto"/>
                                                            <w:left w:val="single" w:sz="2" w:space="0" w:color="auto"/>
                                                            <w:bottom w:val="single" w:sz="2" w:space="0" w:color="auto"/>
                                                            <w:right w:val="single" w:sz="2" w:space="0" w:color="auto"/>
                                                          </w:divBdr>
                                                          <w:divsChild>
                                                            <w:div w:id="2053459167">
                                                              <w:marLeft w:val="0"/>
                                                              <w:marRight w:val="0"/>
                                                              <w:marTop w:val="0"/>
                                                              <w:marBottom w:val="0"/>
                                                              <w:divBdr>
                                                                <w:top w:val="single" w:sz="2" w:space="0" w:color="auto"/>
                                                                <w:left w:val="single" w:sz="2" w:space="0" w:color="auto"/>
                                                                <w:bottom w:val="single" w:sz="2" w:space="0" w:color="auto"/>
                                                                <w:right w:val="single" w:sz="2" w:space="0" w:color="auto"/>
                                                              </w:divBdr>
                                                              <w:divsChild>
                                                                <w:div w:id="4634444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30983414">
      <w:bodyDiv w:val="1"/>
      <w:marLeft w:val="0"/>
      <w:marRight w:val="0"/>
      <w:marTop w:val="0"/>
      <w:marBottom w:val="0"/>
      <w:divBdr>
        <w:top w:val="none" w:sz="0" w:space="0" w:color="auto"/>
        <w:left w:val="none" w:sz="0" w:space="0" w:color="auto"/>
        <w:bottom w:val="none" w:sz="0" w:space="0" w:color="auto"/>
        <w:right w:val="none" w:sz="0" w:space="0" w:color="auto"/>
      </w:divBdr>
    </w:div>
    <w:div w:id="1341196083">
      <w:bodyDiv w:val="1"/>
      <w:marLeft w:val="0"/>
      <w:marRight w:val="0"/>
      <w:marTop w:val="0"/>
      <w:marBottom w:val="0"/>
      <w:divBdr>
        <w:top w:val="none" w:sz="0" w:space="0" w:color="auto"/>
        <w:left w:val="none" w:sz="0" w:space="0" w:color="auto"/>
        <w:bottom w:val="none" w:sz="0" w:space="0" w:color="auto"/>
        <w:right w:val="none" w:sz="0" w:space="0" w:color="auto"/>
      </w:divBdr>
    </w:div>
    <w:div w:id="1344867761">
      <w:bodyDiv w:val="1"/>
      <w:marLeft w:val="0"/>
      <w:marRight w:val="0"/>
      <w:marTop w:val="0"/>
      <w:marBottom w:val="0"/>
      <w:divBdr>
        <w:top w:val="none" w:sz="0" w:space="0" w:color="auto"/>
        <w:left w:val="none" w:sz="0" w:space="0" w:color="auto"/>
        <w:bottom w:val="none" w:sz="0" w:space="0" w:color="auto"/>
        <w:right w:val="none" w:sz="0" w:space="0" w:color="auto"/>
      </w:divBdr>
    </w:div>
    <w:div w:id="1346246602">
      <w:bodyDiv w:val="1"/>
      <w:marLeft w:val="0"/>
      <w:marRight w:val="0"/>
      <w:marTop w:val="0"/>
      <w:marBottom w:val="0"/>
      <w:divBdr>
        <w:top w:val="none" w:sz="0" w:space="0" w:color="auto"/>
        <w:left w:val="none" w:sz="0" w:space="0" w:color="auto"/>
        <w:bottom w:val="none" w:sz="0" w:space="0" w:color="auto"/>
        <w:right w:val="none" w:sz="0" w:space="0" w:color="auto"/>
      </w:divBdr>
    </w:div>
    <w:div w:id="1352150695">
      <w:bodyDiv w:val="1"/>
      <w:marLeft w:val="0"/>
      <w:marRight w:val="0"/>
      <w:marTop w:val="0"/>
      <w:marBottom w:val="0"/>
      <w:divBdr>
        <w:top w:val="none" w:sz="0" w:space="0" w:color="auto"/>
        <w:left w:val="none" w:sz="0" w:space="0" w:color="auto"/>
        <w:bottom w:val="none" w:sz="0" w:space="0" w:color="auto"/>
        <w:right w:val="none" w:sz="0" w:space="0" w:color="auto"/>
      </w:divBdr>
    </w:div>
    <w:div w:id="1357734366">
      <w:bodyDiv w:val="1"/>
      <w:marLeft w:val="0"/>
      <w:marRight w:val="0"/>
      <w:marTop w:val="0"/>
      <w:marBottom w:val="0"/>
      <w:divBdr>
        <w:top w:val="none" w:sz="0" w:space="0" w:color="auto"/>
        <w:left w:val="none" w:sz="0" w:space="0" w:color="auto"/>
        <w:bottom w:val="none" w:sz="0" w:space="0" w:color="auto"/>
        <w:right w:val="none" w:sz="0" w:space="0" w:color="auto"/>
      </w:divBdr>
    </w:div>
    <w:div w:id="1357804481">
      <w:bodyDiv w:val="1"/>
      <w:marLeft w:val="0"/>
      <w:marRight w:val="0"/>
      <w:marTop w:val="0"/>
      <w:marBottom w:val="0"/>
      <w:divBdr>
        <w:top w:val="none" w:sz="0" w:space="0" w:color="auto"/>
        <w:left w:val="none" w:sz="0" w:space="0" w:color="auto"/>
        <w:bottom w:val="none" w:sz="0" w:space="0" w:color="auto"/>
        <w:right w:val="none" w:sz="0" w:space="0" w:color="auto"/>
      </w:divBdr>
    </w:div>
    <w:div w:id="1358432885">
      <w:bodyDiv w:val="1"/>
      <w:marLeft w:val="0"/>
      <w:marRight w:val="0"/>
      <w:marTop w:val="0"/>
      <w:marBottom w:val="0"/>
      <w:divBdr>
        <w:top w:val="none" w:sz="0" w:space="0" w:color="auto"/>
        <w:left w:val="none" w:sz="0" w:space="0" w:color="auto"/>
        <w:bottom w:val="none" w:sz="0" w:space="0" w:color="auto"/>
        <w:right w:val="none" w:sz="0" w:space="0" w:color="auto"/>
      </w:divBdr>
    </w:div>
    <w:div w:id="1359350660">
      <w:bodyDiv w:val="1"/>
      <w:marLeft w:val="0"/>
      <w:marRight w:val="0"/>
      <w:marTop w:val="0"/>
      <w:marBottom w:val="0"/>
      <w:divBdr>
        <w:top w:val="none" w:sz="0" w:space="0" w:color="auto"/>
        <w:left w:val="none" w:sz="0" w:space="0" w:color="auto"/>
        <w:bottom w:val="none" w:sz="0" w:space="0" w:color="auto"/>
        <w:right w:val="none" w:sz="0" w:space="0" w:color="auto"/>
      </w:divBdr>
    </w:div>
    <w:div w:id="1362433010">
      <w:bodyDiv w:val="1"/>
      <w:marLeft w:val="0"/>
      <w:marRight w:val="0"/>
      <w:marTop w:val="0"/>
      <w:marBottom w:val="0"/>
      <w:divBdr>
        <w:top w:val="none" w:sz="0" w:space="0" w:color="auto"/>
        <w:left w:val="none" w:sz="0" w:space="0" w:color="auto"/>
        <w:bottom w:val="none" w:sz="0" w:space="0" w:color="auto"/>
        <w:right w:val="none" w:sz="0" w:space="0" w:color="auto"/>
      </w:divBdr>
    </w:div>
    <w:div w:id="1367607774">
      <w:bodyDiv w:val="1"/>
      <w:marLeft w:val="0"/>
      <w:marRight w:val="0"/>
      <w:marTop w:val="0"/>
      <w:marBottom w:val="0"/>
      <w:divBdr>
        <w:top w:val="none" w:sz="0" w:space="0" w:color="auto"/>
        <w:left w:val="none" w:sz="0" w:space="0" w:color="auto"/>
        <w:bottom w:val="none" w:sz="0" w:space="0" w:color="auto"/>
        <w:right w:val="none" w:sz="0" w:space="0" w:color="auto"/>
      </w:divBdr>
    </w:div>
    <w:div w:id="1373310255">
      <w:bodyDiv w:val="1"/>
      <w:marLeft w:val="0"/>
      <w:marRight w:val="0"/>
      <w:marTop w:val="0"/>
      <w:marBottom w:val="0"/>
      <w:divBdr>
        <w:top w:val="none" w:sz="0" w:space="0" w:color="auto"/>
        <w:left w:val="none" w:sz="0" w:space="0" w:color="auto"/>
        <w:bottom w:val="none" w:sz="0" w:space="0" w:color="auto"/>
        <w:right w:val="none" w:sz="0" w:space="0" w:color="auto"/>
      </w:divBdr>
    </w:div>
    <w:div w:id="1374844108">
      <w:bodyDiv w:val="1"/>
      <w:marLeft w:val="0"/>
      <w:marRight w:val="0"/>
      <w:marTop w:val="0"/>
      <w:marBottom w:val="0"/>
      <w:divBdr>
        <w:top w:val="none" w:sz="0" w:space="0" w:color="auto"/>
        <w:left w:val="none" w:sz="0" w:space="0" w:color="auto"/>
        <w:bottom w:val="none" w:sz="0" w:space="0" w:color="auto"/>
        <w:right w:val="none" w:sz="0" w:space="0" w:color="auto"/>
      </w:divBdr>
    </w:div>
    <w:div w:id="1378360497">
      <w:bodyDiv w:val="1"/>
      <w:marLeft w:val="0"/>
      <w:marRight w:val="0"/>
      <w:marTop w:val="0"/>
      <w:marBottom w:val="0"/>
      <w:divBdr>
        <w:top w:val="none" w:sz="0" w:space="0" w:color="auto"/>
        <w:left w:val="none" w:sz="0" w:space="0" w:color="auto"/>
        <w:bottom w:val="none" w:sz="0" w:space="0" w:color="auto"/>
        <w:right w:val="none" w:sz="0" w:space="0" w:color="auto"/>
      </w:divBdr>
    </w:div>
    <w:div w:id="1383793296">
      <w:bodyDiv w:val="1"/>
      <w:marLeft w:val="0"/>
      <w:marRight w:val="0"/>
      <w:marTop w:val="0"/>
      <w:marBottom w:val="0"/>
      <w:divBdr>
        <w:top w:val="none" w:sz="0" w:space="0" w:color="auto"/>
        <w:left w:val="none" w:sz="0" w:space="0" w:color="auto"/>
        <w:bottom w:val="none" w:sz="0" w:space="0" w:color="auto"/>
        <w:right w:val="none" w:sz="0" w:space="0" w:color="auto"/>
      </w:divBdr>
    </w:div>
    <w:div w:id="1384212209">
      <w:bodyDiv w:val="1"/>
      <w:marLeft w:val="0"/>
      <w:marRight w:val="0"/>
      <w:marTop w:val="0"/>
      <w:marBottom w:val="0"/>
      <w:divBdr>
        <w:top w:val="none" w:sz="0" w:space="0" w:color="auto"/>
        <w:left w:val="none" w:sz="0" w:space="0" w:color="auto"/>
        <w:bottom w:val="none" w:sz="0" w:space="0" w:color="auto"/>
        <w:right w:val="none" w:sz="0" w:space="0" w:color="auto"/>
      </w:divBdr>
    </w:div>
    <w:div w:id="1385328301">
      <w:bodyDiv w:val="1"/>
      <w:marLeft w:val="0"/>
      <w:marRight w:val="0"/>
      <w:marTop w:val="0"/>
      <w:marBottom w:val="0"/>
      <w:divBdr>
        <w:top w:val="none" w:sz="0" w:space="0" w:color="auto"/>
        <w:left w:val="none" w:sz="0" w:space="0" w:color="auto"/>
        <w:bottom w:val="none" w:sz="0" w:space="0" w:color="auto"/>
        <w:right w:val="none" w:sz="0" w:space="0" w:color="auto"/>
      </w:divBdr>
    </w:div>
    <w:div w:id="1386642700">
      <w:bodyDiv w:val="1"/>
      <w:marLeft w:val="0"/>
      <w:marRight w:val="0"/>
      <w:marTop w:val="0"/>
      <w:marBottom w:val="0"/>
      <w:divBdr>
        <w:top w:val="none" w:sz="0" w:space="0" w:color="auto"/>
        <w:left w:val="none" w:sz="0" w:space="0" w:color="auto"/>
        <w:bottom w:val="none" w:sz="0" w:space="0" w:color="auto"/>
        <w:right w:val="none" w:sz="0" w:space="0" w:color="auto"/>
      </w:divBdr>
    </w:div>
    <w:div w:id="1387335538">
      <w:bodyDiv w:val="1"/>
      <w:marLeft w:val="0"/>
      <w:marRight w:val="0"/>
      <w:marTop w:val="0"/>
      <w:marBottom w:val="0"/>
      <w:divBdr>
        <w:top w:val="none" w:sz="0" w:space="0" w:color="auto"/>
        <w:left w:val="none" w:sz="0" w:space="0" w:color="auto"/>
        <w:bottom w:val="none" w:sz="0" w:space="0" w:color="auto"/>
        <w:right w:val="none" w:sz="0" w:space="0" w:color="auto"/>
      </w:divBdr>
    </w:div>
    <w:div w:id="1392655107">
      <w:bodyDiv w:val="1"/>
      <w:marLeft w:val="0"/>
      <w:marRight w:val="0"/>
      <w:marTop w:val="0"/>
      <w:marBottom w:val="0"/>
      <w:divBdr>
        <w:top w:val="none" w:sz="0" w:space="0" w:color="auto"/>
        <w:left w:val="none" w:sz="0" w:space="0" w:color="auto"/>
        <w:bottom w:val="none" w:sz="0" w:space="0" w:color="auto"/>
        <w:right w:val="none" w:sz="0" w:space="0" w:color="auto"/>
      </w:divBdr>
    </w:div>
    <w:div w:id="1395663862">
      <w:bodyDiv w:val="1"/>
      <w:marLeft w:val="0"/>
      <w:marRight w:val="0"/>
      <w:marTop w:val="0"/>
      <w:marBottom w:val="0"/>
      <w:divBdr>
        <w:top w:val="none" w:sz="0" w:space="0" w:color="auto"/>
        <w:left w:val="none" w:sz="0" w:space="0" w:color="auto"/>
        <w:bottom w:val="none" w:sz="0" w:space="0" w:color="auto"/>
        <w:right w:val="none" w:sz="0" w:space="0" w:color="auto"/>
      </w:divBdr>
    </w:div>
    <w:div w:id="1396051580">
      <w:bodyDiv w:val="1"/>
      <w:marLeft w:val="0"/>
      <w:marRight w:val="0"/>
      <w:marTop w:val="0"/>
      <w:marBottom w:val="0"/>
      <w:divBdr>
        <w:top w:val="none" w:sz="0" w:space="0" w:color="auto"/>
        <w:left w:val="none" w:sz="0" w:space="0" w:color="auto"/>
        <w:bottom w:val="none" w:sz="0" w:space="0" w:color="auto"/>
        <w:right w:val="none" w:sz="0" w:space="0" w:color="auto"/>
      </w:divBdr>
    </w:div>
    <w:div w:id="1396201720">
      <w:bodyDiv w:val="1"/>
      <w:marLeft w:val="0"/>
      <w:marRight w:val="0"/>
      <w:marTop w:val="0"/>
      <w:marBottom w:val="0"/>
      <w:divBdr>
        <w:top w:val="none" w:sz="0" w:space="0" w:color="auto"/>
        <w:left w:val="none" w:sz="0" w:space="0" w:color="auto"/>
        <w:bottom w:val="none" w:sz="0" w:space="0" w:color="auto"/>
        <w:right w:val="none" w:sz="0" w:space="0" w:color="auto"/>
      </w:divBdr>
      <w:divsChild>
        <w:div w:id="663584280">
          <w:marLeft w:val="0"/>
          <w:marRight w:val="0"/>
          <w:marTop w:val="0"/>
          <w:marBottom w:val="0"/>
          <w:divBdr>
            <w:top w:val="none" w:sz="0" w:space="0" w:color="auto"/>
            <w:left w:val="none" w:sz="0" w:space="0" w:color="auto"/>
            <w:bottom w:val="none" w:sz="0" w:space="0" w:color="auto"/>
            <w:right w:val="none" w:sz="0" w:space="0" w:color="auto"/>
          </w:divBdr>
        </w:div>
        <w:div w:id="915670752">
          <w:marLeft w:val="0"/>
          <w:marRight w:val="0"/>
          <w:marTop w:val="0"/>
          <w:marBottom w:val="0"/>
          <w:divBdr>
            <w:top w:val="none" w:sz="0" w:space="0" w:color="auto"/>
            <w:left w:val="none" w:sz="0" w:space="0" w:color="auto"/>
            <w:bottom w:val="none" w:sz="0" w:space="0" w:color="auto"/>
            <w:right w:val="none" w:sz="0" w:space="0" w:color="auto"/>
          </w:divBdr>
          <w:divsChild>
            <w:div w:id="1763186214">
              <w:marLeft w:val="0"/>
              <w:marRight w:val="0"/>
              <w:marTop w:val="0"/>
              <w:marBottom w:val="0"/>
              <w:divBdr>
                <w:top w:val="none" w:sz="0" w:space="0" w:color="auto"/>
                <w:left w:val="none" w:sz="0" w:space="0" w:color="auto"/>
                <w:bottom w:val="none" w:sz="0" w:space="0" w:color="auto"/>
                <w:right w:val="none" w:sz="0" w:space="0" w:color="auto"/>
              </w:divBdr>
              <w:divsChild>
                <w:div w:id="1906330051">
                  <w:marLeft w:val="0"/>
                  <w:marRight w:val="0"/>
                  <w:marTop w:val="0"/>
                  <w:marBottom w:val="0"/>
                  <w:divBdr>
                    <w:top w:val="none" w:sz="0" w:space="0" w:color="auto"/>
                    <w:left w:val="none" w:sz="0" w:space="0" w:color="auto"/>
                    <w:bottom w:val="none" w:sz="0" w:space="0" w:color="auto"/>
                    <w:right w:val="none" w:sz="0" w:space="0" w:color="auto"/>
                  </w:divBdr>
                  <w:divsChild>
                    <w:div w:id="407700073">
                      <w:marLeft w:val="0"/>
                      <w:marRight w:val="0"/>
                      <w:marTop w:val="0"/>
                      <w:marBottom w:val="0"/>
                      <w:divBdr>
                        <w:top w:val="none" w:sz="0" w:space="0" w:color="auto"/>
                        <w:left w:val="none" w:sz="0" w:space="0" w:color="auto"/>
                        <w:bottom w:val="none" w:sz="0" w:space="0" w:color="auto"/>
                        <w:right w:val="none" w:sz="0" w:space="0" w:color="auto"/>
                      </w:divBdr>
                    </w:div>
                  </w:divsChild>
                </w:div>
                <w:div w:id="2021076281">
                  <w:marLeft w:val="0"/>
                  <w:marRight w:val="0"/>
                  <w:marTop w:val="0"/>
                  <w:marBottom w:val="0"/>
                  <w:divBdr>
                    <w:top w:val="none" w:sz="0" w:space="0" w:color="auto"/>
                    <w:left w:val="none" w:sz="0" w:space="0" w:color="auto"/>
                    <w:bottom w:val="none" w:sz="0" w:space="0" w:color="auto"/>
                    <w:right w:val="none" w:sz="0" w:space="0" w:color="auto"/>
                  </w:divBdr>
                  <w:divsChild>
                    <w:div w:id="178155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942582">
      <w:bodyDiv w:val="1"/>
      <w:marLeft w:val="0"/>
      <w:marRight w:val="0"/>
      <w:marTop w:val="0"/>
      <w:marBottom w:val="0"/>
      <w:divBdr>
        <w:top w:val="none" w:sz="0" w:space="0" w:color="auto"/>
        <w:left w:val="none" w:sz="0" w:space="0" w:color="auto"/>
        <w:bottom w:val="none" w:sz="0" w:space="0" w:color="auto"/>
        <w:right w:val="none" w:sz="0" w:space="0" w:color="auto"/>
      </w:divBdr>
    </w:div>
    <w:div w:id="1408184239">
      <w:bodyDiv w:val="1"/>
      <w:marLeft w:val="0"/>
      <w:marRight w:val="0"/>
      <w:marTop w:val="0"/>
      <w:marBottom w:val="0"/>
      <w:divBdr>
        <w:top w:val="none" w:sz="0" w:space="0" w:color="auto"/>
        <w:left w:val="none" w:sz="0" w:space="0" w:color="auto"/>
        <w:bottom w:val="none" w:sz="0" w:space="0" w:color="auto"/>
        <w:right w:val="none" w:sz="0" w:space="0" w:color="auto"/>
      </w:divBdr>
    </w:div>
    <w:div w:id="1412385368">
      <w:bodyDiv w:val="1"/>
      <w:marLeft w:val="0"/>
      <w:marRight w:val="0"/>
      <w:marTop w:val="0"/>
      <w:marBottom w:val="0"/>
      <w:divBdr>
        <w:top w:val="none" w:sz="0" w:space="0" w:color="auto"/>
        <w:left w:val="none" w:sz="0" w:space="0" w:color="auto"/>
        <w:bottom w:val="none" w:sz="0" w:space="0" w:color="auto"/>
        <w:right w:val="none" w:sz="0" w:space="0" w:color="auto"/>
      </w:divBdr>
    </w:div>
    <w:div w:id="1412505117">
      <w:bodyDiv w:val="1"/>
      <w:marLeft w:val="0"/>
      <w:marRight w:val="0"/>
      <w:marTop w:val="0"/>
      <w:marBottom w:val="0"/>
      <w:divBdr>
        <w:top w:val="none" w:sz="0" w:space="0" w:color="auto"/>
        <w:left w:val="none" w:sz="0" w:space="0" w:color="auto"/>
        <w:bottom w:val="none" w:sz="0" w:space="0" w:color="auto"/>
        <w:right w:val="none" w:sz="0" w:space="0" w:color="auto"/>
      </w:divBdr>
    </w:div>
    <w:div w:id="1425881723">
      <w:bodyDiv w:val="1"/>
      <w:marLeft w:val="0"/>
      <w:marRight w:val="0"/>
      <w:marTop w:val="0"/>
      <w:marBottom w:val="0"/>
      <w:divBdr>
        <w:top w:val="none" w:sz="0" w:space="0" w:color="auto"/>
        <w:left w:val="none" w:sz="0" w:space="0" w:color="auto"/>
        <w:bottom w:val="none" w:sz="0" w:space="0" w:color="auto"/>
        <w:right w:val="none" w:sz="0" w:space="0" w:color="auto"/>
      </w:divBdr>
    </w:div>
    <w:div w:id="1425999367">
      <w:bodyDiv w:val="1"/>
      <w:marLeft w:val="0"/>
      <w:marRight w:val="0"/>
      <w:marTop w:val="0"/>
      <w:marBottom w:val="0"/>
      <w:divBdr>
        <w:top w:val="none" w:sz="0" w:space="0" w:color="auto"/>
        <w:left w:val="none" w:sz="0" w:space="0" w:color="auto"/>
        <w:bottom w:val="none" w:sz="0" w:space="0" w:color="auto"/>
        <w:right w:val="none" w:sz="0" w:space="0" w:color="auto"/>
      </w:divBdr>
    </w:div>
    <w:div w:id="1428036186">
      <w:bodyDiv w:val="1"/>
      <w:marLeft w:val="0"/>
      <w:marRight w:val="0"/>
      <w:marTop w:val="0"/>
      <w:marBottom w:val="0"/>
      <w:divBdr>
        <w:top w:val="none" w:sz="0" w:space="0" w:color="auto"/>
        <w:left w:val="none" w:sz="0" w:space="0" w:color="auto"/>
        <w:bottom w:val="none" w:sz="0" w:space="0" w:color="auto"/>
        <w:right w:val="none" w:sz="0" w:space="0" w:color="auto"/>
      </w:divBdr>
    </w:div>
    <w:div w:id="1431510695">
      <w:bodyDiv w:val="1"/>
      <w:marLeft w:val="0"/>
      <w:marRight w:val="0"/>
      <w:marTop w:val="0"/>
      <w:marBottom w:val="0"/>
      <w:divBdr>
        <w:top w:val="none" w:sz="0" w:space="0" w:color="auto"/>
        <w:left w:val="none" w:sz="0" w:space="0" w:color="auto"/>
        <w:bottom w:val="none" w:sz="0" w:space="0" w:color="auto"/>
        <w:right w:val="none" w:sz="0" w:space="0" w:color="auto"/>
      </w:divBdr>
    </w:div>
    <w:div w:id="1431655361">
      <w:bodyDiv w:val="1"/>
      <w:marLeft w:val="0"/>
      <w:marRight w:val="0"/>
      <w:marTop w:val="0"/>
      <w:marBottom w:val="0"/>
      <w:divBdr>
        <w:top w:val="none" w:sz="0" w:space="0" w:color="auto"/>
        <w:left w:val="none" w:sz="0" w:space="0" w:color="auto"/>
        <w:bottom w:val="none" w:sz="0" w:space="0" w:color="auto"/>
        <w:right w:val="none" w:sz="0" w:space="0" w:color="auto"/>
      </w:divBdr>
    </w:div>
    <w:div w:id="1438670459">
      <w:bodyDiv w:val="1"/>
      <w:marLeft w:val="0"/>
      <w:marRight w:val="0"/>
      <w:marTop w:val="0"/>
      <w:marBottom w:val="0"/>
      <w:divBdr>
        <w:top w:val="none" w:sz="0" w:space="0" w:color="auto"/>
        <w:left w:val="none" w:sz="0" w:space="0" w:color="auto"/>
        <w:bottom w:val="none" w:sz="0" w:space="0" w:color="auto"/>
        <w:right w:val="none" w:sz="0" w:space="0" w:color="auto"/>
      </w:divBdr>
    </w:div>
    <w:div w:id="1440566145">
      <w:bodyDiv w:val="1"/>
      <w:marLeft w:val="0"/>
      <w:marRight w:val="0"/>
      <w:marTop w:val="0"/>
      <w:marBottom w:val="0"/>
      <w:divBdr>
        <w:top w:val="none" w:sz="0" w:space="0" w:color="auto"/>
        <w:left w:val="none" w:sz="0" w:space="0" w:color="auto"/>
        <w:bottom w:val="none" w:sz="0" w:space="0" w:color="auto"/>
        <w:right w:val="none" w:sz="0" w:space="0" w:color="auto"/>
      </w:divBdr>
    </w:div>
    <w:div w:id="1442994701">
      <w:bodyDiv w:val="1"/>
      <w:marLeft w:val="0"/>
      <w:marRight w:val="0"/>
      <w:marTop w:val="0"/>
      <w:marBottom w:val="0"/>
      <w:divBdr>
        <w:top w:val="none" w:sz="0" w:space="0" w:color="auto"/>
        <w:left w:val="none" w:sz="0" w:space="0" w:color="auto"/>
        <w:bottom w:val="none" w:sz="0" w:space="0" w:color="auto"/>
        <w:right w:val="none" w:sz="0" w:space="0" w:color="auto"/>
      </w:divBdr>
    </w:div>
    <w:div w:id="1449541365">
      <w:bodyDiv w:val="1"/>
      <w:marLeft w:val="0"/>
      <w:marRight w:val="0"/>
      <w:marTop w:val="0"/>
      <w:marBottom w:val="0"/>
      <w:divBdr>
        <w:top w:val="none" w:sz="0" w:space="0" w:color="auto"/>
        <w:left w:val="none" w:sz="0" w:space="0" w:color="auto"/>
        <w:bottom w:val="none" w:sz="0" w:space="0" w:color="auto"/>
        <w:right w:val="none" w:sz="0" w:space="0" w:color="auto"/>
      </w:divBdr>
    </w:div>
    <w:div w:id="1461729228">
      <w:bodyDiv w:val="1"/>
      <w:marLeft w:val="0"/>
      <w:marRight w:val="0"/>
      <w:marTop w:val="0"/>
      <w:marBottom w:val="0"/>
      <w:divBdr>
        <w:top w:val="none" w:sz="0" w:space="0" w:color="auto"/>
        <w:left w:val="none" w:sz="0" w:space="0" w:color="auto"/>
        <w:bottom w:val="none" w:sz="0" w:space="0" w:color="auto"/>
        <w:right w:val="none" w:sz="0" w:space="0" w:color="auto"/>
      </w:divBdr>
    </w:div>
    <w:div w:id="1469283588">
      <w:bodyDiv w:val="1"/>
      <w:marLeft w:val="0"/>
      <w:marRight w:val="0"/>
      <w:marTop w:val="0"/>
      <w:marBottom w:val="0"/>
      <w:divBdr>
        <w:top w:val="none" w:sz="0" w:space="0" w:color="auto"/>
        <w:left w:val="none" w:sz="0" w:space="0" w:color="auto"/>
        <w:bottom w:val="none" w:sz="0" w:space="0" w:color="auto"/>
        <w:right w:val="none" w:sz="0" w:space="0" w:color="auto"/>
      </w:divBdr>
    </w:div>
    <w:div w:id="1472209681">
      <w:bodyDiv w:val="1"/>
      <w:marLeft w:val="0"/>
      <w:marRight w:val="0"/>
      <w:marTop w:val="0"/>
      <w:marBottom w:val="0"/>
      <w:divBdr>
        <w:top w:val="none" w:sz="0" w:space="0" w:color="auto"/>
        <w:left w:val="none" w:sz="0" w:space="0" w:color="auto"/>
        <w:bottom w:val="none" w:sz="0" w:space="0" w:color="auto"/>
        <w:right w:val="none" w:sz="0" w:space="0" w:color="auto"/>
      </w:divBdr>
    </w:div>
    <w:div w:id="1475558279">
      <w:bodyDiv w:val="1"/>
      <w:marLeft w:val="0"/>
      <w:marRight w:val="0"/>
      <w:marTop w:val="0"/>
      <w:marBottom w:val="0"/>
      <w:divBdr>
        <w:top w:val="none" w:sz="0" w:space="0" w:color="auto"/>
        <w:left w:val="none" w:sz="0" w:space="0" w:color="auto"/>
        <w:bottom w:val="none" w:sz="0" w:space="0" w:color="auto"/>
        <w:right w:val="none" w:sz="0" w:space="0" w:color="auto"/>
      </w:divBdr>
    </w:div>
    <w:div w:id="1482572749">
      <w:bodyDiv w:val="1"/>
      <w:marLeft w:val="0"/>
      <w:marRight w:val="0"/>
      <w:marTop w:val="0"/>
      <w:marBottom w:val="0"/>
      <w:divBdr>
        <w:top w:val="none" w:sz="0" w:space="0" w:color="auto"/>
        <w:left w:val="none" w:sz="0" w:space="0" w:color="auto"/>
        <w:bottom w:val="none" w:sz="0" w:space="0" w:color="auto"/>
        <w:right w:val="none" w:sz="0" w:space="0" w:color="auto"/>
      </w:divBdr>
    </w:div>
    <w:div w:id="1486118506">
      <w:bodyDiv w:val="1"/>
      <w:marLeft w:val="0"/>
      <w:marRight w:val="0"/>
      <w:marTop w:val="0"/>
      <w:marBottom w:val="0"/>
      <w:divBdr>
        <w:top w:val="none" w:sz="0" w:space="0" w:color="auto"/>
        <w:left w:val="none" w:sz="0" w:space="0" w:color="auto"/>
        <w:bottom w:val="none" w:sz="0" w:space="0" w:color="auto"/>
        <w:right w:val="none" w:sz="0" w:space="0" w:color="auto"/>
      </w:divBdr>
    </w:div>
    <w:div w:id="1487278381">
      <w:bodyDiv w:val="1"/>
      <w:marLeft w:val="0"/>
      <w:marRight w:val="0"/>
      <w:marTop w:val="0"/>
      <w:marBottom w:val="0"/>
      <w:divBdr>
        <w:top w:val="none" w:sz="0" w:space="0" w:color="auto"/>
        <w:left w:val="none" w:sz="0" w:space="0" w:color="auto"/>
        <w:bottom w:val="none" w:sz="0" w:space="0" w:color="auto"/>
        <w:right w:val="none" w:sz="0" w:space="0" w:color="auto"/>
      </w:divBdr>
    </w:div>
    <w:div w:id="1489326583">
      <w:bodyDiv w:val="1"/>
      <w:marLeft w:val="0"/>
      <w:marRight w:val="0"/>
      <w:marTop w:val="0"/>
      <w:marBottom w:val="0"/>
      <w:divBdr>
        <w:top w:val="none" w:sz="0" w:space="0" w:color="auto"/>
        <w:left w:val="none" w:sz="0" w:space="0" w:color="auto"/>
        <w:bottom w:val="none" w:sz="0" w:space="0" w:color="auto"/>
        <w:right w:val="none" w:sz="0" w:space="0" w:color="auto"/>
      </w:divBdr>
    </w:div>
    <w:div w:id="1490251753">
      <w:bodyDiv w:val="1"/>
      <w:marLeft w:val="0"/>
      <w:marRight w:val="0"/>
      <w:marTop w:val="0"/>
      <w:marBottom w:val="0"/>
      <w:divBdr>
        <w:top w:val="none" w:sz="0" w:space="0" w:color="auto"/>
        <w:left w:val="none" w:sz="0" w:space="0" w:color="auto"/>
        <w:bottom w:val="none" w:sz="0" w:space="0" w:color="auto"/>
        <w:right w:val="none" w:sz="0" w:space="0" w:color="auto"/>
      </w:divBdr>
    </w:div>
    <w:div w:id="1490903906">
      <w:bodyDiv w:val="1"/>
      <w:marLeft w:val="0"/>
      <w:marRight w:val="0"/>
      <w:marTop w:val="0"/>
      <w:marBottom w:val="0"/>
      <w:divBdr>
        <w:top w:val="none" w:sz="0" w:space="0" w:color="auto"/>
        <w:left w:val="none" w:sz="0" w:space="0" w:color="auto"/>
        <w:bottom w:val="none" w:sz="0" w:space="0" w:color="auto"/>
        <w:right w:val="none" w:sz="0" w:space="0" w:color="auto"/>
      </w:divBdr>
    </w:div>
    <w:div w:id="1493138208">
      <w:bodyDiv w:val="1"/>
      <w:marLeft w:val="0"/>
      <w:marRight w:val="0"/>
      <w:marTop w:val="0"/>
      <w:marBottom w:val="0"/>
      <w:divBdr>
        <w:top w:val="none" w:sz="0" w:space="0" w:color="auto"/>
        <w:left w:val="none" w:sz="0" w:space="0" w:color="auto"/>
        <w:bottom w:val="none" w:sz="0" w:space="0" w:color="auto"/>
        <w:right w:val="none" w:sz="0" w:space="0" w:color="auto"/>
      </w:divBdr>
    </w:div>
    <w:div w:id="1497578227">
      <w:bodyDiv w:val="1"/>
      <w:marLeft w:val="0"/>
      <w:marRight w:val="0"/>
      <w:marTop w:val="0"/>
      <w:marBottom w:val="0"/>
      <w:divBdr>
        <w:top w:val="none" w:sz="0" w:space="0" w:color="auto"/>
        <w:left w:val="none" w:sz="0" w:space="0" w:color="auto"/>
        <w:bottom w:val="none" w:sz="0" w:space="0" w:color="auto"/>
        <w:right w:val="none" w:sz="0" w:space="0" w:color="auto"/>
      </w:divBdr>
    </w:div>
    <w:div w:id="1499804574">
      <w:bodyDiv w:val="1"/>
      <w:marLeft w:val="0"/>
      <w:marRight w:val="0"/>
      <w:marTop w:val="0"/>
      <w:marBottom w:val="0"/>
      <w:divBdr>
        <w:top w:val="none" w:sz="0" w:space="0" w:color="auto"/>
        <w:left w:val="none" w:sz="0" w:space="0" w:color="auto"/>
        <w:bottom w:val="none" w:sz="0" w:space="0" w:color="auto"/>
        <w:right w:val="none" w:sz="0" w:space="0" w:color="auto"/>
      </w:divBdr>
    </w:div>
    <w:div w:id="1503931283">
      <w:bodyDiv w:val="1"/>
      <w:marLeft w:val="0"/>
      <w:marRight w:val="0"/>
      <w:marTop w:val="0"/>
      <w:marBottom w:val="0"/>
      <w:divBdr>
        <w:top w:val="none" w:sz="0" w:space="0" w:color="auto"/>
        <w:left w:val="none" w:sz="0" w:space="0" w:color="auto"/>
        <w:bottom w:val="none" w:sz="0" w:space="0" w:color="auto"/>
        <w:right w:val="none" w:sz="0" w:space="0" w:color="auto"/>
      </w:divBdr>
    </w:div>
    <w:div w:id="1508713034">
      <w:bodyDiv w:val="1"/>
      <w:marLeft w:val="0"/>
      <w:marRight w:val="0"/>
      <w:marTop w:val="0"/>
      <w:marBottom w:val="0"/>
      <w:divBdr>
        <w:top w:val="none" w:sz="0" w:space="0" w:color="auto"/>
        <w:left w:val="none" w:sz="0" w:space="0" w:color="auto"/>
        <w:bottom w:val="none" w:sz="0" w:space="0" w:color="auto"/>
        <w:right w:val="none" w:sz="0" w:space="0" w:color="auto"/>
      </w:divBdr>
    </w:div>
    <w:div w:id="1514144188">
      <w:bodyDiv w:val="1"/>
      <w:marLeft w:val="0"/>
      <w:marRight w:val="0"/>
      <w:marTop w:val="0"/>
      <w:marBottom w:val="0"/>
      <w:divBdr>
        <w:top w:val="none" w:sz="0" w:space="0" w:color="auto"/>
        <w:left w:val="none" w:sz="0" w:space="0" w:color="auto"/>
        <w:bottom w:val="none" w:sz="0" w:space="0" w:color="auto"/>
        <w:right w:val="none" w:sz="0" w:space="0" w:color="auto"/>
      </w:divBdr>
    </w:div>
    <w:div w:id="1515415748">
      <w:bodyDiv w:val="1"/>
      <w:marLeft w:val="0"/>
      <w:marRight w:val="0"/>
      <w:marTop w:val="0"/>
      <w:marBottom w:val="0"/>
      <w:divBdr>
        <w:top w:val="none" w:sz="0" w:space="0" w:color="auto"/>
        <w:left w:val="none" w:sz="0" w:space="0" w:color="auto"/>
        <w:bottom w:val="none" w:sz="0" w:space="0" w:color="auto"/>
        <w:right w:val="none" w:sz="0" w:space="0" w:color="auto"/>
      </w:divBdr>
    </w:div>
    <w:div w:id="1516191563">
      <w:bodyDiv w:val="1"/>
      <w:marLeft w:val="0"/>
      <w:marRight w:val="0"/>
      <w:marTop w:val="0"/>
      <w:marBottom w:val="0"/>
      <w:divBdr>
        <w:top w:val="none" w:sz="0" w:space="0" w:color="auto"/>
        <w:left w:val="none" w:sz="0" w:space="0" w:color="auto"/>
        <w:bottom w:val="none" w:sz="0" w:space="0" w:color="auto"/>
        <w:right w:val="none" w:sz="0" w:space="0" w:color="auto"/>
      </w:divBdr>
    </w:div>
    <w:div w:id="1518814083">
      <w:bodyDiv w:val="1"/>
      <w:marLeft w:val="0"/>
      <w:marRight w:val="0"/>
      <w:marTop w:val="0"/>
      <w:marBottom w:val="0"/>
      <w:divBdr>
        <w:top w:val="none" w:sz="0" w:space="0" w:color="auto"/>
        <w:left w:val="none" w:sz="0" w:space="0" w:color="auto"/>
        <w:bottom w:val="none" w:sz="0" w:space="0" w:color="auto"/>
        <w:right w:val="none" w:sz="0" w:space="0" w:color="auto"/>
      </w:divBdr>
    </w:div>
    <w:div w:id="1520580934">
      <w:bodyDiv w:val="1"/>
      <w:marLeft w:val="0"/>
      <w:marRight w:val="0"/>
      <w:marTop w:val="0"/>
      <w:marBottom w:val="0"/>
      <w:divBdr>
        <w:top w:val="none" w:sz="0" w:space="0" w:color="auto"/>
        <w:left w:val="none" w:sz="0" w:space="0" w:color="auto"/>
        <w:bottom w:val="none" w:sz="0" w:space="0" w:color="auto"/>
        <w:right w:val="none" w:sz="0" w:space="0" w:color="auto"/>
      </w:divBdr>
    </w:div>
    <w:div w:id="1520923517">
      <w:bodyDiv w:val="1"/>
      <w:marLeft w:val="0"/>
      <w:marRight w:val="0"/>
      <w:marTop w:val="0"/>
      <w:marBottom w:val="0"/>
      <w:divBdr>
        <w:top w:val="none" w:sz="0" w:space="0" w:color="auto"/>
        <w:left w:val="none" w:sz="0" w:space="0" w:color="auto"/>
        <w:bottom w:val="none" w:sz="0" w:space="0" w:color="auto"/>
        <w:right w:val="none" w:sz="0" w:space="0" w:color="auto"/>
      </w:divBdr>
      <w:divsChild>
        <w:div w:id="440733012">
          <w:marLeft w:val="0"/>
          <w:marRight w:val="0"/>
          <w:marTop w:val="0"/>
          <w:marBottom w:val="0"/>
          <w:divBdr>
            <w:top w:val="single" w:sz="2" w:space="0" w:color="E5E7EB"/>
            <w:left w:val="single" w:sz="2" w:space="0" w:color="E5E7EB"/>
            <w:bottom w:val="single" w:sz="2" w:space="0" w:color="E5E7EB"/>
            <w:right w:val="single" w:sz="2" w:space="0" w:color="E5E7EB"/>
          </w:divBdr>
          <w:divsChild>
            <w:div w:id="3626314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27400179">
      <w:bodyDiv w:val="1"/>
      <w:marLeft w:val="0"/>
      <w:marRight w:val="0"/>
      <w:marTop w:val="0"/>
      <w:marBottom w:val="0"/>
      <w:divBdr>
        <w:top w:val="none" w:sz="0" w:space="0" w:color="auto"/>
        <w:left w:val="none" w:sz="0" w:space="0" w:color="auto"/>
        <w:bottom w:val="none" w:sz="0" w:space="0" w:color="auto"/>
        <w:right w:val="none" w:sz="0" w:space="0" w:color="auto"/>
      </w:divBdr>
    </w:div>
    <w:div w:id="1533494875">
      <w:bodyDiv w:val="1"/>
      <w:marLeft w:val="0"/>
      <w:marRight w:val="0"/>
      <w:marTop w:val="0"/>
      <w:marBottom w:val="0"/>
      <w:divBdr>
        <w:top w:val="none" w:sz="0" w:space="0" w:color="auto"/>
        <w:left w:val="none" w:sz="0" w:space="0" w:color="auto"/>
        <w:bottom w:val="none" w:sz="0" w:space="0" w:color="auto"/>
        <w:right w:val="none" w:sz="0" w:space="0" w:color="auto"/>
      </w:divBdr>
    </w:div>
    <w:div w:id="1535386686">
      <w:bodyDiv w:val="1"/>
      <w:marLeft w:val="0"/>
      <w:marRight w:val="0"/>
      <w:marTop w:val="0"/>
      <w:marBottom w:val="0"/>
      <w:divBdr>
        <w:top w:val="none" w:sz="0" w:space="0" w:color="auto"/>
        <w:left w:val="none" w:sz="0" w:space="0" w:color="auto"/>
        <w:bottom w:val="none" w:sz="0" w:space="0" w:color="auto"/>
        <w:right w:val="none" w:sz="0" w:space="0" w:color="auto"/>
      </w:divBdr>
    </w:div>
    <w:div w:id="1537624634">
      <w:bodyDiv w:val="1"/>
      <w:marLeft w:val="0"/>
      <w:marRight w:val="0"/>
      <w:marTop w:val="0"/>
      <w:marBottom w:val="0"/>
      <w:divBdr>
        <w:top w:val="none" w:sz="0" w:space="0" w:color="auto"/>
        <w:left w:val="none" w:sz="0" w:space="0" w:color="auto"/>
        <w:bottom w:val="none" w:sz="0" w:space="0" w:color="auto"/>
        <w:right w:val="none" w:sz="0" w:space="0" w:color="auto"/>
      </w:divBdr>
    </w:div>
    <w:div w:id="1540125542">
      <w:bodyDiv w:val="1"/>
      <w:marLeft w:val="0"/>
      <w:marRight w:val="0"/>
      <w:marTop w:val="0"/>
      <w:marBottom w:val="0"/>
      <w:divBdr>
        <w:top w:val="none" w:sz="0" w:space="0" w:color="auto"/>
        <w:left w:val="none" w:sz="0" w:space="0" w:color="auto"/>
        <w:bottom w:val="none" w:sz="0" w:space="0" w:color="auto"/>
        <w:right w:val="none" w:sz="0" w:space="0" w:color="auto"/>
      </w:divBdr>
    </w:div>
    <w:div w:id="1541700806">
      <w:bodyDiv w:val="1"/>
      <w:marLeft w:val="0"/>
      <w:marRight w:val="0"/>
      <w:marTop w:val="0"/>
      <w:marBottom w:val="0"/>
      <w:divBdr>
        <w:top w:val="none" w:sz="0" w:space="0" w:color="auto"/>
        <w:left w:val="none" w:sz="0" w:space="0" w:color="auto"/>
        <w:bottom w:val="none" w:sz="0" w:space="0" w:color="auto"/>
        <w:right w:val="none" w:sz="0" w:space="0" w:color="auto"/>
      </w:divBdr>
    </w:div>
    <w:div w:id="1546215542">
      <w:bodyDiv w:val="1"/>
      <w:marLeft w:val="0"/>
      <w:marRight w:val="0"/>
      <w:marTop w:val="0"/>
      <w:marBottom w:val="0"/>
      <w:divBdr>
        <w:top w:val="none" w:sz="0" w:space="0" w:color="auto"/>
        <w:left w:val="none" w:sz="0" w:space="0" w:color="auto"/>
        <w:bottom w:val="none" w:sz="0" w:space="0" w:color="auto"/>
        <w:right w:val="none" w:sz="0" w:space="0" w:color="auto"/>
      </w:divBdr>
      <w:divsChild>
        <w:div w:id="1632709944">
          <w:blockQuote w:val="1"/>
          <w:marLeft w:val="0"/>
          <w:marRight w:val="0"/>
          <w:marTop w:val="384"/>
          <w:marBottom w:val="384"/>
          <w:divBdr>
            <w:top w:val="single" w:sz="2" w:space="0" w:color="auto"/>
            <w:left w:val="single" w:sz="2" w:space="0" w:color="auto"/>
            <w:bottom w:val="single" w:sz="2" w:space="0" w:color="auto"/>
            <w:right w:val="single" w:sz="2" w:space="0" w:color="auto"/>
          </w:divBdr>
        </w:div>
      </w:divsChild>
    </w:div>
    <w:div w:id="1547136167">
      <w:bodyDiv w:val="1"/>
      <w:marLeft w:val="0"/>
      <w:marRight w:val="0"/>
      <w:marTop w:val="0"/>
      <w:marBottom w:val="0"/>
      <w:divBdr>
        <w:top w:val="none" w:sz="0" w:space="0" w:color="auto"/>
        <w:left w:val="none" w:sz="0" w:space="0" w:color="auto"/>
        <w:bottom w:val="none" w:sz="0" w:space="0" w:color="auto"/>
        <w:right w:val="none" w:sz="0" w:space="0" w:color="auto"/>
      </w:divBdr>
    </w:div>
    <w:div w:id="1555317078">
      <w:bodyDiv w:val="1"/>
      <w:marLeft w:val="0"/>
      <w:marRight w:val="0"/>
      <w:marTop w:val="0"/>
      <w:marBottom w:val="0"/>
      <w:divBdr>
        <w:top w:val="none" w:sz="0" w:space="0" w:color="auto"/>
        <w:left w:val="none" w:sz="0" w:space="0" w:color="auto"/>
        <w:bottom w:val="none" w:sz="0" w:space="0" w:color="auto"/>
        <w:right w:val="none" w:sz="0" w:space="0" w:color="auto"/>
      </w:divBdr>
    </w:div>
    <w:div w:id="1560747313">
      <w:bodyDiv w:val="1"/>
      <w:marLeft w:val="0"/>
      <w:marRight w:val="0"/>
      <w:marTop w:val="0"/>
      <w:marBottom w:val="0"/>
      <w:divBdr>
        <w:top w:val="none" w:sz="0" w:space="0" w:color="auto"/>
        <w:left w:val="none" w:sz="0" w:space="0" w:color="auto"/>
        <w:bottom w:val="none" w:sz="0" w:space="0" w:color="auto"/>
        <w:right w:val="none" w:sz="0" w:space="0" w:color="auto"/>
      </w:divBdr>
      <w:divsChild>
        <w:div w:id="496311090">
          <w:marLeft w:val="0"/>
          <w:marRight w:val="0"/>
          <w:marTop w:val="0"/>
          <w:marBottom w:val="0"/>
          <w:divBdr>
            <w:top w:val="none" w:sz="0" w:space="0" w:color="auto"/>
            <w:left w:val="none" w:sz="0" w:space="0" w:color="auto"/>
            <w:bottom w:val="none" w:sz="0" w:space="0" w:color="auto"/>
            <w:right w:val="none" w:sz="0" w:space="0" w:color="auto"/>
          </w:divBdr>
          <w:divsChild>
            <w:div w:id="959071508">
              <w:marLeft w:val="0"/>
              <w:marRight w:val="0"/>
              <w:marTop w:val="0"/>
              <w:marBottom w:val="0"/>
              <w:divBdr>
                <w:top w:val="none" w:sz="0" w:space="0" w:color="auto"/>
                <w:left w:val="none" w:sz="0" w:space="0" w:color="auto"/>
                <w:bottom w:val="none" w:sz="0" w:space="0" w:color="auto"/>
                <w:right w:val="none" w:sz="0" w:space="0" w:color="auto"/>
              </w:divBdr>
            </w:div>
          </w:divsChild>
        </w:div>
        <w:div w:id="576480153">
          <w:marLeft w:val="0"/>
          <w:marRight w:val="0"/>
          <w:marTop w:val="0"/>
          <w:marBottom w:val="0"/>
          <w:divBdr>
            <w:top w:val="none" w:sz="0" w:space="0" w:color="auto"/>
            <w:left w:val="none" w:sz="0" w:space="0" w:color="auto"/>
            <w:bottom w:val="none" w:sz="0" w:space="0" w:color="auto"/>
            <w:right w:val="none" w:sz="0" w:space="0" w:color="auto"/>
          </w:divBdr>
          <w:divsChild>
            <w:div w:id="923418996">
              <w:marLeft w:val="0"/>
              <w:marRight w:val="0"/>
              <w:marTop w:val="0"/>
              <w:marBottom w:val="0"/>
              <w:divBdr>
                <w:top w:val="none" w:sz="0" w:space="0" w:color="auto"/>
                <w:left w:val="none" w:sz="0" w:space="0" w:color="auto"/>
                <w:bottom w:val="none" w:sz="0" w:space="0" w:color="auto"/>
                <w:right w:val="none" w:sz="0" w:space="0" w:color="auto"/>
              </w:divBdr>
            </w:div>
          </w:divsChild>
        </w:div>
        <w:div w:id="786001018">
          <w:marLeft w:val="0"/>
          <w:marRight w:val="0"/>
          <w:marTop w:val="0"/>
          <w:marBottom w:val="0"/>
          <w:divBdr>
            <w:top w:val="none" w:sz="0" w:space="0" w:color="auto"/>
            <w:left w:val="none" w:sz="0" w:space="0" w:color="auto"/>
            <w:bottom w:val="none" w:sz="0" w:space="0" w:color="auto"/>
            <w:right w:val="none" w:sz="0" w:space="0" w:color="auto"/>
          </w:divBdr>
          <w:divsChild>
            <w:div w:id="1483892000">
              <w:marLeft w:val="0"/>
              <w:marRight w:val="0"/>
              <w:marTop w:val="0"/>
              <w:marBottom w:val="0"/>
              <w:divBdr>
                <w:top w:val="none" w:sz="0" w:space="0" w:color="auto"/>
                <w:left w:val="none" w:sz="0" w:space="0" w:color="auto"/>
                <w:bottom w:val="none" w:sz="0" w:space="0" w:color="auto"/>
                <w:right w:val="none" w:sz="0" w:space="0" w:color="auto"/>
              </w:divBdr>
            </w:div>
          </w:divsChild>
        </w:div>
        <w:div w:id="1117724482">
          <w:marLeft w:val="0"/>
          <w:marRight w:val="0"/>
          <w:marTop w:val="0"/>
          <w:marBottom w:val="0"/>
          <w:divBdr>
            <w:top w:val="none" w:sz="0" w:space="0" w:color="auto"/>
            <w:left w:val="none" w:sz="0" w:space="0" w:color="auto"/>
            <w:bottom w:val="none" w:sz="0" w:space="0" w:color="auto"/>
            <w:right w:val="none" w:sz="0" w:space="0" w:color="auto"/>
          </w:divBdr>
          <w:divsChild>
            <w:div w:id="1133815">
              <w:marLeft w:val="0"/>
              <w:marRight w:val="0"/>
              <w:marTop w:val="0"/>
              <w:marBottom w:val="0"/>
              <w:divBdr>
                <w:top w:val="none" w:sz="0" w:space="0" w:color="auto"/>
                <w:left w:val="none" w:sz="0" w:space="0" w:color="auto"/>
                <w:bottom w:val="none" w:sz="0" w:space="0" w:color="auto"/>
                <w:right w:val="none" w:sz="0" w:space="0" w:color="auto"/>
              </w:divBdr>
            </w:div>
          </w:divsChild>
        </w:div>
        <w:div w:id="1211385532">
          <w:marLeft w:val="0"/>
          <w:marRight w:val="0"/>
          <w:marTop w:val="0"/>
          <w:marBottom w:val="0"/>
          <w:divBdr>
            <w:top w:val="none" w:sz="0" w:space="0" w:color="auto"/>
            <w:left w:val="none" w:sz="0" w:space="0" w:color="auto"/>
            <w:bottom w:val="none" w:sz="0" w:space="0" w:color="auto"/>
            <w:right w:val="none" w:sz="0" w:space="0" w:color="auto"/>
          </w:divBdr>
          <w:divsChild>
            <w:div w:id="175612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791633">
      <w:bodyDiv w:val="1"/>
      <w:marLeft w:val="0"/>
      <w:marRight w:val="0"/>
      <w:marTop w:val="0"/>
      <w:marBottom w:val="0"/>
      <w:divBdr>
        <w:top w:val="none" w:sz="0" w:space="0" w:color="auto"/>
        <w:left w:val="none" w:sz="0" w:space="0" w:color="auto"/>
        <w:bottom w:val="none" w:sz="0" w:space="0" w:color="auto"/>
        <w:right w:val="none" w:sz="0" w:space="0" w:color="auto"/>
      </w:divBdr>
    </w:div>
    <w:div w:id="1575971273">
      <w:bodyDiv w:val="1"/>
      <w:marLeft w:val="0"/>
      <w:marRight w:val="0"/>
      <w:marTop w:val="0"/>
      <w:marBottom w:val="0"/>
      <w:divBdr>
        <w:top w:val="none" w:sz="0" w:space="0" w:color="auto"/>
        <w:left w:val="none" w:sz="0" w:space="0" w:color="auto"/>
        <w:bottom w:val="none" w:sz="0" w:space="0" w:color="auto"/>
        <w:right w:val="none" w:sz="0" w:space="0" w:color="auto"/>
      </w:divBdr>
    </w:div>
    <w:div w:id="1580746087">
      <w:bodyDiv w:val="1"/>
      <w:marLeft w:val="0"/>
      <w:marRight w:val="0"/>
      <w:marTop w:val="0"/>
      <w:marBottom w:val="0"/>
      <w:divBdr>
        <w:top w:val="none" w:sz="0" w:space="0" w:color="auto"/>
        <w:left w:val="none" w:sz="0" w:space="0" w:color="auto"/>
        <w:bottom w:val="none" w:sz="0" w:space="0" w:color="auto"/>
        <w:right w:val="none" w:sz="0" w:space="0" w:color="auto"/>
      </w:divBdr>
    </w:div>
    <w:div w:id="1601723373">
      <w:bodyDiv w:val="1"/>
      <w:marLeft w:val="0"/>
      <w:marRight w:val="0"/>
      <w:marTop w:val="0"/>
      <w:marBottom w:val="0"/>
      <w:divBdr>
        <w:top w:val="none" w:sz="0" w:space="0" w:color="auto"/>
        <w:left w:val="none" w:sz="0" w:space="0" w:color="auto"/>
        <w:bottom w:val="none" w:sz="0" w:space="0" w:color="auto"/>
        <w:right w:val="none" w:sz="0" w:space="0" w:color="auto"/>
      </w:divBdr>
      <w:divsChild>
        <w:div w:id="610403892">
          <w:marLeft w:val="0"/>
          <w:marRight w:val="0"/>
          <w:marTop w:val="0"/>
          <w:marBottom w:val="0"/>
          <w:divBdr>
            <w:top w:val="none" w:sz="0" w:space="0" w:color="auto"/>
            <w:left w:val="none" w:sz="0" w:space="0" w:color="auto"/>
            <w:bottom w:val="none" w:sz="0" w:space="0" w:color="auto"/>
            <w:right w:val="none" w:sz="0" w:space="0" w:color="auto"/>
          </w:divBdr>
          <w:divsChild>
            <w:div w:id="223688329">
              <w:marLeft w:val="0"/>
              <w:marRight w:val="0"/>
              <w:marTop w:val="0"/>
              <w:marBottom w:val="0"/>
              <w:divBdr>
                <w:top w:val="none" w:sz="0" w:space="0" w:color="auto"/>
                <w:left w:val="none" w:sz="0" w:space="0" w:color="auto"/>
                <w:bottom w:val="none" w:sz="0" w:space="0" w:color="auto"/>
                <w:right w:val="none" w:sz="0" w:space="0" w:color="auto"/>
              </w:divBdr>
            </w:div>
            <w:div w:id="289820398">
              <w:marLeft w:val="0"/>
              <w:marRight w:val="0"/>
              <w:marTop w:val="0"/>
              <w:marBottom w:val="0"/>
              <w:divBdr>
                <w:top w:val="none" w:sz="0" w:space="0" w:color="auto"/>
                <w:left w:val="none" w:sz="0" w:space="0" w:color="auto"/>
                <w:bottom w:val="none" w:sz="0" w:space="0" w:color="auto"/>
                <w:right w:val="none" w:sz="0" w:space="0" w:color="auto"/>
              </w:divBdr>
            </w:div>
            <w:div w:id="786433153">
              <w:marLeft w:val="0"/>
              <w:marRight w:val="0"/>
              <w:marTop w:val="0"/>
              <w:marBottom w:val="0"/>
              <w:divBdr>
                <w:top w:val="none" w:sz="0" w:space="0" w:color="auto"/>
                <w:left w:val="none" w:sz="0" w:space="0" w:color="auto"/>
                <w:bottom w:val="none" w:sz="0" w:space="0" w:color="auto"/>
                <w:right w:val="none" w:sz="0" w:space="0" w:color="auto"/>
              </w:divBdr>
            </w:div>
            <w:div w:id="1066298765">
              <w:marLeft w:val="0"/>
              <w:marRight w:val="0"/>
              <w:marTop w:val="0"/>
              <w:marBottom w:val="0"/>
              <w:divBdr>
                <w:top w:val="none" w:sz="0" w:space="0" w:color="auto"/>
                <w:left w:val="none" w:sz="0" w:space="0" w:color="auto"/>
                <w:bottom w:val="none" w:sz="0" w:space="0" w:color="auto"/>
                <w:right w:val="none" w:sz="0" w:space="0" w:color="auto"/>
              </w:divBdr>
            </w:div>
            <w:div w:id="1190532767">
              <w:marLeft w:val="0"/>
              <w:marRight w:val="0"/>
              <w:marTop w:val="0"/>
              <w:marBottom w:val="0"/>
              <w:divBdr>
                <w:top w:val="none" w:sz="0" w:space="0" w:color="auto"/>
                <w:left w:val="none" w:sz="0" w:space="0" w:color="auto"/>
                <w:bottom w:val="none" w:sz="0" w:space="0" w:color="auto"/>
                <w:right w:val="none" w:sz="0" w:space="0" w:color="auto"/>
              </w:divBdr>
            </w:div>
            <w:div w:id="1354376788">
              <w:marLeft w:val="0"/>
              <w:marRight w:val="0"/>
              <w:marTop w:val="0"/>
              <w:marBottom w:val="0"/>
              <w:divBdr>
                <w:top w:val="none" w:sz="0" w:space="0" w:color="auto"/>
                <w:left w:val="none" w:sz="0" w:space="0" w:color="auto"/>
                <w:bottom w:val="none" w:sz="0" w:space="0" w:color="auto"/>
                <w:right w:val="none" w:sz="0" w:space="0" w:color="auto"/>
              </w:divBdr>
            </w:div>
            <w:div w:id="1437870594">
              <w:marLeft w:val="0"/>
              <w:marRight w:val="0"/>
              <w:marTop w:val="0"/>
              <w:marBottom w:val="0"/>
              <w:divBdr>
                <w:top w:val="none" w:sz="0" w:space="0" w:color="auto"/>
                <w:left w:val="none" w:sz="0" w:space="0" w:color="auto"/>
                <w:bottom w:val="none" w:sz="0" w:space="0" w:color="auto"/>
                <w:right w:val="none" w:sz="0" w:space="0" w:color="auto"/>
              </w:divBdr>
            </w:div>
            <w:div w:id="1823810279">
              <w:marLeft w:val="0"/>
              <w:marRight w:val="0"/>
              <w:marTop w:val="0"/>
              <w:marBottom w:val="0"/>
              <w:divBdr>
                <w:top w:val="none" w:sz="0" w:space="0" w:color="auto"/>
                <w:left w:val="none" w:sz="0" w:space="0" w:color="auto"/>
                <w:bottom w:val="none" w:sz="0" w:space="0" w:color="auto"/>
                <w:right w:val="none" w:sz="0" w:space="0" w:color="auto"/>
              </w:divBdr>
            </w:div>
            <w:div w:id="1931116208">
              <w:marLeft w:val="0"/>
              <w:marRight w:val="0"/>
              <w:marTop w:val="0"/>
              <w:marBottom w:val="0"/>
              <w:divBdr>
                <w:top w:val="none" w:sz="0" w:space="0" w:color="auto"/>
                <w:left w:val="none" w:sz="0" w:space="0" w:color="auto"/>
                <w:bottom w:val="none" w:sz="0" w:space="0" w:color="auto"/>
                <w:right w:val="none" w:sz="0" w:space="0" w:color="auto"/>
              </w:divBdr>
            </w:div>
          </w:divsChild>
        </w:div>
        <w:div w:id="739907448">
          <w:marLeft w:val="0"/>
          <w:marRight w:val="0"/>
          <w:marTop w:val="0"/>
          <w:marBottom w:val="0"/>
          <w:divBdr>
            <w:top w:val="none" w:sz="0" w:space="0" w:color="auto"/>
            <w:left w:val="none" w:sz="0" w:space="0" w:color="auto"/>
            <w:bottom w:val="none" w:sz="0" w:space="0" w:color="auto"/>
            <w:right w:val="none" w:sz="0" w:space="0" w:color="auto"/>
          </w:divBdr>
          <w:divsChild>
            <w:div w:id="480777629">
              <w:marLeft w:val="0"/>
              <w:marRight w:val="0"/>
              <w:marTop w:val="0"/>
              <w:marBottom w:val="0"/>
              <w:divBdr>
                <w:top w:val="none" w:sz="0" w:space="0" w:color="auto"/>
                <w:left w:val="none" w:sz="0" w:space="0" w:color="auto"/>
                <w:bottom w:val="none" w:sz="0" w:space="0" w:color="auto"/>
                <w:right w:val="none" w:sz="0" w:space="0" w:color="auto"/>
              </w:divBdr>
            </w:div>
            <w:div w:id="1878354645">
              <w:marLeft w:val="0"/>
              <w:marRight w:val="0"/>
              <w:marTop w:val="0"/>
              <w:marBottom w:val="0"/>
              <w:divBdr>
                <w:top w:val="none" w:sz="0" w:space="0" w:color="auto"/>
                <w:left w:val="none" w:sz="0" w:space="0" w:color="auto"/>
                <w:bottom w:val="none" w:sz="0" w:space="0" w:color="auto"/>
                <w:right w:val="none" w:sz="0" w:space="0" w:color="auto"/>
              </w:divBdr>
            </w:div>
            <w:div w:id="1993487450">
              <w:marLeft w:val="0"/>
              <w:marRight w:val="0"/>
              <w:marTop w:val="0"/>
              <w:marBottom w:val="0"/>
              <w:divBdr>
                <w:top w:val="none" w:sz="0" w:space="0" w:color="auto"/>
                <w:left w:val="none" w:sz="0" w:space="0" w:color="auto"/>
                <w:bottom w:val="none" w:sz="0" w:space="0" w:color="auto"/>
                <w:right w:val="none" w:sz="0" w:space="0" w:color="auto"/>
              </w:divBdr>
            </w:div>
          </w:divsChild>
        </w:div>
        <w:div w:id="1057630310">
          <w:marLeft w:val="0"/>
          <w:marRight w:val="0"/>
          <w:marTop w:val="0"/>
          <w:marBottom w:val="0"/>
          <w:divBdr>
            <w:top w:val="none" w:sz="0" w:space="0" w:color="auto"/>
            <w:left w:val="none" w:sz="0" w:space="0" w:color="auto"/>
            <w:bottom w:val="none" w:sz="0" w:space="0" w:color="auto"/>
            <w:right w:val="none" w:sz="0" w:space="0" w:color="auto"/>
          </w:divBdr>
          <w:divsChild>
            <w:div w:id="413942146">
              <w:marLeft w:val="0"/>
              <w:marRight w:val="0"/>
              <w:marTop w:val="0"/>
              <w:marBottom w:val="0"/>
              <w:divBdr>
                <w:top w:val="none" w:sz="0" w:space="0" w:color="auto"/>
                <w:left w:val="none" w:sz="0" w:space="0" w:color="auto"/>
                <w:bottom w:val="none" w:sz="0" w:space="0" w:color="auto"/>
                <w:right w:val="none" w:sz="0" w:space="0" w:color="auto"/>
              </w:divBdr>
            </w:div>
            <w:div w:id="644239879">
              <w:marLeft w:val="0"/>
              <w:marRight w:val="0"/>
              <w:marTop w:val="0"/>
              <w:marBottom w:val="0"/>
              <w:divBdr>
                <w:top w:val="none" w:sz="0" w:space="0" w:color="auto"/>
                <w:left w:val="none" w:sz="0" w:space="0" w:color="auto"/>
                <w:bottom w:val="none" w:sz="0" w:space="0" w:color="auto"/>
                <w:right w:val="none" w:sz="0" w:space="0" w:color="auto"/>
              </w:divBdr>
            </w:div>
            <w:div w:id="924076007">
              <w:marLeft w:val="0"/>
              <w:marRight w:val="0"/>
              <w:marTop w:val="0"/>
              <w:marBottom w:val="0"/>
              <w:divBdr>
                <w:top w:val="none" w:sz="0" w:space="0" w:color="auto"/>
                <w:left w:val="none" w:sz="0" w:space="0" w:color="auto"/>
                <w:bottom w:val="none" w:sz="0" w:space="0" w:color="auto"/>
                <w:right w:val="none" w:sz="0" w:space="0" w:color="auto"/>
              </w:divBdr>
            </w:div>
            <w:div w:id="1053306732">
              <w:marLeft w:val="0"/>
              <w:marRight w:val="0"/>
              <w:marTop w:val="0"/>
              <w:marBottom w:val="0"/>
              <w:divBdr>
                <w:top w:val="none" w:sz="0" w:space="0" w:color="auto"/>
                <w:left w:val="none" w:sz="0" w:space="0" w:color="auto"/>
                <w:bottom w:val="none" w:sz="0" w:space="0" w:color="auto"/>
                <w:right w:val="none" w:sz="0" w:space="0" w:color="auto"/>
              </w:divBdr>
            </w:div>
            <w:div w:id="1199583137">
              <w:marLeft w:val="0"/>
              <w:marRight w:val="0"/>
              <w:marTop w:val="0"/>
              <w:marBottom w:val="0"/>
              <w:divBdr>
                <w:top w:val="none" w:sz="0" w:space="0" w:color="auto"/>
                <w:left w:val="none" w:sz="0" w:space="0" w:color="auto"/>
                <w:bottom w:val="none" w:sz="0" w:space="0" w:color="auto"/>
                <w:right w:val="none" w:sz="0" w:space="0" w:color="auto"/>
              </w:divBdr>
            </w:div>
            <w:div w:id="1286304041">
              <w:marLeft w:val="0"/>
              <w:marRight w:val="0"/>
              <w:marTop w:val="0"/>
              <w:marBottom w:val="0"/>
              <w:divBdr>
                <w:top w:val="none" w:sz="0" w:space="0" w:color="auto"/>
                <w:left w:val="none" w:sz="0" w:space="0" w:color="auto"/>
                <w:bottom w:val="none" w:sz="0" w:space="0" w:color="auto"/>
                <w:right w:val="none" w:sz="0" w:space="0" w:color="auto"/>
              </w:divBdr>
            </w:div>
            <w:div w:id="1340890604">
              <w:marLeft w:val="0"/>
              <w:marRight w:val="0"/>
              <w:marTop w:val="0"/>
              <w:marBottom w:val="0"/>
              <w:divBdr>
                <w:top w:val="none" w:sz="0" w:space="0" w:color="auto"/>
                <w:left w:val="none" w:sz="0" w:space="0" w:color="auto"/>
                <w:bottom w:val="none" w:sz="0" w:space="0" w:color="auto"/>
                <w:right w:val="none" w:sz="0" w:space="0" w:color="auto"/>
              </w:divBdr>
            </w:div>
            <w:div w:id="2007584778">
              <w:marLeft w:val="0"/>
              <w:marRight w:val="0"/>
              <w:marTop w:val="0"/>
              <w:marBottom w:val="0"/>
              <w:divBdr>
                <w:top w:val="none" w:sz="0" w:space="0" w:color="auto"/>
                <w:left w:val="none" w:sz="0" w:space="0" w:color="auto"/>
                <w:bottom w:val="none" w:sz="0" w:space="0" w:color="auto"/>
                <w:right w:val="none" w:sz="0" w:space="0" w:color="auto"/>
              </w:divBdr>
            </w:div>
          </w:divsChild>
        </w:div>
        <w:div w:id="1076902081">
          <w:marLeft w:val="0"/>
          <w:marRight w:val="0"/>
          <w:marTop w:val="0"/>
          <w:marBottom w:val="0"/>
          <w:divBdr>
            <w:top w:val="none" w:sz="0" w:space="0" w:color="auto"/>
            <w:left w:val="none" w:sz="0" w:space="0" w:color="auto"/>
            <w:bottom w:val="none" w:sz="0" w:space="0" w:color="auto"/>
            <w:right w:val="none" w:sz="0" w:space="0" w:color="auto"/>
          </w:divBdr>
          <w:divsChild>
            <w:div w:id="22170009">
              <w:marLeft w:val="0"/>
              <w:marRight w:val="0"/>
              <w:marTop w:val="0"/>
              <w:marBottom w:val="0"/>
              <w:divBdr>
                <w:top w:val="none" w:sz="0" w:space="0" w:color="auto"/>
                <w:left w:val="none" w:sz="0" w:space="0" w:color="auto"/>
                <w:bottom w:val="none" w:sz="0" w:space="0" w:color="auto"/>
                <w:right w:val="none" w:sz="0" w:space="0" w:color="auto"/>
              </w:divBdr>
            </w:div>
            <w:div w:id="124353028">
              <w:marLeft w:val="0"/>
              <w:marRight w:val="0"/>
              <w:marTop w:val="0"/>
              <w:marBottom w:val="0"/>
              <w:divBdr>
                <w:top w:val="none" w:sz="0" w:space="0" w:color="auto"/>
                <w:left w:val="none" w:sz="0" w:space="0" w:color="auto"/>
                <w:bottom w:val="none" w:sz="0" w:space="0" w:color="auto"/>
                <w:right w:val="none" w:sz="0" w:space="0" w:color="auto"/>
              </w:divBdr>
            </w:div>
            <w:div w:id="221185958">
              <w:marLeft w:val="0"/>
              <w:marRight w:val="0"/>
              <w:marTop w:val="0"/>
              <w:marBottom w:val="0"/>
              <w:divBdr>
                <w:top w:val="none" w:sz="0" w:space="0" w:color="auto"/>
                <w:left w:val="none" w:sz="0" w:space="0" w:color="auto"/>
                <w:bottom w:val="none" w:sz="0" w:space="0" w:color="auto"/>
                <w:right w:val="none" w:sz="0" w:space="0" w:color="auto"/>
              </w:divBdr>
            </w:div>
            <w:div w:id="264264529">
              <w:marLeft w:val="0"/>
              <w:marRight w:val="0"/>
              <w:marTop w:val="0"/>
              <w:marBottom w:val="0"/>
              <w:divBdr>
                <w:top w:val="none" w:sz="0" w:space="0" w:color="auto"/>
                <w:left w:val="none" w:sz="0" w:space="0" w:color="auto"/>
                <w:bottom w:val="none" w:sz="0" w:space="0" w:color="auto"/>
                <w:right w:val="none" w:sz="0" w:space="0" w:color="auto"/>
              </w:divBdr>
            </w:div>
            <w:div w:id="432095901">
              <w:marLeft w:val="0"/>
              <w:marRight w:val="0"/>
              <w:marTop w:val="0"/>
              <w:marBottom w:val="0"/>
              <w:divBdr>
                <w:top w:val="none" w:sz="0" w:space="0" w:color="auto"/>
                <w:left w:val="none" w:sz="0" w:space="0" w:color="auto"/>
                <w:bottom w:val="none" w:sz="0" w:space="0" w:color="auto"/>
                <w:right w:val="none" w:sz="0" w:space="0" w:color="auto"/>
              </w:divBdr>
            </w:div>
            <w:div w:id="725563434">
              <w:marLeft w:val="0"/>
              <w:marRight w:val="0"/>
              <w:marTop w:val="0"/>
              <w:marBottom w:val="0"/>
              <w:divBdr>
                <w:top w:val="none" w:sz="0" w:space="0" w:color="auto"/>
                <w:left w:val="none" w:sz="0" w:space="0" w:color="auto"/>
                <w:bottom w:val="none" w:sz="0" w:space="0" w:color="auto"/>
                <w:right w:val="none" w:sz="0" w:space="0" w:color="auto"/>
              </w:divBdr>
            </w:div>
            <w:div w:id="755782553">
              <w:marLeft w:val="0"/>
              <w:marRight w:val="0"/>
              <w:marTop w:val="0"/>
              <w:marBottom w:val="0"/>
              <w:divBdr>
                <w:top w:val="none" w:sz="0" w:space="0" w:color="auto"/>
                <w:left w:val="none" w:sz="0" w:space="0" w:color="auto"/>
                <w:bottom w:val="none" w:sz="0" w:space="0" w:color="auto"/>
                <w:right w:val="none" w:sz="0" w:space="0" w:color="auto"/>
              </w:divBdr>
            </w:div>
            <w:div w:id="1273434403">
              <w:marLeft w:val="0"/>
              <w:marRight w:val="0"/>
              <w:marTop w:val="0"/>
              <w:marBottom w:val="0"/>
              <w:divBdr>
                <w:top w:val="none" w:sz="0" w:space="0" w:color="auto"/>
                <w:left w:val="none" w:sz="0" w:space="0" w:color="auto"/>
                <w:bottom w:val="none" w:sz="0" w:space="0" w:color="auto"/>
                <w:right w:val="none" w:sz="0" w:space="0" w:color="auto"/>
              </w:divBdr>
            </w:div>
            <w:div w:id="1681352581">
              <w:marLeft w:val="0"/>
              <w:marRight w:val="0"/>
              <w:marTop w:val="0"/>
              <w:marBottom w:val="0"/>
              <w:divBdr>
                <w:top w:val="none" w:sz="0" w:space="0" w:color="auto"/>
                <w:left w:val="none" w:sz="0" w:space="0" w:color="auto"/>
                <w:bottom w:val="none" w:sz="0" w:space="0" w:color="auto"/>
                <w:right w:val="none" w:sz="0" w:space="0" w:color="auto"/>
              </w:divBdr>
            </w:div>
            <w:div w:id="1738552752">
              <w:marLeft w:val="0"/>
              <w:marRight w:val="0"/>
              <w:marTop w:val="0"/>
              <w:marBottom w:val="0"/>
              <w:divBdr>
                <w:top w:val="none" w:sz="0" w:space="0" w:color="auto"/>
                <w:left w:val="none" w:sz="0" w:space="0" w:color="auto"/>
                <w:bottom w:val="none" w:sz="0" w:space="0" w:color="auto"/>
                <w:right w:val="none" w:sz="0" w:space="0" w:color="auto"/>
              </w:divBdr>
            </w:div>
            <w:div w:id="2045980917">
              <w:marLeft w:val="0"/>
              <w:marRight w:val="0"/>
              <w:marTop w:val="0"/>
              <w:marBottom w:val="0"/>
              <w:divBdr>
                <w:top w:val="none" w:sz="0" w:space="0" w:color="auto"/>
                <w:left w:val="none" w:sz="0" w:space="0" w:color="auto"/>
                <w:bottom w:val="none" w:sz="0" w:space="0" w:color="auto"/>
                <w:right w:val="none" w:sz="0" w:space="0" w:color="auto"/>
              </w:divBdr>
            </w:div>
          </w:divsChild>
        </w:div>
        <w:div w:id="1265574971">
          <w:marLeft w:val="0"/>
          <w:marRight w:val="0"/>
          <w:marTop w:val="0"/>
          <w:marBottom w:val="0"/>
          <w:divBdr>
            <w:top w:val="none" w:sz="0" w:space="0" w:color="auto"/>
            <w:left w:val="none" w:sz="0" w:space="0" w:color="auto"/>
            <w:bottom w:val="none" w:sz="0" w:space="0" w:color="auto"/>
            <w:right w:val="none" w:sz="0" w:space="0" w:color="auto"/>
          </w:divBdr>
          <w:divsChild>
            <w:div w:id="147596438">
              <w:marLeft w:val="0"/>
              <w:marRight w:val="0"/>
              <w:marTop w:val="0"/>
              <w:marBottom w:val="0"/>
              <w:divBdr>
                <w:top w:val="none" w:sz="0" w:space="0" w:color="auto"/>
                <w:left w:val="none" w:sz="0" w:space="0" w:color="auto"/>
                <w:bottom w:val="none" w:sz="0" w:space="0" w:color="auto"/>
                <w:right w:val="none" w:sz="0" w:space="0" w:color="auto"/>
              </w:divBdr>
            </w:div>
            <w:div w:id="156380964">
              <w:marLeft w:val="0"/>
              <w:marRight w:val="0"/>
              <w:marTop w:val="0"/>
              <w:marBottom w:val="0"/>
              <w:divBdr>
                <w:top w:val="none" w:sz="0" w:space="0" w:color="auto"/>
                <w:left w:val="none" w:sz="0" w:space="0" w:color="auto"/>
                <w:bottom w:val="none" w:sz="0" w:space="0" w:color="auto"/>
                <w:right w:val="none" w:sz="0" w:space="0" w:color="auto"/>
              </w:divBdr>
            </w:div>
            <w:div w:id="247429920">
              <w:marLeft w:val="0"/>
              <w:marRight w:val="0"/>
              <w:marTop w:val="0"/>
              <w:marBottom w:val="0"/>
              <w:divBdr>
                <w:top w:val="none" w:sz="0" w:space="0" w:color="auto"/>
                <w:left w:val="none" w:sz="0" w:space="0" w:color="auto"/>
                <w:bottom w:val="none" w:sz="0" w:space="0" w:color="auto"/>
                <w:right w:val="none" w:sz="0" w:space="0" w:color="auto"/>
              </w:divBdr>
            </w:div>
            <w:div w:id="575163826">
              <w:marLeft w:val="0"/>
              <w:marRight w:val="0"/>
              <w:marTop w:val="0"/>
              <w:marBottom w:val="0"/>
              <w:divBdr>
                <w:top w:val="none" w:sz="0" w:space="0" w:color="auto"/>
                <w:left w:val="none" w:sz="0" w:space="0" w:color="auto"/>
                <w:bottom w:val="none" w:sz="0" w:space="0" w:color="auto"/>
                <w:right w:val="none" w:sz="0" w:space="0" w:color="auto"/>
              </w:divBdr>
            </w:div>
            <w:div w:id="772046476">
              <w:marLeft w:val="0"/>
              <w:marRight w:val="0"/>
              <w:marTop w:val="0"/>
              <w:marBottom w:val="0"/>
              <w:divBdr>
                <w:top w:val="none" w:sz="0" w:space="0" w:color="auto"/>
                <w:left w:val="none" w:sz="0" w:space="0" w:color="auto"/>
                <w:bottom w:val="none" w:sz="0" w:space="0" w:color="auto"/>
                <w:right w:val="none" w:sz="0" w:space="0" w:color="auto"/>
              </w:divBdr>
            </w:div>
            <w:div w:id="939685158">
              <w:marLeft w:val="0"/>
              <w:marRight w:val="0"/>
              <w:marTop w:val="0"/>
              <w:marBottom w:val="0"/>
              <w:divBdr>
                <w:top w:val="none" w:sz="0" w:space="0" w:color="auto"/>
                <w:left w:val="none" w:sz="0" w:space="0" w:color="auto"/>
                <w:bottom w:val="none" w:sz="0" w:space="0" w:color="auto"/>
                <w:right w:val="none" w:sz="0" w:space="0" w:color="auto"/>
              </w:divBdr>
            </w:div>
            <w:div w:id="1347630879">
              <w:marLeft w:val="0"/>
              <w:marRight w:val="0"/>
              <w:marTop w:val="0"/>
              <w:marBottom w:val="0"/>
              <w:divBdr>
                <w:top w:val="none" w:sz="0" w:space="0" w:color="auto"/>
                <w:left w:val="none" w:sz="0" w:space="0" w:color="auto"/>
                <w:bottom w:val="none" w:sz="0" w:space="0" w:color="auto"/>
                <w:right w:val="none" w:sz="0" w:space="0" w:color="auto"/>
              </w:divBdr>
            </w:div>
            <w:div w:id="1943606544">
              <w:marLeft w:val="0"/>
              <w:marRight w:val="0"/>
              <w:marTop w:val="0"/>
              <w:marBottom w:val="0"/>
              <w:divBdr>
                <w:top w:val="none" w:sz="0" w:space="0" w:color="auto"/>
                <w:left w:val="none" w:sz="0" w:space="0" w:color="auto"/>
                <w:bottom w:val="none" w:sz="0" w:space="0" w:color="auto"/>
                <w:right w:val="none" w:sz="0" w:space="0" w:color="auto"/>
              </w:divBdr>
            </w:div>
          </w:divsChild>
        </w:div>
        <w:div w:id="1281916465">
          <w:marLeft w:val="0"/>
          <w:marRight w:val="0"/>
          <w:marTop w:val="0"/>
          <w:marBottom w:val="0"/>
          <w:divBdr>
            <w:top w:val="none" w:sz="0" w:space="0" w:color="auto"/>
            <w:left w:val="none" w:sz="0" w:space="0" w:color="auto"/>
            <w:bottom w:val="none" w:sz="0" w:space="0" w:color="auto"/>
            <w:right w:val="none" w:sz="0" w:space="0" w:color="auto"/>
          </w:divBdr>
          <w:divsChild>
            <w:div w:id="195895998">
              <w:marLeft w:val="0"/>
              <w:marRight w:val="0"/>
              <w:marTop w:val="0"/>
              <w:marBottom w:val="0"/>
              <w:divBdr>
                <w:top w:val="none" w:sz="0" w:space="0" w:color="auto"/>
                <w:left w:val="none" w:sz="0" w:space="0" w:color="auto"/>
                <w:bottom w:val="none" w:sz="0" w:space="0" w:color="auto"/>
                <w:right w:val="none" w:sz="0" w:space="0" w:color="auto"/>
              </w:divBdr>
            </w:div>
            <w:div w:id="479690568">
              <w:marLeft w:val="0"/>
              <w:marRight w:val="0"/>
              <w:marTop w:val="0"/>
              <w:marBottom w:val="0"/>
              <w:divBdr>
                <w:top w:val="none" w:sz="0" w:space="0" w:color="auto"/>
                <w:left w:val="none" w:sz="0" w:space="0" w:color="auto"/>
                <w:bottom w:val="none" w:sz="0" w:space="0" w:color="auto"/>
                <w:right w:val="none" w:sz="0" w:space="0" w:color="auto"/>
              </w:divBdr>
            </w:div>
            <w:div w:id="1034233710">
              <w:marLeft w:val="0"/>
              <w:marRight w:val="0"/>
              <w:marTop w:val="0"/>
              <w:marBottom w:val="0"/>
              <w:divBdr>
                <w:top w:val="none" w:sz="0" w:space="0" w:color="auto"/>
                <w:left w:val="none" w:sz="0" w:space="0" w:color="auto"/>
                <w:bottom w:val="none" w:sz="0" w:space="0" w:color="auto"/>
                <w:right w:val="none" w:sz="0" w:space="0" w:color="auto"/>
              </w:divBdr>
            </w:div>
            <w:div w:id="1379355458">
              <w:marLeft w:val="0"/>
              <w:marRight w:val="0"/>
              <w:marTop w:val="0"/>
              <w:marBottom w:val="0"/>
              <w:divBdr>
                <w:top w:val="none" w:sz="0" w:space="0" w:color="auto"/>
                <w:left w:val="none" w:sz="0" w:space="0" w:color="auto"/>
                <w:bottom w:val="none" w:sz="0" w:space="0" w:color="auto"/>
                <w:right w:val="none" w:sz="0" w:space="0" w:color="auto"/>
              </w:divBdr>
            </w:div>
            <w:div w:id="1477719823">
              <w:marLeft w:val="0"/>
              <w:marRight w:val="0"/>
              <w:marTop w:val="0"/>
              <w:marBottom w:val="0"/>
              <w:divBdr>
                <w:top w:val="none" w:sz="0" w:space="0" w:color="auto"/>
                <w:left w:val="none" w:sz="0" w:space="0" w:color="auto"/>
                <w:bottom w:val="none" w:sz="0" w:space="0" w:color="auto"/>
                <w:right w:val="none" w:sz="0" w:space="0" w:color="auto"/>
              </w:divBdr>
            </w:div>
            <w:div w:id="1853764121">
              <w:marLeft w:val="0"/>
              <w:marRight w:val="0"/>
              <w:marTop w:val="0"/>
              <w:marBottom w:val="0"/>
              <w:divBdr>
                <w:top w:val="none" w:sz="0" w:space="0" w:color="auto"/>
                <w:left w:val="none" w:sz="0" w:space="0" w:color="auto"/>
                <w:bottom w:val="none" w:sz="0" w:space="0" w:color="auto"/>
                <w:right w:val="none" w:sz="0" w:space="0" w:color="auto"/>
              </w:divBdr>
            </w:div>
            <w:div w:id="1894927708">
              <w:marLeft w:val="0"/>
              <w:marRight w:val="0"/>
              <w:marTop w:val="0"/>
              <w:marBottom w:val="0"/>
              <w:divBdr>
                <w:top w:val="none" w:sz="0" w:space="0" w:color="auto"/>
                <w:left w:val="none" w:sz="0" w:space="0" w:color="auto"/>
                <w:bottom w:val="none" w:sz="0" w:space="0" w:color="auto"/>
                <w:right w:val="none" w:sz="0" w:space="0" w:color="auto"/>
              </w:divBdr>
            </w:div>
            <w:div w:id="1962298451">
              <w:marLeft w:val="0"/>
              <w:marRight w:val="0"/>
              <w:marTop w:val="0"/>
              <w:marBottom w:val="0"/>
              <w:divBdr>
                <w:top w:val="none" w:sz="0" w:space="0" w:color="auto"/>
                <w:left w:val="none" w:sz="0" w:space="0" w:color="auto"/>
                <w:bottom w:val="none" w:sz="0" w:space="0" w:color="auto"/>
                <w:right w:val="none" w:sz="0" w:space="0" w:color="auto"/>
              </w:divBdr>
            </w:div>
          </w:divsChild>
        </w:div>
        <w:div w:id="1752775407">
          <w:marLeft w:val="0"/>
          <w:marRight w:val="0"/>
          <w:marTop w:val="0"/>
          <w:marBottom w:val="0"/>
          <w:divBdr>
            <w:top w:val="none" w:sz="0" w:space="0" w:color="auto"/>
            <w:left w:val="none" w:sz="0" w:space="0" w:color="auto"/>
            <w:bottom w:val="none" w:sz="0" w:space="0" w:color="auto"/>
            <w:right w:val="none" w:sz="0" w:space="0" w:color="auto"/>
          </w:divBdr>
          <w:divsChild>
            <w:div w:id="409817737">
              <w:marLeft w:val="0"/>
              <w:marRight w:val="0"/>
              <w:marTop w:val="0"/>
              <w:marBottom w:val="0"/>
              <w:divBdr>
                <w:top w:val="none" w:sz="0" w:space="0" w:color="auto"/>
                <w:left w:val="none" w:sz="0" w:space="0" w:color="auto"/>
                <w:bottom w:val="none" w:sz="0" w:space="0" w:color="auto"/>
                <w:right w:val="none" w:sz="0" w:space="0" w:color="auto"/>
              </w:divBdr>
            </w:div>
            <w:div w:id="411590857">
              <w:marLeft w:val="0"/>
              <w:marRight w:val="0"/>
              <w:marTop w:val="0"/>
              <w:marBottom w:val="0"/>
              <w:divBdr>
                <w:top w:val="none" w:sz="0" w:space="0" w:color="auto"/>
                <w:left w:val="none" w:sz="0" w:space="0" w:color="auto"/>
                <w:bottom w:val="none" w:sz="0" w:space="0" w:color="auto"/>
                <w:right w:val="none" w:sz="0" w:space="0" w:color="auto"/>
              </w:divBdr>
            </w:div>
            <w:div w:id="510871638">
              <w:marLeft w:val="0"/>
              <w:marRight w:val="0"/>
              <w:marTop w:val="0"/>
              <w:marBottom w:val="0"/>
              <w:divBdr>
                <w:top w:val="none" w:sz="0" w:space="0" w:color="auto"/>
                <w:left w:val="none" w:sz="0" w:space="0" w:color="auto"/>
                <w:bottom w:val="none" w:sz="0" w:space="0" w:color="auto"/>
                <w:right w:val="none" w:sz="0" w:space="0" w:color="auto"/>
              </w:divBdr>
            </w:div>
            <w:div w:id="584800570">
              <w:marLeft w:val="0"/>
              <w:marRight w:val="0"/>
              <w:marTop w:val="0"/>
              <w:marBottom w:val="0"/>
              <w:divBdr>
                <w:top w:val="none" w:sz="0" w:space="0" w:color="auto"/>
                <w:left w:val="none" w:sz="0" w:space="0" w:color="auto"/>
                <w:bottom w:val="none" w:sz="0" w:space="0" w:color="auto"/>
                <w:right w:val="none" w:sz="0" w:space="0" w:color="auto"/>
              </w:divBdr>
            </w:div>
            <w:div w:id="1204488224">
              <w:marLeft w:val="0"/>
              <w:marRight w:val="0"/>
              <w:marTop w:val="0"/>
              <w:marBottom w:val="0"/>
              <w:divBdr>
                <w:top w:val="none" w:sz="0" w:space="0" w:color="auto"/>
                <w:left w:val="none" w:sz="0" w:space="0" w:color="auto"/>
                <w:bottom w:val="none" w:sz="0" w:space="0" w:color="auto"/>
                <w:right w:val="none" w:sz="0" w:space="0" w:color="auto"/>
              </w:divBdr>
            </w:div>
            <w:div w:id="1219128420">
              <w:marLeft w:val="0"/>
              <w:marRight w:val="0"/>
              <w:marTop w:val="0"/>
              <w:marBottom w:val="0"/>
              <w:divBdr>
                <w:top w:val="none" w:sz="0" w:space="0" w:color="auto"/>
                <w:left w:val="none" w:sz="0" w:space="0" w:color="auto"/>
                <w:bottom w:val="none" w:sz="0" w:space="0" w:color="auto"/>
                <w:right w:val="none" w:sz="0" w:space="0" w:color="auto"/>
              </w:divBdr>
            </w:div>
            <w:div w:id="1337028205">
              <w:marLeft w:val="0"/>
              <w:marRight w:val="0"/>
              <w:marTop w:val="0"/>
              <w:marBottom w:val="0"/>
              <w:divBdr>
                <w:top w:val="none" w:sz="0" w:space="0" w:color="auto"/>
                <w:left w:val="none" w:sz="0" w:space="0" w:color="auto"/>
                <w:bottom w:val="none" w:sz="0" w:space="0" w:color="auto"/>
                <w:right w:val="none" w:sz="0" w:space="0" w:color="auto"/>
              </w:divBdr>
            </w:div>
            <w:div w:id="1749187412">
              <w:marLeft w:val="0"/>
              <w:marRight w:val="0"/>
              <w:marTop w:val="0"/>
              <w:marBottom w:val="0"/>
              <w:divBdr>
                <w:top w:val="none" w:sz="0" w:space="0" w:color="auto"/>
                <w:left w:val="none" w:sz="0" w:space="0" w:color="auto"/>
                <w:bottom w:val="none" w:sz="0" w:space="0" w:color="auto"/>
                <w:right w:val="none" w:sz="0" w:space="0" w:color="auto"/>
              </w:divBdr>
            </w:div>
            <w:div w:id="1823964627">
              <w:marLeft w:val="0"/>
              <w:marRight w:val="0"/>
              <w:marTop w:val="0"/>
              <w:marBottom w:val="0"/>
              <w:divBdr>
                <w:top w:val="none" w:sz="0" w:space="0" w:color="auto"/>
                <w:left w:val="none" w:sz="0" w:space="0" w:color="auto"/>
                <w:bottom w:val="none" w:sz="0" w:space="0" w:color="auto"/>
                <w:right w:val="none" w:sz="0" w:space="0" w:color="auto"/>
              </w:divBdr>
            </w:div>
            <w:div w:id="2143186758">
              <w:marLeft w:val="0"/>
              <w:marRight w:val="0"/>
              <w:marTop w:val="0"/>
              <w:marBottom w:val="0"/>
              <w:divBdr>
                <w:top w:val="none" w:sz="0" w:space="0" w:color="auto"/>
                <w:left w:val="none" w:sz="0" w:space="0" w:color="auto"/>
                <w:bottom w:val="none" w:sz="0" w:space="0" w:color="auto"/>
                <w:right w:val="none" w:sz="0" w:space="0" w:color="auto"/>
              </w:divBdr>
            </w:div>
          </w:divsChild>
        </w:div>
        <w:div w:id="1932929836">
          <w:marLeft w:val="0"/>
          <w:marRight w:val="0"/>
          <w:marTop w:val="0"/>
          <w:marBottom w:val="0"/>
          <w:divBdr>
            <w:top w:val="none" w:sz="0" w:space="0" w:color="auto"/>
            <w:left w:val="none" w:sz="0" w:space="0" w:color="auto"/>
            <w:bottom w:val="none" w:sz="0" w:space="0" w:color="auto"/>
            <w:right w:val="none" w:sz="0" w:space="0" w:color="auto"/>
          </w:divBdr>
          <w:divsChild>
            <w:div w:id="93599211">
              <w:marLeft w:val="0"/>
              <w:marRight w:val="0"/>
              <w:marTop w:val="0"/>
              <w:marBottom w:val="0"/>
              <w:divBdr>
                <w:top w:val="none" w:sz="0" w:space="0" w:color="auto"/>
                <w:left w:val="none" w:sz="0" w:space="0" w:color="auto"/>
                <w:bottom w:val="none" w:sz="0" w:space="0" w:color="auto"/>
                <w:right w:val="none" w:sz="0" w:space="0" w:color="auto"/>
              </w:divBdr>
            </w:div>
            <w:div w:id="176118696">
              <w:marLeft w:val="0"/>
              <w:marRight w:val="0"/>
              <w:marTop w:val="0"/>
              <w:marBottom w:val="0"/>
              <w:divBdr>
                <w:top w:val="none" w:sz="0" w:space="0" w:color="auto"/>
                <w:left w:val="none" w:sz="0" w:space="0" w:color="auto"/>
                <w:bottom w:val="none" w:sz="0" w:space="0" w:color="auto"/>
                <w:right w:val="none" w:sz="0" w:space="0" w:color="auto"/>
              </w:divBdr>
            </w:div>
            <w:div w:id="182400317">
              <w:marLeft w:val="0"/>
              <w:marRight w:val="0"/>
              <w:marTop w:val="0"/>
              <w:marBottom w:val="0"/>
              <w:divBdr>
                <w:top w:val="none" w:sz="0" w:space="0" w:color="auto"/>
                <w:left w:val="none" w:sz="0" w:space="0" w:color="auto"/>
                <w:bottom w:val="none" w:sz="0" w:space="0" w:color="auto"/>
                <w:right w:val="none" w:sz="0" w:space="0" w:color="auto"/>
              </w:divBdr>
            </w:div>
            <w:div w:id="276764422">
              <w:marLeft w:val="0"/>
              <w:marRight w:val="0"/>
              <w:marTop w:val="0"/>
              <w:marBottom w:val="0"/>
              <w:divBdr>
                <w:top w:val="none" w:sz="0" w:space="0" w:color="auto"/>
                <w:left w:val="none" w:sz="0" w:space="0" w:color="auto"/>
                <w:bottom w:val="none" w:sz="0" w:space="0" w:color="auto"/>
                <w:right w:val="none" w:sz="0" w:space="0" w:color="auto"/>
              </w:divBdr>
            </w:div>
            <w:div w:id="667057677">
              <w:marLeft w:val="0"/>
              <w:marRight w:val="0"/>
              <w:marTop w:val="0"/>
              <w:marBottom w:val="0"/>
              <w:divBdr>
                <w:top w:val="none" w:sz="0" w:space="0" w:color="auto"/>
                <w:left w:val="none" w:sz="0" w:space="0" w:color="auto"/>
                <w:bottom w:val="none" w:sz="0" w:space="0" w:color="auto"/>
                <w:right w:val="none" w:sz="0" w:space="0" w:color="auto"/>
              </w:divBdr>
            </w:div>
            <w:div w:id="730427944">
              <w:marLeft w:val="0"/>
              <w:marRight w:val="0"/>
              <w:marTop w:val="0"/>
              <w:marBottom w:val="0"/>
              <w:divBdr>
                <w:top w:val="none" w:sz="0" w:space="0" w:color="auto"/>
                <w:left w:val="none" w:sz="0" w:space="0" w:color="auto"/>
                <w:bottom w:val="none" w:sz="0" w:space="0" w:color="auto"/>
                <w:right w:val="none" w:sz="0" w:space="0" w:color="auto"/>
              </w:divBdr>
            </w:div>
            <w:div w:id="1048650838">
              <w:marLeft w:val="0"/>
              <w:marRight w:val="0"/>
              <w:marTop w:val="0"/>
              <w:marBottom w:val="0"/>
              <w:divBdr>
                <w:top w:val="none" w:sz="0" w:space="0" w:color="auto"/>
                <w:left w:val="none" w:sz="0" w:space="0" w:color="auto"/>
                <w:bottom w:val="none" w:sz="0" w:space="0" w:color="auto"/>
                <w:right w:val="none" w:sz="0" w:space="0" w:color="auto"/>
              </w:divBdr>
            </w:div>
            <w:div w:id="1158692092">
              <w:marLeft w:val="0"/>
              <w:marRight w:val="0"/>
              <w:marTop w:val="0"/>
              <w:marBottom w:val="0"/>
              <w:divBdr>
                <w:top w:val="none" w:sz="0" w:space="0" w:color="auto"/>
                <w:left w:val="none" w:sz="0" w:space="0" w:color="auto"/>
                <w:bottom w:val="none" w:sz="0" w:space="0" w:color="auto"/>
                <w:right w:val="none" w:sz="0" w:space="0" w:color="auto"/>
              </w:divBdr>
            </w:div>
            <w:div w:id="1367947539">
              <w:marLeft w:val="0"/>
              <w:marRight w:val="0"/>
              <w:marTop w:val="0"/>
              <w:marBottom w:val="0"/>
              <w:divBdr>
                <w:top w:val="none" w:sz="0" w:space="0" w:color="auto"/>
                <w:left w:val="none" w:sz="0" w:space="0" w:color="auto"/>
                <w:bottom w:val="none" w:sz="0" w:space="0" w:color="auto"/>
                <w:right w:val="none" w:sz="0" w:space="0" w:color="auto"/>
              </w:divBdr>
            </w:div>
            <w:div w:id="1438600014">
              <w:marLeft w:val="0"/>
              <w:marRight w:val="0"/>
              <w:marTop w:val="0"/>
              <w:marBottom w:val="0"/>
              <w:divBdr>
                <w:top w:val="none" w:sz="0" w:space="0" w:color="auto"/>
                <w:left w:val="none" w:sz="0" w:space="0" w:color="auto"/>
                <w:bottom w:val="none" w:sz="0" w:space="0" w:color="auto"/>
                <w:right w:val="none" w:sz="0" w:space="0" w:color="auto"/>
              </w:divBdr>
            </w:div>
            <w:div w:id="195127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046951">
      <w:bodyDiv w:val="1"/>
      <w:marLeft w:val="0"/>
      <w:marRight w:val="0"/>
      <w:marTop w:val="0"/>
      <w:marBottom w:val="0"/>
      <w:divBdr>
        <w:top w:val="none" w:sz="0" w:space="0" w:color="auto"/>
        <w:left w:val="none" w:sz="0" w:space="0" w:color="auto"/>
        <w:bottom w:val="none" w:sz="0" w:space="0" w:color="auto"/>
        <w:right w:val="none" w:sz="0" w:space="0" w:color="auto"/>
      </w:divBdr>
    </w:div>
    <w:div w:id="1617519955">
      <w:bodyDiv w:val="1"/>
      <w:marLeft w:val="0"/>
      <w:marRight w:val="0"/>
      <w:marTop w:val="0"/>
      <w:marBottom w:val="0"/>
      <w:divBdr>
        <w:top w:val="none" w:sz="0" w:space="0" w:color="auto"/>
        <w:left w:val="none" w:sz="0" w:space="0" w:color="auto"/>
        <w:bottom w:val="none" w:sz="0" w:space="0" w:color="auto"/>
        <w:right w:val="none" w:sz="0" w:space="0" w:color="auto"/>
      </w:divBdr>
    </w:div>
    <w:div w:id="1623458185">
      <w:bodyDiv w:val="1"/>
      <w:marLeft w:val="0"/>
      <w:marRight w:val="0"/>
      <w:marTop w:val="0"/>
      <w:marBottom w:val="0"/>
      <w:divBdr>
        <w:top w:val="none" w:sz="0" w:space="0" w:color="auto"/>
        <w:left w:val="none" w:sz="0" w:space="0" w:color="auto"/>
        <w:bottom w:val="none" w:sz="0" w:space="0" w:color="auto"/>
        <w:right w:val="none" w:sz="0" w:space="0" w:color="auto"/>
      </w:divBdr>
    </w:div>
    <w:div w:id="1633554399">
      <w:bodyDiv w:val="1"/>
      <w:marLeft w:val="0"/>
      <w:marRight w:val="0"/>
      <w:marTop w:val="0"/>
      <w:marBottom w:val="0"/>
      <w:divBdr>
        <w:top w:val="none" w:sz="0" w:space="0" w:color="auto"/>
        <w:left w:val="none" w:sz="0" w:space="0" w:color="auto"/>
        <w:bottom w:val="none" w:sz="0" w:space="0" w:color="auto"/>
        <w:right w:val="none" w:sz="0" w:space="0" w:color="auto"/>
      </w:divBdr>
    </w:div>
    <w:div w:id="1635213890">
      <w:bodyDiv w:val="1"/>
      <w:marLeft w:val="0"/>
      <w:marRight w:val="0"/>
      <w:marTop w:val="0"/>
      <w:marBottom w:val="0"/>
      <w:divBdr>
        <w:top w:val="none" w:sz="0" w:space="0" w:color="auto"/>
        <w:left w:val="none" w:sz="0" w:space="0" w:color="auto"/>
        <w:bottom w:val="none" w:sz="0" w:space="0" w:color="auto"/>
        <w:right w:val="none" w:sz="0" w:space="0" w:color="auto"/>
      </w:divBdr>
      <w:divsChild>
        <w:div w:id="649554515">
          <w:marLeft w:val="0"/>
          <w:marRight w:val="0"/>
          <w:marTop w:val="0"/>
          <w:marBottom w:val="0"/>
          <w:divBdr>
            <w:top w:val="single" w:sz="2" w:space="0" w:color="auto"/>
            <w:left w:val="single" w:sz="2" w:space="0" w:color="auto"/>
            <w:bottom w:val="single" w:sz="2" w:space="0" w:color="auto"/>
            <w:right w:val="single" w:sz="2" w:space="0" w:color="auto"/>
          </w:divBdr>
          <w:divsChild>
            <w:div w:id="665475109">
              <w:marLeft w:val="0"/>
              <w:marRight w:val="0"/>
              <w:marTop w:val="0"/>
              <w:marBottom w:val="0"/>
              <w:divBdr>
                <w:top w:val="single" w:sz="2" w:space="0" w:color="auto"/>
                <w:left w:val="single" w:sz="2" w:space="0" w:color="auto"/>
                <w:bottom w:val="single" w:sz="2" w:space="0" w:color="auto"/>
                <w:right w:val="single" w:sz="2" w:space="0" w:color="auto"/>
              </w:divBdr>
              <w:divsChild>
                <w:div w:id="1692874110">
                  <w:marLeft w:val="0"/>
                  <w:marRight w:val="0"/>
                  <w:marTop w:val="0"/>
                  <w:marBottom w:val="0"/>
                  <w:divBdr>
                    <w:top w:val="single" w:sz="2" w:space="0" w:color="auto"/>
                    <w:left w:val="single" w:sz="2" w:space="0" w:color="auto"/>
                    <w:bottom w:val="single" w:sz="2" w:space="0" w:color="auto"/>
                    <w:right w:val="single" w:sz="2" w:space="0" w:color="auto"/>
                  </w:divBdr>
                  <w:divsChild>
                    <w:div w:id="1535076035">
                      <w:marLeft w:val="0"/>
                      <w:marRight w:val="0"/>
                      <w:marTop w:val="0"/>
                      <w:marBottom w:val="0"/>
                      <w:divBdr>
                        <w:top w:val="single" w:sz="2" w:space="0" w:color="auto"/>
                        <w:left w:val="single" w:sz="2" w:space="0" w:color="auto"/>
                        <w:bottom w:val="single" w:sz="2" w:space="0" w:color="auto"/>
                        <w:right w:val="single" w:sz="2" w:space="0" w:color="auto"/>
                      </w:divBdr>
                      <w:divsChild>
                        <w:div w:id="574627307">
                          <w:marLeft w:val="0"/>
                          <w:marRight w:val="0"/>
                          <w:marTop w:val="0"/>
                          <w:marBottom w:val="0"/>
                          <w:divBdr>
                            <w:top w:val="single" w:sz="2" w:space="0" w:color="auto"/>
                            <w:left w:val="single" w:sz="2" w:space="0" w:color="auto"/>
                            <w:bottom w:val="single" w:sz="2" w:space="0" w:color="auto"/>
                            <w:right w:val="single" w:sz="2" w:space="0" w:color="auto"/>
                          </w:divBdr>
                          <w:divsChild>
                            <w:div w:id="1367178783">
                              <w:marLeft w:val="0"/>
                              <w:marRight w:val="0"/>
                              <w:marTop w:val="0"/>
                              <w:marBottom w:val="0"/>
                              <w:divBdr>
                                <w:top w:val="single" w:sz="2" w:space="0" w:color="auto"/>
                                <w:left w:val="single" w:sz="2" w:space="0" w:color="auto"/>
                                <w:bottom w:val="single" w:sz="2" w:space="31" w:color="auto"/>
                                <w:right w:val="single" w:sz="2" w:space="0" w:color="auto"/>
                              </w:divBdr>
                              <w:divsChild>
                                <w:div w:id="954753019">
                                  <w:marLeft w:val="0"/>
                                  <w:marRight w:val="0"/>
                                  <w:marTop w:val="0"/>
                                  <w:marBottom w:val="0"/>
                                  <w:divBdr>
                                    <w:top w:val="single" w:sz="2" w:space="0" w:color="auto"/>
                                    <w:left w:val="single" w:sz="2" w:space="12" w:color="auto"/>
                                    <w:bottom w:val="single" w:sz="2" w:space="0" w:color="auto"/>
                                    <w:right w:val="single" w:sz="2" w:space="12" w:color="auto"/>
                                  </w:divBdr>
                                  <w:divsChild>
                                    <w:div w:id="985013715">
                                      <w:marLeft w:val="0"/>
                                      <w:marRight w:val="0"/>
                                      <w:marTop w:val="0"/>
                                      <w:marBottom w:val="0"/>
                                      <w:divBdr>
                                        <w:top w:val="single" w:sz="2" w:space="0" w:color="auto"/>
                                        <w:left w:val="single" w:sz="2" w:space="0" w:color="auto"/>
                                        <w:bottom w:val="single" w:sz="2" w:space="0" w:color="auto"/>
                                        <w:right w:val="single" w:sz="2" w:space="0" w:color="auto"/>
                                      </w:divBdr>
                                      <w:divsChild>
                                        <w:div w:id="521286674">
                                          <w:marLeft w:val="0"/>
                                          <w:marRight w:val="0"/>
                                          <w:marTop w:val="0"/>
                                          <w:marBottom w:val="0"/>
                                          <w:divBdr>
                                            <w:top w:val="single" w:sz="2" w:space="0" w:color="auto"/>
                                            <w:left w:val="single" w:sz="2" w:space="0" w:color="auto"/>
                                            <w:bottom w:val="single" w:sz="2" w:space="0" w:color="auto"/>
                                            <w:right w:val="single" w:sz="2" w:space="0" w:color="auto"/>
                                          </w:divBdr>
                                          <w:divsChild>
                                            <w:div w:id="960382061">
                                              <w:marLeft w:val="0"/>
                                              <w:marRight w:val="0"/>
                                              <w:marTop w:val="0"/>
                                              <w:marBottom w:val="0"/>
                                              <w:divBdr>
                                                <w:top w:val="single" w:sz="2" w:space="0" w:color="auto"/>
                                                <w:left w:val="single" w:sz="2" w:space="0" w:color="auto"/>
                                                <w:bottom w:val="single" w:sz="2" w:space="0" w:color="auto"/>
                                                <w:right w:val="single" w:sz="2" w:space="0" w:color="auto"/>
                                              </w:divBdr>
                                              <w:divsChild>
                                                <w:div w:id="1542785323">
                                                  <w:marLeft w:val="0"/>
                                                  <w:marRight w:val="0"/>
                                                  <w:marTop w:val="0"/>
                                                  <w:marBottom w:val="0"/>
                                                  <w:divBdr>
                                                    <w:top w:val="single" w:sz="2" w:space="0" w:color="auto"/>
                                                    <w:left w:val="single" w:sz="2" w:space="0" w:color="auto"/>
                                                    <w:bottom w:val="single" w:sz="2" w:space="0" w:color="auto"/>
                                                    <w:right w:val="single" w:sz="2" w:space="0" w:color="auto"/>
                                                  </w:divBdr>
                                                  <w:divsChild>
                                                    <w:div w:id="797913924">
                                                      <w:marLeft w:val="0"/>
                                                      <w:marRight w:val="0"/>
                                                      <w:marTop w:val="0"/>
                                                      <w:marBottom w:val="0"/>
                                                      <w:divBdr>
                                                        <w:top w:val="single" w:sz="2" w:space="0" w:color="auto"/>
                                                        <w:left w:val="single" w:sz="2" w:space="0" w:color="auto"/>
                                                        <w:bottom w:val="single" w:sz="2" w:space="0" w:color="auto"/>
                                                        <w:right w:val="single" w:sz="2" w:space="0" w:color="auto"/>
                                                      </w:divBdr>
                                                      <w:divsChild>
                                                        <w:div w:id="390615127">
                                                          <w:marLeft w:val="0"/>
                                                          <w:marRight w:val="0"/>
                                                          <w:marTop w:val="0"/>
                                                          <w:marBottom w:val="0"/>
                                                          <w:divBdr>
                                                            <w:top w:val="single" w:sz="2" w:space="0" w:color="auto"/>
                                                            <w:left w:val="single" w:sz="2" w:space="0" w:color="auto"/>
                                                            <w:bottom w:val="single" w:sz="2" w:space="0" w:color="auto"/>
                                                            <w:right w:val="single" w:sz="2" w:space="0" w:color="auto"/>
                                                          </w:divBdr>
                                                          <w:divsChild>
                                                            <w:div w:id="2042317373">
                                                              <w:marLeft w:val="0"/>
                                                              <w:marRight w:val="0"/>
                                                              <w:marTop w:val="0"/>
                                                              <w:marBottom w:val="0"/>
                                                              <w:divBdr>
                                                                <w:top w:val="single" w:sz="2" w:space="0" w:color="auto"/>
                                                                <w:left w:val="single" w:sz="2" w:space="0" w:color="auto"/>
                                                                <w:bottom w:val="single" w:sz="2" w:space="0" w:color="auto"/>
                                                                <w:right w:val="single" w:sz="2" w:space="0" w:color="auto"/>
                                                              </w:divBdr>
                                                              <w:divsChild>
                                                                <w:div w:id="939289327">
                                                                  <w:marLeft w:val="0"/>
                                                                  <w:marRight w:val="0"/>
                                                                  <w:marTop w:val="0"/>
                                                                  <w:marBottom w:val="0"/>
                                                                  <w:divBdr>
                                                                    <w:top w:val="single" w:sz="2" w:space="0" w:color="auto"/>
                                                                    <w:left w:val="single" w:sz="2" w:space="0" w:color="auto"/>
                                                                    <w:bottom w:val="single" w:sz="2" w:space="0" w:color="auto"/>
                                                                    <w:right w:val="single" w:sz="2" w:space="0" w:color="auto"/>
                                                                  </w:divBdr>
                                                                  <w:divsChild>
                                                                    <w:div w:id="969818642">
                                                                      <w:marLeft w:val="0"/>
                                                                      <w:marRight w:val="0"/>
                                                                      <w:marTop w:val="0"/>
                                                                      <w:marBottom w:val="0"/>
                                                                      <w:divBdr>
                                                                        <w:top w:val="single" w:sz="2" w:space="0" w:color="auto"/>
                                                                        <w:left w:val="single" w:sz="2" w:space="0" w:color="auto"/>
                                                                        <w:bottom w:val="single" w:sz="2" w:space="0" w:color="auto"/>
                                                                        <w:right w:val="single" w:sz="2" w:space="0" w:color="auto"/>
                                                                      </w:divBdr>
                                                                      <w:divsChild>
                                                                        <w:div w:id="1690838353">
                                                                          <w:marLeft w:val="0"/>
                                                                          <w:marRight w:val="0"/>
                                                                          <w:marTop w:val="0"/>
                                                                          <w:marBottom w:val="0"/>
                                                                          <w:divBdr>
                                                                            <w:top w:val="single" w:sz="2" w:space="0" w:color="auto"/>
                                                                            <w:left w:val="single" w:sz="2" w:space="0" w:color="auto"/>
                                                                            <w:bottom w:val="single" w:sz="2" w:space="0" w:color="auto"/>
                                                                            <w:right w:val="single" w:sz="2" w:space="0" w:color="auto"/>
                                                                          </w:divBdr>
                                                                          <w:divsChild>
                                                                            <w:div w:id="113063103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6444276">
      <w:bodyDiv w:val="1"/>
      <w:marLeft w:val="0"/>
      <w:marRight w:val="0"/>
      <w:marTop w:val="0"/>
      <w:marBottom w:val="0"/>
      <w:divBdr>
        <w:top w:val="none" w:sz="0" w:space="0" w:color="auto"/>
        <w:left w:val="none" w:sz="0" w:space="0" w:color="auto"/>
        <w:bottom w:val="none" w:sz="0" w:space="0" w:color="auto"/>
        <w:right w:val="none" w:sz="0" w:space="0" w:color="auto"/>
      </w:divBdr>
    </w:div>
    <w:div w:id="1640722890">
      <w:bodyDiv w:val="1"/>
      <w:marLeft w:val="0"/>
      <w:marRight w:val="0"/>
      <w:marTop w:val="0"/>
      <w:marBottom w:val="0"/>
      <w:divBdr>
        <w:top w:val="none" w:sz="0" w:space="0" w:color="auto"/>
        <w:left w:val="none" w:sz="0" w:space="0" w:color="auto"/>
        <w:bottom w:val="none" w:sz="0" w:space="0" w:color="auto"/>
        <w:right w:val="none" w:sz="0" w:space="0" w:color="auto"/>
      </w:divBdr>
    </w:div>
    <w:div w:id="1640762473">
      <w:bodyDiv w:val="1"/>
      <w:marLeft w:val="0"/>
      <w:marRight w:val="0"/>
      <w:marTop w:val="0"/>
      <w:marBottom w:val="0"/>
      <w:divBdr>
        <w:top w:val="none" w:sz="0" w:space="0" w:color="auto"/>
        <w:left w:val="none" w:sz="0" w:space="0" w:color="auto"/>
        <w:bottom w:val="none" w:sz="0" w:space="0" w:color="auto"/>
        <w:right w:val="none" w:sz="0" w:space="0" w:color="auto"/>
      </w:divBdr>
    </w:div>
    <w:div w:id="1642878629">
      <w:bodyDiv w:val="1"/>
      <w:marLeft w:val="0"/>
      <w:marRight w:val="0"/>
      <w:marTop w:val="0"/>
      <w:marBottom w:val="0"/>
      <w:divBdr>
        <w:top w:val="none" w:sz="0" w:space="0" w:color="auto"/>
        <w:left w:val="none" w:sz="0" w:space="0" w:color="auto"/>
        <w:bottom w:val="none" w:sz="0" w:space="0" w:color="auto"/>
        <w:right w:val="none" w:sz="0" w:space="0" w:color="auto"/>
      </w:divBdr>
    </w:div>
    <w:div w:id="1643774653">
      <w:bodyDiv w:val="1"/>
      <w:marLeft w:val="0"/>
      <w:marRight w:val="0"/>
      <w:marTop w:val="0"/>
      <w:marBottom w:val="0"/>
      <w:divBdr>
        <w:top w:val="none" w:sz="0" w:space="0" w:color="auto"/>
        <w:left w:val="none" w:sz="0" w:space="0" w:color="auto"/>
        <w:bottom w:val="none" w:sz="0" w:space="0" w:color="auto"/>
        <w:right w:val="none" w:sz="0" w:space="0" w:color="auto"/>
      </w:divBdr>
    </w:div>
    <w:div w:id="1644042803">
      <w:bodyDiv w:val="1"/>
      <w:marLeft w:val="0"/>
      <w:marRight w:val="0"/>
      <w:marTop w:val="0"/>
      <w:marBottom w:val="0"/>
      <w:divBdr>
        <w:top w:val="none" w:sz="0" w:space="0" w:color="auto"/>
        <w:left w:val="none" w:sz="0" w:space="0" w:color="auto"/>
        <w:bottom w:val="none" w:sz="0" w:space="0" w:color="auto"/>
        <w:right w:val="none" w:sz="0" w:space="0" w:color="auto"/>
      </w:divBdr>
    </w:div>
    <w:div w:id="1654483721">
      <w:bodyDiv w:val="1"/>
      <w:marLeft w:val="0"/>
      <w:marRight w:val="0"/>
      <w:marTop w:val="0"/>
      <w:marBottom w:val="0"/>
      <w:divBdr>
        <w:top w:val="none" w:sz="0" w:space="0" w:color="auto"/>
        <w:left w:val="none" w:sz="0" w:space="0" w:color="auto"/>
        <w:bottom w:val="none" w:sz="0" w:space="0" w:color="auto"/>
        <w:right w:val="none" w:sz="0" w:space="0" w:color="auto"/>
      </w:divBdr>
    </w:div>
    <w:div w:id="1665350727">
      <w:bodyDiv w:val="1"/>
      <w:marLeft w:val="0"/>
      <w:marRight w:val="0"/>
      <w:marTop w:val="0"/>
      <w:marBottom w:val="0"/>
      <w:divBdr>
        <w:top w:val="none" w:sz="0" w:space="0" w:color="auto"/>
        <w:left w:val="none" w:sz="0" w:space="0" w:color="auto"/>
        <w:bottom w:val="none" w:sz="0" w:space="0" w:color="auto"/>
        <w:right w:val="none" w:sz="0" w:space="0" w:color="auto"/>
      </w:divBdr>
    </w:div>
    <w:div w:id="1666980738">
      <w:bodyDiv w:val="1"/>
      <w:marLeft w:val="0"/>
      <w:marRight w:val="0"/>
      <w:marTop w:val="0"/>
      <w:marBottom w:val="0"/>
      <w:divBdr>
        <w:top w:val="none" w:sz="0" w:space="0" w:color="auto"/>
        <w:left w:val="none" w:sz="0" w:space="0" w:color="auto"/>
        <w:bottom w:val="none" w:sz="0" w:space="0" w:color="auto"/>
        <w:right w:val="none" w:sz="0" w:space="0" w:color="auto"/>
      </w:divBdr>
    </w:div>
    <w:div w:id="1668359241">
      <w:bodyDiv w:val="1"/>
      <w:marLeft w:val="0"/>
      <w:marRight w:val="0"/>
      <w:marTop w:val="0"/>
      <w:marBottom w:val="0"/>
      <w:divBdr>
        <w:top w:val="none" w:sz="0" w:space="0" w:color="auto"/>
        <w:left w:val="none" w:sz="0" w:space="0" w:color="auto"/>
        <w:bottom w:val="none" w:sz="0" w:space="0" w:color="auto"/>
        <w:right w:val="none" w:sz="0" w:space="0" w:color="auto"/>
      </w:divBdr>
    </w:div>
    <w:div w:id="1670717892">
      <w:bodyDiv w:val="1"/>
      <w:marLeft w:val="0"/>
      <w:marRight w:val="0"/>
      <w:marTop w:val="0"/>
      <w:marBottom w:val="0"/>
      <w:divBdr>
        <w:top w:val="none" w:sz="0" w:space="0" w:color="auto"/>
        <w:left w:val="none" w:sz="0" w:space="0" w:color="auto"/>
        <w:bottom w:val="none" w:sz="0" w:space="0" w:color="auto"/>
        <w:right w:val="none" w:sz="0" w:space="0" w:color="auto"/>
      </w:divBdr>
    </w:div>
    <w:div w:id="1671987067">
      <w:bodyDiv w:val="1"/>
      <w:marLeft w:val="0"/>
      <w:marRight w:val="0"/>
      <w:marTop w:val="0"/>
      <w:marBottom w:val="0"/>
      <w:divBdr>
        <w:top w:val="none" w:sz="0" w:space="0" w:color="auto"/>
        <w:left w:val="none" w:sz="0" w:space="0" w:color="auto"/>
        <w:bottom w:val="none" w:sz="0" w:space="0" w:color="auto"/>
        <w:right w:val="none" w:sz="0" w:space="0" w:color="auto"/>
      </w:divBdr>
    </w:div>
    <w:div w:id="1675495084">
      <w:bodyDiv w:val="1"/>
      <w:marLeft w:val="0"/>
      <w:marRight w:val="0"/>
      <w:marTop w:val="0"/>
      <w:marBottom w:val="0"/>
      <w:divBdr>
        <w:top w:val="none" w:sz="0" w:space="0" w:color="auto"/>
        <w:left w:val="none" w:sz="0" w:space="0" w:color="auto"/>
        <w:bottom w:val="none" w:sz="0" w:space="0" w:color="auto"/>
        <w:right w:val="none" w:sz="0" w:space="0" w:color="auto"/>
      </w:divBdr>
    </w:div>
    <w:div w:id="1687558893">
      <w:bodyDiv w:val="1"/>
      <w:marLeft w:val="0"/>
      <w:marRight w:val="0"/>
      <w:marTop w:val="0"/>
      <w:marBottom w:val="0"/>
      <w:divBdr>
        <w:top w:val="none" w:sz="0" w:space="0" w:color="auto"/>
        <w:left w:val="none" w:sz="0" w:space="0" w:color="auto"/>
        <w:bottom w:val="none" w:sz="0" w:space="0" w:color="auto"/>
        <w:right w:val="none" w:sz="0" w:space="0" w:color="auto"/>
      </w:divBdr>
      <w:divsChild>
        <w:div w:id="764807863">
          <w:marLeft w:val="0"/>
          <w:marRight w:val="0"/>
          <w:marTop w:val="0"/>
          <w:marBottom w:val="0"/>
          <w:divBdr>
            <w:top w:val="single" w:sz="2" w:space="0" w:color="auto"/>
            <w:left w:val="single" w:sz="2" w:space="0" w:color="auto"/>
            <w:bottom w:val="single" w:sz="2" w:space="0" w:color="auto"/>
            <w:right w:val="single" w:sz="2" w:space="0" w:color="auto"/>
          </w:divBdr>
          <w:divsChild>
            <w:div w:id="1840733078">
              <w:marLeft w:val="0"/>
              <w:marRight w:val="0"/>
              <w:marTop w:val="0"/>
              <w:marBottom w:val="0"/>
              <w:divBdr>
                <w:top w:val="single" w:sz="2" w:space="0" w:color="auto"/>
                <w:left w:val="single" w:sz="2" w:space="0" w:color="auto"/>
                <w:bottom w:val="single" w:sz="2" w:space="0" w:color="auto"/>
                <w:right w:val="single" w:sz="2" w:space="0" w:color="auto"/>
              </w:divBdr>
              <w:divsChild>
                <w:div w:id="1517428384">
                  <w:marLeft w:val="0"/>
                  <w:marRight w:val="0"/>
                  <w:marTop w:val="0"/>
                  <w:marBottom w:val="0"/>
                  <w:divBdr>
                    <w:top w:val="single" w:sz="2" w:space="0" w:color="auto"/>
                    <w:left w:val="single" w:sz="2" w:space="0" w:color="auto"/>
                    <w:bottom w:val="single" w:sz="2" w:space="0" w:color="auto"/>
                    <w:right w:val="single" w:sz="2" w:space="0" w:color="auto"/>
                  </w:divBdr>
                  <w:divsChild>
                    <w:div w:id="741488559">
                      <w:marLeft w:val="0"/>
                      <w:marRight w:val="0"/>
                      <w:marTop w:val="0"/>
                      <w:marBottom w:val="0"/>
                      <w:divBdr>
                        <w:top w:val="single" w:sz="2" w:space="0" w:color="auto"/>
                        <w:left w:val="single" w:sz="2" w:space="12" w:color="auto"/>
                        <w:bottom w:val="single" w:sz="2" w:space="0" w:color="auto"/>
                        <w:right w:val="single" w:sz="2" w:space="12" w:color="auto"/>
                      </w:divBdr>
                      <w:divsChild>
                        <w:div w:id="1391925628">
                          <w:marLeft w:val="0"/>
                          <w:marRight w:val="0"/>
                          <w:marTop w:val="0"/>
                          <w:marBottom w:val="0"/>
                          <w:divBdr>
                            <w:top w:val="single" w:sz="2" w:space="12" w:color="auto"/>
                            <w:left w:val="single" w:sz="2" w:space="0" w:color="auto"/>
                            <w:bottom w:val="single" w:sz="6" w:space="0" w:color="auto"/>
                            <w:right w:val="single" w:sz="2" w:space="0" w:color="auto"/>
                          </w:divBdr>
                          <w:divsChild>
                            <w:div w:id="313223344">
                              <w:marLeft w:val="0"/>
                              <w:marRight w:val="0"/>
                              <w:marTop w:val="0"/>
                              <w:marBottom w:val="0"/>
                              <w:divBdr>
                                <w:top w:val="single" w:sz="2" w:space="0" w:color="auto"/>
                                <w:left w:val="single" w:sz="2" w:space="0" w:color="auto"/>
                                <w:bottom w:val="single" w:sz="2" w:space="0" w:color="auto"/>
                                <w:right w:val="single" w:sz="2" w:space="0" w:color="auto"/>
                              </w:divBdr>
                              <w:divsChild>
                                <w:div w:id="197201061">
                                  <w:marLeft w:val="0"/>
                                  <w:marRight w:val="0"/>
                                  <w:marTop w:val="0"/>
                                  <w:marBottom w:val="0"/>
                                  <w:divBdr>
                                    <w:top w:val="single" w:sz="2" w:space="0" w:color="auto"/>
                                    <w:left w:val="single" w:sz="2" w:space="0" w:color="auto"/>
                                    <w:bottom w:val="single" w:sz="2" w:space="0" w:color="auto"/>
                                    <w:right w:val="single" w:sz="2" w:space="0" w:color="auto"/>
                                  </w:divBdr>
                                  <w:divsChild>
                                    <w:div w:id="1665741164">
                                      <w:marLeft w:val="0"/>
                                      <w:marRight w:val="0"/>
                                      <w:marTop w:val="0"/>
                                      <w:marBottom w:val="0"/>
                                      <w:divBdr>
                                        <w:top w:val="single" w:sz="2" w:space="0" w:color="auto"/>
                                        <w:left w:val="single" w:sz="2" w:space="0" w:color="auto"/>
                                        <w:bottom w:val="single" w:sz="2" w:space="0" w:color="auto"/>
                                        <w:right w:val="single" w:sz="2" w:space="0" w:color="auto"/>
                                      </w:divBdr>
                                      <w:divsChild>
                                        <w:div w:id="1857304696">
                                          <w:marLeft w:val="0"/>
                                          <w:marRight w:val="0"/>
                                          <w:marTop w:val="0"/>
                                          <w:marBottom w:val="0"/>
                                          <w:divBdr>
                                            <w:top w:val="single" w:sz="2" w:space="0" w:color="auto"/>
                                            <w:left w:val="single" w:sz="2" w:space="0" w:color="auto"/>
                                            <w:bottom w:val="single" w:sz="2" w:space="0" w:color="auto"/>
                                            <w:right w:val="single" w:sz="2" w:space="0" w:color="auto"/>
                                          </w:divBdr>
                                          <w:divsChild>
                                            <w:div w:id="1658611475">
                                              <w:marLeft w:val="0"/>
                                              <w:marRight w:val="0"/>
                                              <w:marTop w:val="0"/>
                                              <w:marBottom w:val="0"/>
                                              <w:divBdr>
                                                <w:top w:val="single" w:sz="2" w:space="0" w:color="auto"/>
                                                <w:left w:val="single" w:sz="2" w:space="0" w:color="auto"/>
                                                <w:bottom w:val="single" w:sz="2" w:space="0" w:color="auto"/>
                                                <w:right w:val="single" w:sz="2" w:space="0" w:color="auto"/>
                                              </w:divBdr>
                                              <w:divsChild>
                                                <w:div w:id="697045963">
                                                  <w:marLeft w:val="0"/>
                                                  <w:marRight w:val="0"/>
                                                  <w:marTop w:val="0"/>
                                                  <w:marBottom w:val="0"/>
                                                  <w:divBdr>
                                                    <w:top w:val="single" w:sz="2" w:space="0" w:color="auto"/>
                                                    <w:left w:val="single" w:sz="2" w:space="0" w:color="auto"/>
                                                    <w:bottom w:val="single" w:sz="2" w:space="0" w:color="auto"/>
                                                    <w:right w:val="single" w:sz="2" w:space="0" w:color="auto"/>
                                                  </w:divBdr>
                                                  <w:divsChild>
                                                    <w:div w:id="312754265">
                                                      <w:marLeft w:val="0"/>
                                                      <w:marRight w:val="0"/>
                                                      <w:marTop w:val="0"/>
                                                      <w:marBottom w:val="0"/>
                                                      <w:divBdr>
                                                        <w:top w:val="single" w:sz="2" w:space="0" w:color="auto"/>
                                                        <w:left w:val="single" w:sz="2" w:space="0" w:color="auto"/>
                                                        <w:bottom w:val="single" w:sz="2" w:space="0" w:color="auto"/>
                                                        <w:right w:val="single" w:sz="2" w:space="0" w:color="auto"/>
                                                      </w:divBdr>
                                                      <w:divsChild>
                                                        <w:div w:id="95904689">
                                                          <w:marLeft w:val="0"/>
                                                          <w:marRight w:val="0"/>
                                                          <w:marTop w:val="0"/>
                                                          <w:marBottom w:val="0"/>
                                                          <w:divBdr>
                                                            <w:top w:val="single" w:sz="2" w:space="0" w:color="auto"/>
                                                            <w:left w:val="single" w:sz="2" w:space="0" w:color="auto"/>
                                                            <w:bottom w:val="single" w:sz="2" w:space="0" w:color="auto"/>
                                                            <w:right w:val="single" w:sz="2" w:space="0" w:color="auto"/>
                                                          </w:divBdr>
                                                          <w:divsChild>
                                                            <w:div w:id="697045267">
                                                              <w:marLeft w:val="0"/>
                                                              <w:marRight w:val="0"/>
                                                              <w:marTop w:val="0"/>
                                                              <w:marBottom w:val="0"/>
                                                              <w:divBdr>
                                                                <w:top w:val="single" w:sz="2" w:space="0" w:color="auto"/>
                                                                <w:left w:val="single" w:sz="2" w:space="0" w:color="auto"/>
                                                                <w:bottom w:val="single" w:sz="2" w:space="0" w:color="auto"/>
                                                                <w:right w:val="single" w:sz="2" w:space="0" w:color="auto"/>
                                                              </w:divBdr>
                                                              <w:divsChild>
                                                                <w:div w:id="96137699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95496984">
      <w:bodyDiv w:val="1"/>
      <w:marLeft w:val="0"/>
      <w:marRight w:val="0"/>
      <w:marTop w:val="0"/>
      <w:marBottom w:val="0"/>
      <w:divBdr>
        <w:top w:val="none" w:sz="0" w:space="0" w:color="auto"/>
        <w:left w:val="none" w:sz="0" w:space="0" w:color="auto"/>
        <w:bottom w:val="none" w:sz="0" w:space="0" w:color="auto"/>
        <w:right w:val="none" w:sz="0" w:space="0" w:color="auto"/>
      </w:divBdr>
    </w:div>
    <w:div w:id="1695500052">
      <w:bodyDiv w:val="1"/>
      <w:marLeft w:val="0"/>
      <w:marRight w:val="0"/>
      <w:marTop w:val="0"/>
      <w:marBottom w:val="0"/>
      <w:divBdr>
        <w:top w:val="none" w:sz="0" w:space="0" w:color="auto"/>
        <w:left w:val="none" w:sz="0" w:space="0" w:color="auto"/>
        <w:bottom w:val="none" w:sz="0" w:space="0" w:color="auto"/>
        <w:right w:val="none" w:sz="0" w:space="0" w:color="auto"/>
      </w:divBdr>
    </w:div>
    <w:div w:id="1718705219">
      <w:bodyDiv w:val="1"/>
      <w:marLeft w:val="0"/>
      <w:marRight w:val="0"/>
      <w:marTop w:val="0"/>
      <w:marBottom w:val="0"/>
      <w:divBdr>
        <w:top w:val="none" w:sz="0" w:space="0" w:color="auto"/>
        <w:left w:val="none" w:sz="0" w:space="0" w:color="auto"/>
        <w:bottom w:val="none" w:sz="0" w:space="0" w:color="auto"/>
        <w:right w:val="none" w:sz="0" w:space="0" w:color="auto"/>
      </w:divBdr>
    </w:div>
    <w:div w:id="1723555695">
      <w:bodyDiv w:val="1"/>
      <w:marLeft w:val="0"/>
      <w:marRight w:val="0"/>
      <w:marTop w:val="0"/>
      <w:marBottom w:val="0"/>
      <w:divBdr>
        <w:top w:val="none" w:sz="0" w:space="0" w:color="auto"/>
        <w:left w:val="none" w:sz="0" w:space="0" w:color="auto"/>
        <w:bottom w:val="none" w:sz="0" w:space="0" w:color="auto"/>
        <w:right w:val="none" w:sz="0" w:space="0" w:color="auto"/>
      </w:divBdr>
    </w:div>
    <w:div w:id="1725644131">
      <w:bodyDiv w:val="1"/>
      <w:marLeft w:val="0"/>
      <w:marRight w:val="0"/>
      <w:marTop w:val="0"/>
      <w:marBottom w:val="0"/>
      <w:divBdr>
        <w:top w:val="none" w:sz="0" w:space="0" w:color="auto"/>
        <w:left w:val="none" w:sz="0" w:space="0" w:color="auto"/>
        <w:bottom w:val="none" w:sz="0" w:space="0" w:color="auto"/>
        <w:right w:val="none" w:sz="0" w:space="0" w:color="auto"/>
      </w:divBdr>
    </w:div>
    <w:div w:id="1727559854">
      <w:bodyDiv w:val="1"/>
      <w:marLeft w:val="0"/>
      <w:marRight w:val="0"/>
      <w:marTop w:val="0"/>
      <w:marBottom w:val="0"/>
      <w:divBdr>
        <w:top w:val="none" w:sz="0" w:space="0" w:color="auto"/>
        <w:left w:val="none" w:sz="0" w:space="0" w:color="auto"/>
        <w:bottom w:val="none" w:sz="0" w:space="0" w:color="auto"/>
        <w:right w:val="none" w:sz="0" w:space="0" w:color="auto"/>
      </w:divBdr>
      <w:divsChild>
        <w:div w:id="1504667748">
          <w:marLeft w:val="0"/>
          <w:marRight w:val="0"/>
          <w:marTop w:val="0"/>
          <w:marBottom w:val="0"/>
          <w:divBdr>
            <w:top w:val="none" w:sz="0" w:space="0" w:color="auto"/>
            <w:left w:val="none" w:sz="0" w:space="0" w:color="auto"/>
            <w:bottom w:val="none" w:sz="0" w:space="0" w:color="auto"/>
            <w:right w:val="none" w:sz="0" w:space="0" w:color="auto"/>
          </w:divBdr>
        </w:div>
      </w:divsChild>
    </w:div>
    <w:div w:id="1728842532">
      <w:bodyDiv w:val="1"/>
      <w:marLeft w:val="0"/>
      <w:marRight w:val="0"/>
      <w:marTop w:val="0"/>
      <w:marBottom w:val="0"/>
      <w:divBdr>
        <w:top w:val="none" w:sz="0" w:space="0" w:color="auto"/>
        <w:left w:val="none" w:sz="0" w:space="0" w:color="auto"/>
        <w:bottom w:val="none" w:sz="0" w:space="0" w:color="auto"/>
        <w:right w:val="none" w:sz="0" w:space="0" w:color="auto"/>
      </w:divBdr>
    </w:div>
    <w:div w:id="1739522174">
      <w:bodyDiv w:val="1"/>
      <w:marLeft w:val="0"/>
      <w:marRight w:val="0"/>
      <w:marTop w:val="0"/>
      <w:marBottom w:val="0"/>
      <w:divBdr>
        <w:top w:val="none" w:sz="0" w:space="0" w:color="auto"/>
        <w:left w:val="none" w:sz="0" w:space="0" w:color="auto"/>
        <w:bottom w:val="none" w:sz="0" w:space="0" w:color="auto"/>
        <w:right w:val="none" w:sz="0" w:space="0" w:color="auto"/>
      </w:divBdr>
    </w:div>
    <w:div w:id="1761562706">
      <w:bodyDiv w:val="1"/>
      <w:marLeft w:val="0"/>
      <w:marRight w:val="0"/>
      <w:marTop w:val="0"/>
      <w:marBottom w:val="0"/>
      <w:divBdr>
        <w:top w:val="none" w:sz="0" w:space="0" w:color="auto"/>
        <w:left w:val="none" w:sz="0" w:space="0" w:color="auto"/>
        <w:bottom w:val="none" w:sz="0" w:space="0" w:color="auto"/>
        <w:right w:val="none" w:sz="0" w:space="0" w:color="auto"/>
      </w:divBdr>
    </w:div>
    <w:div w:id="1766415766">
      <w:bodyDiv w:val="1"/>
      <w:marLeft w:val="0"/>
      <w:marRight w:val="0"/>
      <w:marTop w:val="0"/>
      <w:marBottom w:val="0"/>
      <w:divBdr>
        <w:top w:val="none" w:sz="0" w:space="0" w:color="auto"/>
        <w:left w:val="none" w:sz="0" w:space="0" w:color="auto"/>
        <w:bottom w:val="none" w:sz="0" w:space="0" w:color="auto"/>
        <w:right w:val="none" w:sz="0" w:space="0" w:color="auto"/>
      </w:divBdr>
    </w:div>
    <w:div w:id="1771049300">
      <w:bodyDiv w:val="1"/>
      <w:marLeft w:val="0"/>
      <w:marRight w:val="0"/>
      <w:marTop w:val="0"/>
      <w:marBottom w:val="0"/>
      <w:divBdr>
        <w:top w:val="none" w:sz="0" w:space="0" w:color="auto"/>
        <w:left w:val="none" w:sz="0" w:space="0" w:color="auto"/>
        <w:bottom w:val="none" w:sz="0" w:space="0" w:color="auto"/>
        <w:right w:val="none" w:sz="0" w:space="0" w:color="auto"/>
      </w:divBdr>
    </w:div>
    <w:div w:id="1771851004">
      <w:bodyDiv w:val="1"/>
      <w:marLeft w:val="0"/>
      <w:marRight w:val="0"/>
      <w:marTop w:val="0"/>
      <w:marBottom w:val="0"/>
      <w:divBdr>
        <w:top w:val="none" w:sz="0" w:space="0" w:color="auto"/>
        <w:left w:val="none" w:sz="0" w:space="0" w:color="auto"/>
        <w:bottom w:val="none" w:sz="0" w:space="0" w:color="auto"/>
        <w:right w:val="none" w:sz="0" w:space="0" w:color="auto"/>
      </w:divBdr>
    </w:div>
    <w:div w:id="1775512010">
      <w:bodyDiv w:val="1"/>
      <w:marLeft w:val="0"/>
      <w:marRight w:val="0"/>
      <w:marTop w:val="0"/>
      <w:marBottom w:val="0"/>
      <w:divBdr>
        <w:top w:val="none" w:sz="0" w:space="0" w:color="auto"/>
        <w:left w:val="none" w:sz="0" w:space="0" w:color="auto"/>
        <w:bottom w:val="none" w:sz="0" w:space="0" w:color="auto"/>
        <w:right w:val="none" w:sz="0" w:space="0" w:color="auto"/>
      </w:divBdr>
    </w:div>
    <w:div w:id="1779445343">
      <w:bodyDiv w:val="1"/>
      <w:marLeft w:val="0"/>
      <w:marRight w:val="0"/>
      <w:marTop w:val="0"/>
      <w:marBottom w:val="0"/>
      <w:divBdr>
        <w:top w:val="none" w:sz="0" w:space="0" w:color="auto"/>
        <w:left w:val="none" w:sz="0" w:space="0" w:color="auto"/>
        <w:bottom w:val="none" w:sz="0" w:space="0" w:color="auto"/>
        <w:right w:val="none" w:sz="0" w:space="0" w:color="auto"/>
      </w:divBdr>
    </w:div>
    <w:div w:id="1780880352">
      <w:bodyDiv w:val="1"/>
      <w:marLeft w:val="0"/>
      <w:marRight w:val="0"/>
      <w:marTop w:val="0"/>
      <w:marBottom w:val="0"/>
      <w:divBdr>
        <w:top w:val="none" w:sz="0" w:space="0" w:color="auto"/>
        <w:left w:val="none" w:sz="0" w:space="0" w:color="auto"/>
        <w:bottom w:val="none" w:sz="0" w:space="0" w:color="auto"/>
        <w:right w:val="none" w:sz="0" w:space="0" w:color="auto"/>
      </w:divBdr>
    </w:div>
    <w:div w:id="1784769377">
      <w:bodyDiv w:val="1"/>
      <w:marLeft w:val="0"/>
      <w:marRight w:val="0"/>
      <w:marTop w:val="0"/>
      <w:marBottom w:val="0"/>
      <w:divBdr>
        <w:top w:val="none" w:sz="0" w:space="0" w:color="auto"/>
        <w:left w:val="none" w:sz="0" w:space="0" w:color="auto"/>
        <w:bottom w:val="none" w:sz="0" w:space="0" w:color="auto"/>
        <w:right w:val="none" w:sz="0" w:space="0" w:color="auto"/>
      </w:divBdr>
      <w:divsChild>
        <w:div w:id="1133058936">
          <w:marLeft w:val="0"/>
          <w:marRight w:val="0"/>
          <w:marTop w:val="0"/>
          <w:marBottom w:val="600"/>
          <w:divBdr>
            <w:top w:val="none" w:sz="0" w:space="0" w:color="auto"/>
            <w:left w:val="none" w:sz="0" w:space="0" w:color="auto"/>
            <w:bottom w:val="none" w:sz="0" w:space="0" w:color="auto"/>
            <w:right w:val="none" w:sz="0" w:space="0" w:color="auto"/>
          </w:divBdr>
          <w:divsChild>
            <w:div w:id="187866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728198">
      <w:bodyDiv w:val="1"/>
      <w:marLeft w:val="0"/>
      <w:marRight w:val="0"/>
      <w:marTop w:val="0"/>
      <w:marBottom w:val="0"/>
      <w:divBdr>
        <w:top w:val="none" w:sz="0" w:space="0" w:color="auto"/>
        <w:left w:val="none" w:sz="0" w:space="0" w:color="auto"/>
        <w:bottom w:val="none" w:sz="0" w:space="0" w:color="auto"/>
        <w:right w:val="none" w:sz="0" w:space="0" w:color="auto"/>
      </w:divBdr>
    </w:div>
    <w:div w:id="1786732769">
      <w:bodyDiv w:val="1"/>
      <w:marLeft w:val="0"/>
      <w:marRight w:val="0"/>
      <w:marTop w:val="0"/>
      <w:marBottom w:val="0"/>
      <w:divBdr>
        <w:top w:val="none" w:sz="0" w:space="0" w:color="auto"/>
        <w:left w:val="none" w:sz="0" w:space="0" w:color="auto"/>
        <w:bottom w:val="none" w:sz="0" w:space="0" w:color="auto"/>
        <w:right w:val="none" w:sz="0" w:space="0" w:color="auto"/>
      </w:divBdr>
    </w:div>
    <w:div w:id="1796098089">
      <w:bodyDiv w:val="1"/>
      <w:marLeft w:val="0"/>
      <w:marRight w:val="0"/>
      <w:marTop w:val="0"/>
      <w:marBottom w:val="0"/>
      <w:divBdr>
        <w:top w:val="none" w:sz="0" w:space="0" w:color="auto"/>
        <w:left w:val="none" w:sz="0" w:space="0" w:color="auto"/>
        <w:bottom w:val="none" w:sz="0" w:space="0" w:color="auto"/>
        <w:right w:val="none" w:sz="0" w:space="0" w:color="auto"/>
      </w:divBdr>
    </w:div>
    <w:div w:id="1800109227">
      <w:bodyDiv w:val="1"/>
      <w:marLeft w:val="0"/>
      <w:marRight w:val="0"/>
      <w:marTop w:val="0"/>
      <w:marBottom w:val="0"/>
      <w:divBdr>
        <w:top w:val="none" w:sz="0" w:space="0" w:color="auto"/>
        <w:left w:val="none" w:sz="0" w:space="0" w:color="auto"/>
        <w:bottom w:val="none" w:sz="0" w:space="0" w:color="auto"/>
        <w:right w:val="none" w:sz="0" w:space="0" w:color="auto"/>
      </w:divBdr>
      <w:divsChild>
        <w:div w:id="847983522">
          <w:marLeft w:val="0"/>
          <w:marRight w:val="0"/>
          <w:marTop w:val="0"/>
          <w:marBottom w:val="0"/>
          <w:divBdr>
            <w:top w:val="none" w:sz="0" w:space="0" w:color="auto"/>
            <w:left w:val="none" w:sz="0" w:space="0" w:color="auto"/>
            <w:bottom w:val="none" w:sz="0" w:space="0" w:color="auto"/>
            <w:right w:val="none" w:sz="0" w:space="0" w:color="auto"/>
          </w:divBdr>
          <w:divsChild>
            <w:div w:id="1499687177">
              <w:marLeft w:val="0"/>
              <w:marRight w:val="0"/>
              <w:marTop w:val="0"/>
              <w:marBottom w:val="0"/>
              <w:divBdr>
                <w:top w:val="none" w:sz="0" w:space="0" w:color="auto"/>
                <w:left w:val="none" w:sz="0" w:space="0" w:color="auto"/>
                <w:bottom w:val="none" w:sz="0" w:space="0" w:color="auto"/>
                <w:right w:val="none" w:sz="0" w:space="0" w:color="auto"/>
              </w:divBdr>
              <w:divsChild>
                <w:div w:id="1725636038">
                  <w:marLeft w:val="0"/>
                  <w:marRight w:val="0"/>
                  <w:marTop w:val="0"/>
                  <w:marBottom w:val="0"/>
                  <w:divBdr>
                    <w:top w:val="none" w:sz="0" w:space="0" w:color="auto"/>
                    <w:left w:val="none" w:sz="0" w:space="0" w:color="auto"/>
                    <w:bottom w:val="none" w:sz="0" w:space="0" w:color="auto"/>
                    <w:right w:val="none" w:sz="0" w:space="0" w:color="auto"/>
                  </w:divBdr>
                  <w:divsChild>
                    <w:div w:id="1812482796">
                      <w:marLeft w:val="0"/>
                      <w:marRight w:val="0"/>
                      <w:marTop w:val="0"/>
                      <w:marBottom w:val="0"/>
                      <w:divBdr>
                        <w:top w:val="none" w:sz="0" w:space="0" w:color="auto"/>
                        <w:left w:val="none" w:sz="0" w:space="0" w:color="auto"/>
                        <w:bottom w:val="none" w:sz="0" w:space="0" w:color="auto"/>
                        <w:right w:val="none" w:sz="0" w:space="0" w:color="auto"/>
                      </w:divBdr>
                    </w:div>
                  </w:divsChild>
                </w:div>
                <w:div w:id="1734962976">
                  <w:marLeft w:val="0"/>
                  <w:marRight w:val="0"/>
                  <w:marTop w:val="0"/>
                  <w:marBottom w:val="0"/>
                  <w:divBdr>
                    <w:top w:val="none" w:sz="0" w:space="0" w:color="auto"/>
                    <w:left w:val="none" w:sz="0" w:space="0" w:color="auto"/>
                    <w:bottom w:val="none" w:sz="0" w:space="0" w:color="auto"/>
                    <w:right w:val="none" w:sz="0" w:space="0" w:color="auto"/>
                  </w:divBdr>
                  <w:divsChild>
                    <w:div w:id="115214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924321">
          <w:marLeft w:val="0"/>
          <w:marRight w:val="0"/>
          <w:marTop w:val="0"/>
          <w:marBottom w:val="0"/>
          <w:divBdr>
            <w:top w:val="none" w:sz="0" w:space="0" w:color="auto"/>
            <w:left w:val="none" w:sz="0" w:space="0" w:color="auto"/>
            <w:bottom w:val="none" w:sz="0" w:space="0" w:color="auto"/>
            <w:right w:val="none" w:sz="0" w:space="0" w:color="auto"/>
          </w:divBdr>
        </w:div>
      </w:divsChild>
    </w:div>
    <w:div w:id="1800611827">
      <w:bodyDiv w:val="1"/>
      <w:marLeft w:val="0"/>
      <w:marRight w:val="0"/>
      <w:marTop w:val="0"/>
      <w:marBottom w:val="0"/>
      <w:divBdr>
        <w:top w:val="none" w:sz="0" w:space="0" w:color="auto"/>
        <w:left w:val="none" w:sz="0" w:space="0" w:color="auto"/>
        <w:bottom w:val="none" w:sz="0" w:space="0" w:color="auto"/>
        <w:right w:val="none" w:sz="0" w:space="0" w:color="auto"/>
      </w:divBdr>
    </w:div>
    <w:div w:id="1800952908">
      <w:bodyDiv w:val="1"/>
      <w:marLeft w:val="0"/>
      <w:marRight w:val="0"/>
      <w:marTop w:val="0"/>
      <w:marBottom w:val="0"/>
      <w:divBdr>
        <w:top w:val="none" w:sz="0" w:space="0" w:color="auto"/>
        <w:left w:val="none" w:sz="0" w:space="0" w:color="auto"/>
        <w:bottom w:val="none" w:sz="0" w:space="0" w:color="auto"/>
        <w:right w:val="none" w:sz="0" w:space="0" w:color="auto"/>
      </w:divBdr>
    </w:div>
    <w:div w:id="1802111594">
      <w:bodyDiv w:val="1"/>
      <w:marLeft w:val="0"/>
      <w:marRight w:val="0"/>
      <w:marTop w:val="0"/>
      <w:marBottom w:val="0"/>
      <w:divBdr>
        <w:top w:val="none" w:sz="0" w:space="0" w:color="auto"/>
        <w:left w:val="none" w:sz="0" w:space="0" w:color="auto"/>
        <w:bottom w:val="none" w:sz="0" w:space="0" w:color="auto"/>
        <w:right w:val="none" w:sz="0" w:space="0" w:color="auto"/>
      </w:divBdr>
    </w:div>
    <w:div w:id="1804804603">
      <w:bodyDiv w:val="1"/>
      <w:marLeft w:val="0"/>
      <w:marRight w:val="0"/>
      <w:marTop w:val="0"/>
      <w:marBottom w:val="0"/>
      <w:divBdr>
        <w:top w:val="none" w:sz="0" w:space="0" w:color="auto"/>
        <w:left w:val="none" w:sz="0" w:space="0" w:color="auto"/>
        <w:bottom w:val="none" w:sz="0" w:space="0" w:color="auto"/>
        <w:right w:val="none" w:sz="0" w:space="0" w:color="auto"/>
      </w:divBdr>
    </w:div>
    <w:div w:id="1810702143">
      <w:bodyDiv w:val="1"/>
      <w:marLeft w:val="0"/>
      <w:marRight w:val="0"/>
      <w:marTop w:val="0"/>
      <w:marBottom w:val="0"/>
      <w:divBdr>
        <w:top w:val="none" w:sz="0" w:space="0" w:color="auto"/>
        <w:left w:val="none" w:sz="0" w:space="0" w:color="auto"/>
        <w:bottom w:val="none" w:sz="0" w:space="0" w:color="auto"/>
        <w:right w:val="none" w:sz="0" w:space="0" w:color="auto"/>
      </w:divBdr>
    </w:div>
    <w:div w:id="1812284503">
      <w:bodyDiv w:val="1"/>
      <w:marLeft w:val="0"/>
      <w:marRight w:val="0"/>
      <w:marTop w:val="0"/>
      <w:marBottom w:val="0"/>
      <w:divBdr>
        <w:top w:val="none" w:sz="0" w:space="0" w:color="auto"/>
        <w:left w:val="none" w:sz="0" w:space="0" w:color="auto"/>
        <w:bottom w:val="none" w:sz="0" w:space="0" w:color="auto"/>
        <w:right w:val="none" w:sz="0" w:space="0" w:color="auto"/>
      </w:divBdr>
    </w:div>
    <w:div w:id="1812359748">
      <w:bodyDiv w:val="1"/>
      <w:marLeft w:val="0"/>
      <w:marRight w:val="0"/>
      <w:marTop w:val="0"/>
      <w:marBottom w:val="0"/>
      <w:divBdr>
        <w:top w:val="none" w:sz="0" w:space="0" w:color="auto"/>
        <w:left w:val="none" w:sz="0" w:space="0" w:color="auto"/>
        <w:bottom w:val="none" w:sz="0" w:space="0" w:color="auto"/>
        <w:right w:val="none" w:sz="0" w:space="0" w:color="auto"/>
      </w:divBdr>
    </w:div>
    <w:div w:id="1812747649">
      <w:bodyDiv w:val="1"/>
      <w:marLeft w:val="0"/>
      <w:marRight w:val="0"/>
      <w:marTop w:val="0"/>
      <w:marBottom w:val="0"/>
      <w:divBdr>
        <w:top w:val="none" w:sz="0" w:space="0" w:color="auto"/>
        <w:left w:val="none" w:sz="0" w:space="0" w:color="auto"/>
        <w:bottom w:val="none" w:sz="0" w:space="0" w:color="auto"/>
        <w:right w:val="none" w:sz="0" w:space="0" w:color="auto"/>
      </w:divBdr>
    </w:div>
    <w:div w:id="1814761283">
      <w:bodyDiv w:val="1"/>
      <w:marLeft w:val="0"/>
      <w:marRight w:val="0"/>
      <w:marTop w:val="0"/>
      <w:marBottom w:val="0"/>
      <w:divBdr>
        <w:top w:val="none" w:sz="0" w:space="0" w:color="auto"/>
        <w:left w:val="none" w:sz="0" w:space="0" w:color="auto"/>
        <w:bottom w:val="none" w:sz="0" w:space="0" w:color="auto"/>
        <w:right w:val="none" w:sz="0" w:space="0" w:color="auto"/>
      </w:divBdr>
    </w:div>
    <w:div w:id="1819371804">
      <w:bodyDiv w:val="1"/>
      <w:marLeft w:val="0"/>
      <w:marRight w:val="0"/>
      <w:marTop w:val="0"/>
      <w:marBottom w:val="0"/>
      <w:divBdr>
        <w:top w:val="none" w:sz="0" w:space="0" w:color="auto"/>
        <w:left w:val="none" w:sz="0" w:space="0" w:color="auto"/>
        <w:bottom w:val="none" w:sz="0" w:space="0" w:color="auto"/>
        <w:right w:val="none" w:sz="0" w:space="0" w:color="auto"/>
      </w:divBdr>
      <w:divsChild>
        <w:div w:id="187254541">
          <w:marLeft w:val="0"/>
          <w:marRight w:val="0"/>
          <w:marTop w:val="0"/>
          <w:marBottom w:val="0"/>
          <w:divBdr>
            <w:top w:val="single" w:sz="2" w:space="0" w:color="1F1E1D"/>
            <w:left w:val="single" w:sz="2" w:space="0" w:color="1F1E1D"/>
            <w:bottom w:val="single" w:sz="2" w:space="0" w:color="1F1E1D"/>
            <w:right w:val="single" w:sz="2" w:space="0" w:color="1F1E1D"/>
          </w:divBdr>
          <w:divsChild>
            <w:div w:id="1965962137">
              <w:marLeft w:val="0"/>
              <w:marRight w:val="0"/>
              <w:marTop w:val="0"/>
              <w:marBottom w:val="0"/>
              <w:divBdr>
                <w:top w:val="single" w:sz="2" w:space="0" w:color="1F1E1D"/>
                <w:left w:val="single" w:sz="2" w:space="0" w:color="1F1E1D"/>
                <w:bottom w:val="single" w:sz="2" w:space="0" w:color="1F1E1D"/>
                <w:right w:val="single" w:sz="2" w:space="0" w:color="1F1E1D"/>
              </w:divBdr>
              <w:divsChild>
                <w:div w:id="165050069">
                  <w:marLeft w:val="0"/>
                  <w:marRight w:val="0"/>
                  <w:marTop w:val="0"/>
                  <w:marBottom w:val="0"/>
                  <w:divBdr>
                    <w:top w:val="single" w:sz="2" w:space="0" w:color="1F1E1D"/>
                    <w:left w:val="single" w:sz="2" w:space="0" w:color="1F1E1D"/>
                    <w:bottom w:val="single" w:sz="2" w:space="0" w:color="1F1E1D"/>
                    <w:right w:val="single" w:sz="2" w:space="0" w:color="1F1E1D"/>
                  </w:divBdr>
                  <w:divsChild>
                    <w:div w:id="571619442">
                      <w:marLeft w:val="0"/>
                      <w:marRight w:val="0"/>
                      <w:marTop w:val="0"/>
                      <w:marBottom w:val="0"/>
                      <w:divBdr>
                        <w:top w:val="single" w:sz="2" w:space="0" w:color="1F1E1D"/>
                        <w:left w:val="single" w:sz="2" w:space="0" w:color="1F1E1D"/>
                        <w:bottom w:val="single" w:sz="2" w:space="0" w:color="1F1E1D"/>
                        <w:right w:val="single" w:sz="2" w:space="0" w:color="1F1E1D"/>
                      </w:divBdr>
                      <w:divsChild>
                        <w:div w:id="67727769">
                          <w:marLeft w:val="0"/>
                          <w:marRight w:val="0"/>
                          <w:marTop w:val="0"/>
                          <w:marBottom w:val="0"/>
                          <w:divBdr>
                            <w:top w:val="single" w:sz="2" w:space="0" w:color="1F1E1D"/>
                            <w:left w:val="single" w:sz="2" w:space="0" w:color="1F1E1D"/>
                            <w:bottom w:val="single" w:sz="2" w:space="0" w:color="1F1E1D"/>
                            <w:right w:val="single" w:sz="2" w:space="0" w:color="1F1E1D"/>
                          </w:divBdr>
                          <w:divsChild>
                            <w:div w:id="1060715931">
                              <w:marLeft w:val="0"/>
                              <w:marRight w:val="0"/>
                              <w:marTop w:val="0"/>
                              <w:marBottom w:val="0"/>
                              <w:divBdr>
                                <w:top w:val="single" w:sz="2" w:space="0" w:color="1F1E1D"/>
                                <w:left w:val="single" w:sz="2" w:space="0" w:color="1F1E1D"/>
                                <w:bottom w:val="single" w:sz="2" w:space="0" w:color="1F1E1D"/>
                                <w:right w:val="single" w:sz="2" w:space="0" w:color="1F1E1D"/>
                              </w:divBdr>
                              <w:divsChild>
                                <w:div w:id="234826570">
                                  <w:marLeft w:val="0"/>
                                  <w:marRight w:val="0"/>
                                  <w:marTop w:val="0"/>
                                  <w:marBottom w:val="0"/>
                                  <w:divBdr>
                                    <w:top w:val="single" w:sz="2" w:space="0" w:color="1F1E1D"/>
                                    <w:left w:val="single" w:sz="2" w:space="0" w:color="1F1E1D"/>
                                    <w:bottom w:val="single" w:sz="2" w:space="0" w:color="1F1E1D"/>
                                    <w:right w:val="single" w:sz="2" w:space="0" w:color="1F1E1D"/>
                                  </w:divBdr>
                                </w:div>
                              </w:divsChild>
                            </w:div>
                          </w:divsChild>
                        </w:div>
                      </w:divsChild>
                    </w:div>
                  </w:divsChild>
                </w:div>
              </w:divsChild>
            </w:div>
          </w:divsChild>
        </w:div>
      </w:divsChild>
    </w:div>
    <w:div w:id="1831601866">
      <w:bodyDiv w:val="1"/>
      <w:marLeft w:val="0"/>
      <w:marRight w:val="0"/>
      <w:marTop w:val="0"/>
      <w:marBottom w:val="0"/>
      <w:divBdr>
        <w:top w:val="none" w:sz="0" w:space="0" w:color="auto"/>
        <w:left w:val="none" w:sz="0" w:space="0" w:color="auto"/>
        <w:bottom w:val="none" w:sz="0" w:space="0" w:color="auto"/>
        <w:right w:val="none" w:sz="0" w:space="0" w:color="auto"/>
      </w:divBdr>
    </w:div>
    <w:div w:id="1831946196">
      <w:bodyDiv w:val="1"/>
      <w:marLeft w:val="0"/>
      <w:marRight w:val="0"/>
      <w:marTop w:val="0"/>
      <w:marBottom w:val="0"/>
      <w:divBdr>
        <w:top w:val="none" w:sz="0" w:space="0" w:color="auto"/>
        <w:left w:val="none" w:sz="0" w:space="0" w:color="auto"/>
        <w:bottom w:val="none" w:sz="0" w:space="0" w:color="auto"/>
        <w:right w:val="none" w:sz="0" w:space="0" w:color="auto"/>
      </w:divBdr>
    </w:div>
    <w:div w:id="1834447327">
      <w:bodyDiv w:val="1"/>
      <w:marLeft w:val="0"/>
      <w:marRight w:val="0"/>
      <w:marTop w:val="0"/>
      <w:marBottom w:val="0"/>
      <w:divBdr>
        <w:top w:val="none" w:sz="0" w:space="0" w:color="auto"/>
        <w:left w:val="none" w:sz="0" w:space="0" w:color="auto"/>
        <w:bottom w:val="none" w:sz="0" w:space="0" w:color="auto"/>
        <w:right w:val="none" w:sz="0" w:space="0" w:color="auto"/>
      </w:divBdr>
    </w:div>
    <w:div w:id="1837333340">
      <w:bodyDiv w:val="1"/>
      <w:marLeft w:val="0"/>
      <w:marRight w:val="0"/>
      <w:marTop w:val="0"/>
      <w:marBottom w:val="0"/>
      <w:divBdr>
        <w:top w:val="none" w:sz="0" w:space="0" w:color="auto"/>
        <w:left w:val="none" w:sz="0" w:space="0" w:color="auto"/>
        <w:bottom w:val="none" w:sz="0" w:space="0" w:color="auto"/>
        <w:right w:val="none" w:sz="0" w:space="0" w:color="auto"/>
      </w:divBdr>
    </w:div>
    <w:div w:id="1838109385">
      <w:bodyDiv w:val="1"/>
      <w:marLeft w:val="0"/>
      <w:marRight w:val="0"/>
      <w:marTop w:val="0"/>
      <w:marBottom w:val="0"/>
      <w:divBdr>
        <w:top w:val="none" w:sz="0" w:space="0" w:color="auto"/>
        <w:left w:val="none" w:sz="0" w:space="0" w:color="auto"/>
        <w:bottom w:val="none" w:sz="0" w:space="0" w:color="auto"/>
        <w:right w:val="none" w:sz="0" w:space="0" w:color="auto"/>
      </w:divBdr>
      <w:divsChild>
        <w:div w:id="2108229655">
          <w:marLeft w:val="0"/>
          <w:marRight w:val="0"/>
          <w:marTop w:val="0"/>
          <w:marBottom w:val="0"/>
          <w:divBdr>
            <w:top w:val="none" w:sz="0" w:space="0" w:color="auto"/>
            <w:left w:val="none" w:sz="0" w:space="0" w:color="auto"/>
            <w:bottom w:val="none" w:sz="0" w:space="0" w:color="auto"/>
            <w:right w:val="none" w:sz="0" w:space="0" w:color="auto"/>
          </w:divBdr>
        </w:div>
      </w:divsChild>
    </w:div>
    <w:div w:id="1839998495">
      <w:bodyDiv w:val="1"/>
      <w:marLeft w:val="0"/>
      <w:marRight w:val="0"/>
      <w:marTop w:val="0"/>
      <w:marBottom w:val="0"/>
      <w:divBdr>
        <w:top w:val="none" w:sz="0" w:space="0" w:color="auto"/>
        <w:left w:val="none" w:sz="0" w:space="0" w:color="auto"/>
        <w:bottom w:val="none" w:sz="0" w:space="0" w:color="auto"/>
        <w:right w:val="none" w:sz="0" w:space="0" w:color="auto"/>
      </w:divBdr>
    </w:div>
    <w:div w:id="1840195143">
      <w:bodyDiv w:val="1"/>
      <w:marLeft w:val="0"/>
      <w:marRight w:val="0"/>
      <w:marTop w:val="0"/>
      <w:marBottom w:val="0"/>
      <w:divBdr>
        <w:top w:val="none" w:sz="0" w:space="0" w:color="auto"/>
        <w:left w:val="none" w:sz="0" w:space="0" w:color="auto"/>
        <w:bottom w:val="none" w:sz="0" w:space="0" w:color="auto"/>
        <w:right w:val="none" w:sz="0" w:space="0" w:color="auto"/>
      </w:divBdr>
    </w:div>
    <w:div w:id="1840806550">
      <w:bodyDiv w:val="1"/>
      <w:marLeft w:val="0"/>
      <w:marRight w:val="0"/>
      <w:marTop w:val="0"/>
      <w:marBottom w:val="0"/>
      <w:divBdr>
        <w:top w:val="none" w:sz="0" w:space="0" w:color="auto"/>
        <w:left w:val="none" w:sz="0" w:space="0" w:color="auto"/>
        <w:bottom w:val="none" w:sz="0" w:space="0" w:color="auto"/>
        <w:right w:val="none" w:sz="0" w:space="0" w:color="auto"/>
      </w:divBdr>
    </w:div>
    <w:div w:id="1842888132">
      <w:bodyDiv w:val="1"/>
      <w:marLeft w:val="0"/>
      <w:marRight w:val="0"/>
      <w:marTop w:val="0"/>
      <w:marBottom w:val="0"/>
      <w:divBdr>
        <w:top w:val="none" w:sz="0" w:space="0" w:color="auto"/>
        <w:left w:val="none" w:sz="0" w:space="0" w:color="auto"/>
        <w:bottom w:val="none" w:sz="0" w:space="0" w:color="auto"/>
        <w:right w:val="none" w:sz="0" w:space="0" w:color="auto"/>
      </w:divBdr>
    </w:div>
    <w:div w:id="1850750175">
      <w:bodyDiv w:val="1"/>
      <w:marLeft w:val="0"/>
      <w:marRight w:val="0"/>
      <w:marTop w:val="0"/>
      <w:marBottom w:val="0"/>
      <w:divBdr>
        <w:top w:val="none" w:sz="0" w:space="0" w:color="auto"/>
        <w:left w:val="none" w:sz="0" w:space="0" w:color="auto"/>
        <w:bottom w:val="none" w:sz="0" w:space="0" w:color="auto"/>
        <w:right w:val="none" w:sz="0" w:space="0" w:color="auto"/>
      </w:divBdr>
    </w:div>
    <w:div w:id="1851677285">
      <w:bodyDiv w:val="1"/>
      <w:marLeft w:val="0"/>
      <w:marRight w:val="0"/>
      <w:marTop w:val="0"/>
      <w:marBottom w:val="0"/>
      <w:divBdr>
        <w:top w:val="none" w:sz="0" w:space="0" w:color="auto"/>
        <w:left w:val="none" w:sz="0" w:space="0" w:color="auto"/>
        <w:bottom w:val="none" w:sz="0" w:space="0" w:color="auto"/>
        <w:right w:val="none" w:sz="0" w:space="0" w:color="auto"/>
      </w:divBdr>
    </w:div>
    <w:div w:id="1854607553">
      <w:bodyDiv w:val="1"/>
      <w:marLeft w:val="0"/>
      <w:marRight w:val="0"/>
      <w:marTop w:val="0"/>
      <w:marBottom w:val="0"/>
      <w:divBdr>
        <w:top w:val="none" w:sz="0" w:space="0" w:color="auto"/>
        <w:left w:val="none" w:sz="0" w:space="0" w:color="auto"/>
        <w:bottom w:val="none" w:sz="0" w:space="0" w:color="auto"/>
        <w:right w:val="none" w:sz="0" w:space="0" w:color="auto"/>
      </w:divBdr>
    </w:div>
    <w:div w:id="1860394236">
      <w:bodyDiv w:val="1"/>
      <w:marLeft w:val="0"/>
      <w:marRight w:val="0"/>
      <w:marTop w:val="0"/>
      <w:marBottom w:val="0"/>
      <w:divBdr>
        <w:top w:val="none" w:sz="0" w:space="0" w:color="auto"/>
        <w:left w:val="none" w:sz="0" w:space="0" w:color="auto"/>
        <w:bottom w:val="none" w:sz="0" w:space="0" w:color="auto"/>
        <w:right w:val="none" w:sz="0" w:space="0" w:color="auto"/>
      </w:divBdr>
    </w:div>
    <w:div w:id="1862084754">
      <w:bodyDiv w:val="1"/>
      <w:marLeft w:val="0"/>
      <w:marRight w:val="0"/>
      <w:marTop w:val="0"/>
      <w:marBottom w:val="0"/>
      <w:divBdr>
        <w:top w:val="none" w:sz="0" w:space="0" w:color="auto"/>
        <w:left w:val="none" w:sz="0" w:space="0" w:color="auto"/>
        <w:bottom w:val="none" w:sz="0" w:space="0" w:color="auto"/>
        <w:right w:val="none" w:sz="0" w:space="0" w:color="auto"/>
      </w:divBdr>
    </w:div>
    <w:div w:id="1866210282">
      <w:bodyDiv w:val="1"/>
      <w:marLeft w:val="0"/>
      <w:marRight w:val="0"/>
      <w:marTop w:val="0"/>
      <w:marBottom w:val="0"/>
      <w:divBdr>
        <w:top w:val="none" w:sz="0" w:space="0" w:color="auto"/>
        <w:left w:val="none" w:sz="0" w:space="0" w:color="auto"/>
        <w:bottom w:val="none" w:sz="0" w:space="0" w:color="auto"/>
        <w:right w:val="none" w:sz="0" w:space="0" w:color="auto"/>
      </w:divBdr>
    </w:div>
    <w:div w:id="1867132965">
      <w:bodyDiv w:val="1"/>
      <w:marLeft w:val="0"/>
      <w:marRight w:val="0"/>
      <w:marTop w:val="0"/>
      <w:marBottom w:val="0"/>
      <w:divBdr>
        <w:top w:val="none" w:sz="0" w:space="0" w:color="auto"/>
        <w:left w:val="none" w:sz="0" w:space="0" w:color="auto"/>
        <w:bottom w:val="none" w:sz="0" w:space="0" w:color="auto"/>
        <w:right w:val="none" w:sz="0" w:space="0" w:color="auto"/>
      </w:divBdr>
    </w:div>
    <w:div w:id="1867283363">
      <w:bodyDiv w:val="1"/>
      <w:marLeft w:val="0"/>
      <w:marRight w:val="0"/>
      <w:marTop w:val="0"/>
      <w:marBottom w:val="0"/>
      <w:divBdr>
        <w:top w:val="none" w:sz="0" w:space="0" w:color="auto"/>
        <w:left w:val="none" w:sz="0" w:space="0" w:color="auto"/>
        <w:bottom w:val="none" w:sz="0" w:space="0" w:color="auto"/>
        <w:right w:val="none" w:sz="0" w:space="0" w:color="auto"/>
      </w:divBdr>
      <w:divsChild>
        <w:div w:id="1508641675">
          <w:marLeft w:val="0"/>
          <w:marRight w:val="0"/>
          <w:marTop w:val="0"/>
          <w:marBottom w:val="0"/>
          <w:divBdr>
            <w:top w:val="none" w:sz="0" w:space="0" w:color="auto"/>
            <w:left w:val="none" w:sz="0" w:space="0" w:color="auto"/>
            <w:bottom w:val="none" w:sz="0" w:space="0" w:color="auto"/>
            <w:right w:val="none" w:sz="0" w:space="0" w:color="auto"/>
          </w:divBdr>
        </w:div>
        <w:div w:id="1596010372">
          <w:marLeft w:val="0"/>
          <w:marRight w:val="0"/>
          <w:marTop w:val="0"/>
          <w:marBottom w:val="0"/>
          <w:divBdr>
            <w:top w:val="none" w:sz="0" w:space="0" w:color="auto"/>
            <w:left w:val="none" w:sz="0" w:space="0" w:color="auto"/>
            <w:bottom w:val="none" w:sz="0" w:space="0" w:color="auto"/>
            <w:right w:val="none" w:sz="0" w:space="0" w:color="auto"/>
          </w:divBdr>
        </w:div>
      </w:divsChild>
    </w:div>
    <w:div w:id="1871070516">
      <w:bodyDiv w:val="1"/>
      <w:marLeft w:val="0"/>
      <w:marRight w:val="0"/>
      <w:marTop w:val="0"/>
      <w:marBottom w:val="0"/>
      <w:divBdr>
        <w:top w:val="none" w:sz="0" w:space="0" w:color="auto"/>
        <w:left w:val="none" w:sz="0" w:space="0" w:color="auto"/>
        <w:bottom w:val="none" w:sz="0" w:space="0" w:color="auto"/>
        <w:right w:val="none" w:sz="0" w:space="0" w:color="auto"/>
      </w:divBdr>
    </w:div>
    <w:div w:id="1873108917">
      <w:bodyDiv w:val="1"/>
      <w:marLeft w:val="0"/>
      <w:marRight w:val="0"/>
      <w:marTop w:val="0"/>
      <w:marBottom w:val="0"/>
      <w:divBdr>
        <w:top w:val="none" w:sz="0" w:space="0" w:color="auto"/>
        <w:left w:val="none" w:sz="0" w:space="0" w:color="auto"/>
        <w:bottom w:val="none" w:sz="0" w:space="0" w:color="auto"/>
        <w:right w:val="none" w:sz="0" w:space="0" w:color="auto"/>
      </w:divBdr>
    </w:div>
    <w:div w:id="1875192347">
      <w:bodyDiv w:val="1"/>
      <w:marLeft w:val="0"/>
      <w:marRight w:val="0"/>
      <w:marTop w:val="0"/>
      <w:marBottom w:val="0"/>
      <w:divBdr>
        <w:top w:val="none" w:sz="0" w:space="0" w:color="auto"/>
        <w:left w:val="none" w:sz="0" w:space="0" w:color="auto"/>
        <w:bottom w:val="none" w:sz="0" w:space="0" w:color="auto"/>
        <w:right w:val="none" w:sz="0" w:space="0" w:color="auto"/>
      </w:divBdr>
    </w:div>
    <w:div w:id="1876966700">
      <w:bodyDiv w:val="1"/>
      <w:marLeft w:val="0"/>
      <w:marRight w:val="0"/>
      <w:marTop w:val="0"/>
      <w:marBottom w:val="0"/>
      <w:divBdr>
        <w:top w:val="none" w:sz="0" w:space="0" w:color="auto"/>
        <w:left w:val="none" w:sz="0" w:space="0" w:color="auto"/>
        <w:bottom w:val="none" w:sz="0" w:space="0" w:color="auto"/>
        <w:right w:val="none" w:sz="0" w:space="0" w:color="auto"/>
      </w:divBdr>
    </w:div>
    <w:div w:id="1890409563">
      <w:bodyDiv w:val="1"/>
      <w:marLeft w:val="0"/>
      <w:marRight w:val="0"/>
      <w:marTop w:val="0"/>
      <w:marBottom w:val="0"/>
      <w:divBdr>
        <w:top w:val="none" w:sz="0" w:space="0" w:color="auto"/>
        <w:left w:val="none" w:sz="0" w:space="0" w:color="auto"/>
        <w:bottom w:val="none" w:sz="0" w:space="0" w:color="auto"/>
        <w:right w:val="none" w:sz="0" w:space="0" w:color="auto"/>
      </w:divBdr>
    </w:div>
    <w:div w:id="1903254036">
      <w:bodyDiv w:val="1"/>
      <w:marLeft w:val="0"/>
      <w:marRight w:val="0"/>
      <w:marTop w:val="0"/>
      <w:marBottom w:val="0"/>
      <w:divBdr>
        <w:top w:val="none" w:sz="0" w:space="0" w:color="auto"/>
        <w:left w:val="none" w:sz="0" w:space="0" w:color="auto"/>
        <w:bottom w:val="none" w:sz="0" w:space="0" w:color="auto"/>
        <w:right w:val="none" w:sz="0" w:space="0" w:color="auto"/>
      </w:divBdr>
    </w:div>
    <w:div w:id="1906642409">
      <w:bodyDiv w:val="1"/>
      <w:marLeft w:val="0"/>
      <w:marRight w:val="0"/>
      <w:marTop w:val="0"/>
      <w:marBottom w:val="0"/>
      <w:divBdr>
        <w:top w:val="none" w:sz="0" w:space="0" w:color="auto"/>
        <w:left w:val="none" w:sz="0" w:space="0" w:color="auto"/>
        <w:bottom w:val="none" w:sz="0" w:space="0" w:color="auto"/>
        <w:right w:val="none" w:sz="0" w:space="0" w:color="auto"/>
      </w:divBdr>
    </w:div>
    <w:div w:id="1910186377">
      <w:bodyDiv w:val="1"/>
      <w:marLeft w:val="0"/>
      <w:marRight w:val="0"/>
      <w:marTop w:val="0"/>
      <w:marBottom w:val="0"/>
      <w:divBdr>
        <w:top w:val="none" w:sz="0" w:space="0" w:color="auto"/>
        <w:left w:val="none" w:sz="0" w:space="0" w:color="auto"/>
        <w:bottom w:val="none" w:sz="0" w:space="0" w:color="auto"/>
        <w:right w:val="none" w:sz="0" w:space="0" w:color="auto"/>
      </w:divBdr>
    </w:div>
    <w:div w:id="1910340898">
      <w:bodyDiv w:val="1"/>
      <w:marLeft w:val="0"/>
      <w:marRight w:val="0"/>
      <w:marTop w:val="0"/>
      <w:marBottom w:val="0"/>
      <w:divBdr>
        <w:top w:val="none" w:sz="0" w:space="0" w:color="auto"/>
        <w:left w:val="none" w:sz="0" w:space="0" w:color="auto"/>
        <w:bottom w:val="none" w:sz="0" w:space="0" w:color="auto"/>
        <w:right w:val="none" w:sz="0" w:space="0" w:color="auto"/>
      </w:divBdr>
    </w:div>
    <w:div w:id="1910995464">
      <w:bodyDiv w:val="1"/>
      <w:marLeft w:val="0"/>
      <w:marRight w:val="0"/>
      <w:marTop w:val="0"/>
      <w:marBottom w:val="0"/>
      <w:divBdr>
        <w:top w:val="none" w:sz="0" w:space="0" w:color="auto"/>
        <w:left w:val="none" w:sz="0" w:space="0" w:color="auto"/>
        <w:bottom w:val="none" w:sz="0" w:space="0" w:color="auto"/>
        <w:right w:val="none" w:sz="0" w:space="0" w:color="auto"/>
      </w:divBdr>
    </w:div>
    <w:div w:id="1911303381">
      <w:bodyDiv w:val="1"/>
      <w:marLeft w:val="0"/>
      <w:marRight w:val="0"/>
      <w:marTop w:val="0"/>
      <w:marBottom w:val="0"/>
      <w:divBdr>
        <w:top w:val="none" w:sz="0" w:space="0" w:color="auto"/>
        <w:left w:val="none" w:sz="0" w:space="0" w:color="auto"/>
        <w:bottom w:val="none" w:sz="0" w:space="0" w:color="auto"/>
        <w:right w:val="none" w:sz="0" w:space="0" w:color="auto"/>
      </w:divBdr>
    </w:div>
    <w:div w:id="1912697697">
      <w:bodyDiv w:val="1"/>
      <w:marLeft w:val="0"/>
      <w:marRight w:val="0"/>
      <w:marTop w:val="0"/>
      <w:marBottom w:val="0"/>
      <w:divBdr>
        <w:top w:val="none" w:sz="0" w:space="0" w:color="auto"/>
        <w:left w:val="none" w:sz="0" w:space="0" w:color="auto"/>
        <w:bottom w:val="none" w:sz="0" w:space="0" w:color="auto"/>
        <w:right w:val="none" w:sz="0" w:space="0" w:color="auto"/>
      </w:divBdr>
    </w:div>
    <w:div w:id="1916043242">
      <w:bodyDiv w:val="1"/>
      <w:marLeft w:val="0"/>
      <w:marRight w:val="0"/>
      <w:marTop w:val="0"/>
      <w:marBottom w:val="0"/>
      <w:divBdr>
        <w:top w:val="none" w:sz="0" w:space="0" w:color="auto"/>
        <w:left w:val="none" w:sz="0" w:space="0" w:color="auto"/>
        <w:bottom w:val="none" w:sz="0" w:space="0" w:color="auto"/>
        <w:right w:val="none" w:sz="0" w:space="0" w:color="auto"/>
      </w:divBdr>
    </w:div>
    <w:div w:id="1919972143">
      <w:bodyDiv w:val="1"/>
      <w:marLeft w:val="0"/>
      <w:marRight w:val="0"/>
      <w:marTop w:val="0"/>
      <w:marBottom w:val="0"/>
      <w:divBdr>
        <w:top w:val="none" w:sz="0" w:space="0" w:color="auto"/>
        <w:left w:val="none" w:sz="0" w:space="0" w:color="auto"/>
        <w:bottom w:val="none" w:sz="0" w:space="0" w:color="auto"/>
        <w:right w:val="none" w:sz="0" w:space="0" w:color="auto"/>
      </w:divBdr>
    </w:div>
    <w:div w:id="1927960377">
      <w:bodyDiv w:val="1"/>
      <w:marLeft w:val="0"/>
      <w:marRight w:val="0"/>
      <w:marTop w:val="0"/>
      <w:marBottom w:val="0"/>
      <w:divBdr>
        <w:top w:val="none" w:sz="0" w:space="0" w:color="auto"/>
        <w:left w:val="none" w:sz="0" w:space="0" w:color="auto"/>
        <w:bottom w:val="none" w:sz="0" w:space="0" w:color="auto"/>
        <w:right w:val="none" w:sz="0" w:space="0" w:color="auto"/>
      </w:divBdr>
    </w:div>
    <w:div w:id="1928922692">
      <w:bodyDiv w:val="1"/>
      <w:marLeft w:val="0"/>
      <w:marRight w:val="0"/>
      <w:marTop w:val="0"/>
      <w:marBottom w:val="0"/>
      <w:divBdr>
        <w:top w:val="none" w:sz="0" w:space="0" w:color="auto"/>
        <w:left w:val="none" w:sz="0" w:space="0" w:color="auto"/>
        <w:bottom w:val="none" w:sz="0" w:space="0" w:color="auto"/>
        <w:right w:val="none" w:sz="0" w:space="0" w:color="auto"/>
      </w:divBdr>
    </w:div>
    <w:div w:id="1933732084">
      <w:bodyDiv w:val="1"/>
      <w:marLeft w:val="0"/>
      <w:marRight w:val="0"/>
      <w:marTop w:val="0"/>
      <w:marBottom w:val="0"/>
      <w:divBdr>
        <w:top w:val="none" w:sz="0" w:space="0" w:color="auto"/>
        <w:left w:val="none" w:sz="0" w:space="0" w:color="auto"/>
        <w:bottom w:val="none" w:sz="0" w:space="0" w:color="auto"/>
        <w:right w:val="none" w:sz="0" w:space="0" w:color="auto"/>
      </w:divBdr>
    </w:div>
    <w:div w:id="1935086264">
      <w:bodyDiv w:val="1"/>
      <w:marLeft w:val="0"/>
      <w:marRight w:val="0"/>
      <w:marTop w:val="0"/>
      <w:marBottom w:val="0"/>
      <w:divBdr>
        <w:top w:val="none" w:sz="0" w:space="0" w:color="auto"/>
        <w:left w:val="none" w:sz="0" w:space="0" w:color="auto"/>
        <w:bottom w:val="none" w:sz="0" w:space="0" w:color="auto"/>
        <w:right w:val="none" w:sz="0" w:space="0" w:color="auto"/>
      </w:divBdr>
    </w:div>
    <w:div w:id="1953395215">
      <w:bodyDiv w:val="1"/>
      <w:marLeft w:val="0"/>
      <w:marRight w:val="0"/>
      <w:marTop w:val="0"/>
      <w:marBottom w:val="0"/>
      <w:divBdr>
        <w:top w:val="none" w:sz="0" w:space="0" w:color="auto"/>
        <w:left w:val="none" w:sz="0" w:space="0" w:color="auto"/>
        <w:bottom w:val="none" w:sz="0" w:space="0" w:color="auto"/>
        <w:right w:val="none" w:sz="0" w:space="0" w:color="auto"/>
      </w:divBdr>
    </w:div>
    <w:div w:id="1954047451">
      <w:bodyDiv w:val="1"/>
      <w:marLeft w:val="0"/>
      <w:marRight w:val="0"/>
      <w:marTop w:val="0"/>
      <w:marBottom w:val="0"/>
      <w:divBdr>
        <w:top w:val="none" w:sz="0" w:space="0" w:color="auto"/>
        <w:left w:val="none" w:sz="0" w:space="0" w:color="auto"/>
        <w:bottom w:val="none" w:sz="0" w:space="0" w:color="auto"/>
        <w:right w:val="none" w:sz="0" w:space="0" w:color="auto"/>
      </w:divBdr>
    </w:div>
    <w:div w:id="1959874178">
      <w:bodyDiv w:val="1"/>
      <w:marLeft w:val="0"/>
      <w:marRight w:val="0"/>
      <w:marTop w:val="0"/>
      <w:marBottom w:val="0"/>
      <w:divBdr>
        <w:top w:val="none" w:sz="0" w:space="0" w:color="auto"/>
        <w:left w:val="none" w:sz="0" w:space="0" w:color="auto"/>
        <w:bottom w:val="none" w:sz="0" w:space="0" w:color="auto"/>
        <w:right w:val="none" w:sz="0" w:space="0" w:color="auto"/>
      </w:divBdr>
    </w:div>
    <w:div w:id="1963606155">
      <w:bodyDiv w:val="1"/>
      <w:marLeft w:val="0"/>
      <w:marRight w:val="0"/>
      <w:marTop w:val="0"/>
      <w:marBottom w:val="0"/>
      <w:divBdr>
        <w:top w:val="none" w:sz="0" w:space="0" w:color="auto"/>
        <w:left w:val="none" w:sz="0" w:space="0" w:color="auto"/>
        <w:bottom w:val="none" w:sz="0" w:space="0" w:color="auto"/>
        <w:right w:val="none" w:sz="0" w:space="0" w:color="auto"/>
      </w:divBdr>
      <w:divsChild>
        <w:div w:id="1318572">
          <w:marLeft w:val="0"/>
          <w:marRight w:val="0"/>
          <w:marTop w:val="0"/>
          <w:marBottom w:val="0"/>
          <w:divBdr>
            <w:top w:val="none" w:sz="0" w:space="0" w:color="auto"/>
            <w:left w:val="none" w:sz="0" w:space="0" w:color="auto"/>
            <w:bottom w:val="none" w:sz="0" w:space="0" w:color="auto"/>
            <w:right w:val="none" w:sz="0" w:space="0" w:color="auto"/>
          </w:divBdr>
        </w:div>
        <w:div w:id="777288502">
          <w:marLeft w:val="0"/>
          <w:marRight w:val="0"/>
          <w:marTop w:val="0"/>
          <w:marBottom w:val="0"/>
          <w:divBdr>
            <w:top w:val="none" w:sz="0" w:space="0" w:color="auto"/>
            <w:left w:val="none" w:sz="0" w:space="0" w:color="auto"/>
            <w:bottom w:val="none" w:sz="0" w:space="0" w:color="auto"/>
            <w:right w:val="none" w:sz="0" w:space="0" w:color="auto"/>
          </w:divBdr>
        </w:div>
        <w:div w:id="1330981439">
          <w:marLeft w:val="0"/>
          <w:marRight w:val="0"/>
          <w:marTop w:val="0"/>
          <w:marBottom w:val="0"/>
          <w:divBdr>
            <w:top w:val="none" w:sz="0" w:space="0" w:color="auto"/>
            <w:left w:val="none" w:sz="0" w:space="0" w:color="auto"/>
            <w:bottom w:val="none" w:sz="0" w:space="0" w:color="auto"/>
            <w:right w:val="none" w:sz="0" w:space="0" w:color="auto"/>
          </w:divBdr>
        </w:div>
        <w:div w:id="1349984565">
          <w:marLeft w:val="0"/>
          <w:marRight w:val="0"/>
          <w:marTop w:val="0"/>
          <w:marBottom w:val="0"/>
          <w:divBdr>
            <w:top w:val="none" w:sz="0" w:space="0" w:color="auto"/>
            <w:left w:val="none" w:sz="0" w:space="0" w:color="auto"/>
            <w:bottom w:val="none" w:sz="0" w:space="0" w:color="auto"/>
            <w:right w:val="none" w:sz="0" w:space="0" w:color="auto"/>
          </w:divBdr>
        </w:div>
        <w:div w:id="1352105551">
          <w:marLeft w:val="0"/>
          <w:marRight w:val="0"/>
          <w:marTop w:val="0"/>
          <w:marBottom w:val="0"/>
          <w:divBdr>
            <w:top w:val="none" w:sz="0" w:space="0" w:color="auto"/>
            <w:left w:val="none" w:sz="0" w:space="0" w:color="auto"/>
            <w:bottom w:val="none" w:sz="0" w:space="0" w:color="auto"/>
            <w:right w:val="none" w:sz="0" w:space="0" w:color="auto"/>
          </w:divBdr>
        </w:div>
        <w:div w:id="1686177564">
          <w:marLeft w:val="0"/>
          <w:marRight w:val="0"/>
          <w:marTop w:val="0"/>
          <w:marBottom w:val="0"/>
          <w:divBdr>
            <w:top w:val="none" w:sz="0" w:space="0" w:color="auto"/>
            <w:left w:val="none" w:sz="0" w:space="0" w:color="auto"/>
            <w:bottom w:val="none" w:sz="0" w:space="0" w:color="auto"/>
            <w:right w:val="none" w:sz="0" w:space="0" w:color="auto"/>
          </w:divBdr>
        </w:div>
      </w:divsChild>
    </w:div>
    <w:div w:id="1974864087">
      <w:bodyDiv w:val="1"/>
      <w:marLeft w:val="0"/>
      <w:marRight w:val="0"/>
      <w:marTop w:val="0"/>
      <w:marBottom w:val="0"/>
      <w:divBdr>
        <w:top w:val="none" w:sz="0" w:space="0" w:color="auto"/>
        <w:left w:val="none" w:sz="0" w:space="0" w:color="auto"/>
        <w:bottom w:val="none" w:sz="0" w:space="0" w:color="auto"/>
        <w:right w:val="none" w:sz="0" w:space="0" w:color="auto"/>
      </w:divBdr>
    </w:div>
    <w:div w:id="1977055775">
      <w:bodyDiv w:val="1"/>
      <w:marLeft w:val="0"/>
      <w:marRight w:val="0"/>
      <w:marTop w:val="0"/>
      <w:marBottom w:val="0"/>
      <w:divBdr>
        <w:top w:val="none" w:sz="0" w:space="0" w:color="auto"/>
        <w:left w:val="none" w:sz="0" w:space="0" w:color="auto"/>
        <w:bottom w:val="none" w:sz="0" w:space="0" w:color="auto"/>
        <w:right w:val="none" w:sz="0" w:space="0" w:color="auto"/>
      </w:divBdr>
    </w:div>
    <w:div w:id="1977101468">
      <w:bodyDiv w:val="1"/>
      <w:marLeft w:val="0"/>
      <w:marRight w:val="0"/>
      <w:marTop w:val="0"/>
      <w:marBottom w:val="0"/>
      <w:divBdr>
        <w:top w:val="none" w:sz="0" w:space="0" w:color="auto"/>
        <w:left w:val="none" w:sz="0" w:space="0" w:color="auto"/>
        <w:bottom w:val="none" w:sz="0" w:space="0" w:color="auto"/>
        <w:right w:val="none" w:sz="0" w:space="0" w:color="auto"/>
      </w:divBdr>
    </w:div>
    <w:div w:id="1983270933">
      <w:bodyDiv w:val="1"/>
      <w:marLeft w:val="0"/>
      <w:marRight w:val="0"/>
      <w:marTop w:val="0"/>
      <w:marBottom w:val="0"/>
      <w:divBdr>
        <w:top w:val="none" w:sz="0" w:space="0" w:color="auto"/>
        <w:left w:val="none" w:sz="0" w:space="0" w:color="auto"/>
        <w:bottom w:val="none" w:sz="0" w:space="0" w:color="auto"/>
        <w:right w:val="none" w:sz="0" w:space="0" w:color="auto"/>
      </w:divBdr>
    </w:div>
    <w:div w:id="1984581589">
      <w:bodyDiv w:val="1"/>
      <w:marLeft w:val="0"/>
      <w:marRight w:val="0"/>
      <w:marTop w:val="0"/>
      <w:marBottom w:val="0"/>
      <w:divBdr>
        <w:top w:val="none" w:sz="0" w:space="0" w:color="auto"/>
        <w:left w:val="none" w:sz="0" w:space="0" w:color="auto"/>
        <w:bottom w:val="none" w:sz="0" w:space="0" w:color="auto"/>
        <w:right w:val="none" w:sz="0" w:space="0" w:color="auto"/>
      </w:divBdr>
    </w:div>
    <w:div w:id="1993823556">
      <w:bodyDiv w:val="1"/>
      <w:marLeft w:val="0"/>
      <w:marRight w:val="0"/>
      <w:marTop w:val="0"/>
      <w:marBottom w:val="0"/>
      <w:divBdr>
        <w:top w:val="none" w:sz="0" w:space="0" w:color="auto"/>
        <w:left w:val="none" w:sz="0" w:space="0" w:color="auto"/>
        <w:bottom w:val="none" w:sz="0" w:space="0" w:color="auto"/>
        <w:right w:val="none" w:sz="0" w:space="0" w:color="auto"/>
      </w:divBdr>
    </w:div>
    <w:div w:id="1996492881">
      <w:bodyDiv w:val="1"/>
      <w:marLeft w:val="0"/>
      <w:marRight w:val="0"/>
      <w:marTop w:val="0"/>
      <w:marBottom w:val="0"/>
      <w:divBdr>
        <w:top w:val="none" w:sz="0" w:space="0" w:color="auto"/>
        <w:left w:val="none" w:sz="0" w:space="0" w:color="auto"/>
        <w:bottom w:val="none" w:sz="0" w:space="0" w:color="auto"/>
        <w:right w:val="none" w:sz="0" w:space="0" w:color="auto"/>
      </w:divBdr>
    </w:div>
    <w:div w:id="2009550304">
      <w:bodyDiv w:val="1"/>
      <w:marLeft w:val="0"/>
      <w:marRight w:val="0"/>
      <w:marTop w:val="0"/>
      <w:marBottom w:val="0"/>
      <w:divBdr>
        <w:top w:val="none" w:sz="0" w:space="0" w:color="auto"/>
        <w:left w:val="none" w:sz="0" w:space="0" w:color="auto"/>
        <w:bottom w:val="none" w:sz="0" w:space="0" w:color="auto"/>
        <w:right w:val="none" w:sz="0" w:space="0" w:color="auto"/>
      </w:divBdr>
    </w:div>
    <w:div w:id="2009945937">
      <w:bodyDiv w:val="1"/>
      <w:marLeft w:val="0"/>
      <w:marRight w:val="0"/>
      <w:marTop w:val="0"/>
      <w:marBottom w:val="0"/>
      <w:divBdr>
        <w:top w:val="none" w:sz="0" w:space="0" w:color="auto"/>
        <w:left w:val="none" w:sz="0" w:space="0" w:color="auto"/>
        <w:bottom w:val="none" w:sz="0" w:space="0" w:color="auto"/>
        <w:right w:val="none" w:sz="0" w:space="0" w:color="auto"/>
      </w:divBdr>
    </w:div>
    <w:div w:id="2013415091">
      <w:bodyDiv w:val="1"/>
      <w:marLeft w:val="0"/>
      <w:marRight w:val="0"/>
      <w:marTop w:val="0"/>
      <w:marBottom w:val="0"/>
      <w:divBdr>
        <w:top w:val="none" w:sz="0" w:space="0" w:color="auto"/>
        <w:left w:val="none" w:sz="0" w:space="0" w:color="auto"/>
        <w:bottom w:val="none" w:sz="0" w:space="0" w:color="auto"/>
        <w:right w:val="none" w:sz="0" w:space="0" w:color="auto"/>
      </w:divBdr>
    </w:div>
    <w:div w:id="2016298072">
      <w:bodyDiv w:val="1"/>
      <w:marLeft w:val="0"/>
      <w:marRight w:val="0"/>
      <w:marTop w:val="0"/>
      <w:marBottom w:val="0"/>
      <w:divBdr>
        <w:top w:val="none" w:sz="0" w:space="0" w:color="auto"/>
        <w:left w:val="none" w:sz="0" w:space="0" w:color="auto"/>
        <w:bottom w:val="none" w:sz="0" w:space="0" w:color="auto"/>
        <w:right w:val="none" w:sz="0" w:space="0" w:color="auto"/>
      </w:divBdr>
    </w:div>
    <w:div w:id="2017804626">
      <w:bodyDiv w:val="1"/>
      <w:marLeft w:val="0"/>
      <w:marRight w:val="0"/>
      <w:marTop w:val="0"/>
      <w:marBottom w:val="0"/>
      <w:divBdr>
        <w:top w:val="none" w:sz="0" w:space="0" w:color="auto"/>
        <w:left w:val="none" w:sz="0" w:space="0" w:color="auto"/>
        <w:bottom w:val="none" w:sz="0" w:space="0" w:color="auto"/>
        <w:right w:val="none" w:sz="0" w:space="0" w:color="auto"/>
      </w:divBdr>
      <w:divsChild>
        <w:div w:id="345061247">
          <w:marLeft w:val="0"/>
          <w:marRight w:val="0"/>
          <w:marTop w:val="0"/>
          <w:marBottom w:val="0"/>
          <w:divBdr>
            <w:top w:val="none" w:sz="0" w:space="0" w:color="auto"/>
            <w:left w:val="none" w:sz="0" w:space="0" w:color="auto"/>
            <w:bottom w:val="none" w:sz="0" w:space="0" w:color="auto"/>
            <w:right w:val="none" w:sz="0" w:space="0" w:color="auto"/>
          </w:divBdr>
        </w:div>
      </w:divsChild>
    </w:div>
    <w:div w:id="2028630429">
      <w:bodyDiv w:val="1"/>
      <w:marLeft w:val="0"/>
      <w:marRight w:val="0"/>
      <w:marTop w:val="0"/>
      <w:marBottom w:val="0"/>
      <w:divBdr>
        <w:top w:val="none" w:sz="0" w:space="0" w:color="auto"/>
        <w:left w:val="none" w:sz="0" w:space="0" w:color="auto"/>
        <w:bottom w:val="none" w:sz="0" w:space="0" w:color="auto"/>
        <w:right w:val="none" w:sz="0" w:space="0" w:color="auto"/>
      </w:divBdr>
    </w:div>
    <w:div w:id="2039743325">
      <w:bodyDiv w:val="1"/>
      <w:marLeft w:val="0"/>
      <w:marRight w:val="0"/>
      <w:marTop w:val="0"/>
      <w:marBottom w:val="0"/>
      <w:divBdr>
        <w:top w:val="none" w:sz="0" w:space="0" w:color="auto"/>
        <w:left w:val="none" w:sz="0" w:space="0" w:color="auto"/>
        <w:bottom w:val="none" w:sz="0" w:space="0" w:color="auto"/>
        <w:right w:val="none" w:sz="0" w:space="0" w:color="auto"/>
      </w:divBdr>
    </w:div>
    <w:div w:id="2049180487">
      <w:bodyDiv w:val="1"/>
      <w:marLeft w:val="0"/>
      <w:marRight w:val="0"/>
      <w:marTop w:val="0"/>
      <w:marBottom w:val="0"/>
      <w:divBdr>
        <w:top w:val="none" w:sz="0" w:space="0" w:color="auto"/>
        <w:left w:val="none" w:sz="0" w:space="0" w:color="auto"/>
        <w:bottom w:val="none" w:sz="0" w:space="0" w:color="auto"/>
        <w:right w:val="none" w:sz="0" w:space="0" w:color="auto"/>
      </w:divBdr>
    </w:div>
    <w:div w:id="2051033648">
      <w:bodyDiv w:val="1"/>
      <w:marLeft w:val="0"/>
      <w:marRight w:val="0"/>
      <w:marTop w:val="0"/>
      <w:marBottom w:val="0"/>
      <w:divBdr>
        <w:top w:val="none" w:sz="0" w:space="0" w:color="auto"/>
        <w:left w:val="none" w:sz="0" w:space="0" w:color="auto"/>
        <w:bottom w:val="none" w:sz="0" w:space="0" w:color="auto"/>
        <w:right w:val="none" w:sz="0" w:space="0" w:color="auto"/>
      </w:divBdr>
    </w:div>
    <w:div w:id="2051758605">
      <w:bodyDiv w:val="1"/>
      <w:marLeft w:val="0"/>
      <w:marRight w:val="0"/>
      <w:marTop w:val="0"/>
      <w:marBottom w:val="0"/>
      <w:divBdr>
        <w:top w:val="none" w:sz="0" w:space="0" w:color="auto"/>
        <w:left w:val="none" w:sz="0" w:space="0" w:color="auto"/>
        <w:bottom w:val="none" w:sz="0" w:space="0" w:color="auto"/>
        <w:right w:val="none" w:sz="0" w:space="0" w:color="auto"/>
      </w:divBdr>
    </w:div>
    <w:div w:id="2057269784">
      <w:bodyDiv w:val="1"/>
      <w:marLeft w:val="0"/>
      <w:marRight w:val="0"/>
      <w:marTop w:val="0"/>
      <w:marBottom w:val="0"/>
      <w:divBdr>
        <w:top w:val="none" w:sz="0" w:space="0" w:color="auto"/>
        <w:left w:val="none" w:sz="0" w:space="0" w:color="auto"/>
        <w:bottom w:val="none" w:sz="0" w:space="0" w:color="auto"/>
        <w:right w:val="none" w:sz="0" w:space="0" w:color="auto"/>
      </w:divBdr>
      <w:divsChild>
        <w:div w:id="1074742803">
          <w:marLeft w:val="0"/>
          <w:marRight w:val="0"/>
          <w:marTop w:val="0"/>
          <w:marBottom w:val="0"/>
          <w:divBdr>
            <w:top w:val="none" w:sz="0" w:space="0" w:color="auto"/>
            <w:left w:val="none" w:sz="0" w:space="0" w:color="auto"/>
            <w:bottom w:val="none" w:sz="0" w:space="0" w:color="auto"/>
            <w:right w:val="none" w:sz="0" w:space="0" w:color="auto"/>
          </w:divBdr>
        </w:div>
        <w:div w:id="1523665011">
          <w:marLeft w:val="0"/>
          <w:marRight w:val="0"/>
          <w:marTop w:val="0"/>
          <w:marBottom w:val="0"/>
          <w:divBdr>
            <w:top w:val="none" w:sz="0" w:space="0" w:color="auto"/>
            <w:left w:val="none" w:sz="0" w:space="0" w:color="auto"/>
            <w:bottom w:val="none" w:sz="0" w:space="0" w:color="auto"/>
            <w:right w:val="none" w:sz="0" w:space="0" w:color="auto"/>
          </w:divBdr>
        </w:div>
      </w:divsChild>
    </w:div>
    <w:div w:id="2058620215">
      <w:bodyDiv w:val="1"/>
      <w:marLeft w:val="0"/>
      <w:marRight w:val="0"/>
      <w:marTop w:val="0"/>
      <w:marBottom w:val="0"/>
      <w:divBdr>
        <w:top w:val="none" w:sz="0" w:space="0" w:color="auto"/>
        <w:left w:val="none" w:sz="0" w:space="0" w:color="auto"/>
        <w:bottom w:val="none" w:sz="0" w:space="0" w:color="auto"/>
        <w:right w:val="none" w:sz="0" w:space="0" w:color="auto"/>
      </w:divBdr>
    </w:div>
    <w:div w:id="2062290791">
      <w:bodyDiv w:val="1"/>
      <w:marLeft w:val="0"/>
      <w:marRight w:val="0"/>
      <w:marTop w:val="0"/>
      <w:marBottom w:val="0"/>
      <w:divBdr>
        <w:top w:val="none" w:sz="0" w:space="0" w:color="auto"/>
        <w:left w:val="none" w:sz="0" w:space="0" w:color="auto"/>
        <w:bottom w:val="none" w:sz="0" w:space="0" w:color="auto"/>
        <w:right w:val="none" w:sz="0" w:space="0" w:color="auto"/>
      </w:divBdr>
    </w:div>
    <w:div w:id="2062361421">
      <w:bodyDiv w:val="1"/>
      <w:marLeft w:val="0"/>
      <w:marRight w:val="0"/>
      <w:marTop w:val="0"/>
      <w:marBottom w:val="0"/>
      <w:divBdr>
        <w:top w:val="none" w:sz="0" w:space="0" w:color="auto"/>
        <w:left w:val="none" w:sz="0" w:space="0" w:color="auto"/>
        <w:bottom w:val="none" w:sz="0" w:space="0" w:color="auto"/>
        <w:right w:val="none" w:sz="0" w:space="0" w:color="auto"/>
      </w:divBdr>
    </w:div>
    <w:div w:id="2074430885">
      <w:bodyDiv w:val="1"/>
      <w:marLeft w:val="0"/>
      <w:marRight w:val="0"/>
      <w:marTop w:val="0"/>
      <w:marBottom w:val="0"/>
      <w:divBdr>
        <w:top w:val="none" w:sz="0" w:space="0" w:color="auto"/>
        <w:left w:val="none" w:sz="0" w:space="0" w:color="auto"/>
        <w:bottom w:val="none" w:sz="0" w:space="0" w:color="auto"/>
        <w:right w:val="none" w:sz="0" w:space="0" w:color="auto"/>
      </w:divBdr>
    </w:div>
    <w:div w:id="2075469042">
      <w:bodyDiv w:val="1"/>
      <w:marLeft w:val="0"/>
      <w:marRight w:val="0"/>
      <w:marTop w:val="0"/>
      <w:marBottom w:val="0"/>
      <w:divBdr>
        <w:top w:val="none" w:sz="0" w:space="0" w:color="auto"/>
        <w:left w:val="none" w:sz="0" w:space="0" w:color="auto"/>
        <w:bottom w:val="none" w:sz="0" w:space="0" w:color="auto"/>
        <w:right w:val="none" w:sz="0" w:space="0" w:color="auto"/>
      </w:divBdr>
    </w:div>
    <w:div w:id="2077164149">
      <w:bodyDiv w:val="1"/>
      <w:marLeft w:val="0"/>
      <w:marRight w:val="0"/>
      <w:marTop w:val="0"/>
      <w:marBottom w:val="0"/>
      <w:divBdr>
        <w:top w:val="none" w:sz="0" w:space="0" w:color="auto"/>
        <w:left w:val="none" w:sz="0" w:space="0" w:color="auto"/>
        <w:bottom w:val="none" w:sz="0" w:space="0" w:color="auto"/>
        <w:right w:val="none" w:sz="0" w:space="0" w:color="auto"/>
      </w:divBdr>
    </w:div>
    <w:div w:id="2078476917">
      <w:bodyDiv w:val="1"/>
      <w:marLeft w:val="0"/>
      <w:marRight w:val="0"/>
      <w:marTop w:val="0"/>
      <w:marBottom w:val="0"/>
      <w:divBdr>
        <w:top w:val="none" w:sz="0" w:space="0" w:color="auto"/>
        <w:left w:val="none" w:sz="0" w:space="0" w:color="auto"/>
        <w:bottom w:val="none" w:sz="0" w:space="0" w:color="auto"/>
        <w:right w:val="none" w:sz="0" w:space="0" w:color="auto"/>
      </w:divBdr>
    </w:div>
    <w:div w:id="2079669181">
      <w:bodyDiv w:val="1"/>
      <w:marLeft w:val="0"/>
      <w:marRight w:val="0"/>
      <w:marTop w:val="0"/>
      <w:marBottom w:val="0"/>
      <w:divBdr>
        <w:top w:val="none" w:sz="0" w:space="0" w:color="auto"/>
        <w:left w:val="none" w:sz="0" w:space="0" w:color="auto"/>
        <w:bottom w:val="none" w:sz="0" w:space="0" w:color="auto"/>
        <w:right w:val="none" w:sz="0" w:space="0" w:color="auto"/>
      </w:divBdr>
      <w:divsChild>
        <w:div w:id="1457069455">
          <w:marLeft w:val="0"/>
          <w:marRight w:val="0"/>
          <w:marTop w:val="0"/>
          <w:marBottom w:val="0"/>
          <w:divBdr>
            <w:top w:val="none" w:sz="0" w:space="0" w:color="auto"/>
            <w:left w:val="none" w:sz="0" w:space="0" w:color="auto"/>
            <w:bottom w:val="none" w:sz="0" w:space="0" w:color="auto"/>
            <w:right w:val="none" w:sz="0" w:space="0" w:color="auto"/>
          </w:divBdr>
        </w:div>
      </w:divsChild>
    </w:div>
    <w:div w:id="2081097682">
      <w:bodyDiv w:val="1"/>
      <w:marLeft w:val="0"/>
      <w:marRight w:val="0"/>
      <w:marTop w:val="0"/>
      <w:marBottom w:val="0"/>
      <w:divBdr>
        <w:top w:val="none" w:sz="0" w:space="0" w:color="auto"/>
        <w:left w:val="none" w:sz="0" w:space="0" w:color="auto"/>
        <w:bottom w:val="none" w:sz="0" w:space="0" w:color="auto"/>
        <w:right w:val="none" w:sz="0" w:space="0" w:color="auto"/>
      </w:divBdr>
    </w:div>
    <w:div w:id="2086681379">
      <w:bodyDiv w:val="1"/>
      <w:marLeft w:val="0"/>
      <w:marRight w:val="0"/>
      <w:marTop w:val="0"/>
      <w:marBottom w:val="0"/>
      <w:divBdr>
        <w:top w:val="none" w:sz="0" w:space="0" w:color="auto"/>
        <w:left w:val="none" w:sz="0" w:space="0" w:color="auto"/>
        <w:bottom w:val="none" w:sz="0" w:space="0" w:color="auto"/>
        <w:right w:val="none" w:sz="0" w:space="0" w:color="auto"/>
      </w:divBdr>
    </w:div>
    <w:div w:id="2089308672">
      <w:bodyDiv w:val="1"/>
      <w:marLeft w:val="0"/>
      <w:marRight w:val="0"/>
      <w:marTop w:val="0"/>
      <w:marBottom w:val="0"/>
      <w:divBdr>
        <w:top w:val="none" w:sz="0" w:space="0" w:color="auto"/>
        <w:left w:val="none" w:sz="0" w:space="0" w:color="auto"/>
        <w:bottom w:val="none" w:sz="0" w:space="0" w:color="auto"/>
        <w:right w:val="none" w:sz="0" w:space="0" w:color="auto"/>
      </w:divBdr>
    </w:div>
    <w:div w:id="2094425923">
      <w:bodyDiv w:val="1"/>
      <w:marLeft w:val="0"/>
      <w:marRight w:val="0"/>
      <w:marTop w:val="0"/>
      <w:marBottom w:val="0"/>
      <w:divBdr>
        <w:top w:val="none" w:sz="0" w:space="0" w:color="auto"/>
        <w:left w:val="none" w:sz="0" w:space="0" w:color="auto"/>
        <w:bottom w:val="none" w:sz="0" w:space="0" w:color="auto"/>
        <w:right w:val="none" w:sz="0" w:space="0" w:color="auto"/>
      </w:divBdr>
    </w:div>
    <w:div w:id="2105806929">
      <w:bodyDiv w:val="1"/>
      <w:marLeft w:val="0"/>
      <w:marRight w:val="0"/>
      <w:marTop w:val="0"/>
      <w:marBottom w:val="0"/>
      <w:divBdr>
        <w:top w:val="none" w:sz="0" w:space="0" w:color="auto"/>
        <w:left w:val="none" w:sz="0" w:space="0" w:color="auto"/>
        <w:bottom w:val="none" w:sz="0" w:space="0" w:color="auto"/>
        <w:right w:val="none" w:sz="0" w:space="0" w:color="auto"/>
      </w:divBdr>
    </w:div>
    <w:div w:id="2115199727">
      <w:bodyDiv w:val="1"/>
      <w:marLeft w:val="0"/>
      <w:marRight w:val="0"/>
      <w:marTop w:val="0"/>
      <w:marBottom w:val="0"/>
      <w:divBdr>
        <w:top w:val="none" w:sz="0" w:space="0" w:color="auto"/>
        <w:left w:val="none" w:sz="0" w:space="0" w:color="auto"/>
        <w:bottom w:val="none" w:sz="0" w:space="0" w:color="auto"/>
        <w:right w:val="none" w:sz="0" w:space="0" w:color="auto"/>
      </w:divBdr>
    </w:div>
    <w:div w:id="2120025403">
      <w:bodyDiv w:val="1"/>
      <w:marLeft w:val="0"/>
      <w:marRight w:val="0"/>
      <w:marTop w:val="0"/>
      <w:marBottom w:val="0"/>
      <w:divBdr>
        <w:top w:val="none" w:sz="0" w:space="0" w:color="auto"/>
        <w:left w:val="none" w:sz="0" w:space="0" w:color="auto"/>
        <w:bottom w:val="none" w:sz="0" w:space="0" w:color="auto"/>
        <w:right w:val="none" w:sz="0" w:space="0" w:color="auto"/>
      </w:divBdr>
    </w:div>
    <w:div w:id="2127038660">
      <w:bodyDiv w:val="1"/>
      <w:marLeft w:val="0"/>
      <w:marRight w:val="0"/>
      <w:marTop w:val="0"/>
      <w:marBottom w:val="0"/>
      <w:divBdr>
        <w:top w:val="none" w:sz="0" w:space="0" w:color="auto"/>
        <w:left w:val="none" w:sz="0" w:space="0" w:color="auto"/>
        <w:bottom w:val="none" w:sz="0" w:space="0" w:color="auto"/>
        <w:right w:val="none" w:sz="0" w:space="0" w:color="auto"/>
      </w:divBdr>
    </w:div>
    <w:div w:id="2134982045">
      <w:bodyDiv w:val="1"/>
      <w:marLeft w:val="0"/>
      <w:marRight w:val="0"/>
      <w:marTop w:val="0"/>
      <w:marBottom w:val="0"/>
      <w:divBdr>
        <w:top w:val="none" w:sz="0" w:space="0" w:color="auto"/>
        <w:left w:val="none" w:sz="0" w:space="0" w:color="auto"/>
        <w:bottom w:val="none" w:sz="0" w:space="0" w:color="auto"/>
        <w:right w:val="none" w:sz="0" w:space="0" w:color="auto"/>
      </w:divBdr>
    </w:div>
    <w:div w:id="2135783064">
      <w:bodyDiv w:val="1"/>
      <w:marLeft w:val="0"/>
      <w:marRight w:val="0"/>
      <w:marTop w:val="0"/>
      <w:marBottom w:val="0"/>
      <w:divBdr>
        <w:top w:val="none" w:sz="0" w:space="0" w:color="auto"/>
        <w:left w:val="none" w:sz="0" w:space="0" w:color="auto"/>
        <w:bottom w:val="none" w:sz="0" w:space="0" w:color="auto"/>
        <w:right w:val="none" w:sz="0" w:space="0" w:color="auto"/>
      </w:divBdr>
    </w:div>
    <w:div w:id="2135824570">
      <w:bodyDiv w:val="1"/>
      <w:marLeft w:val="0"/>
      <w:marRight w:val="0"/>
      <w:marTop w:val="0"/>
      <w:marBottom w:val="0"/>
      <w:divBdr>
        <w:top w:val="none" w:sz="0" w:space="0" w:color="auto"/>
        <w:left w:val="none" w:sz="0" w:space="0" w:color="auto"/>
        <w:bottom w:val="none" w:sz="0" w:space="0" w:color="auto"/>
        <w:right w:val="none" w:sz="0" w:space="0" w:color="auto"/>
      </w:divBdr>
    </w:div>
    <w:div w:id="2136411639">
      <w:bodyDiv w:val="1"/>
      <w:marLeft w:val="0"/>
      <w:marRight w:val="0"/>
      <w:marTop w:val="0"/>
      <w:marBottom w:val="0"/>
      <w:divBdr>
        <w:top w:val="none" w:sz="0" w:space="0" w:color="auto"/>
        <w:left w:val="none" w:sz="0" w:space="0" w:color="auto"/>
        <w:bottom w:val="none" w:sz="0" w:space="0" w:color="auto"/>
        <w:right w:val="none" w:sz="0" w:space="0" w:color="auto"/>
      </w:divBdr>
    </w:div>
    <w:div w:id="2143963424">
      <w:bodyDiv w:val="1"/>
      <w:marLeft w:val="0"/>
      <w:marRight w:val="0"/>
      <w:marTop w:val="0"/>
      <w:marBottom w:val="0"/>
      <w:divBdr>
        <w:top w:val="none" w:sz="0" w:space="0" w:color="auto"/>
        <w:left w:val="none" w:sz="0" w:space="0" w:color="auto"/>
        <w:bottom w:val="none" w:sz="0" w:space="0" w:color="auto"/>
        <w:right w:val="none" w:sz="0" w:space="0" w:color="auto"/>
      </w:divBdr>
    </w:div>
    <w:div w:id="2146968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eader" Target="header2.xm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footer" Target="footer3.xml"/><Relationship Id="rId34"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mailto:Violeta.Leiva@unwomen.org" TargetMode="External"/><Relationship Id="rId25" Type="http://schemas.openxmlformats.org/officeDocument/2006/relationships/header" Target="head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2.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5.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oter" Target="footer4.xml"/><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image" Target="media/image5.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chart" Target="charts/chart1.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weps.org"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12902ee40552bd6f/UN%20WOMEN/Ecuador/Inception%20Report/RMS%20Funding%20by%20Outcome%20and%20Outpu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Aptos Display" panose="020B0004020202020204" pitchFamily="34" charset="0"/>
                <a:ea typeface="+mn-ea"/>
                <a:cs typeface="+mn-cs"/>
              </a:defRPr>
            </a:pPr>
            <a:r>
              <a:rPr lang="en-US" sz="1200" b="1" i="0" u="none" strike="noStrike" baseline="0">
                <a:latin typeface="Aptos Display" panose="020B0004020202020204" pitchFamily="34" charset="0"/>
              </a:rPr>
              <a:t>Requisitos totales de recursos por producto de la Nota Estratégica (USD)</a:t>
            </a:r>
            <a:endParaRPr lang="en-US" sz="1200" b="1">
              <a:latin typeface="Aptos Display" panose="020B0004020202020204" pitchFamily="34" charset="0"/>
            </a:endParaRP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Aptos Display" panose="020B0004020202020204" pitchFamily="34" charset="0"/>
              <a:ea typeface="+mn-ea"/>
              <a:cs typeface="+mn-cs"/>
            </a:defRPr>
          </a:pPr>
          <a:endParaRPr lang="en-US"/>
        </a:p>
      </c:txPr>
    </c:title>
    <c:autoTitleDeleted val="0"/>
    <c:plotArea>
      <c:layout>
        <c:manualLayout>
          <c:layoutTarget val="inner"/>
          <c:xMode val="edge"/>
          <c:yMode val="edge"/>
          <c:x val="0.48800990923175575"/>
          <c:y val="0.2278160542432196"/>
          <c:w val="0.44147618876927175"/>
          <c:h val="0.6153546952464275"/>
        </c:manualLayout>
      </c:layout>
      <c:barChart>
        <c:barDir val="bar"/>
        <c:grouping val="stacked"/>
        <c:varyColors val="0"/>
        <c:ser>
          <c:idx val="0"/>
          <c:order val="0"/>
          <c:tx>
            <c:strRef>
              <c:f>Sheet1!$B$16</c:f>
              <c:strCache>
                <c:ptCount val="1"/>
                <c:pt idx="0">
                  <c:v>2023</c:v>
                </c:pt>
              </c:strCache>
            </c:strRef>
          </c:tx>
          <c:spPr>
            <a:solidFill>
              <a:schemeClr val="tx2">
                <a:lumMod val="75000"/>
                <a:lumOff val="25000"/>
              </a:schemeClr>
            </a:solidFill>
            <a:ln>
              <a:noFill/>
            </a:ln>
            <a:effectLst/>
          </c:spPr>
          <c:invertIfNegative val="0"/>
          <c:cat>
            <c:strRef>
              <c:f>Sheet1!$A$17:$A$24</c:f>
              <c:strCache>
                <c:ptCount val="8"/>
                <c:pt idx="0">
                  <c:v>1.1: Reconocimiento del trabajo de cuidados</c:v>
                </c:pt>
                <c:pt idx="1">
                  <c:v>1.2:  Acceso a derechos laborales</c:v>
                </c:pt>
                <c:pt idx="2">
                  <c:v>1.3: Financiamiento para sistemas de cuidado</c:v>
                </c:pt>
                <c:pt idx="3">
                  <c:v>1.4: Acceso a recursos productivos</c:v>
                </c:pt>
                <c:pt idx="4">
                  <c:v>2.1: Participación en la toma de decisiones</c:v>
                </c:pt>
                <c:pt idx="5">
                  <c:v>2.2: Sensibilización social sobre igualdad de género</c:v>
                </c:pt>
                <c:pt idx="6">
                  <c:v>2.3: Capacidades de funcionarios públicos para la EVAWG</c:v>
                </c:pt>
                <c:pt idx="7">
                  <c:v>2.4: Mecanismos locales para la EVAWG</c:v>
                </c:pt>
              </c:strCache>
            </c:strRef>
          </c:cat>
          <c:val>
            <c:numRef>
              <c:f>Sheet1!$B$17:$B$24</c:f>
              <c:numCache>
                <c:formatCode>_("$"* #,##0_);_("$"* \(#,##0\);_("$"* "-"??_);_(@_)</c:formatCode>
                <c:ptCount val="8"/>
                <c:pt idx="0">
                  <c:v>484264</c:v>
                </c:pt>
                <c:pt idx="1">
                  <c:v>121445</c:v>
                </c:pt>
                <c:pt idx="2">
                  <c:v>98000</c:v>
                </c:pt>
                <c:pt idx="3">
                  <c:v>658213</c:v>
                </c:pt>
                <c:pt idx="4">
                  <c:v>360747</c:v>
                </c:pt>
                <c:pt idx="5">
                  <c:v>234295</c:v>
                </c:pt>
                <c:pt idx="6">
                  <c:v>326751</c:v>
                </c:pt>
                <c:pt idx="7">
                  <c:v>1135733</c:v>
                </c:pt>
              </c:numCache>
            </c:numRef>
          </c:val>
          <c:extLst>
            <c:ext xmlns:c16="http://schemas.microsoft.com/office/drawing/2014/chart" uri="{C3380CC4-5D6E-409C-BE32-E72D297353CC}">
              <c16:uniqueId val="{00000000-72E2-4926-845C-870E4E24ABBD}"/>
            </c:ext>
          </c:extLst>
        </c:ser>
        <c:ser>
          <c:idx val="1"/>
          <c:order val="1"/>
          <c:tx>
            <c:strRef>
              <c:f>Sheet1!$C$16</c:f>
              <c:strCache>
                <c:ptCount val="1"/>
                <c:pt idx="0">
                  <c:v>2024</c:v>
                </c:pt>
              </c:strCache>
            </c:strRef>
          </c:tx>
          <c:spPr>
            <a:solidFill>
              <a:schemeClr val="tx2">
                <a:lumMod val="50000"/>
                <a:lumOff val="50000"/>
              </a:schemeClr>
            </a:solidFill>
            <a:ln>
              <a:noFill/>
            </a:ln>
            <a:effectLst/>
          </c:spPr>
          <c:invertIfNegative val="0"/>
          <c:cat>
            <c:strRef>
              <c:f>Sheet1!$A$17:$A$24</c:f>
              <c:strCache>
                <c:ptCount val="8"/>
                <c:pt idx="0">
                  <c:v>1.1: Reconocimiento del trabajo de cuidados</c:v>
                </c:pt>
                <c:pt idx="1">
                  <c:v>1.2:  Acceso a derechos laborales</c:v>
                </c:pt>
                <c:pt idx="2">
                  <c:v>1.3: Financiamiento para sistemas de cuidado</c:v>
                </c:pt>
                <c:pt idx="3">
                  <c:v>1.4: Acceso a recursos productivos</c:v>
                </c:pt>
                <c:pt idx="4">
                  <c:v>2.1: Participación en la toma de decisiones</c:v>
                </c:pt>
                <c:pt idx="5">
                  <c:v>2.2: Sensibilización social sobre igualdad de género</c:v>
                </c:pt>
                <c:pt idx="6">
                  <c:v>2.3: Capacidades de funcionarios públicos para la EVAWG</c:v>
                </c:pt>
                <c:pt idx="7">
                  <c:v>2.4: Mecanismos locales para la EVAWG</c:v>
                </c:pt>
              </c:strCache>
            </c:strRef>
          </c:cat>
          <c:val>
            <c:numRef>
              <c:f>Sheet1!$C$17:$C$24</c:f>
              <c:numCache>
                <c:formatCode>_("$"* #,##0_);_("$"* \(#,##0\);_("$"* "-"??_);_(@_)</c:formatCode>
                <c:ptCount val="8"/>
                <c:pt idx="0">
                  <c:v>798158</c:v>
                </c:pt>
                <c:pt idx="1">
                  <c:v>388000</c:v>
                </c:pt>
                <c:pt idx="2">
                  <c:v>137000</c:v>
                </c:pt>
                <c:pt idx="3">
                  <c:v>1051696</c:v>
                </c:pt>
                <c:pt idx="4">
                  <c:v>915390</c:v>
                </c:pt>
                <c:pt idx="5">
                  <c:v>230046</c:v>
                </c:pt>
                <c:pt idx="6">
                  <c:v>2001951</c:v>
                </c:pt>
                <c:pt idx="7">
                  <c:v>1227409</c:v>
                </c:pt>
              </c:numCache>
            </c:numRef>
          </c:val>
          <c:extLst>
            <c:ext xmlns:c16="http://schemas.microsoft.com/office/drawing/2014/chart" uri="{C3380CC4-5D6E-409C-BE32-E72D297353CC}">
              <c16:uniqueId val="{00000001-72E2-4926-845C-870E4E24ABBD}"/>
            </c:ext>
          </c:extLst>
        </c:ser>
        <c:ser>
          <c:idx val="2"/>
          <c:order val="2"/>
          <c:tx>
            <c:strRef>
              <c:f>Sheet1!$D$16</c:f>
              <c:strCache>
                <c:ptCount val="1"/>
                <c:pt idx="0">
                  <c:v>2025</c:v>
                </c:pt>
              </c:strCache>
            </c:strRef>
          </c:tx>
          <c:spPr>
            <a:solidFill>
              <a:schemeClr val="tx2">
                <a:lumMod val="25000"/>
                <a:lumOff val="75000"/>
              </a:schemeClr>
            </a:solidFill>
            <a:ln>
              <a:noFill/>
            </a:ln>
            <a:effectLst/>
          </c:spPr>
          <c:invertIfNegative val="0"/>
          <c:cat>
            <c:strRef>
              <c:f>Sheet1!$A$17:$A$24</c:f>
              <c:strCache>
                <c:ptCount val="8"/>
                <c:pt idx="0">
                  <c:v>1.1: Reconocimiento del trabajo de cuidados</c:v>
                </c:pt>
                <c:pt idx="1">
                  <c:v>1.2:  Acceso a derechos laborales</c:v>
                </c:pt>
                <c:pt idx="2">
                  <c:v>1.3: Financiamiento para sistemas de cuidado</c:v>
                </c:pt>
                <c:pt idx="3">
                  <c:v>1.4: Acceso a recursos productivos</c:v>
                </c:pt>
                <c:pt idx="4">
                  <c:v>2.1: Participación en la toma de decisiones</c:v>
                </c:pt>
                <c:pt idx="5">
                  <c:v>2.2: Sensibilización social sobre igualdad de género</c:v>
                </c:pt>
                <c:pt idx="6">
                  <c:v>2.3: Capacidades de funcionarios públicos para la EVAWG</c:v>
                </c:pt>
                <c:pt idx="7">
                  <c:v>2.4: Mecanismos locales para la EVAWG</c:v>
                </c:pt>
              </c:strCache>
            </c:strRef>
          </c:cat>
          <c:val>
            <c:numRef>
              <c:f>Sheet1!$D$17:$D$24</c:f>
              <c:numCache>
                <c:formatCode>_("$"* #,##0_);_("$"* \(#,##0\);_("$"* "-"??_);_(@_)</c:formatCode>
                <c:ptCount val="8"/>
                <c:pt idx="0">
                  <c:v>687453</c:v>
                </c:pt>
                <c:pt idx="1">
                  <c:v>68000</c:v>
                </c:pt>
                <c:pt idx="2">
                  <c:v>20000</c:v>
                </c:pt>
                <c:pt idx="3">
                  <c:v>643122</c:v>
                </c:pt>
                <c:pt idx="4">
                  <c:v>652837</c:v>
                </c:pt>
                <c:pt idx="5">
                  <c:v>169204</c:v>
                </c:pt>
                <c:pt idx="6">
                  <c:v>554655</c:v>
                </c:pt>
                <c:pt idx="7">
                  <c:v>238246</c:v>
                </c:pt>
              </c:numCache>
            </c:numRef>
          </c:val>
          <c:extLst>
            <c:ext xmlns:c16="http://schemas.microsoft.com/office/drawing/2014/chart" uri="{C3380CC4-5D6E-409C-BE32-E72D297353CC}">
              <c16:uniqueId val="{00000002-72E2-4926-845C-870E4E24ABBD}"/>
            </c:ext>
          </c:extLst>
        </c:ser>
        <c:dLbls>
          <c:showLegendKey val="0"/>
          <c:showVal val="0"/>
          <c:showCatName val="0"/>
          <c:showSerName val="0"/>
          <c:showPercent val="0"/>
          <c:showBubbleSize val="0"/>
        </c:dLbls>
        <c:gapWidth val="150"/>
        <c:overlap val="100"/>
        <c:axId val="347473856"/>
        <c:axId val="347465216"/>
      </c:barChart>
      <c:catAx>
        <c:axId val="347473856"/>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ptos Display" panose="020B0004020202020204" pitchFamily="34" charset="0"/>
                <a:ea typeface="+mn-ea"/>
                <a:cs typeface="+mn-cs"/>
              </a:defRPr>
            </a:pPr>
            <a:endParaRPr lang="en-US"/>
          </a:p>
        </c:txPr>
        <c:crossAx val="347465216"/>
        <c:crosses val="autoZero"/>
        <c:auto val="1"/>
        <c:lblAlgn val="ctr"/>
        <c:lblOffset val="100"/>
        <c:noMultiLvlLbl val="0"/>
      </c:catAx>
      <c:valAx>
        <c:axId val="347465216"/>
        <c:scaling>
          <c:orientation val="minMax"/>
          <c:max val="3500000"/>
          <c:min val="0"/>
        </c:scaling>
        <c:delete val="0"/>
        <c:axPos val="t"/>
        <c:majorGridlines>
          <c:spPr>
            <a:ln w="9525" cap="flat" cmpd="sng" algn="ctr">
              <a:solidFill>
                <a:schemeClr val="tx1">
                  <a:lumMod val="15000"/>
                  <a:lumOff val="85000"/>
                </a:schemeClr>
              </a:solidFill>
              <a:round/>
            </a:ln>
            <a:effectLst/>
          </c:spPr>
        </c:majorGridlines>
        <c:numFmt formatCode="_(&quot;$&quot;* #,##0_);_(&quot;$&quot;* \(#,##0\);_(&quot;$&quot;*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3474738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900">
          <a:solidFill>
            <a:sysClr val="windowText" lastClr="000000"/>
          </a:solidFill>
          <a:latin typeface="+mn-lt"/>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ocumenttasks/documenttasks1.xml><?xml version="1.0" encoding="utf-8"?>
<t:Tasks xmlns:t="http://schemas.microsoft.com/office/tasks/2019/documenttasks" xmlns:oel="http://schemas.microsoft.com/office/2019/extlst">
  <t:Task id="{05F0A5D7-DB7D-4116-B1B7-B7F6199C9722}">
    <t:Anchor>
      <t:Comment id="1774655529"/>
    </t:Anchor>
    <t:History>
      <t:Event id="{EB1B2060-BE31-4E83-8040-34D08A374E2B}" time="2022-09-22T11:49:58.074Z">
        <t:Attribution userId="S::susannelararose.turr@unwomen.org::3c7713c1-2e1f-435c-a399-5964d941213b" userProvider="AD" userName="Susanne Lara Rose Turrall"/>
        <t:Anchor>
          <t:Comment id="1774655529"/>
        </t:Anchor>
        <t:Create/>
      </t:Event>
      <t:Event id="{8305D7EB-75E5-4AF3-B83A-F0601D1BB020}" time="2022-09-22T11:49:58.074Z">
        <t:Attribution userId="S::susannelararose.turr@unwomen.org::3c7713c1-2e1f-435c-a399-5964d941213b" userProvider="AD" userName="Susanne Lara Rose Turrall"/>
        <t:Anchor>
          <t:Comment id="1774655529"/>
        </t:Anchor>
        <t:Assign userId="S::tara.kaul@unwomen.org::33e2e723-23ce-4992-b991-93fb25eee725" userProvider="AD" userName="Tara Kaul"/>
      </t:Event>
      <t:Event id="{42F49085-23CF-43A4-AA13-14E7E20EB9D0}" time="2022-09-22T11:49:58.074Z">
        <t:Attribution userId="S::susannelararose.turr@unwomen.org::3c7713c1-2e1f-435c-a399-5964d941213b" userProvider="AD" userName="Susanne Lara Rose Turrall"/>
        <t:Anchor>
          <t:Comment id="1774655529"/>
        </t:Anchor>
        <t:SetTitle title="@Tara Kaul I have updated the table based on progress and a conversation with the team. Rather than including the programme names, I have only included the subthematic areas because (1) it gives a good idea of the coverage of themes, 2) we do not have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8E05047839ED4FA61F2C4E7FCD8D18" ma:contentTypeVersion="15" ma:contentTypeDescription="Create a new document." ma:contentTypeScope="" ma:versionID="cc466868e9f8b239bbf3d66634ab9ab4">
  <xsd:schema xmlns:xsd="http://www.w3.org/2001/XMLSchema" xmlns:xs="http://www.w3.org/2001/XMLSchema" xmlns:p="http://schemas.microsoft.com/office/2006/metadata/properties" xmlns:ns2="7d133d64-f4d7-4574-9b05-95ee7fe556ef" xmlns:ns3="d70182ce-1e0a-4d3c-8262-6b30d2d7fc96" targetNamespace="http://schemas.microsoft.com/office/2006/metadata/properties" ma:root="true" ma:fieldsID="cc270fffce1d32e59b4ed61aebc29ac2" ns2:_="" ns3:_="">
    <xsd:import namespace="7d133d64-f4d7-4574-9b05-95ee7fe556ef"/>
    <xsd:import namespace="d70182ce-1e0a-4d3c-8262-6b30d2d7fc96"/>
    <xsd:element name="properties">
      <xsd:complexType>
        <xsd:sequence>
          <xsd:element name="documentManagement">
            <xsd:complexType>
              <xsd:all>
                <xsd:element ref="ns2:Note" minOccurs="0"/>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133d64-f4d7-4574-9b05-95ee7fe556ef" elementFormDefault="qualified">
    <xsd:import namespace="http://schemas.microsoft.com/office/2006/documentManagement/types"/>
    <xsd:import namespace="http://schemas.microsoft.com/office/infopath/2007/PartnerControls"/>
    <xsd:element name="Note" ma:index="8" nillable="true" ma:displayName="Note" ma:internalName="Note">
      <xsd:simpleType>
        <xsd:restriction base="dms:Text">
          <xsd:maxLength value="255"/>
        </xsd:restriction>
      </xsd:simpleType>
    </xsd:element>
    <xsd:element name="lcf76f155ced4ddcb4097134ff3c332f" ma:index="10" nillable="true" ma:taxonomy="true" ma:internalName="lcf76f155ced4ddcb4097134ff3c332f" ma:taxonomyFieldName="MediaServiceImageTags" ma:displayName="Image Tags" ma:readOnly="false" ma:fieldId="{5cf76f15-5ced-4ddc-b409-7134ff3c332f}" ma:taxonomyMulti="true" ma:sspId="3c250d15-9240-48a2-bed8-252fb13a1443" ma:termSetId="09814cd3-568e-fe90-9814-8d621ff8fb84" ma:anchorId="fba54fb3-c3e1-fe81-a776-ca4b69148c4d" ma:open="true" ma:isKeyword="false">
      <xsd:complexType>
        <xsd:sequence>
          <xsd:element ref="pc:Terms" minOccurs="0" maxOccurs="1"/>
        </xsd:sequence>
      </xsd:complex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0182ce-1e0a-4d3c-8262-6b30d2d7fc96"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2d5503e9-c2f6-45a8-a980-2fc8e7a50e5b}" ma:internalName="TaxCatchAll" ma:showField="CatchAllData" ma:web="d70182ce-1e0a-4d3c-8262-6b30d2d7fc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d133d64-f4d7-4574-9b05-95ee7fe556ef">
      <Terms xmlns="http://schemas.microsoft.com/office/infopath/2007/PartnerControls"/>
    </lcf76f155ced4ddcb4097134ff3c332f>
    <TaxCatchAll xmlns="d70182ce-1e0a-4d3c-8262-6b30d2d7fc96" xsi:nil="true"/>
    <Note xmlns="7d133d64-f4d7-4574-9b05-95ee7fe556e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CD0B4-6854-443C-8472-74CB976EA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133d64-f4d7-4574-9b05-95ee7fe556ef"/>
    <ds:schemaRef ds:uri="d70182ce-1e0a-4d3c-8262-6b30d2d7fc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B31C00-B521-4BC6-AE5C-EEE86891BFF6}">
  <ds:schemaRefs>
    <ds:schemaRef ds:uri="http://schemas.microsoft.com/sharepoint/v3/contenttype/forms"/>
  </ds:schemaRefs>
</ds:datastoreItem>
</file>

<file path=customXml/itemProps3.xml><?xml version="1.0" encoding="utf-8"?>
<ds:datastoreItem xmlns:ds="http://schemas.openxmlformats.org/officeDocument/2006/customXml" ds:itemID="{5AE9C429-6F3C-43A4-8FDF-D23B88EDF573}">
  <ds:schemaRefs>
    <ds:schemaRef ds:uri="http://schemas.microsoft.com/office/2006/metadata/properties"/>
    <ds:schemaRef ds:uri="http://schemas.microsoft.com/office/infopath/2007/PartnerControls"/>
    <ds:schemaRef ds:uri="7d133d64-f4d7-4574-9b05-95ee7fe556ef"/>
    <ds:schemaRef ds:uri="d70182ce-1e0a-4d3c-8262-6b30d2d7fc96"/>
  </ds:schemaRefs>
</ds:datastoreItem>
</file>

<file path=customXml/itemProps4.xml><?xml version="1.0" encoding="utf-8"?>
<ds:datastoreItem xmlns:ds="http://schemas.openxmlformats.org/officeDocument/2006/customXml" ds:itemID="{1103DA95-B8FB-4873-9BCB-30232C054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46</Pages>
  <Words>23214</Words>
  <Characters>132326</Characters>
  <Application>Microsoft Office Word</Application>
  <DocSecurity>0</DocSecurity>
  <Lines>1102</Lines>
  <Paragraphs>310</Paragraphs>
  <ScaleCrop>false</ScaleCrop>
  <Company/>
  <LinksUpToDate>false</LinksUpToDate>
  <CharactersWithSpaces>155230</CharactersWithSpaces>
  <SharedDoc>false</SharedDoc>
  <HLinks>
    <vt:vector size="228" baseType="variant">
      <vt:variant>
        <vt:i4>1638450</vt:i4>
      </vt:variant>
      <vt:variant>
        <vt:i4>185</vt:i4>
      </vt:variant>
      <vt:variant>
        <vt:i4>0</vt:i4>
      </vt:variant>
      <vt:variant>
        <vt:i4>5</vt:i4>
      </vt:variant>
      <vt:variant>
        <vt:lpwstr/>
      </vt:variant>
      <vt:variant>
        <vt:lpwstr>_Toc233830055</vt:lpwstr>
      </vt:variant>
      <vt:variant>
        <vt:i4>1638450</vt:i4>
      </vt:variant>
      <vt:variant>
        <vt:i4>179</vt:i4>
      </vt:variant>
      <vt:variant>
        <vt:i4>0</vt:i4>
      </vt:variant>
      <vt:variant>
        <vt:i4>5</vt:i4>
      </vt:variant>
      <vt:variant>
        <vt:lpwstr/>
      </vt:variant>
      <vt:variant>
        <vt:lpwstr>_Toc233830054</vt:lpwstr>
      </vt:variant>
      <vt:variant>
        <vt:i4>1638450</vt:i4>
      </vt:variant>
      <vt:variant>
        <vt:i4>173</vt:i4>
      </vt:variant>
      <vt:variant>
        <vt:i4>0</vt:i4>
      </vt:variant>
      <vt:variant>
        <vt:i4>5</vt:i4>
      </vt:variant>
      <vt:variant>
        <vt:lpwstr/>
      </vt:variant>
      <vt:variant>
        <vt:lpwstr>_Toc233830053</vt:lpwstr>
      </vt:variant>
      <vt:variant>
        <vt:i4>1638450</vt:i4>
      </vt:variant>
      <vt:variant>
        <vt:i4>167</vt:i4>
      </vt:variant>
      <vt:variant>
        <vt:i4>0</vt:i4>
      </vt:variant>
      <vt:variant>
        <vt:i4>5</vt:i4>
      </vt:variant>
      <vt:variant>
        <vt:lpwstr/>
      </vt:variant>
      <vt:variant>
        <vt:lpwstr>_Toc233830052</vt:lpwstr>
      </vt:variant>
      <vt:variant>
        <vt:i4>1638450</vt:i4>
      </vt:variant>
      <vt:variant>
        <vt:i4>161</vt:i4>
      </vt:variant>
      <vt:variant>
        <vt:i4>0</vt:i4>
      </vt:variant>
      <vt:variant>
        <vt:i4>5</vt:i4>
      </vt:variant>
      <vt:variant>
        <vt:lpwstr/>
      </vt:variant>
      <vt:variant>
        <vt:lpwstr>_Toc233830051</vt:lpwstr>
      </vt:variant>
      <vt:variant>
        <vt:i4>1638450</vt:i4>
      </vt:variant>
      <vt:variant>
        <vt:i4>155</vt:i4>
      </vt:variant>
      <vt:variant>
        <vt:i4>0</vt:i4>
      </vt:variant>
      <vt:variant>
        <vt:i4>5</vt:i4>
      </vt:variant>
      <vt:variant>
        <vt:lpwstr/>
      </vt:variant>
      <vt:variant>
        <vt:lpwstr>_Toc233830050</vt:lpwstr>
      </vt:variant>
      <vt:variant>
        <vt:i4>1572914</vt:i4>
      </vt:variant>
      <vt:variant>
        <vt:i4>149</vt:i4>
      </vt:variant>
      <vt:variant>
        <vt:i4>0</vt:i4>
      </vt:variant>
      <vt:variant>
        <vt:i4>5</vt:i4>
      </vt:variant>
      <vt:variant>
        <vt:lpwstr/>
      </vt:variant>
      <vt:variant>
        <vt:lpwstr>_Toc233830049</vt:lpwstr>
      </vt:variant>
      <vt:variant>
        <vt:i4>1572914</vt:i4>
      </vt:variant>
      <vt:variant>
        <vt:i4>143</vt:i4>
      </vt:variant>
      <vt:variant>
        <vt:i4>0</vt:i4>
      </vt:variant>
      <vt:variant>
        <vt:i4>5</vt:i4>
      </vt:variant>
      <vt:variant>
        <vt:lpwstr/>
      </vt:variant>
      <vt:variant>
        <vt:lpwstr>_Toc233830048</vt:lpwstr>
      </vt:variant>
      <vt:variant>
        <vt:i4>1572914</vt:i4>
      </vt:variant>
      <vt:variant>
        <vt:i4>137</vt:i4>
      </vt:variant>
      <vt:variant>
        <vt:i4>0</vt:i4>
      </vt:variant>
      <vt:variant>
        <vt:i4>5</vt:i4>
      </vt:variant>
      <vt:variant>
        <vt:lpwstr/>
      </vt:variant>
      <vt:variant>
        <vt:lpwstr>_Toc233830047</vt:lpwstr>
      </vt:variant>
      <vt:variant>
        <vt:i4>1572914</vt:i4>
      </vt:variant>
      <vt:variant>
        <vt:i4>131</vt:i4>
      </vt:variant>
      <vt:variant>
        <vt:i4>0</vt:i4>
      </vt:variant>
      <vt:variant>
        <vt:i4>5</vt:i4>
      </vt:variant>
      <vt:variant>
        <vt:lpwstr/>
      </vt:variant>
      <vt:variant>
        <vt:lpwstr>_Toc233830046</vt:lpwstr>
      </vt:variant>
      <vt:variant>
        <vt:i4>1572914</vt:i4>
      </vt:variant>
      <vt:variant>
        <vt:i4>125</vt:i4>
      </vt:variant>
      <vt:variant>
        <vt:i4>0</vt:i4>
      </vt:variant>
      <vt:variant>
        <vt:i4>5</vt:i4>
      </vt:variant>
      <vt:variant>
        <vt:lpwstr/>
      </vt:variant>
      <vt:variant>
        <vt:lpwstr>_Toc233830045</vt:lpwstr>
      </vt:variant>
      <vt:variant>
        <vt:i4>1572914</vt:i4>
      </vt:variant>
      <vt:variant>
        <vt:i4>119</vt:i4>
      </vt:variant>
      <vt:variant>
        <vt:i4>0</vt:i4>
      </vt:variant>
      <vt:variant>
        <vt:i4>5</vt:i4>
      </vt:variant>
      <vt:variant>
        <vt:lpwstr/>
      </vt:variant>
      <vt:variant>
        <vt:lpwstr>_Toc233830044</vt:lpwstr>
      </vt:variant>
      <vt:variant>
        <vt:i4>1572914</vt:i4>
      </vt:variant>
      <vt:variant>
        <vt:i4>113</vt:i4>
      </vt:variant>
      <vt:variant>
        <vt:i4>0</vt:i4>
      </vt:variant>
      <vt:variant>
        <vt:i4>5</vt:i4>
      </vt:variant>
      <vt:variant>
        <vt:lpwstr/>
      </vt:variant>
      <vt:variant>
        <vt:lpwstr>_Toc233830043</vt:lpwstr>
      </vt:variant>
      <vt:variant>
        <vt:i4>1572914</vt:i4>
      </vt:variant>
      <vt:variant>
        <vt:i4>107</vt:i4>
      </vt:variant>
      <vt:variant>
        <vt:i4>0</vt:i4>
      </vt:variant>
      <vt:variant>
        <vt:i4>5</vt:i4>
      </vt:variant>
      <vt:variant>
        <vt:lpwstr/>
      </vt:variant>
      <vt:variant>
        <vt:lpwstr>_Toc233830042</vt:lpwstr>
      </vt:variant>
      <vt:variant>
        <vt:i4>1572914</vt:i4>
      </vt:variant>
      <vt:variant>
        <vt:i4>101</vt:i4>
      </vt:variant>
      <vt:variant>
        <vt:i4>0</vt:i4>
      </vt:variant>
      <vt:variant>
        <vt:i4>5</vt:i4>
      </vt:variant>
      <vt:variant>
        <vt:lpwstr/>
      </vt:variant>
      <vt:variant>
        <vt:lpwstr>_Toc233830041</vt:lpwstr>
      </vt:variant>
      <vt:variant>
        <vt:i4>1572914</vt:i4>
      </vt:variant>
      <vt:variant>
        <vt:i4>95</vt:i4>
      </vt:variant>
      <vt:variant>
        <vt:i4>0</vt:i4>
      </vt:variant>
      <vt:variant>
        <vt:i4>5</vt:i4>
      </vt:variant>
      <vt:variant>
        <vt:lpwstr/>
      </vt:variant>
      <vt:variant>
        <vt:lpwstr>_Toc233830040</vt:lpwstr>
      </vt:variant>
      <vt:variant>
        <vt:i4>2031666</vt:i4>
      </vt:variant>
      <vt:variant>
        <vt:i4>89</vt:i4>
      </vt:variant>
      <vt:variant>
        <vt:i4>0</vt:i4>
      </vt:variant>
      <vt:variant>
        <vt:i4>5</vt:i4>
      </vt:variant>
      <vt:variant>
        <vt:lpwstr/>
      </vt:variant>
      <vt:variant>
        <vt:lpwstr>_Toc233830039</vt:lpwstr>
      </vt:variant>
      <vt:variant>
        <vt:i4>2031666</vt:i4>
      </vt:variant>
      <vt:variant>
        <vt:i4>83</vt:i4>
      </vt:variant>
      <vt:variant>
        <vt:i4>0</vt:i4>
      </vt:variant>
      <vt:variant>
        <vt:i4>5</vt:i4>
      </vt:variant>
      <vt:variant>
        <vt:lpwstr/>
      </vt:variant>
      <vt:variant>
        <vt:lpwstr>_Toc233830038</vt:lpwstr>
      </vt:variant>
      <vt:variant>
        <vt:i4>2031666</vt:i4>
      </vt:variant>
      <vt:variant>
        <vt:i4>77</vt:i4>
      </vt:variant>
      <vt:variant>
        <vt:i4>0</vt:i4>
      </vt:variant>
      <vt:variant>
        <vt:i4>5</vt:i4>
      </vt:variant>
      <vt:variant>
        <vt:lpwstr/>
      </vt:variant>
      <vt:variant>
        <vt:lpwstr>_Toc233830037</vt:lpwstr>
      </vt:variant>
      <vt:variant>
        <vt:i4>2031666</vt:i4>
      </vt:variant>
      <vt:variant>
        <vt:i4>71</vt:i4>
      </vt:variant>
      <vt:variant>
        <vt:i4>0</vt:i4>
      </vt:variant>
      <vt:variant>
        <vt:i4>5</vt:i4>
      </vt:variant>
      <vt:variant>
        <vt:lpwstr/>
      </vt:variant>
      <vt:variant>
        <vt:lpwstr>_Toc233830036</vt:lpwstr>
      </vt:variant>
      <vt:variant>
        <vt:i4>2031666</vt:i4>
      </vt:variant>
      <vt:variant>
        <vt:i4>65</vt:i4>
      </vt:variant>
      <vt:variant>
        <vt:i4>0</vt:i4>
      </vt:variant>
      <vt:variant>
        <vt:i4>5</vt:i4>
      </vt:variant>
      <vt:variant>
        <vt:lpwstr/>
      </vt:variant>
      <vt:variant>
        <vt:lpwstr>_Toc233830035</vt:lpwstr>
      </vt:variant>
      <vt:variant>
        <vt:i4>2031666</vt:i4>
      </vt:variant>
      <vt:variant>
        <vt:i4>59</vt:i4>
      </vt:variant>
      <vt:variant>
        <vt:i4>0</vt:i4>
      </vt:variant>
      <vt:variant>
        <vt:i4>5</vt:i4>
      </vt:variant>
      <vt:variant>
        <vt:lpwstr/>
      </vt:variant>
      <vt:variant>
        <vt:lpwstr>_Toc233830034</vt:lpwstr>
      </vt:variant>
      <vt:variant>
        <vt:i4>2031666</vt:i4>
      </vt:variant>
      <vt:variant>
        <vt:i4>53</vt:i4>
      </vt:variant>
      <vt:variant>
        <vt:i4>0</vt:i4>
      </vt:variant>
      <vt:variant>
        <vt:i4>5</vt:i4>
      </vt:variant>
      <vt:variant>
        <vt:lpwstr/>
      </vt:variant>
      <vt:variant>
        <vt:lpwstr>_Toc233830033</vt:lpwstr>
      </vt:variant>
      <vt:variant>
        <vt:i4>2031666</vt:i4>
      </vt:variant>
      <vt:variant>
        <vt:i4>47</vt:i4>
      </vt:variant>
      <vt:variant>
        <vt:i4>0</vt:i4>
      </vt:variant>
      <vt:variant>
        <vt:i4>5</vt:i4>
      </vt:variant>
      <vt:variant>
        <vt:lpwstr/>
      </vt:variant>
      <vt:variant>
        <vt:lpwstr>_Toc233830032</vt:lpwstr>
      </vt:variant>
      <vt:variant>
        <vt:i4>2031666</vt:i4>
      </vt:variant>
      <vt:variant>
        <vt:i4>41</vt:i4>
      </vt:variant>
      <vt:variant>
        <vt:i4>0</vt:i4>
      </vt:variant>
      <vt:variant>
        <vt:i4>5</vt:i4>
      </vt:variant>
      <vt:variant>
        <vt:lpwstr/>
      </vt:variant>
      <vt:variant>
        <vt:lpwstr>_Toc233830031</vt:lpwstr>
      </vt:variant>
      <vt:variant>
        <vt:i4>2031666</vt:i4>
      </vt:variant>
      <vt:variant>
        <vt:i4>35</vt:i4>
      </vt:variant>
      <vt:variant>
        <vt:i4>0</vt:i4>
      </vt:variant>
      <vt:variant>
        <vt:i4>5</vt:i4>
      </vt:variant>
      <vt:variant>
        <vt:lpwstr/>
      </vt:variant>
      <vt:variant>
        <vt:lpwstr>_Toc233830030</vt:lpwstr>
      </vt:variant>
      <vt:variant>
        <vt:i4>1966130</vt:i4>
      </vt:variant>
      <vt:variant>
        <vt:i4>29</vt:i4>
      </vt:variant>
      <vt:variant>
        <vt:i4>0</vt:i4>
      </vt:variant>
      <vt:variant>
        <vt:i4>5</vt:i4>
      </vt:variant>
      <vt:variant>
        <vt:lpwstr/>
      </vt:variant>
      <vt:variant>
        <vt:lpwstr>_Toc233830029</vt:lpwstr>
      </vt:variant>
      <vt:variant>
        <vt:i4>1966130</vt:i4>
      </vt:variant>
      <vt:variant>
        <vt:i4>23</vt:i4>
      </vt:variant>
      <vt:variant>
        <vt:i4>0</vt:i4>
      </vt:variant>
      <vt:variant>
        <vt:i4>5</vt:i4>
      </vt:variant>
      <vt:variant>
        <vt:lpwstr/>
      </vt:variant>
      <vt:variant>
        <vt:lpwstr>_Toc233830028</vt:lpwstr>
      </vt:variant>
      <vt:variant>
        <vt:i4>1966130</vt:i4>
      </vt:variant>
      <vt:variant>
        <vt:i4>17</vt:i4>
      </vt:variant>
      <vt:variant>
        <vt:i4>0</vt:i4>
      </vt:variant>
      <vt:variant>
        <vt:i4>5</vt:i4>
      </vt:variant>
      <vt:variant>
        <vt:lpwstr/>
      </vt:variant>
      <vt:variant>
        <vt:lpwstr>_Toc233830027</vt:lpwstr>
      </vt:variant>
      <vt:variant>
        <vt:i4>1966130</vt:i4>
      </vt:variant>
      <vt:variant>
        <vt:i4>11</vt:i4>
      </vt:variant>
      <vt:variant>
        <vt:i4>0</vt:i4>
      </vt:variant>
      <vt:variant>
        <vt:i4>5</vt:i4>
      </vt:variant>
      <vt:variant>
        <vt:lpwstr/>
      </vt:variant>
      <vt:variant>
        <vt:lpwstr>_Toc233830026</vt:lpwstr>
      </vt:variant>
      <vt:variant>
        <vt:i4>1966130</vt:i4>
      </vt:variant>
      <vt:variant>
        <vt:i4>5</vt:i4>
      </vt:variant>
      <vt:variant>
        <vt:i4>0</vt:i4>
      </vt:variant>
      <vt:variant>
        <vt:i4>5</vt:i4>
      </vt:variant>
      <vt:variant>
        <vt:lpwstr/>
      </vt:variant>
      <vt:variant>
        <vt:lpwstr>_Toc233830025</vt:lpwstr>
      </vt:variant>
      <vt:variant>
        <vt:i4>1179774</vt:i4>
      </vt:variant>
      <vt:variant>
        <vt:i4>0</vt:i4>
      </vt:variant>
      <vt:variant>
        <vt:i4>0</vt:i4>
      </vt:variant>
      <vt:variant>
        <vt:i4>5</vt:i4>
      </vt:variant>
      <vt:variant>
        <vt:lpwstr>mailto:Violeta.Leiva@unwomen.org</vt:lpwstr>
      </vt:variant>
      <vt:variant>
        <vt:lpwstr/>
      </vt:variant>
      <vt:variant>
        <vt:i4>5636123</vt:i4>
      </vt:variant>
      <vt:variant>
        <vt:i4>15</vt:i4>
      </vt:variant>
      <vt:variant>
        <vt:i4>0</vt:i4>
      </vt:variant>
      <vt:variant>
        <vt:i4>5</vt:i4>
      </vt:variant>
      <vt:variant>
        <vt:lpwstr>https://www.weps.org/</vt:lpwstr>
      </vt:variant>
      <vt:variant>
        <vt:lpwstr/>
      </vt:variant>
      <vt:variant>
        <vt:i4>262237</vt:i4>
      </vt:variant>
      <vt:variant>
        <vt:i4>12</vt:i4>
      </vt:variant>
      <vt:variant>
        <vt:i4>0</vt:i4>
      </vt:variant>
      <vt:variant>
        <vt:i4>5</vt:i4>
      </vt:variant>
      <vt:variant>
        <vt:lpwstr>https://lac.unwomen.org/en/digital-library/publications/2023/06/evaluacion-de-portafolio-pais-de-onu-mujeres-ecuador</vt:lpwstr>
      </vt:variant>
      <vt:variant>
        <vt:lpwstr/>
      </vt:variant>
      <vt:variant>
        <vt:i4>2424944</vt:i4>
      </vt:variant>
      <vt:variant>
        <vt:i4>9</vt:i4>
      </vt:variant>
      <vt:variant>
        <vt:i4>0</vt:i4>
      </vt:variant>
      <vt:variant>
        <vt:i4>5</vt:i4>
      </vt:variant>
      <vt:variant>
        <vt:lpwstr>https://www.unwomen.org/sites/default/files/Headquarters/Attachments/Sections/Library/Publications/2015/UNWomen-Evaluation-Handbook-en.pdf</vt:lpwstr>
      </vt:variant>
      <vt:variant>
        <vt:lpwstr/>
      </vt:variant>
      <vt:variant>
        <vt:i4>589844</vt:i4>
      </vt:variant>
      <vt:variant>
        <vt:i4>6</vt:i4>
      </vt:variant>
      <vt:variant>
        <vt:i4>0</vt:i4>
      </vt:variant>
      <vt:variant>
        <vt:i4>5</vt:i4>
      </vt:variant>
      <vt:variant>
        <vt:lpwstr>https://www.unwomen.org/sites/default/files/2022-11/UN-Women-Evaluation-Policy-en.pdf</vt:lpwstr>
      </vt:variant>
      <vt:variant>
        <vt:lpwstr/>
      </vt:variant>
      <vt:variant>
        <vt:i4>7995499</vt:i4>
      </vt:variant>
      <vt:variant>
        <vt:i4>3</vt:i4>
      </vt:variant>
      <vt:variant>
        <vt:i4>0</vt:i4>
      </vt:variant>
      <vt:variant>
        <vt:i4>5</vt:i4>
      </vt:variant>
      <vt:variant>
        <vt:lpwstr>http://www.uneval.org/document/detail/2866</vt:lpwstr>
      </vt:variant>
      <vt:variant>
        <vt:lpwstr/>
      </vt:variant>
      <vt:variant>
        <vt:i4>7929967</vt:i4>
      </vt:variant>
      <vt:variant>
        <vt:i4>0</vt:i4>
      </vt:variant>
      <vt:variant>
        <vt:i4>0</vt:i4>
      </vt:variant>
      <vt:variant>
        <vt:i4>5</vt:i4>
      </vt:variant>
      <vt:variant>
        <vt:lpwstr>http://www.uneval.org/document/detail/1914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IES;Violeta Leiva Milanca</dc:creator>
  <cp:keywords/>
  <dc:description/>
  <cp:lastModifiedBy>Violeta Leiva</cp:lastModifiedBy>
  <cp:revision>4</cp:revision>
  <cp:lastPrinted>2026-07-02T18:02:00Z</cp:lastPrinted>
  <dcterms:created xsi:type="dcterms:W3CDTF">2026-07-02T18:01:00Z</dcterms:created>
  <dcterms:modified xsi:type="dcterms:W3CDTF">2026-07-02T18:02:00Z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0x010100B38E05047839ED4FA61F2C4E7FCD8D18</vt:lpwstr>
  </property>
  <property fmtid="{D5CDD505-2E9C-101B-9397-08002B2CF9AE}" pid="3" name="MediaServiceImageTags">
    <vt:lpwstr/>
  </property>
  <property fmtid="{D5CDD505-2E9C-101B-9397-08002B2CF9AE}" pid="4" name="GrammarlyDocumentId">
    <vt:lpwstr>5620e613-32d7-4331-9b12-4c8324c83a96</vt:lpwstr>
  </property>
  <property fmtid="{D5CDD505-2E9C-101B-9397-08002B2CF9AE}" pid="5" name="docLang">
    <vt:lpwstr>en</vt:lpwstr>
  </property>
</Properties>
</file>