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988"/>
        <w:gridCol w:w="6588"/>
      </w:tblGrid>
      <w:tr w:rsidR="00EE54EC" w:rsidTr="00EE54EC">
        <w:tc>
          <w:tcPr>
            <w:tcW w:w="2988" w:type="dxa"/>
          </w:tcPr>
          <w:p w:rsidR="00EE54EC" w:rsidRDefault="00EE54EC" w:rsidP="00260310">
            <w:pPr>
              <w:jc w:val="both"/>
            </w:pPr>
            <w:r w:rsidRPr="00EE54EC">
              <w:rPr>
                <w:noProof/>
              </w:rPr>
              <w:drawing>
                <wp:inline distT="0" distB="0" distL="0" distR="0">
                  <wp:extent cx="1704975" cy="771525"/>
                  <wp:effectExtent l="19050" t="0" r="9525" b="0"/>
                  <wp:docPr id="2" name="Picture 1" descr="UNwomen_Logo_EmailSignature_268x122_96ppi">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0" name="Picture 1" descr="UNwomen_Logo_EmailSignature_268x122_96ppi"/>
                          <pic:cNvPicPr>
                            <a:picLocks noChangeAspect="1" noChangeArrowheads="1"/>
                          </pic:cNvPicPr>
                        </pic:nvPicPr>
                        <pic:blipFill>
                          <a:blip r:embed="rId8" cstate="print"/>
                          <a:srcRect/>
                          <a:stretch>
                            <a:fillRect/>
                          </a:stretch>
                        </pic:blipFill>
                        <pic:spPr bwMode="auto">
                          <a:xfrm>
                            <a:off x="0" y="0"/>
                            <a:ext cx="1704975" cy="771525"/>
                          </a:xfrm>
                          <a:prstGeom prst="rect">
                            <a:avLst/>
                          </a:prstGeom>
                          <a:noFill/>
                          <a:ln w="9525">
                            <a:noFill/>
                            <a:miter lim="800000"/>
                            <a:headEnd/>
                            <a:tailEnd/>
                          </a:ln>
                        </pic:spPr>
                      </pic:pic>
                    </a:graphicData>
                  </a:graphic>
                </wp:inline>
              </w:drawing>
            </w:r>
          </w:p>
        </w:tc>
        <w:tc>
          <w:tcPr>
            <w:tcW w:w="6588" w:type="dxa"/>
          </w:tcPr>
          <w:p w:rsidR="00EE54EC" w:rsidRPr="00EE54EC" w:rsidRDefault="00EE54EC" w:rsidP="00260310">
            <w:pPr>
              <w:rPr>
                <w:b/>
              </w:rPr>
            </w:pPr>
            <w:r w:rsidRPr="00EE54EC">
              <w:rPr>
                <w:b/>
              </w:rPr>
              <w:t xml:space="preserve">Submission of Evidence: </w:t>
            </w:r>
          </w:p>
          <w:p w:rsidR="00EE54EC" w:rsidRDefault="00EE54EC" w:rsidP="00260310">
            <w:pPr>
              <w:rPr>
                <w:b/>
                <w:sz w:val="28"/>
                <w:szCs w:val="28"/>
              </w:rPr>
            </w:pPr>
            <w:r w:rsidRPr="0003226F">
              <w:rPr>
                <w:b/>
                <w:sz w:val="28"/>
                <w:szCs w:val="28"/>
              </w:rPr>
              <w:t>Final Evaluation of the EC/UN Partnership on Gender Equality for Development and Peace</w:t>
            </w:r>
          </w:p>
          <w:p w:rsidR="00E130F7" w:rsidRPr="0003226F" w:rsidRDefault="00E130F7" w:rsidP="00260310">
            <w:pPr>
              <w:rPr>
                <w:sz w:val="28"/>
                <w:szCs w:val="28"/>
              </w:rPr>
            </w:pPr>
            <w:r w:rsidRPr="00E130F7">
              <w:rPr>
                <w:b/>
                <w:sz w:val="18"/>
                <w:szCs w:val="28"/>
              </w:rPr>
              <w:t>(Main Report plus country profiles –two documents)</w:t>
            </w:r>
          </w:p>
        </w:tc>
      </w:tr>
    </w:tbl>
    <w:p w:rsidR="00EE54EC" w:rsidRPr="003604A7" w:rsidRDefault="00EE54EC" w:rsidP="00260310">
      <w:pPr>
        <w:spacing w:after="0" w:line="240" w:lineRule="auto"/>
        <w:jc w:val="both"/>
        <w:rPr>
          <w:sz w:val="16"/>
          <w:szCs w:val="16"/>
        </w:rPr>
      </w:pPr>
    </w:p>
    <w:p w:rsidR="008156FE" w:rsidRDefault="00840371" w:rsidP="00260310">
      <w:pPr>
        <w:spacing w:line="240" w:lineRule="auto"/>
        <w:jc w:val="both"/>
      </w:pPr>
      <w:r>
        <w:t xml:space="preserve">The principle of national </w:t>
      </w:r>
      <w:r w:rsidRPr="003604A7">
        <w:rPr>
          <w:b/>
        </w:rPr>
        <w:t>ownership</w:t>
      </w:r>
      <w:r>
        <w:t xml:space="preserve"> entails that defined national priorities clearly elaborate a gender analysis of development challenges based on consultations with multi-stakeholders including civil society. An important avenue to realize this principle requires building a strong understanding of the linkages between the gender equality</w:t>
      </w:r>
      <w:r w:rsidR="00557561">
        <w:t xml:space="preserve"> (GE)</w:t>
      </w:r>
      <w:r>
        <w:t xml:space="preserve"> and national planning and budgeting in the context of the aid effectiveness</w:t>
      </w:r>
      <w:r w:rsidR="00557561">
        <w:t xml:space="preserve"> (AE)</w:t>
      </w:r>
      <w:r>
        <w:t xml:space="preserve"> agenda. </w:t>
      </w:r>
    </w:p>
    <w:p w:rsidR="002867AE" w:rsidRDefault="00840371" w:rsidP="00260310">
      <w:pPr>
        <w:spacing w:line="240" w:lineRule="auto"/>
        <w:jc w:val="both"/>
      </w:pPr>
      <w:r>
        <w:t>The EC/UN Partnership</w:t>
      </w:r>
      <w:r w:rsidR="00557561">
        <w:t xml:space="preserve"> was a</w:t>
      </w:r>
      <w:r>
        <w:t xml:space="preserve"> global </w:t>
      </w:r>
      <w:proofErr w:type="spellStart"/>
      <w:r>
        <w:t>programme</w:t>
      </w:r>
      <w:proofErr w:type="spellEnd"/>
      <w:r>
        <w:t xml:space="preserve"> on gender equality and aid effectiveness resulting from the collaboration between the European Commission (EC), UNIFEM (now UN Women), and the ITC/ILO.  The </w:t>
      </w:r>
      <w:proofErr w:type="spellStart"/>
      <w:r>
        <w:t>programme</w:t>
      </w:r>
      <w:proofErr w:type="spellEnd"/>
      <w:r>
        <w:t xml:space="preserve"> was implemented during April 2007-November 2010 in 12 pilot countries: Cameroon, DRC, Ethiopia, Ghana, Honduras, Indonesia, Kyrgyzstan, Nepal, Nicaragua, PNG, Suriname and Ukraine. </w:t>
      </w:r>
      <w:r w:rsidR="00557561">
        <w:t>A</w:t>
      </w:r>
      <w:r w:rsidR="002867AE">
        <w:t>n independent evaluation was completed in November</w:t>
      </w:r>
      <w:r>
        <w:t xml:space="preserve"> 2010.</w:t>
      </w:r>
    </w:p>
    <w:p w:rsidR="004C0EC1" w:rsidRDefault="002867AE" w:rsidP="004C0EC1">
      <w:pPr>
        <w:spacing w:after="0" w:line="240" w:lineRule="auto"/>
        <w:jc w:val="both"/>
        <w:rPr>
          <w:b/>
        </w:rPr>
      </w:pPr>
      <w:r>
        <w:rPr>
          <w:b/>
        </w:rPr>
        <w:t xml:space="preserve">Evaluation </w:t>
      </w:r>
      <w:r w:rsidRPr="00D65B16">
        <w:rPr>
          <w:b/>
        </w:rPr>
        <w:t>Findings</w:t>
      </w:r>
      <w:r>
        <w:rPr>
          <w:b/>
        </w:rPr>
        <w:t xml:space="preserve">: </w:t>
      </w:r>
    </w:p>
    <w:p w:rsidR="004C0EC1" w:rsidRDefault="00D65B16" w:rsidP="004C0EC1">
      <w:pPr>
        <w:spacing w:after="0" w:line="240" w:lineRule="auto"/>
        <w:jc w:val="both"/>
      </w:pPr>
      <w:r>
        <w:t>The evaluation found that</w:t>
      </w:r>
      <w:r w:rsidR="00E52ED6">
        <w:t xml:space="preserve"> the </w:t>
      </w:r>
      <w:proofErr w:type="spellStart"/>
      <w:r w:rsidR="00E52ED6">
        <w:t>program</w:t>
      </w:r>
      <w:r w:rsidR="002867AE">
        <w:t>m</w:t>
      </w:r>
      <w:r w:rsidR="00E52ED6">
        <w:t>e</w:t>
      </w:r>
      <w:proofErr w:type="spellEnd"/>
      <w:r>
        <w:t xml:space="preserve">: </w:t>
      </w:r>
    </w:p>
    <w:p w:rsidR="004C0EC1" w:rsidRDefault="002867AE" w:rsidP="004C0EC1">
      <w:pPr>
        <w:pStyle w:val="ListParagraph"/>
        <w:numPr>
          <w:ilvl w:val="0"/>
          <w:numId w:val="5"/>
        </w:numPr>
        <w:spacing w:after="0" w:line="240" w:lineRule="auto"/>
        <w:ind w:left="360"/>
        <w:jc w:val="both"/>
      </w:pPr>
      <w:proofErr w:type="gramStart"/>
      <w:r>
        <w:t>responded</w:t>
      </w:r>
      <w:proofErr w:type="gramEnd"/>
      <w:r>
        <w:t xml:space="preserve"> to </w:t>
      </w:r>
      <w:r w:rsidR="00E52ED6">
        <w:t>existing</w:t>
      </w:r>
      <w:r w:rsidR="00D65B16">
        <w:t xml:space="preserve"> </w:t>
      </w:r>
      <w:r>
        <w:t>gaps</w:t>
      </w:r>
      <w:r w:rsidR="008156FE">
        <w:t xml:space="preserve"> </w:t>
      </w:r>
      <w:r w:rsidR="002074F5">
        <w:t>in understanding</w:t>
      </w:r>
      <w:r w:rsidR="008156FE">
        <w:t xml:space="preserve"> </w:t>
      </w:r>
      <w:r>
        <w:t>the practical implications for ensuring gender responsive implementation of the Paris Declaration principles and results</w:t>
      </w:r>
      <w:r w:rsidR="009917F5">
        <w:t>,</w:t>
      </w:r>
      <w:r>
        <w:t xml:space="preserve"> and</w:t>
      </w:r>
      <w:r w:rsidR="009917F5">
        <w:t xml:space="preserve"> contributed significantly to enhance knowledge and awareness</w:t>
      </w:r>
      <w:r>
        <w:t xml:space="preserve"> </w:t>
      </w:r>
      <w:r w:rsidR="00D647A9">
        <w:t>of</w:t>
      </w:r>
      <w:r>
        <w:t xml:space="preserve"> the linkages between the AE agenda and GE among stakeholders in the 12 pilots countries</w:t>
      </w:r>
      <w:r w:rsidR="002B6572">
        <w:t xml:space="preserve">. The </w:t>
      </w:r>
      <w:proofErr w:type="spellStart"/>
      <w:r w:rsidR="002B6572">
        <w:t>programme</w:t>
      </w:r>
      <w:proofErr w:type="spellEnd"/>
      <w:r w:rsidR="002B6572">
        <w:t xml:space="preserve"> achieve</w:t>
      </w:r>
      <w:r w:rsidR="00AC5071">
        <w:t>d</w:t>
      </w:r>
      <w:r w:rsidR="002B6572">
        <w:t xml:space="preserve"> this by developing and making accessible an evidence-base on AE and GE, for example, </w:t>
      </w:r>
      <w:r w:rsidR="003604A7">
        <w:t xml:space="preserve">through </w:t>
      </w:r>
      <w:r w:rsidR="002B6572">
        <w:t xml:space="preserve">a series of mapping studies </w:t>
      </w:r>
      <w:r w:rsidR="002B6572" w:rsidRPr="002B6572">
        <w:t>on issues and trends related to aid effectiveness, gender equality and women’s empowerment in</w:t>
      </w:r>
      <w:r w:rsidR="003604A7">
        <w:t xml:space="preserve"> the</w:t>
      </w:r>
      <w:r w:rsidR="002B6572" w:rsidRPr="002B6572">
        <w:t xml:space="preserve"> 12 </w:t>
      </w:r>
      <w:r w:rsidR="003604A7">
        <w:t xml:space="preserve">pilot </w:t>
      </w:r>
      <w:r w:rsidR="002B6572" w:rsidRPr="002B6572">
        <w:t>countries</w:t>
      </w:r>
      <w:r w:rsidR="003604A7">
        <w:t>;</w:t>
      </w:r>
    </w:p>
    <w:p w:rsidR="004C0EC1" w:rsidRDefault="002B6572" w:rsidP="004C0EC1">
      <w:pPr>
        <w:pStyle w:val="ListParagraph"/>
        <w:numPr>
          <w:ilvl w:val="0"/>
          <w:numId w:val="5"/>
        </w:numPr>
        <w:spacing w:after="0" w:line="240" w:lineRule="auto"/>
        <w:ind w:left="360"/>
        <w:jc w:val="both"/>
      </w:pPr>
      <w:r>
        <w:t xml:space="preserve">identified </w:t>
      </w:r>
      <w:r w:rsidR="002867AE">
        <w:t xml:space="preserve">demand from governments to integrate a gender perspective into national planning and budgeting processes </w:t>
      </w:r>
      <w:r w:rsidR="00906DAE">
        <w:t>and effectively provided the technical support</w:t>
      </w:r>
      <w:r w:rsidR="002867AE">
        <w:t xml:space="preserve"> </w:t>
      </w:r>
      <w:r w:rsidR="00906DAE">
        <w:t>in the form of gender recommendations for policy frameworks (</w:t>
      </w:r>
      <w:r w:rsidR="00AC5071">
        <w:t xml:space="preserve">i.e. </w:t>
      </w:r>
      <w:r w:rsidR="004C0EC1" w:rsidRPr="003604A7">
        <w:t>for the Long Term Vision 2035 in Cameroon, and the Medium Term Nationa</w:t>
      </w:r>
      <w:r w:rsidR="00B173DD" w:rsidRPr="003604A7">
        <w:t>l Development Plan in Ghana</w:t>
      </w:r>
      <w:r w:rsidR="00906DAE">
        <w:t xml:space="preserve">), and </w:t>
      </w:r>
      <w:r w:rsidR="003604A7">
        <w:t xml:space="preserve">building </w:t>
      </w:r>
      <w:r w:rsidR="00906DAE">
        <w:t xml:space="preserve">capacity in gender-responsive </w:t>
      </w:r>
      <w:r w:rsidR="00AC5071">
        <w:t xml:space="preserve">planning, </w:t>
      </w:r>
      <w:r w:rsidR="00906DAE">
        <w:t>budgeting</w:t>
      </w:r>
      <w:r w:rsidR="00AC5071">
        <w:t xml:space="preserve"> and monitoring with </w:t>
      </w:r>
      <w:r w:rsidR="00906DAE">
        <w:t xml:space="preserve">the Ministry of Economy in Ukraine, Ministry of Finance in Nepal, National Development Planning Commission in Ghana, Ministry of Economy and Planning in Cameroon, Ministry of Industry and Trade in Nicaragua, </w:t>
      </w:r>
      <w:r w:rsidR="00AC5071">
        <w:t xml:space="preserve">and </w:t>
      </w:r>
      <w:r w:rsidR="00906DAE">
        <w:t>the National Institute of Statistics in Honduras;</w:t>
      </w:r>
      <w:r w:rsidR="003604A7">
        <w:t xml:space="preserve"> </w:t>
      </w:r>
      <w:r w:rsidR="00AC5071">
        <w:t>a</w:t>
      </w:r>
      <w:r w:rsidR="003604A7">
        <w:t>nd</w:t>
      </w:r>
    </w:p>
    <w:p w:rsidR="004C0EC1" w:rsidRDefault="00906DAE" w:rsidP="004C0EC1">
      <w:pPr>
        <w:pStyle w:val="ListParagraph"/>
        <w:numPr>
          <w:ilvl w:val="0"/>
          <w:numId w:val="5"/>
        </w:numPr>
        <w:spacing w:after="0" w:line="240" w:lineRule="auto"/>
        <w:ind w:left="360"/>
        <w:jc w:val="both"/>
      </w:pPr>
      <w:proofErr w:type="gramStart"/>
      <w:r>
        <w:t>w</w:t>
      </w:r>
      <w:r w:rsidR="00050139">
        <w:t>as</w:t>
      </w:r>
      <w:proofErr w:type="gramEnd"/>
      <w:r w:rsidR="00050139">
        <w:t xml:space="preserve"> able to </w:t>
      </w:r>
      <w:r w:rsidR="006B2173">
        <w:t xml:space="preserve">establish a </w:t>
      </w:r>
      <w:r w:rsidR="005C75C4">
        <w:t xml:space="preserve">spaces for dialogue among multiple stakeholders including ministries of economic and planning, national women’s machineries (NWM), civil society, and donors </w:t>
      </w:r>
      <w:r w:rsidR="006B2173">
        <w:t>for the inclusion of gender tools and analysis in the planning</w:t>
      </w:r>
      <w:r w:rsidR="00050139">
        <w:t xml:space="preserve"> and budgeting</w:t>
      </w:r>
      <w:r w:rsidR="005C75C4">
        <w:t>.</w:t>
      </w:r>
      <w:r w:rsidR="00050139">
        <w:t xml:space="preserve"> </w:t>
      </w:r>
      <w:r w:rsidR="00B73815" w:rsidRPr="00FE30CF">
        <w:rPr>
          <w:i/>
        </w:rPr>
        <w:t>“</w:t>
      </w:r>
      <w:r w:rsidR="006B2173" w:rsidRPr="00FE30CF">
        <w:rPr>
          <w:i/>
        </w:rPr>
        <w:t>The joint involvement of theses different actors has led to: increased acceptance and ownership of gender mainstreaming principles by national partners; less suspicion between government and civil society; increased coordination among donors on how to support national partners; and increasingly clarified roles between planning ministries and NWM on gender mainstreaming responsibilities”</w:t>
      </w:r>
      <w:r w:rsidR="00F60726" w:rsidRPr="00FE30CF">
        <w:rPr>
          <w:i/>
        </w:rPr>
        <w:t>, p</w:t>
      </w:r>
      <w:r w:rsidR="006B2173" w:rsidRPr="00FE30CF">
        <w:rPr>
          <w:i/>
        </w:rPr>
        <w:t>g</w:t>
      </w:r>
      <w:r w:rsidR="00AC5071">
        <w:rPr>
          <w:i/>
        </w:rPr>
        <w:t xml:space="preserve"> </w:t>
      </w:r>
      <w:r w:rsidR="006B2173" w:rsidRPr="00FE30CF">
        <w:rPr>
          <w:i/>
        </w:rPr>
        <w:t>23</w:t>
      </w:r>
      <w:r w:rsidR="00FE30CF" w:rsidRPr="00FE30CF">
        <w:rPr>
          <w:i/>
        </w:rPr>
        <w:t>)</w:t>
      </w:r>
      <w:r w:rsidR="002B6572">
        <w:t>;</w:t>
      </w:r>
    </w:p>
    <w:p w:rsidR="003604A7" w:rsidRDefault="003604A7" w:rsidP="004C0EC1">
      <w:pPr>
        <w:spacing w:after="0" w:line="240" w:lineRule="auto"/>
        <w:jc w:val="both"/>
        <w:rPr>
          <w:b/>
        </w:rPr>
      </w:pPr>
    </w:p>
    <w:p w:rsidR="004C0EC1" w:rsidRDefault="003604A7" w:rsidP="004C0EC1">
      <w:pPr>
        <w:spacing w:after="0" w:line="240" w:lineRule="auto"/>
        <w:jc w:val="both"/>
        <w:rPr>
          <w:b/>
        </w:rPr>
      </w:pPr>
      <w:r>
        <w:rPr>
          <w:b/>
        </w:rPr>
        <w:t>M</w:t>
      </w:r>
      <w:r w:rsidR="00806421" w:rsidRPr="00FA73E9">
        <w:rPr>
          <w:b/>
        </w:rPr>
        <w:t>ethodology utilized for the Final Evaluation:</w:t>
      </w:r>
    </w:p>
    <w:p w:rsidR="0071217A" w:rsidRDefault="00806421">
      <w:pPr>
        <w:spacing w:after="0" w:line="240" w:lineRule="auto"/>
        <w:jc w:val="both"/>
        <w:rPr>
          <w:lang w:val="en-CA"/>
        </w:rPr>
      </w:pPr>
      <w:r w:rsidRPr="00557561">
        <w:rPr>
          <w:lang w:val="en-CA"/>
        </w:rPr>
        <w:t>Th</w:t>
      </w:r>
      <w:r w:rsidR="00902CCB" w:rsidRPr="00557561">
        <w:rPr>
          <w:lang w:val="en-CA"/>
        </w:rPr>
        <w:t>is</w:t>
      </w:r>
      <w:r w:rsidR="00FA73E9" w:rsidRPr="00557561">
        <w:rPr>
          <w:lang w:val="en-CA"/>
        </w:rPr>
        <w:t xml:space="preserve"> was</w:t>
      </w:r>
      <w:r w:rsidR="00902CCB" w:rsidRPr="00557561">
        <w:rPr>
          <w:lang w:val="en-CA"/>
        </w:rPr>
        <w:t xml:space="preserve"> independent</w:t>
      </w:r>
      <w:r w:rsidRPr="00557561">
        <w:rPr>
          <w:lang w:val="en-CA"/>
        </w:rPr>
        <w:t xml:space="preserve"> evaluation managed by UNIFEM. The </w:t>
      </w:r>
      <w:r w:rsidR="00902CCB" w:rsidRPr="00557561">
        <w:rPr>
          <w:lang w:val="en-CA"/>
        </w:rPr>
        <w:t>e</w:t>
      </w:r>
      <w:r w:rsidRPr="00557561">
        <w:rPr>
          <w:lang w:val="en-CA"/>
        </w:rPr>
        <w:t>valuation approach was consultative, participatory, and utilization-focused. Methods of data collection included document review</w:t>
      </w:r>
      <w:r w:rsidR="004B37C3" w:rsidRPr="00557561">
        <w:rPr>
          <w:lang w:val="en-CA"/>
        </w:rPr>
        <w:t xml:space="preserve"> including program reports and documents, literature on the PD, AE and GE</w:t>
      </w:r>
      <w:r w:rsidR="00557561">
        <w:rPr>
          <w:lang w:val="en-CA"/>
        </w:rPr>
        <w:t>;</w:t>
      </w:r>
      <w:r w:rsidR="004B37C3" w:rsidRPr="00557561">
        <w:rPr>
          <w:lang w:val="en-CA"/>
        </w:rPr>
        <w:t xml:space="preserve"> semi-structured face-to-face and telephone interviews</w:t>
      </w:r>
      <w:r w:rsidR="00557561">
        <w:rPr>
          <w:lang w:val="en-CA"/>
        </w:rPr>
        <w:t>;</w:t>
      </w:r>
      <w:r w:rsidR="004B37C3" w:rsidRPr="00557561">
        <w:rPr>
          <w:lang w:val="en-CA"/>
        </w:rPr>
        <w:t xml:space="preserve"> focus groups</w:t>
      </w:r>
      <w:r w:rsidR="00557561">
        <w:rPr>
          <w:lang w:val="en-CA"/>
        </w:rPr>
        <w:t>;</w:t>
      </w:r>
      <w:r w:rsidR="004B37C3" w:rsidRPr="00557561">
        <w:rPr>
          <w:lang w:val="en-CA"/>
        </w:rPr>
        <w:t xml:space="preserve"> observations during site visits</w:t>
      </w:r>
      <w:r w:rsidR="00557561" w:rsidRPr="00557561">
        <w:rPr>
          <w:bCs/>
          <w:lang w:val="en-CA"/>
        </w:rPr>
        <w:t xml:space="preserve"> to </w:t>
      </w:r>
      <w:r w:rsidR="00557561" w:rsidRPr="00557561">
        <w:rPr>
          <w:lang w:val="en-CA"/>
        </w:rPr>
        <w:t>New York, Nicaragua, Honduras, Ghana, Cameroon, Ukraine, and Indonesia</w:t>
      </w:r>
      <w:r w:rsidR="00557561">
        <w:rPr>
          <w:lang w:val="en-CA"/>
        </w:rPr>
        <w:t>;</w:t>
      </w:r>
      <w:r w:rsidR="004B37C3" w:rsidRPr="00557561">
        <w:rPr>
          <w:lang w:val="en-CA"/>
        </w:rPr>
        <w:t xml:space="preserve"> and email correspondence. The data was analyzed using descriptive, content, and comparative analyses methods. Validity was ensured through compliance with standard </w:t>
      </w:r>
      <w:r w:rsidR="00B1798A" w:rsidRPr="00557561">
        <w:rPr>
          <w:lang w:val="en-CA"/>
        </w:rPr>
        <w:t xml:space="preserve">UNEG </w:t>
      </w:r>
      <w:r w:rsidR="004B37C3" w:rsidRPr="00557561">
        <w:rPr>
          <w:lang w:val="en-CA"/>
        </w:rPr>
        <w:t>evaluation practices and through data triangulation. 140 individuals</w:t>
      </w:r>
      <w:r w:rsidR="00557561">
        <w:rPr>
          <w:lang w:val="en-CA"/>
        </w:rPr>
        <w:t xml:space="preserve"> were</w:t>
      </w:r>
      <w:r w:rsidR="004B37C3" w:rsidRPr="00557561">
        <w:rPr>
          <w:lang w:val="en-CA"/>
        </w:rPr>
        <w:t xml:space="preserve"> consulted</w:t>
      </w:r>
      <w:r w:rsidR="00557561">
        <w:rPr>
          <w:lang w:val="en-CA"/>
        </w:rPr>
        <w:t xml:space="preserve"> (from</w:t>
      </w:r>
      <w:r w:rsidR="004B37C3" w:rsidRPr="00557561">
        <w:rPr>
          <w:lang w:val="en-CA"/>
        </w:rPr>
        <w:t xml:space="preserve"> UNIFEM, EC and ITC</w:t>
      </w:r>
      <w:r w:rsidR="004C0EC1" w:rsidRPr="00557561">
        <w:rPr>
          <w:lang w:val="en-CA"/>
        </w:rPr>
        <w:t xml:space="preserve">-ILO staff at HQ and field offices; program partners and beneficiaries </w:t>
      </w:r>
      <w:r w:rsidR="00557561">
        <w:rPr>
          <w:lang w:val="en-CA"/>
        </w:rPr>
        <w:t>from g</w:t>
      </w:r>
      <w:r w:rsidR="00557561" w:rsidRPr="00557561">
        <w:rPr>
          <w:lang w:val="en-CA"/>
        </w:rPr>
        <w:t xml:space="preserve">overnment, CSOs and donors </w:t>
      </w:r>
      <w:r w:rsidR="004C0EC1" w:rsidRPr="00557561">
        <w:rPr>
          <w:lang w:val="en-CA"/>
        </w:rPr>
        <w:t>in the 12 pilot countries; and international GE and AE experts</w:t>
      </w:r>
      <w:r w:rsidR="00557561">
        <w:rPr>
          <w:lang w:val="en-CA"/>
        </w:rPr>
        <w:t>)</w:t>
      </w:r>
      <w:r w:rsidR="004C0EC1" w:rsidRPr="00557561">
        <w:rPr>
          <w:lang w:val="en-CA"/>
        </w:rPr>
        <w:t xml:space="preserve">. </w:t>
      </w:r>
    </w:p>
    <w:sectPr w:rsidR="0071217A" w:rsidSect="003604A7">
      <w:pgSz w:w="12240" w:h="15840"/>
      <w:pgMar w:top="720" w:right="1296" w:bottom="1152" w:left="129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3BD" w:rsidRDefault="00D523BD" w:rsidP="00EE54EC">
      <w:pPr>
        <w:spacing w:after="0" w:line="240" w:lineRule="auto"/>
      </w:pPr>
      <w:r>
        <w:separator/>
      </w:r>
    </w:p>
  </w:endnote>
  <w:endnote w:type="continuationSeparator" w:id="0">
    <w:p w:rsidR="00D523BD" w:rsidRDefault="00D523BD" w:rsidP="00EE54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3BD" w:rsidRDefault="00D523BD" w:rsidP="00EE54EC">
      <w:pPr>
        <w:spacing w:after="0" w:line="240" w:lineRule="auto"/>
      </w:pPr>
      <w:r>
        <w:separator/>
      </w:r>
    </w:p>
  </w:footnote>
  <w:footnote w:type="continuationSeparator" w:id="0">
    <w:p w:rsidR="00D523BD" w:rsidRDefault="00D523BD" w:rsidP="00EE54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B3CC9"/>
    <w:multiLevelType w:val="hybridMultilevel"/>
    <w:tmpl w:val="F7C26C36"/>
    <w:lvl w:ilvl="0" w:tplc="8EF265B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B02396"/>
    <w:multiLevelType w:val="hybridMultilevel"/>
    <w:tmpl w:val="EB92E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3063D9"/>
    <w:multiLevelType w:val="hybridMultilevel"/>
    <w:tmpl w:val="9E2A33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67907E6"/>
    <w:multiLevelType w:val="hybridMultilevel"/>
    <w:tmpl w:val="915CF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65C7B7B"/>
    <w:multiLevelType w:val="hybridMultilevel"/>
    <w:tmpl w:val="59102D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2"/>
  <w:proofState w:spelling="clean" w:grammar="clean"/>
  <w:doNotTrackMoves/>
  <w:defaultTabStop w:val="720"/>
  <w:characterSpacingControl w:val="doNotCompress"/>
  <w:hdrShapeDefaults>
    <o:shapedefaults v:ext="edit" spidmax="15362"/>
  </w:hdrShapeDefaults>
  <w:footnotePr>
    <w:footnote w:id="-1"/>
    <w:footnote w:id="0"/>
  </w:footnotePr>
  <w:endnotePr>
    <w:endnote w:id="-1"/>
    <w:endnote w:id="0"/>
  </w:endnotePr>
  <w:compat/>
  <w:rsids>
    <w:rsidRoot w:val="00806421"/>
    <w:rsid w:val="0003226F"/>
    <w:rsid w:val="00050139"/>
    <w:rsid w:val="000D6C56"/>
    <w:rsid w:val="001D3A44"/>
    <w:rsid w:val="002074F5"/>
    <w:rsid w:val="0023579E"/>
    <w:rsid w:val="00260310"/>
    <w:rsid w:val="002867AE"/>
    <w:rsid w:val="002B6572"/>
    <w:rsid w:val="002D2E1E"/>
    <w:rsid w:val="00321E97"/>
    <w:rsid w:val="00342758"/>
    <w:rsid w:val="003604A7"/>
    <w:rsid w:val="004B37C3"/>
    <w:rsid w:val="004C0EC1"/>
    <w:rsid w:val="00557561"/>
    <w:rsid w:val="005832F8"/>
    <w:rsid w:val="005C75C4"/>
    <w:rsid w:val="006B2173"/>
    <w:rsid w:val="0071217A"/>
    <w:rsid w:val="00742DB5"/>
    <w:rsid w:val="007945A2"/>
    <w:rsid w:val="007E08AE"/>
    <w:rsid w:val="007F3ACC"/>
    <w:rsid w:val="007F6565"/>
    <w:rsid w:val="00806421"/>
    <w:rsid w:val="008156FE"/>
    <w:rsid w:val="00840371"/>
    <w:rsid w:val="00902CCB"/>
    <w:rsid w:val="00906DAE"/>
    <w:rsid w:val="009701B6"/>
    <w:rsid w:val="009917F5"/>
    <w:rsid w:val="009A2B24"/>
    <w:rsid w:val="009B1330"/>
    <w:rsid w:val="00AC5071"/>
    <w:rsid w:val="00B173DD"/>
    <w:rsid w:val="00B1798A"/>
    <w:rsid w:val="00B73815"/>
    <w:rsid w:val="00BA208F"/>
    <w:rsid w:val="00CA0C5D"/>
    <w:rsid w:val="00CE376D"/>
    <w:rsid w:val="00D05D29"/>
    <w:rsid w:val="00D523BD"/>
    <w:rsid w:val="00D647A9"/>
    <w:rsid w:val="00D65B16"/>
    <w:rsid w:val="00E130F7"/>
    <w:rsid w:val="00E52ED6"/>
    <w:rsid w:val="00EE54EC"/>
    <w:rsid w:val="00F60726"/>
    <w:rsid w:val="00F9640F"/>
    <w:rsid w:val="00FA73E9"/>
    <w:rsid w:val="00FC771A"/>
    <w:rsid w:val="00FE30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7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421"/>
    <w:pPr>
      <w:ind w:left="720"/>
      <w:contextualSpacing/>
    </w:pPr>
  </w:style>
  <w:style w:type="paragraph" w:styleId="Header">
    <w:name w:val="header"/>
    <w:basedOn w:val="Normal"/>
    <w:link w:val="HeaderChar"/>
    <w:uiPriority w:val="99"/>
    <w:semiHidden/>
    <w:unhideWhenUsed/>
    <w:rsid w:val="00EE54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54EC"/>
  </w:style>
  <w:style w:type="paragraph" w:styleId="Footer">
    <w:name w:val="footer"/>
    <w:basedOn w:val="Normal"/>
    <w:link w:val="FooterChar"/>
    <w:uiPriority w:val="99"/>
    <w:semiHidden/>
    <w:unhideWhenUsed/>
    <w:rsid w:val="00EE54E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E54EC"/>
  </w:style>
  <w:style w:type="paragraph" w:styleId="BalloonText">
    <w:name w:val="Balloon Text"/>
    <w:basedOn w:val="Normal"/>
    <w:link w:val="BalloonTextChar"/>
    <w:uiPriority w:val="99"/>
    <w:semiHidden/>
    <w:unhideWhenUsed/>
    <w:rsid w:val="00EE5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4EC"/>
    <w:rPr>
      <w:rFonts w:ascii="Tahoma" w:hAnsi="Tahoma" w:cs="Tahoma"/>
      <w:sz w:val="16"/>
      <w:szCs w:val="16"/>
    </w:rPr>
  </w:style>
  <w:style w:type="table" w:styleId="TableGrid">
    <w:name w:val="Table Grid"/>
    <w:basedOn w:val="TableNormal"/>
    <w:uiPriority w:val="59"/>
    <w:rsid w:val="00EE5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C75C4"/>
    <w:rPr>
      <w:sz w:val="16"/>
      <w:szCs w:val="16"/>
    </w:rPr>
  </w:style>
  <w:style w:type="paragraph" w:styleId="CommentText">
    <w:name w:val="annotation text"/>
    <w:basedOn w:val="Normal"/>
    <w:link w:val="CommentTextChar"/>
    <w:uiPriority w:val="99"/>
    <w:semiHidden/>
    <w:unhideWhenUsed/>
    <w:rsid w:val="005C75C4"/>
    <w:pPr>
      <w:spacing w:line="240" w:lineRule="auto"/>
    </w:pPr>
    <w:rPr>
      <w:sz w:val="20"/>
      <w:szCs w:val="20"/>
    </w:rPr>
  </w:style>
  <w:style w:type="character" w:customStyle="1" w:styleId="CommentTextChar">
    <w:name w:val="Comment Text Char"/>
    <w:basedOn w:val="DefaultParagraphFont"/>
    <w:link w:val="CommentText"/>
    <w:uiPriority w:val="99"/>
    <w:semiHidden/>
    <w:rsid w:val="005C75C4"/>
    <w:rPr>
      <w:sz w:val="20"/>
      <w:szCs w:val="20"/>
    </w:rPr>
  </w:style>
  <w:style w:type="paragraph" w:styleId="CommentSubject">
    <w:name w:val="annotation subject"/>
    <w:basedOn w:val="CommentText"/>
    <w:next w:val="CommentText"/>
    <w:link w:val="CommentSubjectChar"/>
    <w:uiPriority w:val="99"/>
    <w:semiHidden/>
    <w:unhideWhenUsed/>
    <w:rsid w:val="005C75C4"/>
    <w:rPr>
      <w:b/>
      <w:bCs/>
    </w:rPr>
  </w:style>
  <w:style w:type="character" w:customStyle="1" w:styleId="CommentSubjectChar">
    <w:name w:val="Comment Subject Char"/>
    <w:basedOn w:val="CommentTextChar"/>
    <w:link w:val="CommentSubject"/>
    <w:uiPriority w:val="99"/>
    <w:semiHidden/>
    <w:rsid w:val="005C75C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unwome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elisa.fernandez</dc:creator>
  <cp:lastModifiedBy>elisa.fernandez</cp:lastModifiedBy>
  <cp:revision>3</cp:revision>
  <cp:lastPrinted>2011-03-25T21:35:00Z</cp:lastPrinted>
  <dcterms:created xsi:type="dcterms:W3CDTF">2011-03-25T21:49:00Z</dcterms:created>
  <dcterms:modified xsi:type="dcterms:W3CDTF">2011-03-28T21:02:00Z</dcterms:modified>
</cp:coreProperties>
</file>