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12E" w:rsidRPr="00C1712E" w:rsidRDefault="00C1712E" w:rsidP="00C1712E">
      <w:pPr>
        <w:pStyle w:val="NoSpacing"/>
        <w:spacing w:line="276" w:lineRule="auto"/>
        <w:rPr>
          <w:b/>
        </w:rPr>
      </w:pPr>
      <w:bookmarkStart w:id="0" w:name="_Toc462791936"/>
      <w:r w:rsidRPr="00C1712E">
        <w:rPr>
          <w:b/>
        </w:rPr>
        <w:t>Lessons Learned</w:t>
      </w:r>
      <w:bookmarkEnd w:id="0"/>
    </w:p>
    <w:p w:rsidR="00C1712E" w:rsidRPr="00C1712E" w:rsidRDefault="00C1712E" w:rsidP="00C1712E">
      <w:pPr>
        <w:spacing w:line="276" w:lineRule="auto"/>
        <w:rPr>
          <w:lang w:val="en-GB" w:eastAsia="en-ZW"/>
        </w:rPr>
      </w:pPr>
    </w:p>
    <w:p w:rsidR="00C1712E" w:rsidRPr="00C1712E" w:rsidRDefault="00C1712E" w:rsidP="00C1712E">
      <w:pPr>
        <w:pStyle w:val="NoSpacing"/>
        <w:spacing w:line="276" w:lineRule="auto"/>
        <w:jc w:val="both"/>
        <w:rPr>
          <w:rFonts w:cs="Arial"/>
          <w:lang w:val="en-GB"/>
        </w:rPr>
      </w:pPr>
      <w:r w:rsidRPr="00C1712E">
        <w:rPr>
          <w:rFonts w:cs="Arial"/>
          <w:lang w:val="en-GB"/>
        </w:rPr>
        <w:t xml:space="preserve">The following are lessons that have been drawn from the evaluation. They are organised according to: 1) programme design; 2) programme implementation; and 3) improving effectiveness of joint programmes. </w:t>
      </w:r>
    </w:p>
    <w:p w:rsidR="00C1712E" w:rsidRPr="00C1712E" w:rsidRDefault="00C1712E" w:rsidP="00C1712E">
      <w:pPr>
        <w:pStyle w:val="Heading3"/>
        <w:rPr>
          <w:rFonts w:asciiTheme="minorHAnsi" w:hAnsiTheme="minorHAnsi"/>
        </w:rPr>
      </w:pPr>
      <w:bookmarkStart w:id="1" w:name="_Toc462791937"/>
      <w:r w:rsidRPr="00C1712E">
        <w:rPr>
          <w:rFonts w:asciiTheme="minorHAnsi" w:hAnsiTheme="minorHAnsi"/>
        </w:rPr>
        <w:t>Programme design</w:t>
      </w:r>
      <w:bookmarkEnd w:id="1"/>
    </w:p>
    <w:p w:rsidR="00C1712E" w:rsidRPr="00C1712E" w:rsidRDefault="00C1712E" w:rsidP="00C1712E">
      <w:pPr>
        <w:pStyle w:val="NoSpacing"/>
        <w:numPr>
          <w:ilvl w:val="0"/>
          <w:numId w:val="1"/>
        </w:numPr>
        <w:spacing w:line="276" w:lineRule="auto"/>
        <w:jc w:val="both"/>
        <w:rPr>
          <w:rFonts w:cs="Arial"/>
          <w:lang w:val="en-GB"/>
        </w:rPr>
      </w:pPr>
      <w:r w:rsidRPr="00C1712E">
        <w:rPr>
          <w:rFonts w:cs="Arial"/>
          <w:b/>
          <w:lang w:val="en-GB"/>
        </w:rPr>
        <w:t>Lesson 1: The theory of change needs to carefully assess the length of time it takes for the intended change to occur.</w:t>
      </w:r>
      <w:r w:rsidRPr="00C1712E">
        <w:rPr>
          <w:rFonts w:cs="Arial"/>
          <w:lang w:val="en-GB"/>
        </w:rPr>
        <w:t xml:space="preserve"> In the JPGBV activities related to girls’ empowerment were to be based on the results of a social norms study. Given a three year project it was unlikely that the programme would achieve the entire envisaged change and achieve its results targets related to girls’ empowerment. </w:t>
      </w:r>
    </w:p>
    <w:p w:rsidR="00C1712E" w:rsidRPr="00C1712E" w:rsidRDefault="00C1712E" w:rsidP="00C1712E">
      <w:pPr>
        <w:pStyle w:val="Heading3"/>
        <w:rPr>
          <w:rFonts w:asciiTheme="minorHAnsi" w:hAnsiTheme="minorHAnsi"/>
        </w:rPr>
      </w:pPr>
      <w:bookmarkStart w:id="2" w:name="_Toc462791938"/>
      <w:r w:rsidRPr="00C1712E">
        <w:rPr>
          <w:rFonts w:asciiTheme="minorHAnsi" w:hAnsiTheme="minorHAnsi"/>
        </w:rPr>
        <w:t>Programme implementation</w:t>
      </w:r>
      <w:bookmarkEnd w:id="2"/>
    </w:p>
    <w:p w:rsidR="00C1712E" w:rsidRPr="00C1712E" w:rsidRDefault="00C1712E" w:rsidP="00C1712E">
      <w:pPr>
        <w:pStyle w:val="NoSpacing"/>
        <w:numPr>
          <w:ilvl w:val="0"/>
          <w:numId w:val="3"/>
        </w:numPr>
        <w:spacing w:line="276" w:lineRule="auto"/>
        <w:jc w:val="both"/>
        <w:rPr>
          <w:rFonts w:cs="Arial"/>
          <w:lang w:val="en-GB"/>
        </w:rPr>
      </w:pPr>
      <w:r w:rsidRPr="00C1712E">
        <w:rPr>
          <w:rFonts w:cs="Arial"/>
          <w:b/>
          <w:lang w:val="en-GB"/>
        </w:rPr>
        <w:t>Lesson 4: In GBV programmes, conducting a gender analysis prior to intervention enables context specific response and higher chances of success.</w:t>
      </w:r>
      <w:r w:rsidRPr="00C1712E">
        <w:rPr>
          <w:rFonts w:cs="Arial"/>
          <w:lang w:val="en-GB"/>
        </w:rPr>
        <w:t xml:space="preserve"> Through conducting a gender analysis prior to implementation activities of their grant enabled World Vision to implement appropriate interventions for the target group revisiting the problem to be addressed presented in their grant proposal. Through this experience, a programme aimed at changing behaviour and practice with regards to GBV would greatly enhance its effectiveness by putting in place provisions for grantees to conduct gender analyses before implementation to revisit their design presented in the grant proposal. </w:t>
      </w:r>
    </w:p>
    <w:p w:rsidR="00C1712E" w:rsidRPr="00C1712E" w:rsidRDefault="00C1712E" w:rsidP="00C1712E">
      <w:pPr>
        <w:pStyle w:val="NoSpacing"/>
        <w:spacing w:line="276" w:lineRule="auto"/>
        <w:ind w:left="720"/>
        <w:jc w:val="both"/>
        <w:rPr>
          <w:rFonts w:cs="Arial"/>
          <w:lang w:val="en-GB"/>
        </w:rPr>
      </w:pPr>
    </w:p>
    <w:p w:rsidR="00C1712E" w:rsidRPr="00C1712E" w:rsidRDefault="00C1712E" w:rsidP="00C1712E">
      <w:pPr>
        <w:pStyle w:val="NoSpacing"/>
        <w:numPr>
          <w:ilvl w:val="0"/>
          <w:numId w:val="3"/>
        </w:numPr>
        <w:spacing w:line="276" w:lineRule="auto"/>
        <w:jc w:val="both"/>
        <w:rPr>
          <w:rFonts w:cs="Arial"/>
          <w:lang w:val="en-GB"/>
        </w:rPr>
      </w:pPr>
      <w:r w:rsidRPr="00C1712E">
        <w:rPr>
          <w:rFonts w:cs="Arial"/>
          <w:b/>
          <w:lang w:val="en-GB"/>
        </w:rPr>
        <w:t>Lesson 5</w:t>
      </w:r>
      <w:r w:rsidRPr="00C1712E">
        <w:rPr>
          <w:rFonts w:cs="Arial"/>
          <w:lang w:val="en-GB"/>
        </w:rPr>
        <w:t xml:space="preserve">: </w:t>
      </w:r>
      <w:r w:rsidRPr="00C1712E">
        <w:rPr>
          <w:rFonts w:cs="Arial"/>
          <w:b/>
          <w:lang w:val="en-GB"/>
        </w:rPr>
        <w:t>The programme demonstrates that positive outcomes can be achieved by mobilising local stakeholders to lead anti-GBV efforts.</w:t>
      </w:r>
      <w:r w:rsidRPr="00C1712E">
        <w:rPr>
          <w:rFonts w:cs="Arial"/>
          <w:lang w:val="en-GB"/>
        </w:rPr>
        <w:t xml:space="preserve"> There are in many cases multiple resource channels for anti-GBV actions. A locally driven response ensures better coordination of these multiple actions and higher efficiency in use of such resources resulting in lower costs for benefits. </w:t>
      </w:r>
    </w:p>
    <w:p w:rsidR="00C1712E" w:rsidRPr="00C1712E" w:rsidRDefault="00C1712E" w:rsidP="00C1712E">
      <w:pPr>
        <w:pStyle w:val="NoSpacing"/>
        <w:spacing w:line="276" w:lineRule="auto"/>
        <w:ind w:left="720"/>
        <w:jc w:val="both"/>
        <w:rPr>
          <w:rFonts w:cs="Arial"/>
          <w:lang w:val="en-GB"/>
        </w:rPr>
      </w:pPr>
    </w:p>
    <w:p w:rsidR="00C1712E" w:rsidRPr="00C1712E" w:rsidRDefault="00C1712E" w:rsidP="00C1712E">
      <w:pPr>
        <w:pStyle w:val="NoSpacing"/>
        <w:numPr>
          <w:ilvl w:val="0"/>
          <w:numId w:val="3"/>
        </w:numPr>
        <w:spacing w:line="276" w:lineRule="auto"/>
        <w:jc w:val="both"/>
        <w:rPr>
          <w:rFonts w:cs="Arial"/>
          <w:lang w:val="en-GB"/>
        </w:rPr>
      </w:pPr>
      <w:r w:rsidRPr="00C1712E">
        <w:rPr>
          <w:rFonts w:cs="Arial"/>
          <w:b/>
          <w:lang w:val="en-GB"/>
        </w:rPr>
        <w:t xml:space="preserve">Lesson 6: For transformational objectives to be realised, partner agreements need to be multi-year. </w:t>
      </w:r>
      <w:r w:rsidRPr="00C1712E">
        <w:rPr>
          <w:rFonts w:cs="Arial"/>
          <w:lang w:val="en-GB"/>
        </w:rPr>
        <w:t>In this arrangement an organisation plans sequential activities according to the theory of change with the first year used for laying the foundation of the programme and subsequent years for activities building on the theory of change. If the programme works with CSOs to implement these activities, as demonstrated by the JPGBV, annual grants are not the most ideal. Multi-year grants as compared to annual grants are more effective in achieving transformational objectives.</w:t>
      </w:r>
    </w:p>
    <w:p w:rsidR="00C1712E" w:rsidRPr="00C1712E" w:rsidRDefault="00C1712E" w:rsidP="00C1712E">
      <w:pPr>
        <w:pStyle w:val="Heading3"/>
        <w:rPr>
          <w:rFonts w:asciiTheme="minorHAnsi" w:hAnsiTheme="minorHAnsi"/>
        </w:rPr>
      </w:pPr>
      <w:bookmarkStart w:id="3" w:name="_Toc462791939"/>
      <w:r w:rsidRPr="00C1712E">
        <w:rPr>
          <w:rFonts w:asciiTheme="minorHAnsi" w:hAnsiTheme="minorHAnsi"/>
        </w:rPr>
        <w:t>Improving effectiveness of joint programming</w:t>
      </w:r>
      <w:bookmarkEnd w:id="3"/>
    </w:p>
    <w:p w:rsidR="00C1712E" w:rsidRPr="00C1712E" w:rsidRDefault="00C1712E" w:rsidP="00C1712E">
      <w:pPr>
        <w:pStyle w:val="NoSpacing"/>
        <w:spacing w:line="276" w:lineRule="auto"/>
        <w:jc w:val="both"/>
        <w:rPr>
          <w:rFonts w:cs="Arial"/>
          <w:b/>
          <w:lang w:val="en-GB"/>
        </w:rPr>
      </w:pPr>
      <w:r w:rsidRPr="00C1712E">
        <w:rPr>
          <w:rFonts w:cs="Arial"/>
          <w:lang w:val="en-GB"/>
        </w:rPr>
        <w:t xml:space="preserve">Joint implementation among UN agencies, is one of the instruments for the UN “Delivering as One” approach. As demonstrated by the JPGBV it requires implementing out of the “norm” for UN agencies involved and to plan critically how to make the programme one in delivery. Specific lessons from the JPGBV in this regard include the following: </w:t>
      </w:r>
    </w:p>
    <w:p w:rsidR="00C1712E" w:rsidRPr="00C1712E" w:rsidRDefault="00C1712E" w:rsidP="00C1712E">
      <w:pPr>
        <w:pStyle w:val="NoSpacing"/>
        <w:spacing w:line="276" w:lineRule="auto"/>
        <w:ind w:left="720"/>
        <w:jc w:val="both"/>
        <w:rPr>
          <w:rFonts w:cs="Arial"/>
          <w:lang w:val="en-GB"/>
        </w:rPr>
      </w:pPr>
    </w:p>
    <w:p w:rsidR="00C1712E" w:rsidRPr="00C1712E" w:rsidRDefault="00C1712E" w:rsidP="00C1712E">
      <w:pPr>
        <w:pStyle w:val="NoSpacing"/>
        <w:numPr>
          <w:ilvl w:val="0"/>
          <w:numId w:val="1"/>
        </w:numPr>
        <w:spacing w:line="276" w:lineRule="auto"/>
        <w:jc w:val="both"/>
        <w:rPr>
          <w:rFonts w:cs="Arial"/>
          <w:lang w:val="en-GB"/>
        </w:rPr>
      </w:pPr>
      <w:r w:rsidRPr="00C1712E">
        <w:rPr>
          <w:rFonts w:cs="Arial"/>
          <w:b/>
          <w:lang w:val="en-GB"/>
        </w:rPr>
        <w:t>Lesson 7: The JPGBV shows that having steering committee as a governance structure of the programme is good practice. In addition to the Steering Committee a</w:t>
      </w:r>
      <w:r w:rsidRPr="00C1712E">
        <w:rPr>
          <w:rFonts w:cs="Arial"/>
          <w:lang w:val="en-GB"/>
        </w:rPr>
        <w:t xml:space="preserve"> separate coordination </w:t>
      </w:r>
      <w:r w:rsidRPr="00C1712E">
        <w:rPr>
          <w:rFonts w:cs="Arial"/>
          <w:lang w:val="en-GB"/>
        </w:rPr>
        <w:lastRenderedPageBreak/>
        <w:t xml:space="preserve">structure that brings the CSOs of the different UN agencies together was required to enhance coordination at this level. </w:t>
      </w:r>
    </w:p>
    <w:p w:rsidR="00C1712E" w:rsidRPr="00C1712E" w:rsidRDefault="00C1712E" w:rsidP="00C1712E">
      <w:pPr>
        <w:pStyle w:val="NoSpacing"/>
        <w:spacing w:line="276" w:lineRule="auto"/>
        <w:ind w:left="720"/>
        <w:jc w:val="both"/>
        <w:rPr>
          <w:rFonts w:cs="Arial"/>
          <w:lang w:val="en-GB"/>
        </w:rPr>
      </w:pPr>
    </w:p>
    <w:p w:rsidR="00C1712E" w:rsidRPr="00C1712E" w:rsidRDefault="00C1712E" w:rsidP="00C1712E">
      <w:pPr>
        <w:pStyle w:val="NoSpacing"/>
        <w:numPr>
          <w:ilvl w:val="0"/>
          <w:numId w:val="1"/>
        </w:numPr>
        <w:spacing w:line="276" w:lineRule="auto"/>
        <w:jc w:val="both"/>
        <w:rPr>
          <w:rFonts w:cs="Arial"/>
          <w:lang w:val="en-GB"/>
        </w:rPr>
      </w:pPr>
      <w:r w:rsidRPr="00C1712E">
        <w:rPr>
          <w:rFonts w:cs="Arial"/>
          <w:b/>
          <w:lang w:val="en-GB"/>
        </w:rPr>
        <w:t xml:space="preserve">Lesson 8: The JPGBV shows having all UN agencies implementing in similar districts increases potential to realise programme complementarity envisaged in programme design. </w:t>
      </w:r>
      <w:r w:rsidRPr="00C1712E">
        <w:rPr>
          <w:rFonts w:cs="Arial"/>
          <w:lang w:val="en-GB"/>
        </w:rPr>
        <w:t xml:space="preserve">While the JPGBV had some weaknesses in facilitating structured collaborations and complementarities between CSO partners of the different UN agencies, having both UN agencies working in similar districts enhanced opportunities for provision of comprehensive services for women and GBV survivors. </w:t>
      </w:r>
    </w:p>
    <w:p w:rsidR="00C1712E" w:rsidRPr="00C1712E" w:rsidRDefault="00C1712E" w:rsidP="00C1712E">
      <w:pPr>
        <w:pStyle w:val="NoSpacing"/>
        <w:spacing w:line="276" w:lineRule="auto"/>
        <w:ind w:left="720"/>
        <w:jc w:val="both"/>
        <w:rPr>
          <w:rFonts w:cs="Arial"/>
          <w:lang w:val="en-GB"/>
        </w:rPr>
      </w:pPr>
    </w:p>
    <w:p w:rsidR="00C1712E" w:rsidRPr="00C1712E" w:rsidRDefault="00C1712E" w:rsidP="00C1712E">
      <w:pPr>
        <w:pStyle w:val="NoSpacing"/>
        <w:numPr>
          <w:ilvl w:val="0"/>
          <w:numId w:val="2"/>
        </w:numPr>
        <w:spacing w:line="276" w:lineRule="auto"/>
        <w:jc w:val="both"/>
        <w:rPr>
          <w:rFonts w:cs="Arial"/>
          <w:lang w:val="en-GB"/>
        </w:rPr>
      </w:pPr>
      <w:r w:rsidRPr="00C1712E">
        <w:rPr>
          <w:rFonts w:cs="Arial"/>
          <w:b/>
          <w:lang w:val="en-GB"/>
        </w:rPr>
        <w:t xml:space="preserve">Lesson 9: A joint programme can bring unique advantages through technical expertise from each UN agencies. </w:t>
      </w:r>
      <w:r w:rsidRPr="00C1712E">
        <w:rPr>
          <w:rFonts w:cs="Arial"/>
          <w:lang w:val="en-GB"/>
        </w:rPr>
        <w:t xml:space="preserve">For example, using their individual comparative advantages and positioning in the sectors, UNICEF and UN Women enabled the programme to effectively bring stakeholders from child protection, and the victim friendly system and those from the gender sector into one platform – the anti-GBV committee. This would have been difficult to achieve without the joint approach. As observed by the evaluation, the structures are bringing benefits to the anti-GBV agenda in the districts. </w:t>
      </w:r>
    </w:p>
    <w:p w:rsidR="00C1712E" w:rsidRPr="00C1712E" w:rsidRDefault="00C1712E" w:rsidP="00C1712E">
      <w:pPr>
        <w:pStyle w:val="NoSpacing"/>
        <w:spacing w:line="276" w:lineRule="auto"/>
        <w:ind w:left="720"/>
        <w:jc w:val="both"/>
        <w:rPr>
          <w:rFonts w:cs="Arial"/>
          <w:lang w:val="en-GB"/>
        </w:rPr>
      </w:pPr>
    </w:p>
    <w:p w:rsidR="00C1712E" w:rsidRPr="00C1712E" w:rsidRDefault="00C1712E" w:rsidP="00C1712E">
      <w:pPr>
        <w:pStyle w:val="NoSpacing"/>
        <w:numPr>
          <w:ilvl w:val="0"/>
          <w:numId w:val="2"/>
        </w:numPr>
        <w:spacing w:line="276" w:lineRule="auto"/>
        <w:jc w:val="both"/>
        <w:rPr>
          <w:rFonts w:cs="Arial"/>
          <w:lang w:val="en-GB"/>
        </w:rPr>
      </w:pPr>
      <w:r w:rsidRPr="00C1712E">
        <w:rPr>
          <w:rFonts w:cs="Arial"/>
          <w:b/>
          <w:lang w:val="en-GB"/>
        </w:rPr>
        <w:t>Lessons 10: Joint programming means UN agencies have to effectively work with principal government partners in the programme.</w:t>
      </w:r>
      <w:r w:rsidRPr="00C1712E">
        <w:rPr>
          <w:rFonts w:cs="Arial"/>
          <w:lang w:val="en-GB"/>
        </w:rPr>
        <w:t xml:space="preserve"> In the case of the JPGBV UN Women had to work with the Department of Child Welfare and Protection Services while UNICEF needed to engage with the MWAGCD at all levels.</w:t>
      </w:r>
    </w:p>
    <w:p w:rsidR="00C1712E" w:rsidRPr="00C1712E" w:rsidRDefault="00C1712E" w:rsidP="00C1712E">
      <w:pPr>
        <w:pStyle w:val="ListParagraph"/>
        <w:spacing w:line="276" w:lineRule="auto"/>
        <w:rPr>
          <w:rFonts w:asciiTheme="minorHAnsi" w:hAnsiTheme="minorHAnsi" w:cs="Arial"/>
          <w:lang w:val="en-GB"/>
        </w:rPr>
      </w:pPr>
    </w:p>
    <w:p w:rsidR="00C1712E" w:rsidRPr="00C1712E" w:rsidRDefault="00C1712E" w:rsidP="00C1712E">
      <w:pPr>
        <w:pStyle w:val="NoSpacing"/>
        <w:numPr>
          <w:ilvl w:val="0"/>
          <w:numId w:val="2"/>
        </w:numPr>
        <w:spacing w:line="276" w:lineRule="auto"/>
        <w:jc w:val="both"/>
        <w:rPr>
          <w:rFonts w:cs="Arial"/>
          <w:lang w:val="en-GB"/>
        </w:rPr>
      </w:pPr>
      <w:r w:rsidRPr="00C1712E">
        <w:rPr>
          <w:rFonts w:cs="Arial"/>
          <w:b/>
          <w:lang w:val="en-GB"/>
        </w:rPr>
        <w:t>Lesson 11: A joint programme provides opportunities for policy harmonisation in multi-sectoral programmes</w:t>
      </w:r>
      <w:r w:rsidRPr="00C1712E">
        <w:rPr>
          <w:rFonts w:cs="Arial"/>
          <w:lang w:val="en-GB"/>
        </w:rPr>
        <w:t>. In the JPGBV, inconsistencies between the SOPs for Safe Homes for GBV Survivors developed by the MWAGCD (with support from UN Women) and the Children’s Act Safe Placement Procedures for Children administered by the MoPSLSW</w:t>
      </w:r>
      <w:bookmarkStart w:id="4" w:name="_GoBack"/>
      <w:bookmarkEnd w:id="4"/>
      <w:r w:rsidRPr="00C1712E">
        <w:rPr>
          <w:rFonts w:cs="Arial"/>
          <w:lang w:val="en-GB"/>
        </w:rPr>
        <w:t xml:space="preserve">. SOPs encourage shelters for mothers and children while the Children’s Act does not allow adults and children to be in the same shelter. This has undermined placement of young mothers and their children in safe shelters.  Given that UN Women works with MWAGCD and UNICEF works with the MoPSLSW, an opportunity was available to move towards policy coherence using the leverage of the two agencies in their individual sectors.  </w:t>
      </w:r>
    </w:p>
    <w:p w:rsidR="009E6159" w:rsidRDefault="009E6159"/>
    <w:sectPr w:rsidR="009E615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946170"/>
    <w:multiLevelType w:val="multilevel"/>
    <w:tmpl w:val="2D961FC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E925EC7"/>
    <w:multiLevelType w:val="hybridMultilevel"/>
    <w:tmpl w:val="69B0E4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6C873536"/>
    <w:multiLevelType w:val="hybridMultilevel"/>
    <w:tmpl w:val="1FB00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F64611"/>
    <w:multiLevelType w:val="hybridMultilevel"/>
    <w:tmpl w:val="722A1F8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12E"/>
    <w:rsid w:val="004F5F25"/>
    <w:rsid w:val="009E6159"/>
    <w:rsid w:val="00C1712E"/>
    <w:rsid w:val="00D22BF8"/>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F11320-A944-41FC-80CE-861462371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W"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C1712E"/>
    <w:pPr>
      <w:keepNext/>
      <w:keepLines/>
      <w:numPr>
        <w:numId w:val="4"/>
      </w:numPr>
      <w:spacing w:before="480" w:after="0" w:line="276" w:lineRule="auto"/>
      <w:outlineLvl w:val="0"/>
    </w:pPr>
    <w:rPr>
      <w:rFonts w:ascii="Arial" w:eastAsiaTheme="majorEastAsia" w:hAnsi="Arial" w:cstheme="majorBidi"/>
      <w:b/>
      <w:bCs/>
      <w:sz w:val="24"/>
      <w:szCs w:val="24"/>
      <w:lang w:val="en-GB" w:eastAsia="en-ZW"/>
    </w:rPr>
  </w:style>
  <w:style w:type="paragraph" w:styleId="Heading2">
    <w:name w:val="heading 2"/>
    <w:basedOn w:val="Normal"/>
    <w:next w:val="Normal"/>
    <w:link w:val="Heading2Char"/>
    <w:autoRedefine/>
    <w:uiPriority w:val="9"/>
    <w:unhideWhenUsed/>
    <w:qFormat/>
    <w:rsid w:val="00C1712E"/>
    <w:pPr>
      <w:keepNext/>
      <w:keepLines/>
      <w:numPr>
        <w:ilvl w:val="1"/>
        <w:numId w:val="4"/>
      </w:numPr>
      <w:spacing w:before="200" w:after="0" w:line="276" w:lineRule="auto"/>
      <w:outlineLvl w:val="1"/>
    </w:pPr>
    <w:rPr>
      <w:rFonts w:ascii="Arial" w:eastAsiaTheme="majorEastAsia" w:hAnsi="Arial" w:cstheme="majorBidi"/>
      <w:b/>
      <w:bCs/>
      <w:lang w:val="en-GB" w:eastAsia="en-ZW"/>
    </w:rPr>
  </w:style>
  <w:style w:type="paragraph" w:styleId="Heading3">
    <w:name w:val="heading 3"/>
    <w:basedOn w:val="Normal"/>
    <w:next w:val="Normal"/>
    <w:link w:val="Heading3Char"/>
    <w:autoRedefine/>
    <w:uiPriority w:val="9"/>
    <w:unhideWhenUsed/>
    <w:qFormat/>
    <w:rsid w:val="00C1712E"/>
    <w:pPr>
      <w:keepNext/>
      <w:keepLines/>
      <w:numPr>
        <w:ilvl w:val="2"/>
        <w:numId w:val="4"/>
      </w:numPr>
      <w:spacing w:before="200" w:after="0" w:line="276" w:lineRule="auto"/>
      <w:outlineLvl w:val="2"/>
    </w:pPr>
    <w:rPr>
      <w:rFonts w:ascii="Arial" w:eastAsia="Calibri" w:hAnsi="Arial" w:cs="Arial"/>
      <w:bCs/>
      <w:i/>
      <w:lang w:val="en-GB" w:eastAsia="en-ZW"/>
    </w:rPr>
  </w:style>
  <w:style w:type="paragraph" w:styleId="Heading4">
    <w:name w:val="heading 4"/>
    <w:basedOn w:val="Normal"/>
    <w:next w:val="Normal"/>
    <w:link w:val="Heading4Char"/>
    <w:uiPriority w:val="9"/>
    <w:unhideWhenUsed/>
    <w:qFormat/>
    <w:rsid w:val="00C1712E"/>
    <w:pPr>
      <w:keepNext/>
      <w:keepLines/>
      <w:numPr>
        <w:ilvl w:val="3"/>
        <w:numId w:val="4"/>
      </w:numPr>
      <w:spacing w:before="200" w:after="0" w:line="276" w:lineRule="auto"/>
      <w:outlineLvl w:val="3"/>
    </w:pPr>
    <w:rPr>
      <w:rFonts w:asciiTheme="majorHAnsi" w:eastAsiaTheme="majorEastAsia" w:hAnsiTheme="majorHAnsi" w:cstheme="majorBidi"/>
      <w:b/>
      <w:bCs/>
      <w:i/>
      <w:iCs/>
      <w:color w:val="5B9BD5" w:themeColor="accent1"/>
      <w:lang w:eastAsia="en-ZW"/>
    </w:rPr>
  </w:style>
  <w:style w:type="paragraph" w:styleId="Heading5">
    <w:name w:val="heading 5"/>
    <w:basedOn w:val="Normal"/>
    <w:next w:val="Normal"/>
    <w:link w:val="Heading5Char"/>
    <w:uiPriority w:val="9"/>
    <w:semiHidden/>
    <w:unhideWhenUsed/>
    <w:qFormat/>
    <w:rsid w:val="00C1712E"/>
    <w:pPr>
      <w:keepNext/>
      <w:keepLines/>
      <w:numPr>
        <w:ilvl w:val="4"/>
        <w:numId w:val="4"/>
      </w:numPr>
      <w:spacing w:before="200" w:after="0" w:line="276" w:lineRule="auto"/>
      <w:outlineLvl w:val="4"/>
    </w:pPr>
    <w:rPr>
      <w:rFonts w:asciiTheme="majorHAnsi" w:eastAsiaTheme="majorEastAsia" w:hAnsiTheme="majorHAnsi" w:cstheme="majorBidi"/>
      <w:color w:val="1F4D78" w:themeColor="accent1" w:themeShade="7F"/>
      <w:lang w:eastAsia="en-ZW"/>
    </w:rPr>
  </w:style>
  <w:style w:type="paragraph" w:styleId="Heading6">
    <w:name w:val="heading 6"/>
    <w:basedOn w:val="Normal"/>
    <w:next w:val="Normal"/>
    <w:link w:val="Heading6Char"/>
    <w:uiPriority w:val="9"/>
    <w:semiHidden/>
    <w:unhideWhenUsed/>
    <w:qFormat/>
    <w:rsid w:val="00C1712E"/>
    <w:pPr>
      <w:keepNext/>
      <w:keepLines/>
      <w:numPr>
        <w:ilvl w:val="5"/>
        <w:numId w:val="4"/>
      </w:numPr>
      <w:spacing w:before="200" w:after="0" w:line="276" w:lineRule="auto"/>
      <w:outlineLvl w:val="5"/>
    </w:pPr>
    <w:rPr>
      <w:rFonts w:asciiTheme="majorHAnsi" w:eastAsiaTheme="majorEastAsia" w:hAnsiTheme="majorHAnsi" w:cstheme="majorBidi"/>
      <w:i/>
      <w:iCs/>
      <w:color w:val="1F4D78" w:themeColor="accent1" w:themeShade="7F"/>
      <w:lang w:eastAsia="en-ZW"/>
    </w:rPr>
  </w:style>
  <w:style w:type="paragraph" w:styleId="Heading7">
    <w:name w:val="heading 7"/>
    <w:basedOn w:val="Normal"/>
    <w:next w:val="Normal"/>
    <w:link w:val="Heading7Char"/>
    <w:uiPriority w:val="9"/>
    <w:semiHidden/>
    <w:unhideWhenUsed/>
    <w:qFormat/>
    <w:rsid w:val="00C1712E"/>
    <w:pPr>
      <w:keepNext/>
      <w:keepLines/>
      <w:numPr>
        <w:ilvl w:val="6"/>
        <w:numId w:val="4"/>
      </w:numPr>
      <w:spacing w:before="200" w:after="0" w:line="276" w:lineRule="auto"/>
      <w:outlineLvl w:val="6"/>
    </w:pPr>
    <w:rPr>
      <w:rFonts w:asciiTheme="majorHAnsi" w:eastAsiaTheme="majorEastAsia" w:hAnsiTheme="majorHAnsi" w:cstheme="majorBidi"/>
      <w:i/>
      <w:iCs/>
      <w:color w:val="404040" w:themeColor="text1" w:themeTint="BF"/>
      <w:lang w:eastAsia="en-ZW"/>
    </w:rPr>
  </w:style>
  <w:style w:type="paragraph" w:styleId="Heading8">
    <w:name w:val="heading 8"/>
    <w:basedOn w:val="Normal"/>
    <w:next w:val="Normal"/>
    <w:link w:val="Heading8Char"/>
    <w:uiPriority w:val="9"/>
    <w:semiHidden/>
    <w:unhideWhenUsed/>
    <w:qFormat/>
    <w:rsid w:val="00C1712E"/>
    <w:pPr>
      <w:keepNext/>
      <w:keepLines/>
      <w:numPr>
        <w:ilvl w:val="7"/>
        <w:numId w:val="4"/>
      </w:numPr>
      <w:spacing w:before="200" w:after="0" w:line="276" w:lineRule="auto"/>
      <w:outlineLvl w:val="7"/>
    </w:pPr>
    <w:rPr>
      <w:rFonts w:asciiTheme="majorHAnsi" w:eastAsiaTheme="majorEastAsia" w:hAnsiTheme="majorHAnsi" w:cstheme="majorBidi"/>
      <w:color w:val="404040" w:themeColor="text1" w:themeTint="BF"/>
      <w:sz w:val="20"/>
      <w:szCs w:val="20"/>
      <w:lang w:eastAsia="en-ZW"/>
    </w:rPr>
  </w:style>
  <w:style w:type="paragraph" w:styleId="Heading9">
    <w:name w:val="heading 9"/>
    <w:basedOn w:val="Normal"/>
    <w:next w:val="Normal"/>
    <w:link w:val="Heading9Char"/>
    <w:uiPriority w:val="9"/>
    <w:semiHidden/>
    <w:unhideWhenUsed/>
    <w:qFormat/>
    <w:rsid w:val="00C1712E"/>
    <w:pPr>
      <w:keepNext/>
      <w:keepLines/>
      <w:numPr>
        <w:ilvl w:val="8"/>
        <w:numId w:val="4"/>
      </w:numPr>
      <w:spacing w:before="200" w:after="0" w:line="276" w:lineRule="auto"/>
      <w:outlineLvl w:val="8"/>
    </w:pPr>
    <w:rPr>
      <w:rFonts w:asciiTheme="majorHAnsi" w:eastAsiaTheme="majorEastAsia" w:hAnsiTheme="majorHAnsi" w:cstheme="majorBidi"/>
      <w:i/>
      <w:iCs/>
      <w:color w:val="404040" w:themeColor="text1" w:themeTint="BF"/>
      <w:sz w:val="20"/>
      <w:szCs w:val="20"/>
      <w:lang w:eastAsia="en-Z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12E"/>
    <w:rPr>
      <w:rFonts w:ascii="Arial" w:eastAsiaTheme="majorEastAsia" w:hAnsi="Arial" w:cstheme="majorBidi"/>
      <w:b/>
      <w:bCs/>
      <w:sz w:val="24"/>
      <w:szCs w:val="24"/>
      <w:lang w:val="en-GB" w:eastAsia="en-ZW"/>
    </w:rPr>
  </w:style>
  <w:style w:type="character" w:customStyle="1" w:styleId="Heading2Char">
    <w:name w:val="Heading 2 Char"/>
    <w:basedOn w:val="DefaultParagraphFont"/>
    <w:link w:val="Heading2"/>
    <w:uiPriority w:val="9"/>
    <w:rsid w:val="00C1712E"/>
    <w:rPr>
      <w:rFonts w:ascii="Arial" w:eastAsiaTheme="majorEastAsia" w:hAnsi="Arial" w:cstheme="majorBidi"/>
      <w:b/>
      <w:bCs/>
      <w:lang w:val="en-GB" w:eastAsia="en-ZW"/>
    </w:rPr>
  </w:style>
  <w:style w:type="character" w:customStyle="1" w:styleId="Heading3Char">
    <w:name w:val="Heading 3 Char"/>
    <w:basedOn w:val="DefaultParagraphFont"/>
    <w:link w:val="Heading3"/>
    <w:uiPriority w:val="9"/>
    <w:rsid w:val="00C1712E"/>
    <w:rPr>
      <w:rFonts w:ascii="Arial" w:eastAsia="Calibri" w:hAnsi="Arial" w:cs="Arial"/>
      <w:bCs/>
      <w:i/>
      <w:lang w:val="en-GB" w:eastAsia="en-ZW"/>
    </w:rPr>
  </w:style>
  <w:style w:type="character" w:customStyle="1" w:styleId="Heading4Char">
    <w:name w:val="Heading 4 Char"/>
    <w:basedOn w:val="DefaultParagraphFont"/>
    <w:link w:val="Heading4"/>
    <w:uiPriority w:val="9"/>
    <w:rsid w:val="00C1712E"/>
    <w:rPr>
      <w:rFonts w:asciiTheme="majorHAnsi" w:eastAsiaTheme="majorEastAsia" w:hAnsiTheme="majorHAnsi" w:cstheme="majorBidi"/>
      <w:b/>
      <w:bCs/>
      <w:i/>
      <w:iCs/>
      <w:color w:val="5B9BD5" w:themeColor="accent1"/>
      <w:lang w:eastAsia="en-ZW"/>
    </w:rPr>
  </w:style>
  <w:style w:type="character" w:customStyle="1" w:styleId="Heading5Char">
    <w:name w:val="Heading 5 Char"/>
    <w:basedOn w:val="DefaultParagraphFont"/>
    <w:link w:val="Heading5"/>
    <w:uiPriority w:val="9"/>
    <w:semiHidden/>
    <w:rsid w:val="00C1712E"/>
    <w:rPr>
      <w:rFonts w:asciiTheme="majorHAnsi" w:eastAsiaTheme="majorEastAsia" w:hAnsiTheme="majorHAnsi" w:cstheme="majorBidi"/>
      <w:color w:val="1F4D78" w:themeColor="accent1" w:themeShade="7F"/>
      <w:lang w:eastAsia="en-ZW"/>
    </w:rPr>
  </w:style>
  <w:style w:type="character" w:customStyle="1" w:styleId="Heading6Char">
    <w:name w:val="Heading 6 Char"/>
    <w:basedOn w:val="DefaultParagraphFont"/>
    <w:link w:val="Heading6"/>
    <w:uiPriority w:val="9"/>
    <w:semiHidden/>
    <w:rsid w:val="00C1712E"/>
    <w:rPr>
      <w:rFonts w:asciiTheme="majorHAnsi" w:eastAsiaTheme="majorEastAsia" w:hAnsiTheme="majorHAnsi" w:cstheme="majorBidi"/>
      <w:i/>
      <w:iCs/>
      <w:color w:val="1F4D78" w:themeColor="accent1" w:themeShade="7F"/>
      <w:lang w:eastAsia="en-ZW"/>
    </w:rPr>
  </w:style>
  <w:style w:type="character" w:customStyle="1" w:styleId="Heading7Char">
    <w:name w:val="Heading 7 Char"/>
    <w:basedOn w:val="DefaultParagraphFont"/>
    <w:link w:val="Heading7"/>
    <w:uiPriority w:val="9"/>
    <w:semiHidden/>
    <w:rsid w:val="00C1712E"/>
    <w:rPr>
      <w:rFonts w:asciiTheme="majorHAnsi" w:eastAsiaTheme="majorEastAsia" w:hAnsiTheme="majorHAnsi" w:cstheme="majorBidi"/>
      <w:i/>
      <w:iCs/>
      <w:color w:val="404040" w:themeColor="text1" w:themeTint="BF"/>
      <w:lang w:eastAsia="en-ZW"/>
    </w:rPr>
  </w:style>
  <w:style w:type="character" w:customStyle="1" w:styleId="Heading8Char">
    <w:name w:val="Heading 8 Char"/>
    <w:basedOn w:val="DefaultParagraphFont"/>
    <w:link w:val="Heading8"/>
    <w:uiPriority w:val="9"/>
    <w:semiHidden/>
    <w:rsid w:val="00C1712E"/>
    <w:rPr>
      <w:rFonts w:asciiTheme="majorHAnsi" w:eastAsiaTheme="majorEastAsia" w:hAnsiTheme="majorHAnsi" w:cstheme="majorBidi"/>
      <w:color w:val="404040" w:themeColor="text1" w:themeTint="BF"/>
      <w:sz w:val="20"/>
      <w:szCs w:val="20"/>
      <w:lang w:eastAsia="en-ZW"/>
    </w:rPr>
  </w:style>
  <w:style w:type="character" w:customStyle="1" w:styleId="Heading9Char">
    <w:name w:val="Heading 9 Char"/>
    <w:basedOn w:val="DefaultParagraphFont"/>
    <w:link w:val="Heading9"/>
    <w:uiPriority w:val="9"/>
    <w:semiHidden/>
    <w:rsid w:val="00C1712E"/>
    <w:rPr>
      <w:rFonts w:asciiTheme="majorHAnsi" w:eastAsiaTheme="majorEastAsia" w:hAnsiTheme="majorHAnsi" w:cstheme="majorBidi"/>
      <w:i/>
      <w:iCs/>
      <w:color w:val="404040" w:themeColor="text1" w:themeTint="BF"/>
      <w:sz w:val="20"/>
      <w:szCs w:val="20"/>
      <w:lang w:eastAsia="en-ZW"/>
    </w:rPr>
  </w:style>
  <w:style w:type="paragraph" w:styleId="NoSpacing">
    <w:name w:val="No Spacing"/>
    <w:link w:val="NoSpacingChar"/>
    <w:uiPriority w:val="1"/>
    <w:qFormat/>
    <w:rsid w:val="00C1712E"/>
    <w:pPr>
      <w:spacing w:after="0" w:line="240" w:lineRule="auto"/>
    </w:pPr>
    <w:rPr>
      <w:rFonts w:eastAsiaTheme="minorEastAsia"/>
      <w:lang w:eastAsia="en-ZW"/>
    </w:rPr>
  </w:style>
  <w:style w:type="paragraph" w:styleId="ListParagraph">
    <w:name w:val="List Paragraph"/>
    <w:basedOn w:val="Normal"/>
    <w:uiPriority w:val="34"/>
    <w:qFormat/>
    <w:rsid w:val="00C1712E"/>
    <w:pPr>
      <w:widowControl w:val="0"/>
      <w:overflowPunct w:val="0"/>
      <w:adjustRightInd w:val="0"/>
      <w:spacing w:after="0" w:line="240" w:lineRule="auto"/>
      <w:ind w:left="720"/>
      <w:contextualSpacing/>
    </w:pPr>
    <w:rPr>
      <w:rFonts w:ascii="Times New Roman" w:eastAsia="Times New Roman" w:hAnsi="Times New Roman" w:cs="Times New Roman"/>
      <w:kern w:val="28"/>
      <w:sz w:val="24"/>
      <w:szCs w:val="24"/>
      <w:lang w:eastAsia="en-ZW"/>
    </w:rPr>
  </w:style>
  <w:style w:type="character" w:customStyle="1" w:styleId="NoSpacingChar">
    <w:name w:val="No Spacing Char"/>
    <w:link w:val="NoSpacing"/>
    <w:uiPriority w:val="1"/>
    <w:rsid w:val="00C1712E"/>
    <w:rPr>
      <w:rFonts w:eastAsiaTheme="minorEastAsia"/>
      <w:lang w:eastAsia="en-Z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759</Words>
  <Characters>4329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Yeukai Huchu</dc:creator>
  <cp:keywords/>
  <dc:description/>
  <cp:lastModifiedBy>Yeukai Huchu</cp:lastModifiedBy>
  <cp:revision>3</cp:revision>
  <dcterms:created xsi:type="dcterms:W3CDTF">2016-12-29T13:34:00Z</dcterms:created>
  <dcterms:modified xsi:type="dcterms:W3CDTF">2016-12-29T13:40:00Z</dcterms:modified>
</cp:coreProperties>
</file>