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D29" w:rsidRDefault="00B62FAB">
      <w:pPr>
        <w:pStyle w:val="NoSpacing"/>
        <w:jc w:val="center"/>
      </w:pPr>
      <w:r>
        <w:t xml:space="preserve"> </w:t>
      </w:r>
      <w:r>
        <w:rPr>
          <w:noProof/>
        </w:rPr>
        <w:drawing>
          <wp:inline distT="0" distB="0" distL="0" distR="0">
            <wp:extent cx="2457450" cy="546100"/>
            <wp:effectExtent l="0" t="0" r="0" b="0"/>
            <wp:docPr id="1" name="Picture 1" descr="C:\Users\caroline.h\Desktop\FGE Logo -  BLUE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caroline.h\Desktop\FGE Logo -  BLUE ENGLISH.png"/>
                    <pic:cNvPicPr>
                      <a:picLocks noChangeAspect="1" noChangeArrowheads="1"/>
                    </pic:cNvPicPr>
                  </pic:nvPicPr>
                  <pic:blipFill>
                    <a:blip r:embed="rId11"/>
                    <a:stretch>
                      <a:fillRect/>
                    </a:stretch>
                  </pic:blipFill>
                  <pic:spPr bwMode="auto">
                    <a:xfrm>
                      <a:off x="0" y="0"/>
                      <a:ext cx="2457450" cy="546100"/>
                    </a:xfrm>
                    <a:prstGeom prst="rect">
                      <a:avLst/>
                    </a:prstGeom>
                  </pic:spPr>
                </pic:pic>
              </a:graphicData>
            </a:graphic>
          </wp:inline>
        </w:drawing>
      </w:r>
    </w:p>
    <w:p w:rsidR="00157D29" w:rsidRDefault="00B62FAB">
      <w:pPr>
        <w:spacing w:line="360" w:lineRule="auto"/>
        <w:jc w:val="center"/>
        <w:rPr>
          <w:rFonts w:asciiTheme="minorHAnsi" w:hAnsiTheme="minorHAnsi"/>
          <w:b/>
          <w:sz w:val="22"/>
          <w:szCs w:val="22"/>
        </w:rPr>
      </w:pPr>
      <w:r>
        <w:rPr>
          <w:rFonts w:asciiTheme="minorHAnsi" w:hAnsiTheme="minorHAnsi"/>
          <w:b/>
          <w:sz w:val="22"/>
          <w:szCs w:val="22"/>
        </w:rPr>
        <w:t xml:space="preserve">Terms of Reference </w:t>
      </w:r>
    </w:p>
    <w:p w:rsidR="00157D29" w:rsidRDefault="00B62FAB">
      <w:pPr>
        <w:spacing w:line="360" w:lineRule="auto"/>
        <w:jc w:val="center"/>
        <w:rPr>
          <w:rFonts w:asciiTheme="minorHAnsi" w:eastAsiaTheme="minorHAnsi" w:hAnsiTheme="minorHAnsi"/>
          <w:b/>
          <w:color w:val="000000"/>
          <w:sz w:val="22"/>
          <w:szCs w:val="22"/>
        </w:rPr>
      </w:pPr>
      <w:r>
        <w:rPr>
          <w:rFonts w:asciiTheme="minorHAnsi" w:eastAsiaTheme="minorHAnsi" w:hAnsiTheme="minorHAnsi"/>
          <w:b/>
          <w:color w:val="000000"/>
          <w:sz w:val="22"/>
          <w:szCs w:val="22"/>
        </w:rPr>
        <w:t xml:space="preserve">Fund for Gender Equality Global Evaluation </w:t>
      </w:r>
    </w:p>
    <w:p w:rsidR="00157D29" w:rsidRDefault="00157D29">
      <w:pPr>
        <w:jc w:val="both"/>
        <w:rPr>
          <w:rFonts w:asciiTheme="minorHAnsi" w:eastAsiaTheme="minorHAnsi" w:hAnsiTheme="minorHAnsi"/>
          <w:color w:val="000000"/>
          <w:sz w:val="22"/>
          <w:szCs w:val="22"/>
        </w:rPr>
      </w:pPr>
    </w:p>
    <w:p w:rsidR="00157D29" w:rsidRDefault="00B62FAB">
      <w:pPr>
        <w:numPr>
          <w:ilvl w:val="0"/>
          <w:numId w:val="1"/>
        </w:numPr>
        <w:spacing w:after="200" w:line="276" w:lineRule="auto"/>
        <w:jc w:val="both"/>
        <w:rPr>
          <w:rFonts w:asciiTheme="minorHAnsi" w:eastAsiaTheme="minorHAnsi" w:hAnsiTheme="minorHAnsi"/>
          <w:b/>
          <w:color w:val="000000"/>
          <w:sz w:val="22"/>
          <w:szCs w:val="22"/>
        </w:rPr>
      </w:pPr>
      <w:r>
        <w:rPr>
          <w:rFonts w:asciiTheme="minorHAnsi" w:eastAsiaTheme="minorHAnsi" w:hAnsiTheme="minorHAnsi"/>
          <w:b/>
          <w:color w:val="000000"/>
          <w:sz w:val="22"/>
          <w:szCs w:val="22"/>
        </w:rPr>
        <w:t>BACKGROUND</w:t>
      </w:r>
    </w:p>
    <w:p w:rsidR="00157D29" w:rsidRDefault="00B62FAB">
      <w:pPr>
        <w:pStyle w:val="CommentText"/>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the UN Women leads and coordinates the United Nations system-wide efforts to ensure that commitments on gender equality and gender mainstreaming translate into action. It provides strong and coherent leadership and technical advice in support of Member States’ priorities and efforts, building effective partnerships with civil society and other relevant actors. </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The United Nations Entity for Gender Equality and the Empowerment of Women (UN Women) is dedicated to the achievement of gender equality and the empowerment of women. The mandate and functions of UN Women call for the promotion of organizational and UN system accountability on gender equality through evaluation, strengthening evaluation capacities and learning from evaluation, and developing systems to measure the results and impact of UN-Women with its enhanced role at the country, regional and global levels.</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UN Women’s multi-donor Fund for Gender Equality (FGE) was launched in 2009 to fast-track commitments to gender equality focused on women’s economic and political empowerment at local, national and regional levels. The Fund provides multi-year grants ranging from US $200,000 – US $1 million directly to women’s organizations</w:t>
      </w:r>
      <w:r>
        <w:rPr>
          <w:rStyle w:val="Ancladenotaalpie"/>
          <w:rFonts w:asciiTheme="minorHAnsi" w:eastAsiaTheme="minorHAnsi" w:hAnsiTheme="minorHAnsi"/>
          <w:color w:val="000000"/>
          <w:sz w:val="22"/>
          <w:szCs w:val="22"/>
        </w:rPr>
        <w:footnoteReference w:id="1"/>
      </w:r>
      <w:r>
        <w:rPr>
          <w:rFonts w:asciiTheme="minorHAnsi" w:eastAsiaTheme="minorHAnsi" w:hAnsiTheme="minorHAnsi"/>
          <w:color w:val="000000"/>
          <w:sz w:val="22"/>
          <w:szCs w:val="22"/>
        </w:rPr>
        <w:t xml:space="preserve"> in developing countries; it is dedicated to advancing the economic and political empowerment of women around the world, specifically those in marginalized and vulnerable positions. The Fund is sustained through generous support from Governments (such as Spain, Germany, Switzerland, and Japan) as well as private sector partners (such as </w:t>
      </w:r>
      <w:proofErr w:type="spellStart"/>
      <w:r>
        <w:rPr>
          <w:rFonts w:asciiTheme="minorHAnsi" w:eastAsiaTheme="minorHAnsi" w:hAnsiTheme="minorHAnsi"/>
          <w:color w:val="000000"/>
          <w:sz w:val="22"/>
          <w:szCs w:val="22"/>
        </w:rPr>
        <w:t>Angélica</w:t>
      </w:r>
      <w:proofErr w:type="spellEnd"/>
      <w:r>
        <w:rPr>
          <w:rFonts w:asciiTheme="minorHAnsi" w:eastAsiaTheme="minorHAnsi" w:hAnsiTheme="minorHAnsi"/>
          <w:color w:val="000000"/>
          <w:sz w:val="22"/>
          <w:szCs w:val="22"/>
        </w:rPr>
        <w:t xml:space="preserve"> Fuentes Foundation, Chanel Foundation and </w:t>
      </w:r>
      <w:proofErr w:type="spellStart"/>
      <w:r>
        <w:rPr>
          <w:rFonts w:asciiTheme="minorHAnsi" w:eastAsiaTheme="minorHAnsi" w:hAnsiTheme="minorHAnsi"/>
          <w:color w:val="000000"/>
          <w:sz w:val="22"/>
          <w:szCs w:val="22"/>
        </w:rPr>
        <w:t>Fondation</w:t>
      </w:r>
      <w:proofErr w:type="spellEnd"/>
      <w:r>
        <w:rPr>
          <w:rFonts w:asciiTheme="minorHAnsi" w:eastAsiaTheme="minorHAnsi" w:hAnsiTheme="minorHAnsi"/>
          <w:color w:val="000000"/>
          <w:sz w:val="22"/>
          <w:szCs w:val="22"/>
        </w:rPr>
        <w:t xml:space="preserve"> </w:t>
      </w:r>
      <w:proofErr w:type="spellStart"/>
      <w:r>
        <w:rPr>
          <w:rFonts w:asciiTheme="minorHAnsi" w:eastAsiaTheme="minorHAnsi" w:hAnsiTheme="minorHAnsi"/>
          <w:color w:val="000000"/>
          <w:sz w:val="22"/>
          <w:szCs w:val="22"/>
        </w:rPr>
        <w:t>l’Occitane</w:t>
      </w:r>
      <w:proofErr w:type="spellEnd"/>
      <w:r>
        <w:rPr>
          <w:rStyle w:val="Ancladenotaalpie"/>
          <w:rFonts w:asciiTheme="minorHAnsi" w:eastAsiaTheme="minorHAnsi" w:hAnsiTheme="minorHAnsi"/>
          <w:color w:val="000000"/>
          <w:sz w:val="22"/>
          <w:szCs w:val="22"/>
        </w:rPr>
        <w:footnoteReference w:id="2"/>
      </w:r>
      <w:r>
        <w:rPr>
          <w:rFonts w:asciiTheme="minorHAnsi" w:eastAsiaTheme="minorHAnsi" w:hAnsiTheme="minorHAnsi"/>
          <w:color w:val="000000"/>
          <w:sz w:val="22"/>
          <w:szCs w:val="22"/>
        </w:rPr>
        <w:t>).</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The Fund provides grants on a competitive basis directly to civil society organizations to transform legal commitments into tangible actions that have a positive impact on the lives of women and girls around the world. Its mandate seeks to further the Beijing Platform for Action, the UN Convention on the Elimination of All Forms of Discrimination against Women (CEDAW), the Sustainable Development Goals (SDGs) (and previously the Millennium Development Goals - MDGs), Security Council Resolutions 1325 and 1820, and other international normative frameworks. </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Across these grants, the Fund advances two major inter-related </w:t>
      </w:r>
      <w:proofErr w:type="spellStart"/>
      <w:r>
        <w:rPr>
          <w:rFonts w:asciiTheme="minorHAnsi" w:eastAsiaTheme="minorHAnsi" w:hAnsiTheme="minorHAnsi"/>
          <w:color w:val="000000"/>
          <w:sz w:val="22"/>
          <w:szCs w:val="22"/>
        </w:rPr>
        <w:t>programme</w:t>
      </w:r>
      <w:proofErr w:type="spellEnd"/>
      <w:r>
        <w:rPr>
          <w:rFonts w:asciiTheme="minorHAnsi" w:eastAsiaTheme="minorHAnsi" w:hAnsiTheme="minorHAnsi"/>
          <w:color w:val="000000"/>
          <w:sz w:val="22"/>
          <w:szCs w:val="22"/>
        </w:rPr>
        <w:t xml:space="preserve"> priority areas: </w:t>
      </w:r>
    </w:p>
    <w:p w:rsidR="00157D29" w:rsidRDefault="00B62FAB">
      <w:pPr>
        <w:pStyle w:val="ListParagraph"/>
        <w:numPr>
          <w:ilvl w:val="0"/>
          <w:numId w:val="2"/>
        </w:numPr>
        <w:jc w:val="both"/>
        <w:rPr>
          <w:rFonts w:asciiTheme="minorHAnsi" w:eastAsiaTheme="minorHAnsi" w:hAnsiTheme="minorHAnsi"/>
          <w:color w:val="000000"/>
          <w:sz w:val="22"/>
          <w:szCs w:val="22"/>
        </w:rPr>
      </w:pPr>
      <w:proofErr w:type="spellStart"/>
      <w:r>
        <w:rPr>
          <w:rFonts w:asciiTheme="minorHAnsi" w:eastAsiaTheme="minorHAnsi" w:hAnsiTheme="minorHAnsi"/>
          <w:b/>
          <w:color w:val="000000"/>
          <w:sz w:val="22"/>
          <w:szCs w:val="22"/>
        </w:rPr>
        <w:t>Programmes</w:t>
      </w:r>
      <w:proofErr w:type="spellEnd"/>
      <w:r>
        <w:rPr>
          <w:rFonts w:asciiTheme="minorHAnsi" w:eastAsiaTheme="minorHAnsi" w:hAnsiTheme="minorHAnsi"/>
          <w:b/>
          <w:color w:val="000000"/>
          <w:sz w:val="22"/>
          <w:szCs w:val="22"/>
        </w:rPr>
        <w:t xml:space="preserve"> focused on women’s political empowerment (WPE)</w:t>
      </w:r>
      <w:r>
        <w:rPr>
          <w:rFonts w:asciiTheme="minorHAnsi" w:eastAsiaTheme="minorHAnsi" w:hAnsiTheme="minorHAnsi"/>
          <w:color w:val="000000"/>
          <w:sz w:val="22"/>
          <w:szCs w:val="22"/>
        </w:rPr>
        <w:t xml:space="preserve"> aim to increase women’s political participation and good governance to ensure that decision-making processes are </w:t>
      </w:r>
      <w:r>
        <w:rPr>
          <w:rFonts w:asciiTheme="minorHAnsi" w:eastAsiaTheme="minorHAnsi" w:hAnsiTheme="minorHAnsi"/>
          <w:color w:val="000000"/>
          <w:sz w:val="22"/>
          <w:szCs w:val="22"/>
        </w:rPr>
        <w:lastRenderedPageBreak/>
        <w:t>participatory, gender responsive, equitable and inclusive, increasing women’s leadership and influence over decision-making in all spheres of life, and transforming gender equality policies into concrete systems for implementation to advance gender justice.</w:t>
      </w:r>
    </w:p>
    <w:p w:rsidR="00157D29" w:rsidRDefault="00B62FAB">
      <w:pPr>
        <w:pStyle w:val="ListParagraph"/>
        <w:numPr>
          <w:ilvl w:val="0"/>
          <w:numId w:val="2"/>
        </w:numPr>
        <w:jc w:val="both"/>
        <w:rPr>
          <w:rFonts w:asciiTheme="minorHAnsi" w:eastAsiaTheme="minorHAnsi" w:hAnsiTheme="minorHAnsi"/>
          <w:color w:val="000000"/>
          <w:sz w:val="22"/>
          <w:szCs w:val="22"/>
        </w:rPr>
      </w:pPr>
      <w:r>
        <w:rPr>
          <w:rFonts w:asciiTheme="minorHAnsi" w:eastAsiaTheme="minorHAnsi" w:hAnsiTheme="minorHAnsi"/>
          <w:b/>
          <w:color w:val="000000"/>
          <w:sz w:val="22"/>
          <w:szCs w:val="22"/>
        </w:rPr>
        <w:t xml:space="preserve">Grants awarded for women’s economic empowerment (WEE) </w:t>
      </w:r>
      <w:r>
        <w:rPr>
          <w:rFonts w:asciiTheme="minorHAnsi" w:eastAsiaTheme="minorHAnsi" w:hAnsiTheme="minorHAnsi"/>
          <w:color w:val="000000"/>
          <w:sz w:val="22"/>
          <w:szCs w:val="22"/>
        </w:rPr>
        <w:t>seek to substantially increase women’s access to and control over economic decision-making, land, labor, livelihoods and other means of production and social protections, especially for women in situations of marginalization.</w:t>
      </w:r>
    </w:p>
    <w:p w:rsidR="00157D29" w:rsidRDefault="00157D29">
      <w:pPr>
        <w:jc w:val="both"/>
        <w:rPr>
          <w:rFonts w:asciiTheme="minorHAnsi" w:eastAsiaTheme="minorHAnsi" w:hAnsiTheme="minorHAnsi"/>
          <w:color w:val="000000"/>
          <w:sz w:val="22"/>
          <w:szCs w:val="22"/>
        </w:rPr>
      </w:pP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Since its launch in 2009, the Fund has delivered USD 64 million in grants to 120 grantee </w:t>
      </w:r>
      <w:proofErr w:type="spellStart"/>
      <w:r>
        <w:rPr>
          <w:rFonts w:asciiTheme="minorHAnsi" w:eastAsiaTheme="minorHAnsi" w:hAnsiTheme="minorHAnsi"/>
          <w:color w:val="000000"/>
          <w:sz w:val="22"/>
          <w:szCs w:val="22"/>
        </w:rPr>
        <w:t>programmes</w:t>
      </w:r>
      <w:proofErr w:type="spellEnd"/>
      <w:r>
        <w:rPr>
          <w:rFonts w:asciiTheme="minorHAnsi" w:eastAsiaTheme="minorHAnsi" w:hAnsiTheme="minorHAnsi"/>
          <w:color w:val="000000"/>
          <w:sz w:val="22"/>
          <w:szCs w:val="22"/>
        </w:rPr>
        <w:t xml:space="preserve"> in 80 countries, reaching to more than 10 million direct beneficiaries. Most recently, in 2015, the Fund for Gender Equality awarded USD 7.3 million in grants to 24 top-quality </w:t>
      </w:r>
      <w:proofErr w:type="spellStart"/>
      <w:r>
        <w:rPr>
          <w:rFonts w:asciiTheme="minorHAnsi" w:eastAsiaTheme="minorHAnsi" w:hAnsiTheme="minorHAnsi"/>
          <w:color w:val="000000"/>
          <w:sz w:val="22"/>
          <w:szCs w:val="22"/>
        </w:rPr>
        <w:t>programmes</w:t>
      </w:r>
      <w:proofErr w:type="spellEnd"/>
      <w:r>
        <w:rPr>
          <w:rFonts w:asciiTheme="minorHAnsi" w:eastAsiaTheme="minorHAnsi" w:hAnsiTheme="minorHAnsi"/>
          <w:color w:val="000000"/>
          <w:sz w:val="22"/>
          <w:szCs w:val="22"/>
        </w:rPr>
        <w:t xml:space="preserve"> to be implemented in 2016-2018 in six regions – East and Southern Africa, West and Central Africa, Americas and the Caribbean, Arab States, Asia and the Pacific, and Europe and Central Asia. The 24 new </w:t>
      </w:r>
      <w:proofErr w:type="spellStart"/>
      <w:r>
        <w:rPr>
          <w:rFonts w:asciiTheme="minorHAnsi" w:eastAsiaTheme="minorHAnsi" w:hAnsiTheme="minorHAnsi"/>
          <w:color w:val="000000"/>
          <w:sz w:val="22"/>
          <w:szCs w:val="22"/>
        </w:rPr>
        <w:t>programmes</w:t>
      </w:r>
      <w:proofErr w:type="spellEnd"/>
      <w:r>
        <w:rPr>
          <w:rFonts w:asciiTheme="minorHAnsi" w:eastAsiaTheme="minorHAnsi" w:hAnsiTheme="minorHAnsi"/>
          <w:color w:val="000000"/>
          <w:sz w:val="22"/>
          <w:szCs w:val="22"/>
        </w:rPr>
        <w:t xml:space="preserve"> will reach more than 325,000 direct beneficiaries, of which 45 per cent come from low-income countries and approximately 53 per cent are based in fragile states.</w:t>
      </w:r>
    </w:p>
    <w:p w:rsidR="00157D29" w:rsidRDefault="00157D29">
      <w:pPr>
        <w:jc w:val="both"/>
        <w:rPr>
          <w:rFonts w:asciiTheme="minorHAnsi" w:eastAsiaTheme="minorHAnsi" w:hAnsiTheme="minorHAnsi"/>
          <w:color w:val="000000"/>
          <w:sz w:val="22"/>
          <w:szCs w:val="22"/>
        </w:rPr>
      </w:pPr>
    </w:p>
    <w:p w:rsidR="00157D29" w:rsidRDefault="00157D29">
      <w:pPr>
        <w:jc w:val="both"/>
        <w:rPr>
          <w:rFonts w:asciiTheme="minorHAnsi" w:eastAsiaTheme="minorHAnsi" w:hAnsiTheme="minorHAnsi"/>
          <w:color w:val="000000"/>
          <w:sz w:val="22"/>
          <w:szCs w:val="22"/>
        </w:rPr>
      </w:pPr>
    </w:p>
    <w:p w:rsidR="00157D29" w:rsidRDefault="00B62FAB">
      <w:pPr>
        <w:pStyle w:val="ListParagraph"/>
        <w:numPr>
          <w:ilvl w:val="0"/>
          <w:numId w:val="1"/>
        </w:numPr>
        <w:jc w:val="both"/>
        <w:rPr>
          <w:rFonts w:asciiTheme="minorHAnsi" w:eastAsiaTheme="minorHAnsi" w:hAnsiTheme="minorHAnsi"/>
          <w:b/>
          <w:color w:val="000000"/>
          <w:sz w:val="22"/>
          <w:szCs w:val="22"/>
        </w:rPr>
      </w:pPr>
      <w:r>
        <w:rPr>
          <w:rFonts w:asciiTheme="minorHAnsi" w:eastAsiaTheme="minorHAnsi" w:hAnsiTheme="minorHAnsi"/>
          <w:b/>
          <w:color w:val="000000"/>
          <w:sz w:val="22"/>
          <w:szCs w:val="22"/>
        </w:rPr>
        <w:t>JUSTIFICATION, PURPOSE AND OBJECTIVES OF THE EVALUATION</w:t>
      </w:r>
    </w:p>
    <w:p w:rsidR="00157D29" w:rsidRDefault="00157D29">
      <w:pPr>
        <w:pStyle w:val="ListParagraph"/>
        <w:ind w:left="360"/>
        <w:jc w:val="both"/>
        <w:rPr>
          <w:rFonts w:asciiTheme="minorHAnsi" w:eastAsiaTheme="minorHAnsi" w:hAnsiTheme="minorHAnsi"/>
          <w:b/>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The Fund was established as a bold investment in women’s rights, testing a more focused and better-resourced modality for catalyzing and sustaining gender equality efforts. Its 2014-2017 </w:t>
      </w:r>
      <w:proofErr w:type="spellStart"/>
      <w:r>
        <w:rPr>
          <w:rFonts w:asciiTheme="minorHAnsi" w:eastAsiaTheme="minorHAnsi" w:hAnsiTheme="minorHAnsi"/>
          <w:color w:val="000000"/>
          <w:sz w:val="22"/>
          <w:szCs w:val="22"/>
        </w:rPr>
        <w:t>Programme</w:t>
      </w:r>
      <w:proofErr w:type="spellEnd"/>
      <w:r>
        <w:rPr>
          <w:rFonts w:asciiTheme="minorHAnsi" w:eastAsiaTheme="minorHAnsi" w:hAnsiTheme="minorHAnsi"/>
          <w:color w:val="000000"/>
          <w:sz w:val="22"/>
          <w:szCs w:val="22"/>
        </w:rPr>
        <w:t xml:space="preserve"> Document (</w:t>
      </w:r>
      <w:proofErr w:type="spellStart"/>
      <w:r>
        <w:rPr>
          <w:rFonts w:asciiTheme="minorHAnsi" w:eastAsiaTheme="minorHAnsi" w:hAnsiTheme="minorHAnsi"/>
          <w:color w:val="000000"/>
          <w:sz w:val="22"/>
          <w:szCs w:val="22"/>
        </w:rPr>
        <w:t>Prodoc</w:t>
      </w:r>
      <w:proofErr w:type="spellEnd"/>
      <w:r>
        <w:rPr>
          <w:rFonts w:asciiTheme="minorHAnsi" w:eastAsiaTheme="minorHAnsi" w:hAnsiTheme="minorHAnsi"/>
          <w:color w:val="000000"/>
          <w:sz w:val="22"/>
          <w:szCs w:val="22"/>
        </w:rPr>
        <w:t xml:space="preserve">) sets forth its mandate to track, assess, and widely share the lessons learned from this pioneering grant </w:t>
      </w:r>
      <w:proofErr w:type="spellStart"/>
      <w:r>
        <w:rPr>
          <w:rFonts w:asciiTheme="minorHAnsi" w:eastAsiaTheme="minorHAnsi" w:hAnsiTheme="minorHAnsi"/>
          <w:color w:val="000000"/>
          <w:sz w:val="22"/>
          <w:szCs w:val="22"/>
        </w:rPr>
        <w:t>programme</w:t>
      </w:r>
      <w:proofErr w:type="spellEnd"/>
      <w:r>
        <w:rPr>
          <w:rFonts w:asciiTheme="minorHAnsi" w:eastAsiaTheme="minorHAnsi" w:hAnsiTheme="minorHAnsi"/>
          <w:color w:val="000000"/>
          <w:sz w:val="22"/>
          <w:szCs w:val="22"/>
        </w:rPr>
        <w:t xml:space="preserve"> and to contribute to global know-how in the field of gender equality. </w:t>
      </w:r>
    </w:p>
    <w:p w:rsidR="00157D29" w:rsidRDefault="00157D29">
      <w:pPr>
        <w:jc w:val="both"/>
        <w:rPr>
          <w:rFonts w:asciiTheme="minorHAnsi" w:eastAsiaTheme="minorHAnsi" w:hAnsiTheme="minorHAnsi"/>
          <w:color w:val="000000"/>
          <w:sz w:val="22"/>
          <w:szCs w:val="22"/>
        </w:rPr>
      </w:pPr>
    </w:p>
    <w:p w:rsidR="00157D29" w:rsidRDefault="00B62FAB">
      <w:pPr>
        <w:jc w:val="both"/>
      </w:pPr>
      <w:r>
        <w:rPr>
          <w:rFonts w:asciiTheme="minorHAnsi" w:eastAsiaTheme="minorHAnsi" w:hAnsiTheme="minorHAnsi"/>
          <w:color w:val="000000"/>
          <w:sz w:val="22"/>
          <w:szCs w:val="22"/>
        </w:rPr>
        <w:t xml:space="preserve">As such, undertaking strategic evaluations of </w:t>
      </w:r>
      <w:proofErr w:type="spellStart"/>
      <w:r>
        <w:rPr>
          <w:rFonts w:asciiTheme="minorHAnsi" w:eastAsiaTheme="minorHAnsi" w:hAnsiTheme="minorHAnsi"/>
          <w:color w:val="000000"/>
          <w:sz w:val="22"/>
          <w:szCs w:val="22"/>
        </w:rPr>
        <w:t>programmes</w:t>
      </w:r>
      <w:proofErr w:type="spellEnd"/>
      <w:r>
        <w:rPr>
          <w:rFonts w:asciiTheme="minorHAnsi" w:eastAsiaTheme="minorHAnsi" w:hAnsiTheme="minorHAnsi"/>
          <w:color w:val="000000"/>
          <w:sz w:val="22"/>
          <w:szCs w:val="22"/>
        </w:rPr>
        <w:t xml:space="preserve"> are a corporate commitment within the Fund´s strategy. With regards to its grants, the Fund follows a decentralized evaluation approach, by which grantee organizations are responsible to manage (or co-manage) independent evaluations of their </w:t>
      </w:r>
      <w:proofErr w:type="spellStart"/>
      <w:r>
        <w:rPr>
          <w:rFonts w:asciiTheme="minorHAnsi" w:eastAsiaTheme="minorHAnsi" w:hAnsiTheme="minorHAnsi"/>
          <w:color w:val="000000"/>
          <w:sz w:val="22"/>
          <w:szCs w:val="22"/>
        </w:rPr>
        <w:t>programmes</w:t>
      </w:r>
      <w:proofErr w:type="spellEnd"/>
      <w:r>
        <w:rPr>
          <w:rFonts w:asciiTheme="minorHAnsi" w:eastAsiaTheme="minorHAnsi" w:hAnsiTheme="minorHAnsi"/>
          <w:color w:val="000000"/>
          <w:sz w:val="22"/>
          <w:szCs w:val="22"/>
        </w:rPr>
        <w:t>, following the guidance and oversight (and in some cases co-management) by the Fund’s Regional Monitoring and Reporting Specialists and UN Women field offices. Grantee organizations are expected to follow the evaluation standards of UN Women/UNEG. In 2015, the Fund undertook a Meta Evaluation and Meta-Analysis of 24 grantee evaluation reports, from which 22 were found satisfactory or above</w:t>
      </w:r>
      <w:r>
        <w:rPr>
          <w:rStyle w:val="Ancladenotaalpie"/>
          <w:rFonts w:asciiTheme="minorHAnsi" w:eastAsiaTheme="minorHAnsi" w:hAnsiTheme="minorHAnsi"/>
          <w:color w:val="000000"/>
          <w:sz w:val="22"/>
          <w:szCs w:val="22"/>
        </w:rPr>
        <w:footnoteReference w:id="3"/>
      </w:r>
      <w:r>
        <w:rPr>
          <w:rFonts w:asciiTheme="minorHAnsi" w:eastAsiaTheme="minorHAnsi" w:hAnsiTheme="minorHAnsi"/>
          <w:color w:val="000000"/>
          <w:sz w:val="22"/>
          <w:szCs w:val="22"/>
        </w:rPr>
        <w:t>. For more information on this please see [</w:t>
      </w:r>
      <w:hyperlink r:id="rId12">
        <w:r>
          <w:rPr>
            <w:rStyle w:val="EnlacedeInternet"/>
            <w:rFonts w:asciiTheme="minorHAnsi" w:eastAsiaTheme="minorHAnsi" w:hAnsiTheme="minorHAnsi"/>
            <w:sz w:val="22"/>
            <w:szCs w:val="22"/>
          </w:rPr>
          <w:t>link to GATE</w:t>
        </w:r>
      </w:hyperlink>
      <w:r>
        <w:rPr>
          <w:rFonts w:asciiTheme="minorHAnsi" w:eastAsiaTheme="minorHAnsi" w:hAnsiTheme="minorHAnsi"/>
          <w:color w:val="000000"/>
          <w:sz w:val="22"/>
          <w:szCs w:val="22"/>
        </w:rPr>
        <w:t xml:space="preserve">]. </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Calibri" w:hAnsi="Calibri"/>
          <w:sz w:val="22"/>
          <w:szCs w:val="22"/>
        </w:rPr>
      </w:pPr>
      <w:r>
        <w:rPr>
          <w:rFonts w:ascii="Calibri" w:hAnsi="Calibri"/>
          <w:sz w:val="22"/>
          <w:szCs w:val="22"/>
        </w:rPr>
        <w:t xml:space="preserve">In addition to grant´s </w:t>
      </w:r>
      <w:proofErr w:type="spellStart"/>
      <w:r>
        <w:rPr>
          <w:rFonts w:ascii="Calibri" w:hAnsi="Calibri"/>
          <w:sz w:val="22"/>
          <w:szCs w:val="22"/>
        </w:rPr>
        <w:t>programme</w:t>
      </w:r>
      <w:proofErr w:type="spellEnd"/>
      <w:r>
        <w:rPr>
          <w:rFonts w:ascii="Calibri" w:hAnsi="Calibri"/>
          <w:sz w:val="22"/>
          <w:szCs w:val="22"/>
        </w:rPr>
        <w:t xml:space="preserve"> evaluations, the Fund is also mandated to undergo at least one external decentralized evaluation by 2017, to be conducted by independent evaluators, in line with UN Women’s evaluation policy. This would be its first evaluation since its inception. </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b/>
          <w:color w:val="000000"/>
          <w:sz w:val="22"/>
          <w:szCs w:val="22"/>
        </w:rPr>
        <w:t>Evaluation objectives:</w:t>
      </w:r>
      <w:r>
        <w:rPr>
          <w:rFonts w:asciiTheme="minorHAnsi" w:eastAsiaTheme="minorHAnsi" w:hAnsiTheme="minorHAnsi"/>
          <w:color w:val="000000"/>
          <w:sz w:val="22"/>
          <w:szCs w:val="22"/>
        </w:rPr>
        <w:t xml:space="preserve"> The evaluation will assess the Fund´s achievements, working methods, management and overall performance as per its two </w:t>
      </w:r>
      <w:proofErr w:type="spellStart"/>
      <w:r>
        <w:rPr>
          <w:rFonts w:asciiTheme="minorHAnsi" w:eastAsiaTheme="minorHAnsi" w:hAnsiTheme="minorHAnsi"/>
          <w:color w:val="000000"/>
          <w:sz w:val="22"/>
          <w:szCs w:val="22"/>
        </w:rPr>
        <w:t>ProDocs</w:t>
      </w:r>
      <w:proofErr w:type="spellEnd"/>
      <w:r>
        <w:rPr>
          <w:rStyle w:val="Ancladenotaalpie"/>
          <w:rFonts w:asciiTheme="minorHAnsi" w:eastAsiaTheme="minorHAnsi" w:hAnsiTheme="minorHAnsi"/>
          <w:color w:val="000000"/>
          <w:sz w:val="22"/>
          <w:szCs w:val="22"/>
        </w:rPr>
        <w:footnoteReference w:id="4"/>
      </w:r>
      <w:r>
        <w:rPr>
          <w:rFonts w:asciiTheme="minorHAnsi" w:eastAsiaTheme="minorHAnsi" w:hAnsiTheme="minorHAnsi"/>
          <w:color w:val="000000"/>
          <w:sz w:val="22"/>
          <w:szCs w:val="22"/>
        </w:rPr>
        <w:t xml:space="preserve"> (2009-2013) and (2014-2017):</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More specifically, the objectives of the evaluation are:</w:t>
      </w:r>
    </w:p>
    <w:p w:rsidR="00157D29" w:rsidRDefault="00157D29">
      <w:pPr>
        <w:jc w:val="both"/>
        <w:rPr>
          <w:rFonts w:asciiTheme="minorHAnsi" w:eastAsiaTheme="minorHAnsi" w:hAnsiTheme="minorHAnsi"/>
          <w:color w:val="000000"/>
          <w:sz w:val="22"/>
          <w:szCs w:val="22"/>
        </w:rPr>
      </w:pP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lastRenderedPageBreak/>
        <w:t xml:space="preserve">Assess the </w:t>
      </w:r>
      <w:r>
        <w:rPr>
          <w:rFonts w:asciiTheme="minorHAnsi" w:eastAsiaTheme="minorHAnsi" w:hAnsiTheme="minorHAnsi"/>
          <w:b/>
          <w:color w:val="000000"/>
          <w:sz w:val="22"/>
          <w:szCs w:val="22"/>
        </w:rPr>
        <w:t xml:space="preserve">relevance </w:t>
      </w:r>
      <w:r>
        <w:rPr>
          <w:rFonts w:asciiTheme="minorHAnsi" w:eastAsiaTheme="minorHAnsi" w:hAnsiTheme="minorHAnsi"/>
          <w:color w:val="000000"/>
          <w:sz w:val="22"/>
          <w:szCs w:val="22"/>
        </w:rPr>
        <w:t xml:space="preserve">of the Fund and grantees’ </w:t>
      </w:r>
      <w:r>
        <w:rPr>
          <w:rFonts w:asciiTheme="minorHAnsi" w:eastAsiaTheme="minorHAnsi" w:hAnsiTheme="minorHAnsi"/>
          <w:b/>
          <w:color w:val="000000"/>
          <w:sz w:val="22"/>
          <w:szCs w:val="22"/>
        </w:rPr>
        <w:t>approach and</w:t>
      </w:r>
      <w:r>
        <w:rPr>
          <w:rFonts w:asciiTheme="minorHAnsi" w:eastAsiaTheme="minorHAnsi" w:hAnsiTheme="minorHAnsi"/>
          <w:color w:val="000000"/>
          <w:sz w:val="22"/>
          <w:szCs w:val="22"/>
        </w:rPr>
        <w:t xml:space="preserve"> </w:t>
      </w:r>
      <w:r>
        <w:rPr>
          <w:rFonts w:asciiTheme="minorHAnsi" w:eastAsiaTheme="minorHAnsi" w:hAnsiTheme="minorHAnsi"/>
          <w:b/>
          <w:color w:val="000000"/>
          <w:sz w:val="22"/>
          <w:szCs w:val="22"/>
        </w:rPr>
        <w:t>contributions</w:t>
      </w:r>
      <w:r>
        <w:rPr>
          <w:rFonts w:asciiTheme="minorHAnsi" w:eastAsiaTheme="minorHAnsi" w:hAnsiTheme="minorHAnsi"/>
          <w:color w:val="000000"/>
          <w:sz w:val="22"/>
          <w:szCs w:val="22"/>
        </w:rPr>
        <w:t xml:space="preserve"> to promoting gender equality and women’s rights and empowerment since its creation in 2009 in alignment with UN Women’s Strategic Plan, and under a human rights and gender responsiveness modality.</w:t>
      </w: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Assess the </w:t>
      </w:r>
      <w:r>
        <w:rPr>
          <w:rFonts w:asciiTheme="minorHAnsi" w:eastAsiaTheme="minorHAnsi" w:hAnsiTheme="minorHAnsi"/>
          <w:b/>
          <w:color w:val="000000"/>
          <w:sz w:val="22"/>
          <w:szCs w:val="22"/>
        </w:rPr>
        <w:t>added value</w:t>
      </w:r>
      <w:r>
        <w:rPr>
          <w:rFonts w:asciiTheme="minorHAnsi" w:eastAsiaTheme="minorHAnsi" w:hAnsiTheme="minorHAnsi"/>
          <w:color w:val="000000"/>
          <w:sz w:val="22"/>
          <w:szCs w:val="22"/>
        </w:rPr>
        <w:t xml:space="preserve"> of the Fund’s contribution to UN Women’s </w:t>
      </w:r>
      <w:r>
        <w:rPr>
          <w:rFonts w:asciiTheme="minorHAnsi" w:eastAsiaTheme="minorHAnsi" w:hAnsiTheme="minorHAnsi"/>
          <w:b/>
          <w:color w:val="000000"/>
          <w:sz w:val="22"/>
          <w:szCs w:val="22"/>
        </w:rPr>
        <w:t>mandate and desired results</w:t>
      </w:r>
      <w:r>
        <w:rPr>
          <w:rFonts w:asciiTheme="minorHAnsi" w:eastAsiaTheme="minorHAnsi" w:hAnsiTheme="minorHAnsi"/>
          <w:color w:val="000000"/>
          <w:sz w:val="22"/>
          <w:szCs w:val="22"/>
        </w:rPr>
        <w:t xml:space="preserve"> with regards to: 1) enhancing WPE and WEE, 2) strengthening civil society organizations through a demand-driven approach, and 3) serving as a complementary modality to UN Women’s regular programming.</w:t>
      </w: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Assess the Fund’s organizational </w:t>
      </w:r>
      <w:r>
        <w:rPr>
          <w:rFonts w:asciiTheme="minorHAnsi" w:eastAsiaTheme="minorHAnsi" w:hAnsiTheme="minorHAnsi"/>
          <w:b/>
          <w:color w:val="000000"/>
          <w:sz w:val="22"/>
          <w:szCs w:val="22"/>
        </w:rPr>
        <w:t>efficiency</w:t>
      </w:r>
      <w:r>
        <w:rPr>
          <w:rFonts w:asciiTheme="minorHAnsi" w:eastAsiaTheme="minorHAnsi" w:hAnsiTheme="minorHAnsi"/>
          <w:color w:val="000000"/>
          <w:sz w:val="22"/>
          <w:szCs w:val="22"/>
        </w:rPr>
        <w:t xml:space="preserve"> to achieve results, build capacities, generate knowledge and build networks, including the extent to which the size of grants has a </w:t>
      </w:r>
      <w:proofErr w:type="gramStart"/>
      <w:r>
        <w:rPr>
          <w:rFonts w:asciiTheme="minorHAnsi" w:eastAsiaTheme="minorHAnsi" w:hAnsiTheme="minorHAnsi"/>
          <w:color w:val="000000"/>
          <w:sz w:val="22"/>
          <w:szCs w:val="22"/>
        </w:rPr>
        <w:t>particular effect</w:t>
      </w:r>
      <w:proofErr w:type="gramEnd"/>
      <w:r>
        <w:rPr>
          <w:rFonts w:asciiTheme="minorHAnsi" w:eastAsiaTheme="minorHAnsi" w:hAnsiTheme="minorHAnsi"/>
          <w:color w:val="000000"/>
          <w:sz w:val="22"/>
          <w:szCs w:val="22"/>
        </w:rPr>
        <w:t>.</w:t>
      </w: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Assess how the Fund’s work has </w:t>
      </w:r>
      <w:r>
        <w:rPr>
          <w:rFonts w:asciiTheme="minorHAnsi" w:eastAsiaTheme="minorHAnsi" w:hAnsiTheme="minorHAnsi"/>
          <w:b/>
          <w:color w:val="000000"/>
          <w:sz w:val="22"/>
          <w:szCs w:val="22"/>
        </w:rPr>
        <w:t>informed and influence</w:t>
      </w:r>
      <w:r>
        <w:rPr>
          <w:rFonts w:asciiTheme="minorHAnsi" w:eastAsiaTheme="minorHAnsi" w:hAnsiTheme="minorHAnsi"/>
          <w:color w:val="000000"/>
          <w:sz w:val="22"/>
          <w:szCs w:val="22"/>
        </w:rPr>
        <w:t xml:space="preserve"> UN Women’s decision-making, planning and programming in the areas of women’s economic and political empowerment, civil society strengthening/engagement, and other cross-cutting issues (i.e. gender and climate change, women and ICTs, youth, and engaging men and boys).</w:t>
      </w: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Document </w:t>
      </w:r>
      <w:r>
        <w:rPr>
          <w:rFonts w:asciiTheme="minorHAnsi" w:eastAsiaTheme="minorHAnsi" w:hAnsiTheme="minorHAnsi"/>
          <w:b/>
          <w:color w:val="000000"/>
          <w:sz w:val="22"/>
          <w:szCs w:val="22"/>
        </w:rPr>
        <w:t>good practices and lessons learned</w:t>
      </w:r>
      <w:r>
        <w:rPr>
          <w:rFonts w:asciiTheme="minorHAnsi" w:eastAsiaTheme="minorHAnsi" w:hAnsiTheme="minorHAnsi"/>
          <w:color w:val="000000"/>
          <w:sz w:val="22"/>
          <w:szCs w:val="22"/>
        </w:rPr>
        <w:t xml:space="preserve"> to inform and strengthen future UN Women’s policy and programming for WPE and WEE and from an institutional perspective on leveraging UN Women trust funds most effectively. </w:t>
      </w:r>
    </w:p>
    <w:p w:rsidR="00157D29" w:rsidRDefault="00B62FAB">
      <w:pPr>
        <w:pStyle w:val="ListParagraph"/>
        <w:numPr>
          <w:ilvl w:val="0"/>
          <w:numId w:val="12"/>
        </w:num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Provide </w:t>
      </w:r>
      <w:r>
        <w:rPr>
          <w:rFonts w:asciiTheme="minorHAnsi" w:eastAsiaTheme="minorHAnsi" w:hAnsiTheme="minorHAnsi"/>
          <w:b/>
          <w:color w:val="000000"/>
          <w:sz w:val="22"/>
          <w:szCs w:val="22"/>
        </w:rPr>
        <w:t>actionable recommendations</w:t>
      </w:r>
      <w:r>
        <w:rPr>
          <w:rFonts w:asciiTheme="minorHAnsi" w:eastAsiaTheme="minorHAnsi" w:hAnsiTheme="minorHAnsi"/>
          <w:color w:val="000000"/>
          <w:sz w:val="22"/>
          <w:szCs w:val="22"/>
        </w:rPr>
        <w:t xml:space="preserve"> with respect to the Fund’s strategy, approaches and UN Women’s overall approach to the Fund. </w:t>
      </w:r>
    </w:p>
    <w:p w:rsidR="00157D29" w:rsidRDefault="00157D29">
      <w:pPr>
        <w:jc w:val="both"/>
        <w:rPr>
          <w:rFonts w:ascii="Calibri" w:hAnsi="Calibri" w:cs="Calibri"/>
          <w:b/>
          <w:sz w:val="22"/>
          <w:szCs w:val="22"/>
        </w:rPr>
      </w:pPr>
    </w:p>
    <w:p w:rsidR="00157D29" w:rsidRDefault="00B62FAB">
      <w:pPr>
        <w:spacing w:before="120" w:after="120"/>
        <w:jc w:val="both"/>
        <w:rPr>
          <w:rFonts w:asciiTheme="minorHAnsi" w:hAnsiTheme="minorHAnsi"/>
          <w:sz w:val="22"/>
          <w:szCs w:val="22"/>
        </w:rPr>
      </w:pPr>
      <w:r>
        <w:rPr>
          <w:rFonts w:asciiTheme="minorHAnsi" w:hAnsiTheme="minorHAnsi"/>
          <w:sz w:val="22"/>
          <w:szCs w:val="22"/>
        </w:rPr>
        <w:t xml:space="preserve">The targeted audience of the evaluation includes: UN Women, grantees, donors, civil society actors (specifically women-led organizations), development actors, and gender equality advocates. The findings will be used for strategic policy and programmatic decisions, organizational learning and accountability -  both internally to UN Women and externally to Fund´s donors on how to improve the effectiveness and efficiency of its grant-making mechanism(s) in the context of the implementation of Agenda 2030; and on the other hand, it will allow UN Women´s Senior Management to make informed decisions about the Fund’s future beyond the current </w:t>
      </w:r>
      <w:proofErr w:type="spellStart"/>
      <w:r>
        <w:rPr>
          <w:rFonts w:asciiTheme="minorHAnsi" w:hAnsiTheme="minorHAnsi"/>
          <w:sz w:val="22"/>
          <w:szCs w:val="22"/>
        </w:rPr>
        <w:t>Prodoc’s</w:t>
      </w:r>
      <w:proofErr w:type="spellEnd"/>
      <w:r>
        <w:rPr>
          <w:rFonts w:asciiTheme="minorHAnsi" w:hAnsiTheme="minorHAnsi"/>
          <w:sz w:val="22"/>
          <w:szCs w:val="22"/>
        </w:rPr>
        <w:t xml:space="preserve"> expiration in 2017.</w:t>
      </w:r>
    </w:p>
    <w:p w:rsidR="00157D29" w:rsidRDefault="00B62FAB">
      <w:pPr>
        <w:spacing w:before="120" w:after="120"/>
        <w:jc w:val="both"/>
        <w:rPr>
          <w:rFonts w:asciiTheme="minorHAnsi" w:hAnsiTheme="minorHAnsi"/>
          <w:sz w:val="22"/>
          <w:szCs w:val="22"/>
        </w:rPr>
      </w:pPr>
      <w:r>
        <w:rPr>
          <w:rFonts w:asciiTheme="minorHAnsi" w:hAnsiTheme="minorHAnsi"/>
          <w:sz w:val="22"/>
          <w:szCs w:val="22"/>
        </w:rPr>
        <w:t xml:space="preserve">All relevant documentation will be made available to the evaluation team. This will include: the two </w:t>
      </w:r>
      <w:proofErr w:type="spellStart"/>
      <w:r>
        <w:rPr>
          <w:rFonts w:asciiTheme="minorHAnsi" w:hAnsiTheme="minorHAnsi"/>
          <w:sz w:val="22"/>
          <w:szCs w:val="22"/>
        </w:rPr>
        <w:t>ProDocs</w:t>
      </w:r>
      <w:proofErr w:type="spellEnd"/>
      <w:r>
        <w:rPr>
          <w:rFonts w:asciiTheme="minorHAnsi" w:hAnsiTheme="minorHAnsi"/>
          <w:sz w:val="22"/>
          <w:szCs w:val="22"/>
        </w:rPr>
        <w:t xml:space="preserve">, the Meta Evaluation and Meta-Analysis, the mid-term and final evaluations from 2015 onwards, the annual reports, the main communication and KM products of FGE, relevant corporate and decentralized </w:t>
      </w:r>
      <w:r>
        <w:rPr>
          <w:rFonts w:ascii="Calibri" w:eastAsia="Calibri" w:hAnsi="Calibri" w:cs="Calibri"/>
          <w:sz w:val="22"/>
          <w:szCs w:val="22"/>
          <w:lang w:val="en-GB" w:eastAsia="en-GB"/>
        </w:rPr>
        <w:t>evaluations conducted by UN Women in the two thematic areas</w:t>
      </w:r>
      <w:r>
        <w:rPr>
          <w:rFonts w:asciiTheme="minorHAnsi" w:hAnsiTheme="minorHAnsi"/>
          <w:sz w:val="22"/>
          <w:szCs w:val="22"/>
        </w:rPr>
        <w:t xml:space="preserve"> and other documentation that might be identified after initial discussion with the evaluation team. </w:t>
      </w:r>
    </w:p>
    <w:p w:rsidR="00157D29" w:rsidRDefault="00B62FAB">
      <w:pPr>
        <w:spacing w:before="120" w:after="120"/>
        <w:jc w:val="both"/>
        <w:rPr>
          <w:rFonts w:eastAsiaTheme="minorEastAsia"/>
          <w:sz w:val="24"/>
          <w:szCs w:val="24"/>
        </w:rPr>
      </w:pPr>
      <w:r>
        <w:rPr>
          <w:rFonts w:asciiTheme="minorHAnsi" w:eastAsiaTheme="minorHAnsi" w:hAnsiTheme="minorHAnsi"/>
          <w:color w:val="000000"/>
          <w:sz w:val="22"/>
          <w:szCs w:val="22"/>
        </w:rPr>
        <w:t>As such, the FGE is seeking a team of consultants or company (here on after named “</w:t>
      </w:r>
      <w:r>
        <w:rPr>
          <w:rFonts w:asciiTheme="minorHAnsi" w:eastAsiaTheme="minorHAnsi" w:hAnsiTheme="minorHAnsi"/>
          <w:b/>
          <w:color w:val="000000"/>
          <w:sz w:val="22"/>
          <w:szCs w:val="22"/>
        </w:rPr>
        <w:t>evaluation team</w:t>
      </w:r>
      <w:r>
        <w:rPr>
          <w:rFonts w:asciiTheme="minorHAnsi" w:eastAsiaTheme="minorHAnsi" w:hAnsiTheme="minorHAnsi"/>
          <w:color w:val="000000"/>
          <w:sz w:val="22"/>
          <w:szCs w:val="22"/>
        </w:rPr>
        <w:t xml:space="preserve">” for easy reference) to conduct an evaluation of UN Women’s Fund for Gender Equality. </w:t>
      </w:r>
    </w:p>
    <w:p w:rsidR="00157D29" w:rsidRDefault="00157D29">
      <w:pPr>
        <w:jc w:val="both"/>
        <w:rPr>
          <w:rFonts w:asciiTheme="minorHAnsi" w:eastAsiaTheme="minorHAnsi" w:hAnsiTheme="minorHAnsi"/>
          <w:color w:val="000000"/>
          <w:sz w:val="22"/>
          <w:szCs w:val="22"/>
        </w:rPr>
      </w:pPr>
    </w:p>
    <w:p w:rsidR="00157D29" w:rsidRDefault="00B62FAB">
      <w:pPr>
        <w:pStyle w:val="ListParagraph"/>
        <w:numPr>
          <w:ilvl w:val="0"/>
          <w:numId w:val="1"/>
        </w:numPr>
        <w:jc w:val="both"/>
        <w:rPr>
          <w:rFonts w:asciiTheme="minorHAnsi" w:eastAsiaTheme="minorHAnsi" w:hAnsiTheme="minorHAnsi"/>
          <w:b/>
          <w:color w:val="000000"/>
          <w:sz w:val="22"/>
          <w:szCs w:val="22"/>
        </w:rPr>
      </w:pPr>
      <w:r>
        <w:rPr>
          <w:rFonts w:asciiTheme="minorHAnsi" w:eastAsiaTheme="minorHAnsi" w:hAnsiTheme="minorHAnsi"/>
          <w:b/>
          <w:color w:val="000000"/>
          <w:sz w:val="22"/>
          <w:szCs w:val="22"/>
        </w:rPr>
        <w:t>SCOPE OF THE EVALUATION</w:t>
      </w:r>
    </w:p>
    <w:p w:rsidR="00157D29" w:rsidRDefault="00157D29">
      <w:pPr>
        <w:jc w:val="both"/>
        <w:rPr>
          <w:rFonts w:asciiTheme="minorHAnsi" w:eastAsiaTheme="minorHAnsi" w:hAnsiTheme="minorHAnsi"/>
          <w:color w:val="000000"/>
          <w:sz w:val="22"/>
          <w:szCs w:val="22"/>
        </w:rPr>
      </w:pPr>
    </w:p>
    <w:p w:rsidR="00157D29" w:rsidRDefault="00B62FAB">
      <w:pPr>
        <w:jc w:val="both"/>
        <w:rPr>
          <w:rFonts w:asciiTheme="minorHAnsi" w:eastAsiaTheme="minorHAnsi" w:hAnsiTheme="minorHAnsi"/>
          <w:color w:val="000000"/>
          <w:sz w:val="22"/>
          <w:szCs w:val="22"/>
        </w:rPr>
      </w:pPr>
      <w:r>
        <w:rPr>
          <w:rFonts w:asciiTheme="minorHAnsi" w:eastAsiaTheme="minorHAnsi" w:hAnsiTheme="minorHAnsi"/>
          <w:color w:val="000000"/>
          <w:sz w:val="22"/>
          <w:szCs w:val="22"/>
        </w:rPr>
        <w:t xml:space="preserve">This evaluation should combine a </w:t>
      </w:r>
      <w:r>
        <w:rPr>
          <w:rFonts w:asciiTheme="minorHAnsi" w:eastAsiaTheme="minorHAnsi" w:hAnsiTheme="minorHAnsi"/>
          <w:b/>
          <w:color w:val="000000"/>
          <w:sz w:val="22"/>
          <w:szCs w:val="22"/>
        </w:rPr>
        <w:t>summative</w:t>
      </w:r>
      <w:r>
        <w:rPr>
          <w:rFonts w:asciiTheme="minorHAnsi" w:eastAsiaTheme="minorHAnsi" w:hAnsiTheme="minorHAnsi"/>
          <w:color w:val="000000"/>
          <w:sz w:val="22"/>
          <w:szCs w:val="22"/>
        </w:rPr>
        <w:t xml:space="preserve"> and a </w:t>
      </w:r>
      <w:r>
        <w:rPr>
          <w:rFonts w:asciiTheme="minorHAnsi" w:eastAsiaTheme="minorHAnsi" w:hAnsiTheme="minorHAnsi"/>
          <w:b/>
          <w:color w:val="000000"/>
          <w:sz w:val="22"/>
          <w:szCs w:val="22"/>
        </w:rPr>
        <w:t>formative</w:t>
      </w:r>
      <w:r>
        <w:rPr>
          <w:rFonts w:asciiTheme="minorHAnsi" w:eastAsiaTheme="minorHAnsi" w:hAnsiTheme="minorHAnsi"/>
          <w:color w:val="000000"/>
          <w:sz w:val="22"/>
          <w:szCs w:val="22"/>
        </w:rPr>
        <w:t xml:space="preserve"> assessment of the Fund providing an evaluation on achievements as well as a </w:t>
      </w:r>
      <w:proofErr w:type="gramStart"/>
      <w:r>
        <w:rPr>
          <w:rFonts w:asciiTheme="minorHAnsi" w:eastAsiaTheme="minorHAnsi" w:hAnsiTheme="minorHAnsi"/>
          <w:color w:val="000000"/>
          <w:sz w:val="22"/>
          <w:szCs w:val="22"/>
        </w:rPr>
        <w:t>forward looking</w:t>
      </w:r>
      <w:proofErr w:type="gramEnd"/>
      <w:r>
        <w:rPr>
          <w:rFonts w:asciiTheme="minorHAnsi" w:eastAsiaTheme="minorHAnsi" w:hAnsiTheme="minorHAnsi"/>
          <w:color w:val="000000"/>
          <w:sz w:val="22"/>
          <w:szCs w:val="22"/>
        </w:rPr>
        <w:t xml:space="preserve"> assessment and actionable recommendations for improvement and sustainability.</w:t>
      </w:r>
    </w:p>
    <w:p w:rsidR="00157D29" w:rsidRDefault="00157D29">
      <w:pPr>
        <w:jc w:val="both"/>
        <w:rPr>
          <w:rFonts w:ascii="Arial" w:hAnsi="Arial" w:cs="Arial"/>
          <w:color w:val="222222"/>
          <w:sz w:val="19"/>
          <w:szCs w:val="19"/>
          <w:shd w:val="clear" w:color="auto" w:fill="FFFFFF"/>
        </w:rPr>
      </w:pPr>
    </w:p>
    <w:p w:rsidR="00157D29" w:rsidRDefault="00B62FAB">
      <w:pPr>
        <w:jc w:val="both"/>
        <w:rPr>
          <w:rFonts w:ascii="Calibri" w:hAnsi="Calibri" w:cs="Calibri"/>
          <w:color w:val="000000"/>
          <w:sz w:val="22"/>
          <w:szCs w:val="22"/>
        </w:rPr>
      </w:pPr>
      <w:r>
        <w:rPr>
          <w:rFonts w:ascii="Calibri" w:hAnsi="Calibri" w:cs="Calibri"/>
          <w:b/>
          <w:color w:val="000000"/>
          <w:sz w:val="22"/>
          <w:szCs w:val="22"/>
        </w:rPr>
        <w:t>Timeframe:</w:t>
      </w:r>
      <w:r>
        <w:rPr>
          <w:rFonts w:ascii="Calibri" w:hAnsi="Calibri" w:cs="Calibri"/>
          <w:color w:val="000000"/>
          <w:sz w:val="22"/>
          <w:szCs w:val="22"/>
        </w:rPr>
        <w:t xml:space="preserve"> 2009-2016 (the life-time of the Fund)</w:t>
      </w:r>
    </w:p>
    <w:p w:rsidR="00157D29" w:rsidRDefault="00157D29">
      <w:pPr>
        <w:jc w:val="both"/>
        <w:rPr>
          <w:rFonts w:ascii="Calibri" w:hAnsi="Calibri" w:cs="Calibri"/>
          <w:color w:val="000000"/>
          <w:sz w:val="22"/>
          <w:szCs w:val="22"/>
        </w:rPr>
      </w:pPr>
    </w:p>
    <w:p w:rsidR="00157D29" w:rsidRDefault="00B62FAB">
      <w:pPr>
        <w:jc w:val="both"/>
        <w:rPr>
          <w:rFonts w:ascii="Calibri" w:hAnsi="Calibri" w:cs="Calibri"/>
          <w:b/>
          <w:color w:val="000000"/>
          <w:sz w:val="22"/>
          <w:szCs w:val="22"/>
        </w:rPr>
      </w:pPr>
      <w:r>
        <w:rPr>
          <w:rFonts w:ascii="Calibri" w:hAnsi="Calibri" w:cs="Calibri"/>
          <w:b/>
          <w:color w:val="000000"/>
          <w:sz w:val="22"/>
          <w:szCs w:val="22"/>
        </w:rPr>
        <w:t xml:space="preserve">Scope: </w:t>
      </w:r>
    </w:p>
    <w:p w:rsidR="00157D29" w:rsidRDefault="00B62FAB">
      <w:pPr>
        <w:pStyle w:val="ListParagraph"/>
        <w:numPr>
          <w:ilvl w:val="0"/>
          <w:numId w:val="14"/>
        </w:numPr>
        <w:jc w:val="both"/>
        <w:rPr>
          <w:rFonts w:ascii="Calibri" w:hAnsi="Calibri" w:cs="Calibri"/>
          <w:color w:val="000000"/>
          <w:sz w:val="22"/>
          <w:szCs w:val="22"/>
        </w:rPr>
      </w:pPr>
      <w:r>
        <w:rPr>
          <w:rFonts w:ascii="Calibri" w:hAnsi="Calibri" w:cs="Calibri"/>
          <w:color w:val="000000"/>
          <w:sz w:val="22"/>
          <w:szCs w:val="22"/>
        </w:rPr>
        <w:t>Women’s Economic and Political Empowerment</w:t>
      </w:r>
    </w:p>
    <w:p w:rsidR="00157D29" w:rsidRDefault="00B62FAB">
      <w:pPr>
        <w:pStyle w:val="ListParagraph"/>
        <w:numPr>
          <w:ilvl w:val="0"/>
          <w:numId w:val="14"/>
        </w:numPr>
        <w:jc w:val="both"/>
        <w:rPr>
          <w:rFonts w:ascii="Calibri" w:hAnsi="Calibri" w:cs="Calibri"/>
          <w:color w:val="000000"/>
          <w:sz w:val="22"/>
          <w:szCs w:val="22"/>
        </w:rPr>
      </w:pPr>
      <w:r>
        <w:rPr>
          <w:rFonts w:ascii="Calibri" w:hAnsi="Calibri" w:cs="Calibri"/>
          <w:color w:val="000000"/>
          <w:sz w:val="22"/>
          <w:szCs w:val="22"/>
        </w:rPr>
        <w:t>Strengthening Civil Society working for gender equality</w:t>
      </w:r>
    </w:p>
    <w:p w:rsidR="00157D29" w:rsidRDefault="00B62FAB">
      <w:pPr>
        <w:pStyle w:val="ListParagraph"/>
        <w:numPr>
          <w:ilvl w:val="0"/>
          <w:numId w:val="14"/>
        </w:numPr>
        <w:jc w:val="both"/>
        <w:rPr>
          <w:rFonts w:ascii="Calibri" w:hAnsi="Calibri" w:cs="Calibri"/>
          <w:color w:val="000000"/>
          <w:sz w:val="22"/>
          <w:szCs w:val="22"/>
        </w:rPr>
      </w:pPr>
      <w:r>
        <w:rPr>
          <w:rFonts w:ascii="Calibri" w:hAnsi="Calibri" w:cs="Calibri"/>
          <w:color w:val="000000"/>
          <w:sz w:val="22"/>
          <w:szCs w:val="22"/>
        </w:rPr>
        <w:lastRenderedPageBreak/>
        <w:t>FGE’s grant-making model (3-pillar approach</w:t>
      </w:r>
      <w:r>
        <w:rPr>
          <w:rStyle w:val="Ancladenotaalpie"/>
          <w:rFonts w:ascii="Calibri" w:hAnsi="Calibri" w:cs="Calibri"/>
          <w:color w:val="000000"/>
          <w:sz w:val="22"/>
          <w:szCs w:val="22"/>
        </w:rPr>
        <w:footnoteReference w:id="5"/>
      </w:r>
      <w:r>
        <w:rPr>
          <w:rFonts w:ascii="Calibri" w:hAnsi="Calibri" w:cs="Calibri"/>
          <w:color w:val="000000"/>
          <w:sz w:val="22"/>
          <w:szCs w:val="22"/>
        </w:rPr>
        <w:t xml:space="preserve">) </w:t>
      </w:r>
    </w:p>
    <w:p w:rsidR="00157D29" w:rsidRDefault="00157D29">
      <w:pPr>
        <w:jc w:val="both"/>
        <w:rPr>
          <w:rFonts w:ascii="Calibri" w:hAnsi="Calibri" w:cs="Calibri"/>
          <w:color w:val="000000"/>
          <w:sz w:val="22"/>
          <w:szCs w:val="22"/>
        </w:rPr>
      </w:pPr>
    </w:p>
    <w:p w:rsidR="00157D29" w:rsidRDefault="00B62FAB">
      <w:pPr>
        <w:jc w:val="both"/>
        <w:rPr>
          <w:rFonts w:ascii="Calibri" w:hAnsi="Calibri" w:cs="Calibri"/>
          <w:b/>
          <w:color w:val="000000"/>
          <w:sz w:val="22"/>
          <w:szCs w:val="22"/>
        </w:rPr>
      </w:pPr>
      <w:r>
        <w:rPr>
          <w:rFonts w:ascii="Calibri" w:hAnsi="Calibri" w:cs="Calibri"/>
          <w:b/>
          <w:color w:val="000000"/>
          <w:sz w:val="22"/>
          <w:szCs w:val="22"/>
        </w:rPr>
        <w:t xml:space="preserve">Evaluation criteria: </w:t>
      </w:r>
      <w:r>
        <w:rPr>
          <w:rFonts w:ascii="Calibri" w:hAnsi="Calibri" w:cs="Calibri"/>
          <w:color w:val="000000"/>
          <w:sz w:val="22"/>
        </w:rPr>
        <w:t xml:space="preserve">The evaluation will address the criteria of relevance, effectiveness, organizational efficiency, gender equality and human rights dimensions, and the potential for sustainability and impact. Key evaluation questions are organized around each evaluation criterion and categorized under the main units of analysis, i.e. </w:t>
      </w:r>
      <w:r>
        <w:rPr>
          <w:rFonts w:ascii="Calibri" w:hAnsi="Calibri" w:cs="Calibri"/>
          <w:i/>
          <w:color w:val="000000"/>
          <w:sz w:val="22"/>
        </w:rPr>
        <w:t xml:space="preserve">“Grantee </w:t>
      </w:r>
      <w:proofErr w:type="spellStart"/>
      <w:r>
        <w:rPr>
          <w:rFonts w:ascii="Calibri" w:hAnsi="Calibri" w:cs="Calibri"/>
          <w:i/>
          <w:color w:val="000000"/>
          <w:sz w:val="22"/>
        </w:rPr>
        <w:t>Programmes</w:t>
      </w:r>
      <w:proofErr w:type="spellEnd"/>
      <w:r>
        <w:rPr>
          <w:rFonts w:ascii="Calibri" w:hAnsi="Calibri" w:cs="Calibri"/>
          <w:i/>
          <w:color w:val="000000"/>
          <w:sz w:val="22"/>
        </w:rPr>
        <w:t>”</w:t>
      </w:r>
      <w:r>
        <w:rPr>
          <w:rFonts w:ascii="Calibri" w:hAnsi="Calibri" w:cs="Calibri"/>
          <w:color w:val="000000"/>
          <w:sz w:val="22"/>
        </w:rPr>
        <w:t xml:space="preserve"> or “</w:t>
      </w:r>
      <w:r>
        <w:rPr>
          <w:rFonts w:ascii="Calibri" w:hAnsi="Calibri" w:cs="Calibri"/>
          <w:i/>
          <w:color w:val="000000"/>
          <w:sz w:val="22"/>
        </w:rPr>
        <w:t xml:space="preserve">The Fund”. </w:t>
      </w:r>
      <w:r>
        <w:rPr>
          <w:rFonts w:ascii="Calibri" w:hAnsi="Calibri" w:cs="Calibri"/>
          <w:b/>
          <w:color w:val="000000"/>
          <w:sz w:val="22"/>
        </w:rPr>
        <w:t>It is expected that the evaluation team will refine the overall analytical framework of the evaluation during the Inception Phase.</w:t>
      </w:r>
    </w:p>
    <w:p w:rsidR="00157D29" w:rsidRDefault="00157D29">
      <w:pPr>
        <w:jc w:val="both"/>
        <w:rPr>
          <w:rStyle w:val="apple-converted-space"/>
          <w:rFonts w:ascii="Arial" w:hAnsi="Arial" w:cs="Arial"/>
          <w:color w:val="222222"/>
          <w:sz w:val="19"/>
          <w:szCs w:val="19"/>
          <w:shd w:val="clear" w:color="auto" w:fill="FFFFFF"/>
        </w:rPr>
      </w:pPr>
    </w:p>
    <w:p w:rsidR="00157D29" w:rsidRDefault="00B62FAB">
      <w:pPr>
        <w:pStyle w:val="FootnoteText"/>
        <w:rPr>
          <w:rFonts w:ascii="Calibri" w:hAnsi="Calibri" w:cs="Calibri"/>
          <w:color w:val="000000"/>
          <w:sz w:val="22"/>
        </w:rPr>
      </w:pPr>
      <w:r>
        <w:rPr>
          <w:rFonts w:ascii="Calibri" w:hAnsi="Calibri" w:cs="Calibri"/>
          <w:b/>
          <w:color w:val="1F497D"/>
          <w:sz w:val="22"/>
        </w:rPr>
        <w:t>RELEVANCE</w:t>
      </w:r>
    </w:p>
    <w:p w:rsidR="00157D29" w:rsidRDefault="00157D29">
      <w:pPr>
        <w:pStyle w:val="MediumGrid1-Accent21"/>
        <w:tabs>
          <w:tab w:val="left" w:pos="720"/>
        </w:tabs>
        <w:ind w:left="0"/>
        <w:contextualSpacing/>
        <w:rPr>
          <w:rFonts w:ascii="Calibri" w:hAnsi="Calibri" w:cs="Calibri"/>
          <w:i/>
          <w:color w:val="000000"/>
          <w:sz w:val="22"/>
          <w:szCs w:val="22"/>
          <w:u w:val="single"/>
        </w:rPr>
      </w:pPr>
    </w:p>
    <w:p w:rsidR="00157D29" w:rsidRDefault="00B62FAB">
      <w:pPr>
        <w:pStyle w:val="MediumGrid1-Accent21"/>
        <w:tabs>
          <w:tab w:val="left" w:pos="720"/>
        </w:tabs>
        <w:ind w:left="0"/>
        <w:contextualSpacing/>
        <w:rPr>
          <w:rFonts w:ascii="Calibri" w:hAnsi="Calibri" w:cs="Calibri"/>
          <w:i/>
          <w:color w:val="000000"/>
          <w:sz w:val="22"/>
          <w:szCs w:val="22"/>
          <w:u w:val="single"/>
        </w:rPr>
      </w:pPr>
      <w:r>
        <w:rPr>
          <w:rFonts w:ascii="Calibri" w:hAnsi="Calibri" w:cs="Calibri"/>
          <w:i/>
          <w:color w:val="000000"/>
          <w:sz w:val="22"/>
          <w:szCs w:val="22"/>
          <w:u w:val="single"/>
        </w:rPr>
        <w:t>The Fund:</w:t>
      </w:r>
    </w:p>
    <w:p w:rsidR="00157D29" w:rsidRDefault="00B62FAB">
      <w:pPr>
        <w:pStyle w:val="MediumGrid1-Accent21"/>
        <w:numPr>
          <w:ilvl w:val="0"/>
          <w:numId w:val="18"/>
        </w:numPr>
        <w:contextualSpacing/>
        <w:rPr>
          <w:rFonts w:ascii="Calibri" w:hAnsi="Calibri" w:cs="Calibri"/>
          <w:color w:val="000000"/>
          <w:sz w:val="22"/>
        </w:rPr>
      </w:pPr>
      <w:r>
        <w:rPr>
          <w:rFonts w:ascii="Calibri" w:hAnsi="Calibri" w:cs="Calibri"/>
          <w:color w:val="000000"/>
          <w:sz w:val="22"/>
        </w:rPr>
        <w:t xml:space="preserve">To what extent has the Fund contributed to the realization of UN Women’s strategic priorities at the global and regional levels? </w:t>
      </w:r>
    </w:p>
    <w:p w:rsidR="00157D29" w:rsidRDefault="00B62FAB">
      <w:pPr>
        <w:pStyle w:val="ListParagraph"/>
        <w:numPr>
          <w:ilvl w:val="0"/>
          <w:numId w:val="18"/>
        </w:numPr>
        <w:spacing w:before="120" w:after="120"/>
        <w:jc w:val="both"/>
        <w:rPr>
          <w:rFonts w:ascii="Calibri" w:hAnsi="Calibri" w:cs="Calibri"/>
          <w:color w:val="000000"/>
          <w:sz w:val="22"/>
        </w:rPr>
      </w:pPr>
      <w:r>
        <w:rPr>
          <w:rFonts w:ascii="Calibri" w:hAnsi="Calibri" w:cs="Calibri"/>
          <w:color w:val="000000"/>
          <w:sz w:val="22"/>
        </w:rPr>
        <w:t xml:space="preserve">What has been the added value of the Fund to its target groups, key stakeholders and the policy work of UN Women? </w:t>
      </w:r>
    </w:p>
    <w:p w:rsidR="00157D29" w:rsidRDefault="00B62FAB">
      <w:pPr>
        <w:pStyle w:val="ListParagraph"/>
        <w:numPr>
          <w:ilvl w:val="0"/>
          <w:numId w:val="18"/>
        </w:numPr>
      </w:pPr>
      <w:r>
        <w:rPr>
          <w:rFonts w:ascii="Calibri" w:hAnsi="Calibri" w:cs="Calibri"/>
          <w:color w:val="000000"/>
          <w:sz w:val="22"/>
        </w:rPr>
        <w:t>What has been the Fund’s ability to reach in terms of “leaving no one behind” (as per proposed in the Agenda 2030). Is it reaching out to the most marginalized groups of women in a way that regular UN Women programming can’t?</w:t>
      </w:r>
    </w:p>
    <w:p w:rsidR="00157D29" w:rsidRDefault="00157D29">
      <w:pPr>
        <w:jc w:val="both"/>
        <w:rPr>
          <w:rStyle w:val="apple-converted-space"/>
        </w:rPr>
      </w:pPr>
    </w:p>
    <w:p w:rsidR="00157D29" w:rsidRDefault="00B62FAB">
      <w:pPr>
        <w:contextualSpacing/>
        <w:rPr>
          <w:rFonts w:ascii="Calibri" w:hAnsi="Calibri" w:cs="Calibri"/>
          <w:i/>
          <w:color w:val="000000"/>
          <w:sz w:val="22"/>
          <w:szCs w:val="22"/>
          <w:u w:val="single"/>
        </w:rPr>
      </w:pPr>
      <w:r>
        <w:rPr>
          <w:rFonts w:ascii="Calibri" w:hAnsi="Calibri" w:cs="Calibri"/>
          <w:i/>
          <w:color w:val="000000"/>
          <w:sz w:val="22"/>
          <w:szCs w:val="22"/>
          <w:u w:val="single"/>
        </w:rPr>
        <w:t xml:space="preserve">Grantee </w:t>
      </w:r>
      <w:proofErr w:type="spellStart"/>
      <w:r>
        <w:rPr>
          <w:rFonts w:ascii="Calibri" w:hAnsi="Calibri" w:cs="Calibri"/>
          <w:i/>
          <w:color w:val="000000"/>
          <w:sz w:val="22"/>
          <w:szCs w:val="22"/>
          <w:u w:val="single"/>
        </w:rPr>
        <w:t>Programmes</w:t>
      </w:r>
      <w:proofErr w:type="spellEnd"/>
      <w:r>
        <w:rPr>
          <w:rFonts w:ascii="Calibri" w:hAnsi="Calibri" w:cs="Calibri"/>
          <w:i/>
          <w:color w:val="000000"/>
          <w:sz w:val="22"/>
          <w:szCs w:val="22"/>
          <w:u w:val="single"/>
        </w:rPr>
        <w:t>:</w:t>
      </w:r>
    </w:p>
    <w:p w:rsidR="00157D29" w:rsidRDefault="00B62FAB">
      <w:pPr>
        <w:pStyle w:val="MediumGrid1-Accent21"/>
        <w:numPr>
          <w:ilvl w:val="0"/>
          <w:numId w:val="17"/>
        </w:numPr>
        <w:contextualSpacing/>
        <w:rPr>
          <w:rFonts w:ascii="Calibri" w:hAnsi="Calibri" w:cs="Calibri"/>
          <w:color w:val="000000"/>
          <w:sz w:val="22"/>
          <w:szCs w:val="22"/>
        </w:rPr>
      </w:pPr>
      <w:r>
        <w:rPr>
          <w:rFonts w:ascii="Calibri" w:hAnsi="Calibri" w:cs="Calibri"/>
          <w:color w:val="000000"/>
          <w:sz w:val="22"/>
          <w:szCs w:val="22"/>
        </w:rPr>
        <w:t xml:space="preserve">Were grantee </w:t>
      </w:r>
      <w:proofErr w:type="spellStart"/>
      <w:r>
        <w:rPr>
          <w:rFonts w:ascii="Calibri" w:hAnsi="Calibri" w:cs="Calibri"/>
          <w:color w:val="000000"/>
          <w:sz w:val="22"/>
          <w:szCs w:val="22"/>
        </w:rPr>
        <w:t>programmes</w:t>
      </w:r>
      <w:proofErr w:type="spellEnd"/>
      <w:r>
        <w:rPr>
          <w:rFonts w:ascii="Calibri" w:hAnsi="Calibri" w:cs="Calibri"/>
          <w:color w:val="000000"/>
          <w:sz w:val="22"/>
          <w:szCs w:val="22"/>
        </w:rPr>
        <w:t xml:space="preserve"> aligned with UN Women strategic priorities and the needs and priorities of targeted beneficiaries?</w:t>
      </w:r>
    </w:p>
    <w:p w:rsidR="00157D29" w:rsidRDefault="00B62FAB">
      <w:pPr>
        <w:pStyle w:val="MediumGrid1-Accent21"/>
        <w:numPr>
          <w:ilvl w:val="0"/>
          <w:numId w:val="16"/>
        </w:numPr>
        <w:rPr>
          <w:rFonts w:ascii="Calibri" w:hAnsi="Calibri" w:cs="Calibri"/>
          <w:i/>
          <w:iCs/>
          <w:sz w:val="22"/>
          <w:szCs w:val="22"/>
        </w:rPr>
      </w:pPr>
      <w:r>
        <w:rPr>
          <w:rFonts w:ascii="Calibri" w:hAnsi="Calibri" w:cs="Calibri"/>
          <w:color w:val="000000"/>
          <w:sz w:val="22"/>
          <w:szCs w:val="22"/>
        </w:rPr>
        <w:t xml:space="preserve">To what extent does grantee </w:t>
      </w:r>
      <w:proofErr w:type="spellStart"/>
      <w:r>
        <w:rPr>
          <w:rFonts w:ascii="Calibri" w:hAnsi="Calibri" w:cs="Calibri"/>
          <w:color w:val="000000"/>
          <w:sz w:val="22"/>
          <w:szCs w:val="22"/>
        </w:rPr>
        <w:t>programmes</w:t>
      </w:r>
      <w:proofErr w:type="spellEnd"/>
      <w:r>
        <w:rPr>
          <w:rFonts w:ascii="Calibri" w:hAnsi="Calibri" w:cs="Calibri"/>
          <w:color w:val="000000"/>
          <w:sz w:val="22"/>
          <w:szCs w:val="22"/>
        </w:rPr>
        <w:t xml:space="preserve"> complement and add value to that of UN Women?</w:t>
      </w:r>
    </w:p>
    <w:p w:rsidR="00157D29" w:rsidRDefault="00157D29">
      <w:pPr>
        <w:pStyle w:val="MediumGrid1-Accent21"/>
        <w:tabs>
          <w:tab w:val="left" w:pos="720"/>
        </w:tabs>
        <w:ind w:left="360"/>
        <w:contextualSpacing/>
        <w:rPr>
          <w:rFonts w:ascii="Calibri" w:hAnsi="Calibri" w:cs="Calibri"/>
          <w:color w:val="000000"/>
          <w:sz w:val="22"/>
          <w:szCs w:val="22"/>
        </w:rPr>
      </w:pPr>
    </w:p>
    <w:p w:rsidR="00157D29" w:rsidRDefault="00157D29">
      <w:pPr>
        <w:ind w:left="360"/>
        <w:jc w:val="both"/>
        <w:rPr>
          <w:rStyle w:val="apple-converted-space"/>
          <w:rFonts w:ascii="Arial" w:hAnsi="Arial" w:cs="Arial"/>
          <w:color w:val="222222"/>
          <w:sz w:val="19"/>
          <w:szCs w:val="19"/>
          <w:shd w:val="clear" w:color="auto" w:fill="FFFFFF"/>
        </w:rPr>
      </w:pPr>
    </w:p>
    <w:p w:rsidR="00157D29" w:rsidRDefault="00B62FAB">
      <w:pPr>
        <w:rPr>
          <w:rFonts w:ascii="Calibri" w:hAnsi="Calibri" w:cs="Calibri"/>
          <w:b/>
          <w:color w:val="1F497D"/>
          <w:sz w:val="22"/>
          <w:szCs w:val="22"/>
        </w:rPr>
      </w:pPr>
      <w:r>
        <w:rPr>
          <w:rFonts w:ascii="Calibri" w:hAnsi="Calibri" w:cs="Calibri"/>
          <w:b/>
          <w:color w:val="1F497D"/>
          <w:sz w:val="22"/>
          <w:szCs w:val="22"/>
        </w:rPr>
        <w:t>EFFECTIVENESS</w:t>
      </w:r>
    </w:p>
    <w:p w:rsidR="00157D29" w:rsidRDefault="00157D29">
      <w:pPr>
        <w:rPr>
          <w:rFonts w:ascii="Calibri" w:hAnsi="Calibri"/>
          <w:i/>
          <w:sz w:val="22"/>
          <w:szCs w:val="22"/>
          <w:u w:val="single"/>
        </w:rPr>
      </w:pPr>
    </w:p>
    <w:p w:rsidR="00157D29" w:rsidRDefault="00B62FAB">
      <w:pPr>
        <w:rPr>
          <w:rFonts w:ascii="Calibri" w:hAnsi="Calibri"/>
          <w:i/>
          <w:sz w:val="22"/>
          <w:szCs w:val="22"/>
          <w:u w:val="single"/>
        </w:rPr>
      </w:pPr>
      <w:r>
        <w:rPr>
          <w:rFonts w:ascii="Calibri" w:hAnsi="Calibri"/>
          <w:i/>
          <w:sz w:val="22"/>
          <w:szCs w:val="22"/>
          <w:u w:val="single"/>
        </w:rPr>
        <w:t>The Fund:</w:t>
      </w:r>
    </w:p>
    <w:p w:rsidR="00157D29" w:rsidRDefault="00B62FAB">
      <w:pPr>
        <w:pStyle w:val="CommentText"/>
        <w:numPr>
          <w:ilvl w:val="0"/>
          <w:numId w:val="19"/>
        </w:numPr>
        <w:rPr>
          <w:rFonts w:asciiTheme="minorHAnsi" w:hAnsiTheme="minorHAnsi"/>
          <w:sz w:val="22"/>
          <w:szCs w:val="22"/>
        </w:rPr>
      </w:pPr>
      <w:r>
        <w:rPr>
          <w:rFonts w:asciiTheme="minorHAnsi" w:hAnsiTheme="minorHAnsi"/>
          <w:sz w:val="22"/>
          <w:szCs w:val="22"/>
        </w:rPr>
        <w:t xml:space="preserve">To what extend did the Fund contributed to UN Women´s achievement of results in terms of programming on WEE and WPE? </w:t>
      </w:r>
    </w:p>
    <w:p w:rsidR="00157D29" w:rsidRDefault="00B62FAB">
      <w:pPr>
        <w:pStyle w:val="MediumGrid1-Accent21"/>
        <w:numPr>
          <w:ilvl w:val="0"/>
          <w:numId w:val="19"/>
        </w:numPr>
        <w:contextualSpacing/>
        <w:rPr>
          <w:rFonts w:ascii="Calibri" w:hAnsi="Calibri" w:cs="Calibri"/>
          <w:color w:val="000000"/>
          <w:sz w:val="22"/>
          <w:szCs w:val="22"/>
        </w:rPr>
      </w:pPr>
      <w:r>
        <w:rPr>
          <w:rFonts w:ascii="Calibri" w:hAnsi="Calibri" w:cs="Calibri"/>
          <w:color w:val="000000"/>
          <w:sz w:val="22"/>
          <w:szCs w:val="22"/>
        </w:rPr>
        <w:t xml:space="preserve">To what extent has FGE enhanced knowledge and awareness on WEE and WPE?  </w:t>
      </w:r>
    </w:p>
    <w:p w:rsidR="00157D29" w:rsidRDefault="00157D29">
      <w:pPr>
        <w:jc w:val="both"/>
        <w:rPr>
          <w:rStyle w:val="apple-converted-space"/>
          <w:rFonts w:ascii="Arial" w:hAnsi="Arial" w:cs="Arial"/>
          <w:color w:val="222222"/>
          <w:sz w:val="19"/>
          <w:szCs w:val="19"/>
          <w:shd w:val="clear" w:color="auto" w:fill="FFFFFF"/>
        </w:rPr>
      </w:pPr>
    </w:p>
    <w:p w:rsidR="00157D29" w:rsidRDefault="00B62FAB">
      <w:pPr>
        <w:rPr>
          <w:rFonts w:ascii="Calibri" w:hAnsi="Calibri" w:cs="Calibri"/>
          <w:i/>
          <w:sz w:val="22"/>
          <w:szCs w:val="22"/>
          <w:u w:val="single"/>
        </w:rPr>
      </w:pPr>
      <w:r>
        <w:rPr>
          <w:rFonts w:ascii="Calibri" w:hAnsi="Calibri" w:cs="Calibri"/>
          <w:i/>
          <w:sz w:val="22"/>
          <w:szCs w:val="22"/>
          <w:u w:val="single"/>
        </w:rPr>
        <w:t xml:space="preserve">Grantee </w:t>
      </w:r>
      <w:proofErr w:type="spellStart"/>
      <w:r>
        <w:rPr>
          <w:rFonts w:ascii="Calibri" w:hAnsi="Calibri" w:cs="Calibri"/>
          <w:i/>
          <w:sz w:val="22"/>
          <w:szCs w:val="22"/>
          <w:u w:val="single"/>
        </w:rPr>
        <w:t>Programmes</w:t>
      </w:r>
      <w:proofErr w:type="spellEnd"/>
      <w:r>
        <w:rPr>
          <w:rFonts w:ascii="Calibri" w:hAnsi="Calibri" w:cs="Calibri"/>
          <w:i/>
          <w:sz w:val="22"/>
          <w:szCs w:val="22"/>
          <w:u w:val="single"/>
        </w:rPr>
        <w:t>:</w:t>
      </w:r>
    </w:p>
    <w:p w:rsidR="00157D29" w:rsidRDefault="00B62FAB">
      <w:pPr>
        <w:numPr>
          <w:ilvl w:val="0"/>
          <w:numId w:val="17"/>
        </w:numPr>
        <w:rPr>
          <w:rFonts w:ascii="Calibri" w:hAnsi="Calibri" w:cs="Calibri"/>
          <w:sz w:val="22"/>
          <w:szCs w:val="22"/>
        </w:rPr>
      </w:pPr>
      <w:r>
        <w:rPr>
          <w:rFonts w:ascii="Calibri" w:hAnsi="Calibri" w:cs="Calibri"/>
          <w:sz w:val="22"/>
          <w:szCs w:val="22"/>
        </w:rPr>
        <w:t xml:space="preserve">Have </w:t>
      </w:r>
      <w:proofErr w:type="spellStart"/>
      <w:r>
        <w:rPr>
          <w:rFonts w:ascii="Calibri" w:hAnsi="Calibri" w:cs="Calibri"/>
          <w:sz w:val="22"/>
          <w:szCs w:val="22"/>
        </w:rPr>
        <w:t>programme</w:t>
      </w:r>
      <w:proofErr w:type="spellEnd"/>
      <w:r>
        <w:rPr>
          <w:rFonts w:ascii="Calibri" w:hAnsi="Calibri" w:cs="Calibri"/>
          <w:sz w:val="22"/>
          <w:szCs w:val="22"/>
        </w:rPr>
        <w:t xml:space="preserve"> results reached and fairly met the goal of </w:t>
      </w:r>
      <w:r>
        <w:rPr>
          <w:rFonts w:asciiTheme="minorHAnsi" w:eastAsiaTheme="minorHAnsi" w:hAnsiTheme="minorHAnsi"/>
          <w:color w:val="000000"/>
          <w:sz w:val="22"/>
          <w:szCs w:val="22"/>
        </w:rPr>
        <w:t>advancing the economic and political empowerment of women around the world, specifically for those in marginalized and vulnerable positions</w:t>
      </w:r>
      <w:r>
        <w:rPr>
          <w:rFonts w:ascii="Calibri" w:hAnsi="Calibri" w:cs="Calibri"/>
          <w:sz w:val="22"/>
          <w:szCs w:val="22"/>
        </w:rPr>
        <w:t xml:space="preserve">? </w:t>
      </w:r>
    </w:p>
    <w:p w:rsidR="00157D29" w:rsidRDefault="00B62FAB">
      <w:pPr>
        <w:pStyle w:val="Default"/>
        <w:numPr>
          <w:ilvl w:val="0"/>
          <w:numId w:val="17"/>
        </w:numPr>
        <w:rPr>
          <w:sz w:val="22"/>
          <w:szCs w:val="22"/>
        </w:rPr>
      </w:pPr>
      <w:r>
        <w:rPr>
          <w:sz w:val="22"/>
          <w:szCs w:val="22"/>
        </w:rPr>
        <w:t xml:space="preserve">What are enabling and limiting factors that contribute to the achievement of results and what actions need to be taken to overcome any barriers that limit the progress? </w:t>
      </w:r>
    </w:p>
    <w:p w:rsidR="00157D29" w:rsidRDefault="00157D29">
      <w:pPr>
        <w:rPr>
          <w:rFonts w:ascii="Calibri" w:hAnsi="Calibri"/>
          <w:sz w:val="22"/>
          <w:szCs w:val="22"/>
        </w:rPr>
      </w:pPr>
    </w:p>
    <w:p w:rsidR="00157D29" w:rsidRDefault="00B62FAB">
      <w:pPr>
        <w:rPr>
          <w:rFonts w:ascii="Calibri" w:hAnsi="Calibri" w:cs="Calibri"/>
          <w:b/>
          <w:iCs/>
          <w:color w:val="1F497D"/>
          <w:sz w:val="22"/>
          <w:szCs w:val="22"/>
        </w:rPr>
      </w:pPr>
      <w:r>
        <w:rPr>
          <w:rFonts w:ascii="Calibri" w:hAnsi="Calibri" w:cs="Calibri"/>
          <w:b/>
          <w:iCs/>
          <w:color w:val="1F497D"/>
          <w:sz w:val="22"/>
          <w:szCs w:val="22"/>
        </w:rPr>
        <w:t>ORGANIZATIONAL EFFICIENCY</w:t>
      </w:r>
    </w:p>
    <w:p w:rsidR="00157D29" w:rsidRDefault="00157D29">
      <w:pPr>
        <w:rPr>
          <w:rFonts w:ascii="Calibri" w:hAnsi="Calibri" w:cs="Calibri"/>
          <w:i/>
          <w:iCs/>
          <w:color w:val="000000"/>
          <w:sz w:val="22"/>
          <w:szCs w:val="22"/>
          <w:u w:val="single"/>
        </w:rPr>
      </w:pPr>
    </w:p>
    <w:p w:rsidR="00157D29" w:rsidRDefault="00B62FAB">
      <w:pPr>
        <w:rPr>
          <w:rFonts w:ascii="Calibri" w:hAnsi="Calibri" w:cs="Calibri"/>
          <w:i/>
          <w:iCs/>
          <w:color w:val="000000"/>
          <w:sz w:val="22"/>
          <w:szCs w:val="22"/>
          <w:u w:val="single"/>
        </w:rPr>
      </w:pPr>
      <w:r>
        <w:rPr>
          <w:rFonts w:ascii="Calibri" w:hAnsi="Calibri" w:cs="Calibri"/>
          <w:i/>
          <w:iCs/>
          <w:color w:val="000000"/>
          <w:sz w:val="22"/>
          <w:szCs w:val="22"/>
          <w:u w:val="single"/>
        </w:rPr>
        <w:t>The Fund:</w:t>
      </w:r>
    </w:p>
    <w:p w:rsidR="00157D29" w:rsidRDefault="00B62FAB">
      <w:pPr>
        <w:pStyle w:val="MediumGrid1-Accent21"/>
        <w:numPr>
          <w:ilvl w:val="0"/>
          <w:numId w:val="21"/>
        </w:numPr>
        <w:contextualSpacing/>
        <w:rPr>
          <w:rFonts w:ascii="Calibri" w:hAnsi="Calibri" w:cs="Calibri"/>
          <w:color w:val="000000"/>
          <w:sz w:val="22"/>
          <w:szCs w:val="22"/>
        </w:rPr>
      </w:pPr>
      <w:r>
        <w:rPr>
          <w:rFonts w:ascii="Calibri" w:hAnsi="Calibri" w:cs="Calibri"/>
          <w:sz w:val="22"/>
          <w:szCs w:val="22"/>
        </w:rPr>
        <w:t xml:space="preserve">To what extent have </w:t>
      </w:r>
      <w:proofErr w:type="spellStart"/>
      <w:r>
        <w:rPr>
          <w:rFonts w:ascii="Calibri" w:hAnsi="Calibri" w:cs="Calibri"/>
          <w:sz w:val="22"/>
          <w:szCs w:val="22"/>
        </w:rPr>
        <w:t>programme</w:t>
      </w:r>
      <w:proofErr w:type="spellEnd"/>
      <w:r>
        <w:rPr>
          <w:rFonts w:ascii="Calibri" w:hAnsi="Calibri" w:cs="Calibri"/>
          <w:sz w:val="22"/>
          <w:szCs w:val="22"/>
        </w:rPr>
        <w:t xml:space="preserve"> management arrangements facilitated (or hindered) effective implementation and efficient achievement and delivery of results? </w:t>
      </w:r>
    </w:p>
    <w:p w:rsidR="00157D29" w:rsidRDefault="00B62FAB">
      <w:pPr>
        <w:pStyle w:val="MediumGrid1-Accent21"/>
        <w:numPr>
          <w:ilvl w:val="0"/>
          <w:numId w:val="21"/>
        </w:numPr>
        <w:contextualSpacing/>
        <w:rPr>
          <w:rFonts w:ascii="Calibri" w:hAnsi="Calibri" w:cs="Calibri"/>
          <w:color w:val="000000"/>
          <w:sz w:val="22"/>
          <w:szCs w:val="22"/>
        </w:rPr>
      </w:pPr>
      <w:r>
        <w:rPr>
          <w:rFonts w:ascii="Calibri" w:hAnsi="Calibri" w:cs="Calibri"/>
          <w:color w:val="000000"/>
          <w:sz w:val="22"/>
          <w:szCs w:val="22"/>
        </w:rPr>
        <w:lastRenderedPageBreak/>
        <w:t>Have the Fund´s resources (financial, human, technical support) been utilized in a strategic and efficient manner to deliver results?</w:t>
      </w:r>
    </w:p>
    <w:p w:rsidR="00157D29" w:rsidRDefault="00B62FAB">
      <w:pPr>
        <w:pStyle w:val="MediumGrid1-Accent21"/>
        <w:numPr>
          <w:ilvl w:val="0"/>
          <w:numId w:val="21"/>
        </w:numPr>
        <w:contextualSpacing/>
        <w:rPr>
          <w:rFonts w:ascii="Calibri" w:hAnsi="Calibri" w:cs="Calibri"/>
          <w:color w:val="000000"/>
          <w:sz w:val="22"/>
          <w:szCs w:val="22"/>
        </w:rPr>
      </w:pPr>
      <w:r>
        <w:rPr>
          <w:rFonts w:ascii="Calibri" w:hAnsi="Calibri" w:cs="Calibri"/>
          <w:color w:val="000000"/>
          <w:sz w:val="22"/>
          <w:szCs w:val="22"/>
        </w:rPr>
        <w:t xml:space="preserve">To what extent did FGE have effective monitoring arrangements in place to measure performance and progress towards results? </w:t>
      </w:r>
    </w:p>
    <w:p w:rsidR="00157D29" w:rsidRDefault="00157D29">
      <w:pPr>
        <w:pStyle w:val="MediumGrid1-Accent21"/>
        <w:contextualSpacing/>
        <w:rPr>
          <w:rFonts w:ascii="Calibri" w:hAnsi="Calibri" w:cs="Calibri"/>
          <w:color w:val="000000"/>
          <w:sz w:val="22"/>
          <w:szCs w:val="22"/>
        </w:rPr>
      </w:pPr>
    </w:p>
    <w:p w:rsidR="00157D29" w:rsidRDefault="00157D29">
      <w:pPr>
        <w:rPr>
          <w:rFonts w:ascii="Calibri" w:hAnsi="Calibri" w:cs="Calibri"/>
          <w:b/>
          <w:iCs/>
          <w:color w:val="1F497D"/>
          <w:sz w:val="22"/>
          <w:szCs w:val="22"/>
        </w:rPr>
      </w:pPr>
    </w:p>
    <w:p w:rsidR="00157D29" w:rsidRDefault="00B62FAB">
      <w:pPr>
        <w:rPr>
          <w:rFonts w:ascii="Calibri" w:hAnsi="Calibri" w:cs="Calibri"/>
          <w:i/>
          <w:iCs/>
          <w:color w:val="000000"/>
          <w:sz w:val="22"/>
          <w:szCs w:val="22"/>
          <w:u w:val="single"/>
        </w:rPr>
      </w:pPr>
      <w:r>
        <w:rPr>
          <w:rFonts w:ascii="Calibri" w:hAnsi="Calibri" w:cs="Calibri"/>
          <w:i/>
          <w:iCs/>
          <w:color w:val="000000"/>
          <w:sz w:val="22"/>
          <w:szCs w:val="22"/>
          <w:u w:val="single"/>
        </w:rPr>
        <w:t xml:space="preserve">Grantee </w:t>
      </w:r>
      <w:proofErr w:type="spellStart"/>
      <w:r>
        <w:rPr>
          <w:rFonts w:ascii="Calibri" w:hAnsi="Calibri" w:cs="Calibri"/>
          <w:i/>
          <w:iCs/>
          <w:color w:val="000000"/>
          <w:sz w:val="22"/>
          <w:szCs w:val="22"/>
          <w:u w:val="single"/>
        </w:rPr>
        <w:t>Programmes</w:t>
      </w:r>
      <w:proofErr w:type="spellEnd"/>
      <w:r>
        <w:rPr>
          <w:rFonts w:ascii="Calibri" w:hAnsi="Calibri" w:cs="Calibri"/>
          <w:i/>
          <w:iCs/>
          <w:color w:val="000000"/>
          <w:sz w:val="22"/>
          <w:szCs w:val="22"/>
          <w:u w:val="single"/>
        </w:rPr>
        <w:t>:</w:t>
      </w:r>
    </w:p>
    <w:p w:rsidR="00157D29" w:rsidRDefault="00B62FAB">
      <w:pPr>
        <w:pStyle w:val="MediumGrid1-Accent21"/>
        <w:numPr>
          <w:ilvl w:val="0"/>
          <w:numId w:val="20"/>
        </w:numPr>
        <w:contextualSpacing/>
        <w:rPr>
          <w:rFonts w:ascii="Calibri" w:hAnsi="Calibri" w:cs="Calibri"/>
          <w:color w:val="000000"/>
          <w:sz w:val="22"/>
          <w:szCs w:val="22"/>
        </w:rPr>
      </w:pPr>
      <w:r>
        <w:rPr>
          <w:rFonts w:ascii="Calibri" w:hAnsi="Calibri" w:cs="Calibri"/>
          <w:color w:val="000000"/>
          <w:sz w:val="22"/>
          <w:szCs w:val="22"/>
        </w:rPr>
        <w:t xml:space="preserve">Have grantee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resources (financial, human, technical support) been utilized in a </w:t>
      </w:r>
      <w:r>
        <w:rPr>
          <w:rFonts w:ascii="Calibri" w:hAnsi="Calibri" w:cs="Calibri"/>
          <w:i/>
          <w:color w:val="000000"/>
          <w:sz w:val="22"/>
          <w:szCs w:val="22"/>
        </w:rPr>
        <w:t>strategic</w:t>
      </w:r>
      <w:r>
        <w:rPr>
          <w:rFonts w:ascii="Calibri" w:hAnsi="Calibri" w:cs="Calibri"/>
          <w:color w:val="000000"/>
          <w:sz w:val="22"/>
          <w:szCs w:val="22"/>
        </w:rPr>
        <w:t xml:space="preserve"> and efficient manner to deliver results? </w:t>
      </w:r>
    </w:p>
    <w:p w:rsidR="00157D29" w:rsidRDefault="00B62FAB">
      <w:pPr>
        <w:pStyle w:val="MediumGrid1-Accent21"/>
        <w:numPr>
          <w:ilvl w:val="0"/>
          <w:numId w:val="20"/>
        </w:numPr>
        <w:contextualSpacing/>
        <w:rPr>
          <w:rFonts w:ascii="Calibri" w:hAnsi="Calibri" w:cs="Calibri"/>
          <w:color w:val="000000"/>
          <w:sz w:val="22"/>
          <w:szCs w:val="22"/>
        </w:rPr>
      </w:pPr>
      <w:r>
        <w:rPr>
          <w:rFonts w:ascii="Calibri" w:hAnsi="Calibri" w:cs="Calibri"/>
          <w:color w:val="000000"/>
          <w:sz w:val="22"/>
          <w:szCs w:val="22"/>
        </w:rPr>
        <w:t xml:space="preserve">Have grantee </w:t>
      </w:r>
      <w:proofErr w:type="spellStart"/>
      <w:r>
        <w:rPr>
          <w:rFonts w:ascii="Calibri" w:hAnsi="Calibri" w:cs="Calibri"/>
          <w:color w:val="000000"/>
          <w:sz w:val="22"/>
          <w:szCs w:val="22"/>
        </w:rPr>
        <w:t>programmes</w:t>
      </w:r>
      <w:proofErr w:type="spellEnd"/>
      <w:r>
        <w:rPr>
          <w:rFonts w:ascii="Calibri" w:hAnsi="Calibri" w:cs="Calibri"/>
          <w:color w:val="000000"/>
          <w:sz w:val="22"/>
          <w:szCs w:val="22"/>
        </w:rPr>
        <w:t xml:space="preserve"> resources been sufficient to deliver results (time and size of grants)?</w:t>
      </w:r>
    </w:p>
    <w:p w:rsidR="00157D29" w:rsidRDefault="00157D29">
      <w:pPr>
        <w:rPr>
          <w:rFonts w:ascii="Calibri" w:hAnsi="Calibri" w:cs="Calibri"/>
          <w:i/>
          <w:iCs/>
          <w:color w:val="000000"/>
          <w:sz w:val="22"/>
          <w:szCs w:val="22"/>
        </w:rPr>
      </w:pPr>
    </w:p>
    <w:p w:rsidR="00157D29" w:rsidRDefault="00157D29">
      <w:pPr>
        <w:jc w:val="both"/>
        <w:rPr>
          <w:rStyle w:val="apple-converted-space"/>
          <w:rFonts w:ascii="Arial" w:hAnsi="Arial" w:cs="Arial"/>
          <w:color w:val="222222"/>
          <w:sz w:val="19"/>
          <w:szCs w:val="19"/>
          <w:shd w:val="clear" w:color="auto" w:fill="FFFFFF"/>
        </w:rPr>
      </w:pPr>
    </w:p>
    <w:p w:rsidR="00157D29" w:rsidRDefault="00B62FAB">
      <w:pPr>
        <w:rPr>
          <w:rFonts w:ascii="Calibri" w:hAnsi="Calibri" w:cs="Calibri"/>
          <w:b/>
          <w:iCs/>
          <w:color w:val="1F497D"/>
          <w:sz w:val="22"/>
          <w:szCs w:val="22"/>
        </w:rPr>
      </w:pPr>
      <w:r>
        <w:rPr>
          <w:rFonts w:ascii="Calibri" w:hAnsi="Calibri" w:cs="Calibri"/>
          <w:b/>
          <w:iCs/>
          <w:color w:val="1F497D"/>
          <w:sz w:val="22"/>
          <w:szCs w:val="22"/>
        </w:rPr>
        <w:t>POTENTIAL FOR SUSTAINABILITY</w:t>
      </w:r>
    </w:p>
    <w:p w:rsidR="00157D29" w:rsidRDefault="00157D29">
      <w:pPr>
        <w:pStyle w:val="MediumGrid1-Accent21"/>
        <w:tabs>
          <w:tab w:val="left" w:pos="720"/>
        </w:tabs>
        <w:ind w:left="0"/>
        <w:contextualSpacing/>
        <w:rPr>
          <w:rFonts w:ascii="Calibri" w:hAnsi="Calibri" w:cs="Calibri"/>
          <w:i/>
          <w:color w:val="000000"/>
          <w:sz w:val="22"/>
          <w:szCs w:val="22"/>
          <w:u w:val="single"/>
        </w:rPr>
      </w:pPr>
    </w:p>
    <w:p w:rsidR="00157D29" w:rsidRDefault="00B62FAB">
      <w:pPr>
        <w:pStyle w:val="MediumGrid1-Accent21"/>
        <w:tabs>
          <w:tab w:val="left" w:pos="720"/>
        </w:tabs>
        <w:ind w:left="0"/>
        <w:contextualSpacing/>
        <w:rPr>
          <w:rFonts w:ascii="Calibri" w:hAnsi="Calibri" w:cs="Calibri"/>
          <w:b/>
          <w:i/>
          <w:color w:val="000000"/>
          <w:sz w:val="22"/>
          <w:szCs w:val="22"/>
          <w:u w:val="single"/>
        </w:rPr>
      </w:pPr>
      <w:r>
        <w:rPr>
          <w:rFonts w:ascii="Calibri" w:hAnsi="Calibri" w:cs="Calibri"/>
          <w:i/>
          <w:color w:val="000000"/>
          <w:sz w:val="22"/>
          <w:szCs w:val="22"/>
          <w:u w:val="single"/>
        </w:rPr>
        <w:t>The Fund:</w:t>
      </w:r>
    </w:p>
    <w:p w:rsidR="00157D29" w:rsidRDefault="00B62FAB">
      <w:pPr>
        <w:pStyle w:val="ListParagraph"/>
        <w:numPr>
          <w:ilvl w:val="0"/>
          <w:numId w:val="22"/>
        </w:numPr>
        <w:spacing w:before="120" w:after="120"/>
        <w:jc w:val="both"/>
        <w:rPr>
          <w:rFonts w:ascii="Calibri" w:hAnsi="Calibri" w:cs="Calibri"/>
          <w:color w:val="000000"/>
          <w:sz w:val="22"/>
          <w:szCs w:val="22"/>
        </w:rPr>
      </w:pPr>
      <w:r>
        <w:rPr>
          <w:rFonts w:ascii="Calibri" w:hAnsi="Calibri" w:cs="Calibri"/>
          <w:color w:val="000000"/>
          <w:sz w:val="22"/>
          <w:szCs w:val="22"/>
        </w:rPr>
        <w:t>What are enabling and limiting factors that have contributed to the sustainability of the Fund? What actions and mechanisms should UN Women consider to overcome shortcomings and ensure sustainability?</w:t>
      </w:r>
    </w:p>
    <w:p w:rsidR="00157D29" w:rsidRDefault="00B62FAB">
      <w:pPr>
        <w:pStyle w:val="ListParagraph"/>
        <w:numPr>
          <w:ilvl w:val="0"/>
          <w:numId w:val="22"/>
        </w:numPr>
        <w:spacing w:before="120" w:after="120"/>
        <w:jc w:val="both"/>
        <w:rPr>
          <w:rFonts w:ascii="Calibri" w:hAnsi="Calibri" w:cs="Calibri"/>
          <w:color w:val="000000"/>
          <w:sz w:val="22"/>
          <w:szCs w:val="22"/>
        </w:rPr>
      </w:pPr>
      <w:r>
        <w:rPr>
          <w:rFonts w:ascii="Calibri" w:hAnsi="Calibri" w:cs="Calibri"/>
          <w:color w:val="000000"/>
          <w:sz w:val="22"/>
          <w:szCs w:val="22"/>
        </w:rPr>
        <w:t>What are the existing synergies of the Fund with other relevant initiatives and projects within UN Women, partners, and other organizations?</w:t>
      </w:r>
    </w:p>
    <w:p w:rsidR="00157D29" w:rsidRDefault="00157D29">
      <w:pPr>
        <w:rPr>
          <w:rFonts w:ascii="Calibri" w:hAnsi="Calibri" w:cs="Calibri"/>
          <w:b/>
          <w:iCs/>
          <w:color w:val="1F497D"/>
          <w:sz w:val="22"/>
          <w:szCs w:val="22"/>
        </w:rPr>
      </w:pPr>
    </w:p>
    <w:p w:rsidR="00157D29" w:rsidRDefault="00B62FAB">
      <w:pPr>
        <w:rPr>
          <w:rFonts w:ascii="Calibri" w:hAnsi="Calibri" w:cs="Calibri"/>
          <w:i/>
          <w:iCs/>
          <w:color w:val="000000"/>
          <w:sz w:val="22"/>
          <w:szCs w:val="22"/>
          <w:u w:val="single"/>
        </w:rPr>
      </w:pPr>
      <w:r>
        <w:rPr>
          <w:rFonts w:ascii="Calibri" w:hAnsi="Calibri" w:cs="Calibri"/>
          <w:i/>
          <w:iCs/>
          <w:color w:val="000000"/>
          <w:sz w:val="22"/>
          <w:szCs w:val="22"/>
          <w:u w:val="single"/>
        </w:rPr>
        <w:t xml:space="preserve">Grantee </w:t>
      </w:r>
      <w:proofErr w:type="spellStart"/>
      <w:r>
        <w:rPr>
          <w:rFonts w:ascii="Calibri" w:hAnsi="Calibri" w:cs="Calibri"/>
          <w:i/>
          <w:iCs/>
          <w:color w:val="000000"/>
          <w:sz w:val="22"/>
          <w:szCs w:val="22"/>
          <w:u w:val="single"/>
        </w:rPr>
        <w:t>Programmes</w:t>
      </w:r>
      <w:proofErr w:type="spellEnd"/>
      <w:r>
        <w:rPr>
          <w:rFonts w:ascii="Calibri" w:hAnsi="Calibri" w:cs="Calibri"/>
          <w:i/>
          <w:iCs/>
          <w:color w:val="000000"/>
          <w:sz w:val="22"/>
          <w:szCs w:val="22"/>
          <w:u w:val="single"/>
        </w:rPr>
        <w:t>:</w:t>
      </w:r>
    </w:p>
    <w:p w:rsidR="00157D29" w:rsidRDefault="00B62FAB">
      <w:pPr>
        <w:pStyle w:val="MediumGrid1-Accent21"/>
        <w:numPr>
          <w:ilvl w:val="0"/>
          <w:numId w:val="23"/>
        </w:numPr>
        <w:tabs>
          <w:tab w:val="left" w:pos="720"/>
        </w:tabs>
        <w:contextualSpacing/>
        <w:rPr>
          <w:rFonts w:ascii="Calibri" w:hAnsi="Calibri" w:cs="Calibri"/>
          <w:b/>
          <w:color w:val="000000"/>
          <w:sz w:val="22"/>
          <w:szCs w:val="22"/>
        </w:rPr>
      </w:pPr>
      <w:r>
        <w:rPr>
          <w:rFonts w:ascii="Calibri" w:hAnsi="Calibri" w:cs="Calibri"/>
          <w:color w:val="000000"/>
          <w:sz w:val="22"/>
          <w:szCs w:val="22"/>
        </w:rPr>
        <w:t xml:space="preserve">To what extent have grantee </w:t>
      </w:r>
      <w:proofErr w:type="spellStart"/>
      <w:r>
        <w:rPr>
          <w:rFonts w:ascii="Calibri" w:hAnsi="Calibri" w:cs="Calibri"/>
          <w:color w:val="000000"/>
          <w:sz w:val="22"/>
          <w:szCs w:val="22"/>
        </w:rPr>
        <w:t>programmes</w:t>
      </w:r>
      <w:proofErr w:type="spellEnd"/>
      <w:r>
        <w:rPr>
          <w:rFonts w:ascii="Calibri" w:hAnsi="Calibri" w:cs="Calibri"/>
          <w:color w:val="000000"/>
          <w:sz w:val="22"/>
          <w:szCs w:val="22"/>
        </w:rPr>
        <w:t xml:space="preserve"> generated/built local and/or national ownership and support for </w:t>
      </w:r>
      <w:r>
        <w:rPr>
          <w:rFonts w:asciiTheme="minorHAnsi" w:eastAsiaTheme="minorHAnsi" w:hAnsiTheme="minorHAnsi"/>
          <w:color w:val="000000"/>
          <w:sz w:val="22"/>
          <w:szCs w:val="22"/>
        </w:rPr>
        <w:t>advancing the economic and political rights of women</w:t>
      </w:r>
      <w:r>
        <w:rPr>
          <w:rFonts w:ascii="Calibri" w:hAnsi="Calibri" w:cs="Calibri"/>
          <w:color w:val="000000"/>
          <w:sz w:val="22"/>
          <w:szCs w:val="22"/>
        </w:rPr>
        <w:t xml:space="preserve">? </w:t>
      </w:r>
    </w:p>
    <w:p w:rsidR="00157D29" w:rsidRDefault="00B62FAB">
      <w:pPr>
        <w:pStyle w:val="MediumGrid1-Accent21"/>
        <w:numPr>
          <w:ilvl w:val="0"/>
          <w:numId w:val="23"/>
        </w:numPr>
        <w:tabs>
          <w:tab w:val="left" w:pos="720"/>
        </w:tabs>
        <w:contextualSpacing/>
        <w:rPr>
          <w:rFonts w:ascii="Calibri" w:hAnsi="Calibri" w:cs="Calibri"/>
          <w:b/>
          <w:color w:val="000000"/>
          <w:sz w:val="22"/>
          <w:szCs w:val="22"/>
        </w:rPr>
      </w:pPr>
      <w:r>
        <w:rPr>
          <w:rFonts w:ascii="Calibri" w:hAnsi="Calibri" w:cs="Calibri"/>
          <w:color w:val="000000"/>
          <w:sz w:val="22"/>
          <w:szCs w:val="22"/>
        </w:rPr>
        <w:t xml:space="preserve">To what extent did grantees </w:t>
      </w:r>
      <w:r>
        <w:rPr>
          <w:rFonts w:ascii="Calibri" w:hAnsi="Calibri" w:cs="Helvetica"/>
          <w:color w:val="141413"/>
          <w:sz w:val="22"/>
          <w:szCs w:val="22"/>
        </w:rPr>
        <w:t>collaborate/partner and coordinate with other organizations or initiatives to create synergies after the end of external support?</w:t>
      </w:r>
    </w:p>
    <w:p w:rsidR="00157D29" w:rsidRDefault="00157D29">
      <w:pPr>
        <w:jc w:val="both"/>
        <w:rPr>
          <w:rStyle w:val="apple-converted-space"/>
          <w:rFonts w:ascii="Arial" w:hAnsi="Arial" w:cs="Arial"/>
          <w:b/>
          <w:color w:val="222222"/>
          <w:sz w:val="19"/>
          <w:szCs w:val="19"/>
          <w:shd w:val="clear" w:color="auto" w:fill="FFFFFF"/>
        </w:rPr>
      </w:pPr>
    </w:p>
    <w:p w:rsidR="00157D29" w:rsidRDefault="00B62FAB">
      <w:pPr>
        <w:jc w:val="both"/>
        <w:rPr>
          <w:rFonts w:ascii="Calibri" w:hAnsi="Calibri" w:cs="Calibri"/>
          <w:b/>
          <w:iCs/>
          <w:color w:val="1F497D"/>
          <w:sz w:val="22"/>
          <w:szCs w:val="22"/>
        </w:rPr>
      </w:pPr>
      <w:r>
        <w:rPr>
          <w:rFonts w:ascii="Calibri" w:hAnsi="Calibri" w:cs="Calibri"/>
          <w:b/>
          <w:iCs/>
          <w:color w:val="1F497D"/>
          <w:sz w:val="22"/>
          <w:szCs w:val="22"/>
        </w:rPr>
        <w:t>POTENTIAL FOR IMPACT:</w:t>
      </w:r>
    </w:p>
    <w:p w:rsidR="00157D29" w:rsidRDefault="00157D29">
      <w:pPr>
        <w:jc w:val="both"/>
        <w:rPr>
          <w:rFonts w:ascii="Calibri" w:hAnsi="Calibri" w:cs="Calibri"/>
          <w:i/>
          <w:color w:val="000000"/>
          <w:sz w:val="22"/>
          <w:szCs w:val="22"/>
          <w:u w:val="single"/>
        </w:rPr>
      </w:pPr>
    </w:p>
    <w:p w:rsidR="00157D29" w:rsidRDefault="00B62FAB">
      <w:pPr>
        <w:jc w:val="both"/>
        <w:rPr>
          <w:rFonts w:ascii="Calibri" w:hAnsi="Calibri" w:cs="Calibri"/>
          <w:i/>
          <w:color w:val="000000"/>
          <w:sz w:val="22"/>
          <w:szCs w:val="22"/>
          <w:u w:val="single"/>
        </w:rPr>
      </w:pPr>
      <w:r>
        <w:rPr>
          <w:rFonts w:ascii="Calibri" w:hAnsi="Calibri" w:cs="Calibri"/>
          <w:i/>
          <w:color w:val="000000"/>
          <w:sz w:val="22"/>
          <w:szCs w:val="22"/>
          <w:u w:val="single"/>
        </w:rPr>
        <w:t>The Fund:</w:t>
      </w:r>
    </w:p>
    <w:p w:rsidR="00157D29" w:rsidRDefault="00B62FAB">
      <w:pPr>
        <w:pStyle w:val="ListParagraph"/>
        <w:numPr>
          <w:ilvl w:val="0"/>
          <w:numId w:val="24"/>
        </w:numPr>
        <w:jc w:val="both"/>
        <w:rPr>
          <w:rStyle w:val="apple-converted-space"/>
          <w:rFonts w:asciiTheme="minorHAnsi" w:hAnsiTheme="minorHAnsi" w:cs="Arial"/>
          <w:color w:val="222222"/>
          <w:sz w:val="22"/>
          <w:szCs w:val="22"/>
          <w:highlight w:val="white"/>
        </w:rPr>
      </w:pPr>
      <w:r>
        <w:rPr>
          <w:rFonts w:asciiTheme="minorHAnsi" w:hAnsiTheme="minorHAnsi"/>
          <w:sz w:val="22"/>
          <w:szCs w:val="22"/>
        </w:rPr>
        <w:t>How has the FGE contributed to UN Women professionalization expertise on grant-making &amp; Knowledge Management on WEE and WPE?</w:t>
      </w:r>
    </w:p>
    <w:p w:rsidR="00157D29" w:rsidRDefault="00157D29">
      <w:pPr>
        <w:jc w:val="both"/>
        <w:rPr>
          <w:rFonts w:ascii="Calibri" w:hAnsi="Calibri" w:cs="Calibri"/>
          <w:i/>
          <w:color w:val="000000"/>
          <w:sz w:val="22"/>
          <w:szCs w:val="22"/>
          <w:u w:val="single"/>
        </w:rPr>
      </w:pPr>
    </w:p>
    <w:p w:rsidR="00157D29" w:rsidRDefault="00B62FAB">
      <w:pPr>
        <w:jc w:val="both"/>
        <w:rPr>
          <w:rFonts w:ascii="Calibri" w:hAnsi="Calibri" w:cs="Calibri"/>
          <w:i/>
          <w:color w:val="000000"/>
          <w:sz w:val="22"/>
          <w:szCs w:val="22"/>
          <w:u w:val="single"/>
        </w:rPr>
      </w:pPr>
      <w:r>
        <w:rPr>
          <w:rFonts w:ascii="Calibri" w:hAnsi="Calibri" w:cs="Calibri"/>
          <w:i/>
          <w:color w:val="000000"/>
          <w:sz w:val="22"/>
          <w:szCs w:val="22"/>
          <w:u w:val="single"/>
        </w:rPr>
        <w:t xml:space="preserve">Grantee </w:t>
      </w:r>
      <w:proofErr w:type="spellStart"/>
      <w:r>
        <w:rPr>
          <w:rFonts w:ascii="Calibri" w:hAnsi="Calibri" w:cs="Calibri"/>
          <w:i/>
          <w:color w:val="000000"/>
          <w:sz w:val="22"/>
          <w:szCs w:val="22"/>
          <w:u w:val="single"/>
        </w:rPr>
        <w:t>Programmes</w:t>
      </w:r>
      <w:proofErr w:type="spellEnd"/>
      <w:r>
        <w:rPr>
          <w:rFonts w:ascii="Calibri" w:hAnsi="Calibri" w:cs="Calibri"/>
          <w:i/>
          <w:color w:val="000000"/>
          <w:sz w:val="22"/>
          <w:szCs w:val="22"/>
          <w:u w:val="single"/>
        </w:rPr>
        <w:t>:</w:t>
      </w:r>
    </w:p>
    <w:p w:rsidR="00157D29" w:rsidRDefault="00B62FAB">
      <w:pPr>
        <w:pStyle w:val="ListParagraph"/>
        <w:numPr>
          <w:ilvl w:val="0"/>
          <w:numId w:val="25"/>
        </w:numPr>
        <w:jc w:val="both"/>
        <w:rPr>
          <w:rFonts w:asciiTheme="minorHAnsi" w:hAnsiTheme="minorHAnsi"/>
          <w:sz w:val="22"/>
          <w:szCs w:val="22"/>
        </w:rPr>
      </w:pPr>
      <w:r>
        <w:rPr>
          <w:rFonts w:asciiTheme="minorHAnsi" w:hAnsiTheme="minorHAnsi"/>
          <w:sz w:val="22"/>
          <w:szCs w:val="22"/>
        </w:rPr>
        <w:t xml:space="preserve">To what extent did </w:t>
      </w:r>
      <w:proofErr w:type="spellStart"/>
      <w:r>
        <w:rPr>
          <w:rFonts w:asciiTheme="minorHAnsi" w:hAnsiTheme="minorHAnsi"/>
          <w:sz w:val="22"/>
          <w:szCs w:val="22"/>
        </w:rPr>
        <w:t>programmes</w:t>
      </w:r>
      <w:proofErr w:type="spellEnd"/>
      <w:r>
        <w:rPr>
          <w:rFonts w:asciiTheme="minorHAnsi" w:hAnsiTheme="minorHAnsi"/>
          <w:sz w:val="22"/>
          <w:szCs w:val="22"/>
        </w:rPr>
        <w:t xml:space="preserve"> have an impact on WEE/WPE at national level in the short, medium and long run </w:t>
      </w:r>
      <w:proofErr w:type="gramStart"/>
      <w:r>
        <w:rPr>
          <w:rFonts w:asciiTheme="minorHAnsi" w:hAnsiTheme="minorHAnsi"/>
          <w:sz w:val="22"/>
          <w:szCs w:val="22"/>
        </w:rPr>
        <w:t>as a result of</w:t>
      </w:r>
      <w:proofErr w:type="gramEnd"/>
      <w:r>
        <w:rPr>
          <w:rFonts w:asciiTheme="minorHAnsi" w:hAnsiTheme="minorHAnsi"/>
          <w:sz w:val="22"/>
          <w:szCs w:val="22"/>
        </w:rPr>
        <w:t xml:space="preserve"> FGE-supported interventions?</w:t>
      </w:r>
    </w:p>
    <w:p w:rsidR="00157D29" w:rsidRDefault="00157D29">
      <w:pPr>
        <w:jc w:val="both"/>
        <w:rPr>
          <w:rStyle w:val="apple-converted-space"/>
          <w:rFonts w:ascii="Arial" w:hAnsi="Arial" w:cs="Arial"/>
          <w:color w:val="222222"/>
          <w:sz w:val="19"/>
          <w:szCs w:val="19"/>
          <w:shd w:val="clear" w:color="auto" w:fill="FFFFFF"/>
        </w:rPr>
      </w:pPr>
    </w:p>
    <w:p w:rsidR="00157D29" w:rsidRDefault="00157D29">
      <w:pPr>
        <w:jc w:val="both"/>
        <w:rPr>
          <w:rStyle w:val="apple-converted-space"/>
          <w:rFonts w:ascii="Arial" w:hAnsi="Arial" w:cs="Arial"/>
          <w:color w:val="222222"/>
          <w:sz w:val="19"/>
          <w:szCs w:val="19"/>
          <w:shd w:val="clear" w:color="auto" w:fill="FFFFFF"/>
        </w:rPr>
      </w:pPr>
    </w:p>
    <w:p w:rsidR="00157D29" w:rsidRDefault="00B62FAB">
      <w:pPr>
        <w:numPr>
          <w:ilvl w:val="0"/>
          <w:numId w:val="1"/>
        </w:numPr>
        <w:spacing w:after="200" w:line="276" w:lineRule="auto"/>
        <w:jc w:val="both"/>
        <w:rPr>
          <w:rFonts w:asciiTheme="minorHAnsi" w:eastAsiaTheme="minorHAnsi" w:hAnsiTheme="minorHAnsi"/>
          <w:b/>
          <w:sz w:val="22"/>
          <w:szCs w:val="22"/>
        </w:rPr>
      </w:pPr>
      <w:r>
        <w:rPr>
          <w:rFonts w:asciiTheme="minorHAnsi" w:eastAsiaTheme="minorHAnsi" w:hAnsiTheme="minorHAnsi"/>
          <w:b/>
          <w:sz w:val="22"/>
          <w:szCs w:val="22"/>
        </w:rPr>
        <w:t>METHODOLOGY</w:t>
      </w:r>
    </w:p>
    <w:p w:rsidR="00157D29" w:rsidRDefault="00B62FAB">
      <w:pPr>
        <w:shd w:val="clear" w:color="auto" w:fill="FFFFFF" w:themeFill="background1"/>
        <w:spacing w:before="240" w:line="276" w:lineRule="auto"/>
        <w:jc w:val="both"/>
        <w:rPr>
          <w:rFonts w:asciiTheme="minorHAnsi" w:hAnsiTheme="minorHAnsi"/>
          <w:sz w:val="22"/>
          <w:szCs w:val="22"/>
        </w:rPr>
      </w:pPr>
      <w:r>
        <w:rPr>
          <w:rFonts w:asciiTheme="minorHAnsi" w:hAnsiTheme="minorHAnsi" w:cs="Calibri"/>
          <w:sz w:val="22"/>
          <w:szCs w:val="22"/>
        </w:rPr>
        <w:t xml:space="preserve">The evaluation will be a transparent and participatory process involving relevant UN Women stakeholders and partners at the headquarters, regional, and country levels. </w:t>
      </w:r>
      <w:r>
        <w:rPr>
          <w:rFonts w:asciiTheme="minorHAnsi" w:hAnsiTheme="minorHAnsi"/>
          <w:sz w:val="22"/>
          <w:szCs w:val="22"/>
        </w:rPr>
        <w:t>The evaluation will be based on gender and human rights principles, as defined in the UN Women Evaluation Policy</w:t>
      </w:r>
      <w:r>
        <w:rPr>
          <w:rStyle w:val="Ancladenotaalpie"/>
          <w:rFonts w:asciiTheme="minorHAnsi" w:hAnsiTheme="minorHAnsi"/>
          <w:sz w:val="22"/>
          <w:szCs w:val="22"/>
        </w:rPr>
        <w:footnoteReference w:id="6"/>
      </w:r>
      <w:r>
        <w:rPr>
          <w:rFonts w:asciiTheme="minorHAnsi" w:hAnsiTheme="minorHAnsi"/>
          <w:sz w:val="22"/>
          <w:szCs w:val="22"/>
        </w:rPr>
        <w:t xml:space="preserve"> and adhere to the United Nations norms and standards for evaluation in the UN System</w:t>
      </w:r>
      <w:r>
        <w:rPr>
          <w:rStyle w:val="Ancladenotaalpie"/>
          <w:rFonts w:asciiTheme="minorHAnsi" w:hAnsiTheme="minorHAnsi"/>
          <w:sz w:val="22"/>
          <w:szCs w:val="22"/>
        </w:rPr>
        <w:footnoteReference w:id="7"/>
      </w:r>
      <w:r>
        <w:rPr>
          <w:rFonts w:asciiTheme="minorHAnsi" w:hAnsiTheme="minorHAnsi"/>
          <w:sz w:val="22"/>
          <w:szCs w:val="22"/>
        </w:rPr>
        <w:t xml:space="preserve">. </w:t>
      </w:r>
    </w:p>
    <w:p w:rsidR="00157D29" w:rsidRDefault="00157D29">
      <w:pPr>
        <w:rPr>
          <w:rFonts w:asciiTheme="minorHAnsi" w:hAnsiTheme="minorHAnsi"/>
          <w:sz w:val="22"/>
          <w:szCs w:val="22"/>
        </w:rPr>
      </w:pPr>
    </w:p>
    <w:p w:rsidR="00157D29" w:rsidRDefault="00B62FAB">
      <w:pPr>
        <w:rPr>
          <w:rFonts w:ascii="Calibri" w:eastAsia="Calibri" w:hAnsi="Calibri" w:cs="Calibri"/>
          <w:sz w:val="22"/>
          <w:szCs w:val="22"/>
          <w:lang w:val="en-GB" w:eastAsia="en-GB"/>
        </w:rPr>
      </w:pPr>
      <w:r>
        <w:rPr>
          <w:rFonts w:asciiTheme="minorHAnsi" w:hAnsiTheme="minorHAnsi"/>
          <w:sz w:val="22"/>
          <w:szCs w:val="22"/>
        </w:rPr>
        <w:t xml:space="preserve">The evaluation methodology will employ </w:t>
      </w:r>
      <w:r>
        <w:rPr>
          <w:rFonts w:asciiTheme="minorHAnsi" w:hAnsiTheme="minorHAnsi"/>
          <w:b/>
          <w:sz w:val="22"/>
          <w:szCs w:val="22"/>
        </w:rPr>
        <w:t>mixed qualitative</w:t>
      </w:r>
      <w:r>
        <w:rPr>
          <w:rFonts w:asciiTheme="minorHAnsi" w:hAnsiTheme="minorHAnsi"/>
          <w:sz w:val="22"/>
          <w:szCs w:val="22"/>
        </w:rPr>
        <w:t xml:space="preserve"> and </w:t>
      </w:r>
      <w:r>
        <w:rPr>
          <w:rFonts w:asciiTheme="minorHAnsi" w:hAnsiTheme="minorHAnsi"/>
          <w:b/>
          <w:sz w:val="22"/>
          <w:szCs w:val="22"/>
        </w:rPr>
        <w:t>quantitative methods</w:t>
      </w:r>
      <w:r>
        <w:rPr>
          <w:rFonts w:asciiTheme="minorHAnsi" w:hAnsiTheme="minorHAnsi"/>
          <w:sz w:val="22"/>
          <w:szCs w:val="22"/>
        </w:rPr>
        <w:t xml:space="preserve"> and will ensure that the </w:t>
      </w:r>
      <w:r>
        <w:rPr>
          <w:rFonts w:asciiTheme="minorHAnsi" w:hAnsiTheme="minorHAnsi"/>
          <w:b/>
          <w:sz w:val="22"/>
          <w:szCs w:val="22"/>
        </w:rPr>
        <w:t>views of beneficiaries</w:t>
      </w:r>
      <w:r>
        <w:rPr>
          <w:rFonts w:asciiTheme="minorHAnsi" w:hAnsiTheme="minorHAnsi"/>
          <w:sz w:val="22"/>
          <w:szCs w:val="22"/>
        </w:rPr>
        <w:t xml:space="preserve"> are represented in the evaluation. The evaluation will include content review, for example of grantee information and UN Women strategic documents, to identify alignment.  An in-depth portfolio review will be undertaken that quantifies key indicators of the grantees, such as context, size of grant, management support, and identifies trends when looking at results reported.</w:t>
      </w:r>
      <w:r>
        <w:t xml:space="preserve"> </w:t>
      </w:r>
      <w:r>
        <w:rPr>
          <w:rFonts w:asciiTheme="minorHAnsi" w:hAnsiTheme="minorHAnsi"/>
          <w:sz w:val="22"/>
          <w:szCs w:val="22"/>
        </w:rPr>
        <w:t xml:space="preserve">Key stakeholders </w:t>
      </w:r>
      <w:r>
        <w:rPr>
          <w:rFonts w:ascii="Calibri" w:eastAsia="Calibri" w:hAnsi="Calibri" w:cs="Calibri"/>
          <w:sz w:val="22"/>
          <w:szCs w:val="22"/>
          <w:lang w:val="en-GB" w:eastAsia="en-GB"/>
        </w:rPr>
        <w:t xml:space="preserve">(i.e. grantees, beneficiaries, donors, other UN Women’s Offices and Units, etc.) </w:t>
      </w:r>
      <w:r>
        <w:rPr>
          <w:rFonts w:asciiTheme="minorHAnsi" w:hAnsiTheme="minorHAnsi"/>
          <w:sz w:val="22"/>
          <w:szCs w:val="22"/>
        </w:rPr>
        <w:t xml:space="preserve">will be engaged via survey and/or interviews or group interviews, which may take place via skype. A case study approach will also be employed </w:t>
      </w:r>
      <w:proofErr w:type="gramStart"/>
      <w:r>
        <w:rPr>
          <w:rFonts w:asciiTheme="minorHAnsi" w:hAnsiTheme="minorHAnsi"/>
          <w:sz w:val="22"/>
          <w:szCs w:val="22"/>
        </w:rPr>
        <w:t>in order to</w:t>
      </w:r>
      <w:proofErr w:type="gramEnd"/>
      <w:r>
        <w:rPr>
          <w:rFonts w:asciiTheme="minorHAnsi" w:hAnsiTheme="minorHAnsi"/>
          <w:sz w:val="22"/>
          <w:szCs w:val="22"/>
        </w:rPr>
        <w:t xml:space="preserve"> illustrate the results of grantees in each of the thematic areas. The case studies </w:t>
      </w:r>
      <w:r>
        <w:rPr>
          <w:rFonts w:ascii="Calibri" w:eastAsia="Calibri" w:hAnsi="Calibri" w:cs="Calibri"/>
          <w:sz w:val="22"/>
          <w:szCs w:val="22"/>
          <w:lang w:val="en-GB" w:eastAsia="en-GB"/>
        </w:rPr>
        <w:t xml:space="preserve">will consider </w:t>
      </w:r>
      <w:r>
        <w:rPr>
          <w:rFonts w:ascii="Calibri" w:eastAsia="Calibri" w:hAnsi="Calibri" w:cs="Calibri"/>
          <w:b/>
          <w:sz w:val="22"/>
          <w:szCs w:val="22"/>
          <w:lang w:val="en-GB" w:eastAsia="en-GB"/>
        </w:rPr>
        <w:t>innovative ways of engaging key stakeholders</w:t>
      </w:r>
      <w:r>
        <w:rPr>
          <w:rFonts w:ascii="Calibri" w:eastAsia="Calibri" w:hAnsi="Calibri" w:cs="Calibri"/>
          <w:sz w:val="22"/>
          <w:szCs w:val="22"/>
          <w:lang w:val="en-GB" w:eastAsia="en-GB"/>
        </w:rPr>
        <w:t xml:space="preserve"> of the Fund’s work in the documentation of programme results, through at least one case study in each thematic area using </w:t>
      </w:r>
      <w:r>
        <w:rPr>
          <w:rFonts w:ascii="Calibri" w:eastAsia="Calibri" w:hAnsi="Calibri" w:cs="Calibri"/>
          <w:b/>
          <w:sz w:val="22"/>
          <w:szCs w:val="22"/>
          <w:lang w:val="en-GB" w:eastAsia="en-GB"/>
        </w:rPr>
        <w:t>participatory video, stories of significant change, collaborative outcome reporting, or other participatory</w:t>
      </w:r>
      <w:r>
        <w:rPr>
          <w:rFonts w:ascii="Calibri" w:eastAsia="Calibri" w:hAnsi="Calibri" w:cs="Calibri"/>
          <w:sz w:val="22"/>
          <w:szCs w:val="22"/>
          <w:lang w:val="en-GB" w:eastAsia="en-GB"/>
        </w:rPr>
        <w:t xml:space="preserve"> </w:t>
      </w:r>
      <w:r>
        <w:rPr>
          <w:rFonts w:ascii="Calibri" w:eastAsia="Calibri" w:hAnsi="Calibri" w:cs="Calibri"/>
          <w:b/>
          <w:sz w:val="22"/>
          <w:szCs w:val="22"/>
          <w:lang w:val="en-GB" w:eastAsia="en-GB"/>
        </w:rPr>
        <w:t>methods</w:t>
      </w:r>
      <w:r>
        <w:rPr>
          <w:rFonts w:ascii="Calibri" w:eastAsia="Calibri" w:hAnsi="Calibri" w:cs="Calibri"/>
          <w:sz w:val="22"/>
          <w:szCs w:val="22"/>
          <w:lang w:val="en-GB" w:eastAsia="en-GB"/>
        </w:rPr>
        <w:t xml:space="preserve"> that facilitate the voice of stakeholders are included. The evaluation will </w:t>
      </w:r>
      <w:proofErr w:type="gramStart"/>
      <w:r>
        <w:rPr>
          <w:rFonts w:ascii="Calibri" w:eastAsia="Calibri" w:hAnsi="Calibri" w:cs="Calibri"/>
          <w:sz w:val="22"/>
          <w:szCs w:val="22"/>
          <w:lang w:val="en-GB" w:eastAsia="en-GB"/>
        </w:rPr>
        <w:t>built</w:t>
      </w:r>
      <w:proofErr w:type="gramEnd"/>
      <w:r>
        <w:rPr>
          <w:rFonts w:ascii="Calibri" w:eastAsia="Calibri" w:hAnsi="Calibri" w:cs="Calibri"/>
          <w:sz w:val="22"/>
          <w:szCs w:val="22"/>
          <w:lang w:val="en-GB" w:eastAsia="en-GB"/>
        </w:rPr>
        <w:t xml:space="preserve"> on evaluations conducted by UN Women in the two thematic areas as well as grantee evaluations conducted in 2015 and 2016 that were not part of the Meta-Analysis. The selected approach will be aligned with the final questions matrix (to be completed by the evaluation team in consultation with FGE).  Following an initial desk review and brief discussions with the Core Reference Group (CRG), the proposed methodology will be developed by the evaluation team and presented to FGE for approval. </w:t>
      </w:r>
    </w:p>
    <w:p w:rsidR="00157D29" w:rsidRDefault="00157D29">
      <w:pPr>
        <w:shd w:val="clear" w:color="auto" w:fill="FFFFFF" w:themeFill="background1"/>
        <w:spacing w:line="276" w:lineRule="auto"/>
        <w:jc w:val="both"/>
        <w:rPr>
          <w:rFonts w:asciiTheme="minorHAnsi" w:hAnsiTheme="minorHAnsi"/>
          <w:sz w:val="22"/>
          <w:szCs w:val="22"/>
          <w:lang w:val="en-GB"/>
        </w:rPr>
      </w:pPr>
    </w:p>
    <w:p w:rsidR="00157D29" w:rsidRDefault="00157D29">
      <w:pPr>
        <w:shd w:val="clear" w:color="auto" w:fill="FFFFFF" w:themeFill="background1"/>
        <w:spacing w:line="276" w:lineRule="auto"/>
        <w:jc w:val="both"/>
        <w:rPr>
          <w:rFonts w:asciiTheme="minorHAnsi" w:hAnsiTheme="minorHAnsi"/>
          <w:sz w:val="22"/>
          <w:szCs w:val="22"/>
          <w:lang w:val="en-GB"/>
        </w:rPr>
      </w:pPr>
    </w:p>
    <w:p w:rsidR="00157D29" w:rsidRDefault="00B62FAB">
      <w:pPr>
        <w:spacing w:after="200" w:line="276" w:lineRule="auto"/>
        <w:jc w:val="both"/>
        <w:rPr>
          <w:rFonts w:asciiTheme="minorHAnsi" w:eastAsiaTheme="minorHAnsi" w:hAnsiTheme="minorHAnsi"/>
          <w:b/>
          <w:sz w:val="22"/>
          <w:szCs w:val="22"/>
        </w:rPr>
      </w:pPr>
      <w:r>
        <w:rPr>
          <w:rFonts w:asciiTheme="minorHAnsi" w:eastAsiaTheme="minorHAnsi" w:hAnsiTheme="minorHAnsi"/>
          <w:b/>
          <w:sz w:val="22"/>
          <w:szCs w:val="22"/>
        </w:rPr>
        <w:t xml:space="preserve">4.1 EXPECTED DELIVERABLES AND TIMELINE </w:t>
      </w:r>
    </w:p>
    <w:p w:rsidR="00157D29" w:rsidRDefault="00B62FAB">
      <w:pPr>
        <w:jc w:val="both"/>
        <w:rPr>
          <w:rFonts w:ascii="Calibri" w:hAnsi="Calibri" w:cs="Calibri"/>
          <w:color w:val="000000"/>
          <w:sz w:val="22"/>
          <w:szCs w:val="22"/>
        </w:rPr>
      </w:pPr>
      <w:r>
        <w:rPr>
          <w:rFonts w:ascii="Calibri" w:hAnsi="Calibri" w:cs="Calibri"/>
          <w:color w:val="000000"/>
          <w:sz w:val="22"/>
          <w:szCs w:val="22"/>
        </w:rPr>
        <w:t>The Fund´s evaluation will be carried out from</w:t>
      </w:r>
      <w:r w:rsidR="002D7330">
        <w:rPr>
          <w:rFonts w:ascii="Calibri" w:hAnsi="Calibri" w:cs="Calibri"/>
          <w:b/>
          <w:color w:val="000000"/>
          <w:sz w:val="22"/>
          <w:szCs w:val="22"/>
        </w:rPr>
        <w:t xml:space="preserve"> end of February 2017 for </w:t>
      </w:r>
      <w:proofErr w:type="spellStart"/>
      <w:r w:rsidR="002D7330">
        <w:rPr>
          <w:rFonts w:ascii="Calibri" w:hAnsi="Calibri" w:cs="Calibri"/>
          <w:b/>
          <w:color w:val="000000"/>
          <w:sz w:val="22"/>
          <w:szCs w:val="22"/>
        </w:rPr>
        <w:t>aprox</w:t>
      </w:r>
      <w:proofErr w:type="spellEnd"/>
      <w:r w:rsidR="002D7330">
        <w:rPr>
          <w:rFonts w:ascii="Calibri" w:hAnsi="Calibri" w:cs="Calibri"/>
          <w:b/>
          <w:color w:val="000000"/>
          <w:sz w:val="22"/>
          <w:szCs w:val="22"/>
        </w:rPr>
        <w:t xml:space="preserve">. 8 months </w:t>
      </w:r>
      <w:r w:rsidR="002D7330" w:rsidRPr="002D7330">
        <w:rPr>
          <w:rFonts w:ascii="Calibri" w:hAnsi="Calibri" w:cs="Calibri"/>
          <w:color w:val="000000"/>
          <w:sz w:val="22"/>
          <w:szCs w:val="22"/>
        </w:rPr>
        <w:t>(tentative)</w:t>
      </w:r>
      <w:r w:rsidRPr="002D7330">
        <w:rPr>
          <w:rFonts w:ascii="Calibri" w:hAnsi="Calibri" w:cs="Calibri"/>
          <w:color w:val="000000"/>
          <w:sz w:val="22"/>
          <w:szCs w:val="22"/>
        </w:rPr>
        <w:t>.</w:t>
      </w:r>
      <w:r>
        <w:rPr>
          <w:rFonts w:ascii="Calibri" w:hAnsi="Calibri" w:cs="Calibri"/>
          <w:b/>
          <w:color w:val="000000"/>
          <w:sz w:val="22"/>
          <w:szCs w:val="22"/>
        </w:rPr>
        <w:t xml:space="preserve"> </w:t>
      </w:r>
      <w:r>
        <w:rPr>
          <w:rFonts w:ascii="Calibri" w:hAnsi="Calibri" w:cs="Calibri"/>
          <w:color w:val="000000"/>
          <w:sz w:val="22"/>
          <w:szCs w:val="22"/>
        </w:rPr>
        <w:t xml:space="preserve">All deliverables will be in English and submitted to the Evaluation Manager. FGE Chief will provide final clearance of all deliverables. Table below provides an indicative timeframe, including due dates for deliverables and to whom. </w:t>
      </w:r>
    </w:p>
    <w:p w:rsidR="00157D29" w:rsidRDefault="00B62FAB">
      <w:pPr>
        <w:numPr>
          <w:ilvl w:val="0"/>
          <w:numId w:val="13"/>
        </w:numPr>
        <w:jc w:val="both"/>
        <w:rPr>
          <w:rFonts w:ascii="Calibri" w:hAnsi="Calibri" w:cs="Calibri"/>
          <w:color w:val="000000"/>
          <w:sz w:val="22"/>
          <w:szCs w:val="22"/>
        </w:rPr>
      </w:pPr>
      <w:r>
        <w:rPr>
          <w:rFonts w:ascii="Calibri" w:hAnsi="Calibri" w:cs="Calibri"/>
          <w:color w:val="000000"/>
          <w:sz w:val="22"/>
          <w:szCs w:val="22"/>
        </w:rPr>
        <w:t xml:space="preserve">An </w:t>
      </w:r>
      <w:r>
        <w:rPr>
          <w:rFonts w:ascii="Calibri" w:hAnsi="Calibri" w:cs="Calibri"/>
          <w:b/>
          <w:color w:val="000000"/>
          <w:sz w:val="22"/>
          <w:szCs w:val="22"/>
        </w:rPr>
        <w:t>inception report</w:t>
      </w:r>
      <w:r>
        <w:rPr>
          <w:rFonts w:ascii="Calibri" w:hAnsi="Calibri" w:cs="Calibri"/>
          <w:color w:val="000000"/>
          <w:sz w:val="22"/>
          <w:szCs w:val="22"/>
        </w:rPr>
        <w:t xml:space="preserve"> which includes an evaluation design that builds on the objectives, scope, and evaluation questions, including an evaluation matrix. It will describe the evaluation methodology/methodological approach, data collection tools and data analysis methods. The Inception Report will also identify list of information sources, including key stakeholder analysis. It will include a detailed work plan indicating timing of activities, responsibilities, and use of resources.   </w:t>
      </w:r>
    </w:p>
    <w:p w:rsidR="00157D29" w:rsidRDefault="00B62FAB">
      <w:pPr>
        <w:pStyle w:val="ListParagraph"/>
        <w:numPr>
          <w:ilvl w:val="0"/>
          <w:numId w:val="13"/>
        </w:numPr>
        <w:jc w:val="both"/>
        <w:rPr>
          <w:rFonts w:ascii="Calibri" w:hAnsi="Calibri" w:cs="Calibri"/>
          <w:b/>
          <w:color w:val="000000"/>
          <w:sz w:val="22"/>
          <w:szCs w:val="22"/>
        </w:rPr>
      </w:pPr>
      <w:r>
        <w:rPr>
          <w:rFonts w:ascii="Calibri" w:hAnsi="Calibri" w:cs="Calibri"/>
          <w:b/>
          <w:color w:val="000000"/>
          <w:sz w:val="22"/>
          <w:szCs w:val="22"/>
        </w:rPr>
        <w:t>Presentation of preliminary findings</w:t>
      </w:r>
    </w:p>
    <w:p w:rsidR="00157D29" w:rsidRDefault="00B62FAB">
      <w:pPr>
        <w:pStyle w:val="ListParagraph"/>
        <w:numPr>
          <w:ilvl w:val="0"/>
          <w:numId w:val="13"/>
        </w:numPr>
        <w:jc w:val="both"/>
        <w:rPr>
          <w:rFonts w:ascii="Calibri" w:hAnsi="Calibri" w:cs="Calibri"/>
          <w:b/>
          <w:color w:val="000000"/>
          <w:sz w:val="22"/>
          <w:szCs w:val="22"/>
        </w:rPr>
      </w:pPr>
      <w:r>
        <w:rPr>
          <w:rFonts w:ascii="Calibri" w:hAnsi="Calibri" w:cs="Calibri"/>
          <w:b/>
          <w:color w:val="000000"/>
        </w:rPr>
        <w:t xml:space="preserve">First </w:t>
      </w:r>
      <w:r>
        <w:rPr>
          <w:rFonts w:ascii="Calibri" w:hAnsi="Calibri" w:cs="Calibri"/>
          <w:b/>
          <w:color w:val="000000"/>
          <w:sz w:val="22"/>
          <w:szCs w:val="22"/>
        </w:rPr>
        <w:t xml:space="preserve">Draft </w:t>
      </w:r>
      <w:r>
        <w:rPr>
          <w:rFonts w:ascii="Calibri" w:hAnsi="Calibri" w:cs="Calibri"/>
          <w:b/>
          <w:color w:val="000000"/>
        </w:rPr>
        <w:t>E</w:t>
      </w:r>
      <w:r>
        <w:rPr>
          <w:rFonts w:ascii="Calibri" w:hAnsi="Calibri" w:cs="Calibri"/>
          <w:b/>
          <w:color w:val="000000"/>
          <w:sz w:val="22"/>
          <w:szCs w:val="22"/>
        </w:rPr>
        <w:t>valuation report</w:t>
      </w:r>
      <w:r>
        <w:rPr>
          <w:rFonts w:ascii="Calibri" w:hAnsi="Calibri" w:cs="Calibri"/>
          <w:b/>
          <w:color w:val="000000"/>
        </w:rPr>
        <w:t xml:space="preserve">, </w:t>
      </w:r>
      <w:r>
        <w:rPr>
          <w:rFonts w:ascii="Calibri" w:hAnsi="Calibri" w:cs="Calibri"/>
          <w:color w:val="000000"/>
          <w:sz w:val="22"/>
          <w:szCs w:val="22"/>
        </w:rPr>
        <w:t xml:space="preserve">which contains an analysis and presentation highlighting key findings and conclusions, lessons, good practices and recommendations. </w:t>
      </w:r>
    </w:p>
    <w:p w:rsidR="00157D29" w:rsidRDefault="00B62FAB">
      <w:pPr>
        <w:pStyle w:val="ListParagraph"/>
        <w:numPr>
          <w:ilvl w:val="0"/>
          <w:numId w:val="13"/>
        </w:numPr>
        <w:jc w:val="both"/>
        <w:rPr>
          <w:rFonts w:ascii="Calibri" w:hAnsi="Calibri" w:cs="Calibri"/>
          <w:b/>
          <w:color w:val="000000"/>
          <w:sz w:val="22"/>
          <w:szCs w:val="22"/>
        </w:rPr>
      </w:pPr>
      <w:r>
        <w:rPr>
          <w:rFonts w:ascii="Calibri" w:hAnsi="Calibri" w:cs="Calibri"/>
          <w:b/>
          <w:color w:val="000000"/>
          <w:sz w:val="22"/>
          <w:szCs w:val="22"/>
        </w:rPr>
        <w:t>Final Evaluation Report</w:t>
      </w:r>
    </w:p>
    <w:p w:rsidR="00157D29" w:rsidRDefault="00B62FAB">
      <w:pPr>
        <w:pStyle w:val="ListParagraph"/>
        <w:numPr>
          <w:ilvl w:val="0"/>
          <w:numId w:val="13"/>
        </w:numPr>
        <w:jc w:val="both"/>
        <w:rPr>
          <w:rFonts w:ascii="Calibri" w:hAnsi="Calibri" w:cs="Calibri"/>
          <w:b/>
          <w:color w:val="000000"/>
          <w:sz w:val="22"/>
          <w:szCs w:val="22"/>
        </w:rPr>
      </w:pPr>
      <w:proofErr w:type="spellStart"/>
      <w:r>
        <w:rPr>
          <w:rFonts w:ascii="Calibri" w:hAnsi="Calibri" w:cs="Calibri"/>
          <w:b/>
          <w:color w:val="000000"/>
          <w:sz w:val="22"/>
          <w:szCs w:val="22"/>
        </w:rPr>
        <w:t>Powerpoint</w:t>
      </w:r>
      <w:proofErr w:type="spellEnd"/>
      <w:r>
        <w:rPr>
          <w:rFonts w:ascii="Calibri" w:hAnsi="Calibri" w:cs="Calibri"/>
          <w:b/>
          <w:color w:val="000000"/>
          <w:sz w:val="22"/>
          <w:szCs w:val="22"/>
        </w:rPr>
        <w:t xml:space="preserve"> Presentation </w:t>
      </w:r>
      <w:r>
        <w:rPr>
          <w:rFonts w:ascii="Calibri" w:hAnsi="Calibri" w:cs="Calibri"/>
          <w:color w:val="000000"/>
          <w:sz w:val="22"/>
          <w:szCs w:val="22"/>
        </w:rPr>
        <w:t>summarizing key findings, lessons learned and good practices.</w:t>
      </w:r>
    </w:p>
    <w:p w:rsidR="00157D29" w:rsidRDefault="00157D29">
      <w:pPr>
        <w:pStyle w:val="ListParagraph"/>
        <w:jc w:val="both"/>
        <w:rPr>
          <w:rFonts w:ascii="Calibri" w:hAnsi="Calibri" w:cs="Calibri"/>
          <w:b/>
          <w:color w:val="000000"/>
          <w:sz w:val="22"/>
          <w:szCs w:val="22"/>
        </w:rPr>
      </w:pPr>
    </w:p>
    <w:tbl>
      <w:tblPr>
        <w:tblStyle w:val="TableGrid"/>
        <w:tblW w:w="9625" w:type="dxa"/>
        <w:tblInd w:w="-275" w:type="dxa"/>
        <w:tblLook w:val="04A0" w:firstRow="1" w:lastRow="0" w:firstColumn="1" w:lastColumn="0" w:noHBand="0" w:noVBand="1"/>
      </w:tblPr>
      <w:tblGrid>
        <w:gridCol w:w="4051"/>
        <w:gridCol w:w="1530"/>
        <w:gridCol w:w="2654"/>
        <w:gridCol w:w="1390"/>
      </w:tblGrid>
      <w:tr w:rsidR="00157D29">
        <w:tc>
          <w:tcPr>
            <w:tcW w:w="4050" w:type="dxa"/>
            <w:shd w:val="clear" w:color="auto" w:fill="E5DFEC" w:themeFill="accent4" w:themeFillTint="33"/>
            <w:tcMar>
              <w:left w:w="108" w:type="dxa"/>
            </w:tcMar>
          </w:tcPr>
          <w:p w:rsidR="00157D29" w:rsidRDefault="00B62FAB">
            <w:pPr>
              <w:jc w:val="both"/>
              <w:rPr>
                <w:rFonts w:asciiTheme="minorHAnsi" w:eastAsiaTheme="minorHAnsi" w:hAnsiTheme="minorHAnsi"/>
                <w:b/>
                <w:sz w:val="22"/>
                <w:szCs w:val="22"/>
              </w:rPr>
            </w:pPr>
            <w:r>
              <w:rPr>
                <w:rFonts w:asciiTheme="minorHAnsi" w:eastAsiaTheme="minorHAnsi" w:hAnsiTheme="minorHAnsi"/>
                <w:b/>
                <w:sz w:val="22"/>
                <w:szCs w:val="22"/>
              </w:rPr>
              <w:t>Task/Activities</w:t>
            </w:r>
          </w:p>
        </w:tc>
        <w:tc>
          <w:tcPr>
            <w:tcW w:w="1530" w:type="dxa"/>
            <w:shd w:val="clear" w:color="auto" w:fill="E5DFEC" w:themeFill="accent4" w:themeFillTint="33"/>
            <w:tcMar>
              <w:left w:w="108" w:type="dxa"/>
            </w:tcMar>
          </w:tcPr>
          <w:p w:rsidR="00157D29" w:rsidRDefault="00B62FAB">
            <w:pPr>
              <w:jc w:val="both"/>
              <w:rPr>
                <w:rFonts w:asciiTheme="minorHAnsi" w:eastAsiaTheme="minorHAnsi" w:hAnsiTheme="minorHAnsi"/>
                <w:b/>
                <w:sz w:val="22"/>
                <w:szCs w:val="22"/>
              </w:rPr>
            </w:pPr>
            <w:r>
              <w:rPr>
                <w:rFonts w:asciiTheme="minorHAnsi" w:eastAsiaTheme="minorHAnsi" w:hAnsiTheme="minorHAnsi"/>
                <w:b/>
                <w:sz w:val="22"/>
                <w:szCs w:val="22"/>
              </w:rPr>
              <w:t>Deliverables</w:t>
            </w:r>
          </w:p>
        </w:tc>
        <w:tc>
          <w:tcPr>
            <w:tcW w:w="2654" w:type="dxa"/>
            <w:shd w:val="clear" w:color="auto" w:fill="E5DFEC" w:themeFill="accent4" w:themeFillTint="33"/>
            <w:tcMar>
              <w:left w:w="108" w:type="dxa"/>
            </w:tcMar>
          </w:tcPr>
          <w:p w:rsidR="00157D29" w:rsidRDefault="00B62FAB">
            <w:pPr>
              <w:jc w:val="both"/>
              <w:rPr>
                <w:rFonts w:asciiTheme="minorHAnsi" w:eastAsiaTheme="minorHAnsi" w:hAnsiTheme="minorHAnsi"/>
                <w:b/>
                <w:sz w:val="22"/>
                <w:szCs w:val="22"/>
              </w:rPr>
            </w:pPr>
            <w:r>
              <w:rPr>
                <w:rFonts w:asciiTheme="minorHAnsi" w:eastAsiaTheme="minorHAnsi" w:hAnsiTheme="minorHAnsi"/>
                <w:b/>
                <w:sz w:val="22"/>
                <w:szCs w:val="22"/>
              </w:rPr>
              <w:t>Notes</w:t>
            </w:r>
          </w:p>
        </w:tc>
        <w:tc>
          <w:tcPr>
            <w:tcW w:w="1390" w:type="dxa"/>
            <w:shd w:val="clear" w:color="auto" w:fill="E5DFEC" w:themeFill="accent4" w:themeFillTint="33"/>
            <w:tcMar>
              <w:left w:w="108" w:type="dxa"/>
            </w:tcMar>
          </w:tcPr>
          <w:p w:rsidR="00157D29" w:rsidRDefault="00B62FAB">
            <w:pPr>
              <w:jc w:val="both"/>
              <w:rPr>
                <w:rFonts w:asciiTheme="minorHAnsi" w:eastAsiaTheme="minorHAnsi" w:hAnsiTheme="minorHAnsi"/>
                <w:b/>
                <w:sz w:val="22"/>
                <w:szCs w:val="22"/>
              </w:rPr>
            </w:pPr>
            <w:r>
              <w:rPr>
                <w:rFonts w:asciiTheme="minorHAnsi" w:eastAsiaTheme="minorHAnsi" w:hAnsiTheme="minorHAnsi"/>
                <w:b/>
                <w:sz w:val="22"/>
                <w:szCs w:val="22"/>
              </w:rPr>
              <w:t>Due Date</w:t>
            </w:r>
          </w:p>
        </w:tc>
      </w:tr>
      <w:tr w:rsidR="00157D29">
        <w:tc>
          <w:tcPr>
            <w:tcW w:w="4050" w:type="dxa"/>
            <w:shd w:val="clear" w:color="auto" w:fill="CCC0D9" w:themeFill="accent4" w:themeFillTint="66"/>
            <w:tcMar>
              <w:left w:w="108" w:type="dxa"/>
            </w:tcMar>
          </w:tcPr>
          <w:p w:rsidR="00157D29" w:rsidRDefault="00B62FAB">
            <w:pPr>
              <w:pStyle w:val="ListParagraph"/>
              <w:numPr>
                <w:ilvl w:val="0"/>
                <w:numId w:val="26"/>
              </w:numPr>
              <w:jc w:val="both"/>
              <w:rPr>
                <w:rFonts w:asciiTheme="minorHAnsi" w:eastAsiaTheme="minorHAnsi" w:hAnsiTheme="minorHAnsi"/>
                <w:b/>
                <w:sz w:val="22"/>
                <w:szCs w:val="22"/>
              </w:rPr>
            </w:pPr>
            <w:r>
              <w:rPr>
                <w:rFonts w:asciiTheme="minorHAnsi" w:eastAsiaTheme="minorHAnsi" w:hAnsiTheme="minorHAnsi"/>
                <w:b/>
                <w:sz w:val="22"/>
                <w:szCs w:val="22"/>
              </w:rPr>
              <w:t>Inception Phase</w:t>
            </w:r>
          </w:p>
        </w:tc>
        <w:tc>
          <w:tcPr>
            <w:tcW w:w="1530" w:type="dxa"/>
            <w:shd w:val="clear" w:color="auto" w:fill="CCC0D9" w:themeFill="accent4" w:themeFillTint="66"/>
            <w:tcMar>
              <w:left w:w="108" w:type="dxa"/>
            </w:tcMar>
          </w:tcPr>
          <w:p w:rsidR="00157D29" w:rsidRDefault="00157D29">
            <w:pPr>
              <w:jc w:val="both"/>
              <w:rPr>
                <w:rFonts w:asciiTheme="minorHAnsi" w:eastAsiaTheme="minorHAnsi" w:hAnsiTheme="minorHAnsi"/>
                <w:b/>
                <w:sz w:val="22"/>
                <w:szCs w:val="22"/>
              </w:rPr>
            </w:pPr>
          </w:p>
        </w:tc>
        <w:tc>
          <w:tcPr>
            <w:tcW w:w="2654" w:type="dxa"/>
            <w:shd w:val="clear" w:color="auto" w:fill="CCC0D9" w:themeFill="accent4" w:themeFillTint="66"/>
            <w:tcMar>
              <w:left w:w="108" w:type="dxa"/>
            </w:tcMar>
          </w:tcPr>
          <w:p w:rsidR="00157D29" w:rsidRDefault="00157D29">
            <w:pPr>
              <w:jc w:val="both"/>
              <w:rPr>
                <w:rFonts w:asciiTheme="minorHAnsi" w:eastAsiaTheme="minorHAnsi" w:hAnsiTheme="minorHAnsi"/>
                <w:b/>
                <w:sz w:val="22"/>
                <w:szCs w:val="22"/>
              </w:rPr>
            </w:pPr>
          </w:p>
        </w:tc>
        <w:tc>
          <w:tcPr>
            <w:tcW w:w="1390" w:type="dxa"/>
            <w:shd w:val="clear" w:color="auto" w:fill="CCC0D9" w:themeFill="accent4" w:themeFillTint="66"/>
            <w:tcMar>
              <w:left w:w="108" w:type="dxa"/>
            </w:tcMar>
          </w:tcPr>
          <w:p w:rsidR="00157D29" w:rsidRDefault="00157D29">
            <w:pPr>
              <w:jc w:val="both"/>
              <w:rPr>
                <w:rFonts w:asciiTheme="minorHAnsi" w:eastAsiaTheme="minorHAnsi" w:hAnsiTheme="minorHAnsi"/>
                <w:b/>
                <w:sz w:val="22"/>
                <w:szCs w:val="22"/>
              </w:rPr>
            </w:pPr>
          </w:p>
        </w:tc>
      </w:tr>
      <w:tr w:rsidR="00157D29">
        <w:trPr>
          <w:trHeight w:val="489"/>
        </w:trPr>
        <w:tc>
          <w:tcPr>
            <w:tcW w:w="4050" w:type="dxa"/>
            <w:shd w:val="clear" w:color="auto" w:fill="auto"/>
            <w:tcMar>
              <w:left w:w="108" w:type="dxa"/>
            </w:tcMar>
          </w:tcPr>
          <w:p w:rsidR="00157D29" w:rsidRDefault="00B62FAB">
            <w:pPr>
              <w:pStyle w:val="NoSpacing"/>
              <w:jc w:val="both"/>
              <w:rPr>
                <w:rFonts w:asciiTheme="minorHAnsi" w:hAnsiTheme="minorHAnsi"/>
                <w:sz w:val="22"/>
                <w:szCs w:val="22"/>
              </w:rPr>
            </w:pPr>
            <w:r>
              <w:rPr>
                <w:rFonts w:ascii="Calibri" w:hAnsi="Calibri" w:cs="Calibri"/>
                <w:bCs/>
                <w:color w:val="000000"/>
                <w:sz w:val="22"/>
                <w:szCs w:val="22"/>
              </w:rPr>
              <w:t>Briefing with Evaluation Team to discuss and jointly review the Terms of Reference (</w:t>
            </w:r>
            <w:proofErr w:type="spellStart"/>
            <w:r>
              <w:rPr>
                <w:rFonts w:ascii="Calibri" w:hAnsi="Calibri" w:cs="Calibri"/>
                <w:bCs/>
                <w:color w:val="000000"/>
                <w:sz w:val="22"/>
                <w:szCs w:val="22"/>
              </w:rPr>
              <w:t>ToR</w:t>
            </w:r>
            <w:proofErr w:type="spellEnd"/>
            <w:r>
              <w:rPr>
                <w:rFonts w:ascii="Calibri" w:hAnsi="Calibri" w:cs="Calibri"/>
                <w:bCs/>
                <w:color w:val="000000"/>
                <w:sz w:val="22"/>
                <w:szCs w:val="22"/>
              </w:rPr>
              <w:t>).</w:t>
            </w:r>
          </w:p>
        </w:tc>
        <w:tc>
          <w:tcPr>
            <w:tcW w:w="1530" w:type="dxa"/>
            <w:shd w:val="clear" w:color="auto" w:fill="auto"/>
            <w:tcMar>
              <w:left w:w="108" w:type="dxa"/>
            </w:tcMar>
          </w:tcPr>
          <w:p w:rsidR="00157D29" w:rsidRDefault="00157D29">
            <w:pPr>
              <w:pStyle w:val="NoSpacing"/>
              <w:jc w:val="both"/>
              <w:rPr>
                <w:rFonts w:asciiTheme="minorHAnsi" w:eastAsiaTheme="minorHAnsi" w:hAnsiTheme="minorHAnsi"/>
                <w:b/>
                <w:sz w:val="22"/>
                <w:szCs w:val="22"/>
              </w:rPr>
            </w:pPr>
          </w:p>
        </w:tc>
        <w:tc>
          <w:tcPr>
            <w:tcW w:w="2654" w:type="dxa"/>
            <w:shd w:val="clear" w:color="auto" w:fill="auto"/>
            <w:tcMar>
              <w:left w:w="108" w:type="dxa"/>
            </w:tcMar>
          </w:tcPr>
          <w:p w:rsidR="00157D29" w:rsidRDefault="00B62FAB">
            <w:pPr>
              <w:pStyle w:val="NoSpacing"/>
              <w:numPr>
                <w:ilvl w:val="0"/>
                <w:numId w:val="27"/>
              </w:numPr>
              <w:ind w:left="249" w:hanging="249"/>
              <w:jc w:val="both"/>
              <w:rPr>
                <w:rFonts w:asciiTheme="minorHAnsi" w:eastAsiaTheme="minorHAnsi" w:hAnsiTheme="minorHAnsi"/>
                <w:b/>
                <w:sz w:val="22"/>
                <w:szCs w:val="22"/>
              </w:rPr>
            </w:pPr>
            <w:r>
              <w:rPr>
                <w:rFonts w:asciiTheme="minorHAnsi" w:eastAsiaTheme="minorHAnsi" w:hAnsiTheme="minorHAnsi"/>
                <w:b/>
                <w:sz w:val="22"/>
                <w:szCs w:val="22"/>
              </w:rPr>
              <w:t>Virtual meeting</w:t>
            </w:r>
          </w:p>
          <w:p w:rsidR="00157D29" w:rsidRDefault="00157D29">
            <w:pPr>
              <w:pStyle w:val="NoSpacing"/>
              <w:ind w:left="360"/>
              <w:jc w:val="both"/>
              <w:rPr>
                <w:rFonts w:asciiTheme="minorHAnsi" w:eastAsiaTheme="minorHAnsi" w:hAnsiTheme="minorHAnsi"/>
                <w:b/>
                <w:sz w:val="22"/>
                <w:szCs w:val="22"/>
              </w:rPr>
            </w:pPr>
          </w:p>
        </w:tc>
        <w:tc>
          <w:tcPr>
            <w:tcW w:w="1390" w:type="dxa"/>
            <w:shd w:val="clear" w:color="auto" w:fill="auto"/>
            <w:tcMar>
              <w:left w:w="108" w:type="dxa"/>
            </w:tcMar>
          </w:tcPr>
          <w:p w:rsidR="002D7330" w:rsidRDefault="00B62FAB">
            <w:pPr>
              <w:pStyle w:val="NoSpacing"/>
            </w:pPr>
            <w:r>
              <w:rPr>
                <w:rFonts w:asciiTheme="minorHAnsi" w:eastAsiaTheme="minorHAnsi" w:hAnsiTheme="minorHAnsi"/>
                <w:b/>
                <w:sz w:val="22"/>
                <w:szCs w:val="22"/>
              </w:rPr>
              <w:t>1</w:t>
            </w:r>
            <w:r>
              <w:rPr>
                <w:rFonts w:asciiTheme="minorHAnsi" w:eastAsiaTheme="minorHAnsi" w:hAnsiTheme="minorHAnsi"/>
                <w:b/>
                <w:sz w:val="22"/>
                <w:szCs w:val="22"/>
                <w:vertAlign w:val="superscript"/>
              </w:rPr>
              <w:t>st</w:t>
            </w:r>
            <w:r>
              <w:rPr>
                <w:rFonts w:asciiTheme="minorHAnsi" w:eastAsiaTheme="minorHAnsi" w:hAnsiTheme="minorHAnsi"/>
                <w:b/>
                <w:sz w:val="22"/>
                <w:szCs w:val="22"/>
              </w:rPr>
              <w:t xml:space="preserve"> </w:t>
            </w:r>
            <w:proofErr w:type="gramStart"/>
            <w:r>
              <w:rPr>
                <w:rFonts w:asciiTheme="minorHAnsi" w:eastAsiaTheme="minorHAnsi" w:hAnsiTheme="minorHAnsi"/>
                <w:b/>
                <w:sz w:val="22"/>
                <w:szCs w:val="22"/>
              </w:rPr>
              <w:t>week  of</w:t>
            </w:r>
            <w:proofErr w:type="gramEnd"/>
            <w:r>
              <w:rPr>
                <w:rFonts w:asciiTheme="minorHAnsi" w:eastAsiaTheme="minorHAnsi" w:hAnsiTheme="minorHAnsi"/>
                <w:b/>
                <w:sz w:val="22"/>
                <w:szCs w:val="22"/>
              </w:rPr>
              <w:t xml:space="preserve"> </w:t>
            </w:r>
          </w:p>
          <w:p w:rsidR="002D7330" w:rsidRDefault="002D7330" w:rsidP="002D7330">
            <w:pPr>
              <w:pStyle w:val="Default"/>
              <w:rPr>
                <w:sz w:val="22"/>
                <w:szCs w:val="22"/>
              </w:rPr>
            </w:pPr>
            <w:r>
              <w:rPr>
                <w:b/>
                <w:bCs/>
                <w:sz w:val="22"/>
                <w:szCs w:val="22"/>
              </w:rPr>
              <w:t xml:space="preserve">after the signature of the contract </w:t>
            </w:r>
          </w:p>
          <w:p w:rsidR="00157D29" w:rsidRDefault="00157D29">
            <w:pPr>
              <w:pStyle w:val="NoSpacing"/>
            </w:pPr>
          </w:p>
        </w:tc>
      </w:tr>
      <w:tr w:rsidR="00157D29">
        <w:trPr>
          <w:trHeight w:val="2240"/>
        </w:trPr>
        <w:tc>
          <w:tcPr>
            <w:tcW w:w="4050" w:type="dxa"/>
            <w:shd w:val="clear" w:color="auto" w:fill="auto"/>
            <w:tcMar>
              <w:left w:w="108" w:type="dxa"/>
            </w:tcMar>
          </w:tcPr>
          <w:p w:rsidR="00157D29" w:rsidRDefault="00B62FAB">
            <w:pPr>
              <w:pStyle w:val="NoSpacing"/>
              <w:jc w:val="both"/>
            </w:pPr>
            <w:r>
              <w:rPr>
                <w:rFonts w:ascii="Calibri" w:hAnsi="Calibri" w:cs="Calibri"/>
                <w:bCs/>
                <w:color w:val="000000"/>
                <w:sz w:val="22"/>
                <w:szCs w:val="22"/>
              </w:rPr>
              <w:lastRenderedPageBreak/>
              <w:t xml:space="preserve">Evaluation Team submits draft Inception Report, including evaluation question matrix, proposed methodology, and workplan (with agreed upon deliverables and timeframe). (Including a minimum of two rounds of revision). </w:t>
            </w:r>
          </w:p>
        </w:tc>
        <w:tc>
          <w:tcPr>
            <w:tcW w:w="153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r>
              <w:rPr>
                <w:rFonts w:asciiTheme="minorHAnsi" w:eastAsiaTheme="minorHAnsi" w:hAnsiTheme="minorHAnsi"/>
                <w:b/>
                <w:sz w:val="22"/>
                <w:szCs w:val="22"/>
              </w:rPr>
              <w:t>Inception Report (draft)</w:t>
            </w:r>
          </w:p>
        </w:tc>
        <w:tc>
          <w:tcPr>
            <w:tcW w:w="2654" w:type="dxa"/>
            <w:shd w:val="clear" w:color="auto" w:fill="auto"/>
            <w:tcMar>
              <w:left w:w="108" w:type="dxa"/>
            </w:tcMar>
          </w:tcPr>
          <w:p w:rsidR="00157D29" w:rsidRDefault="00B62FAB">
            <w:pPr>
              <w:pStyle w:val="NoSpacing"/>
              <w:jc w:val="both"/>
              <w:rPr>
                <w:rFonts w:asciiTheme="minorHAnsi" w:hAnsiTheme="minorHAnsi"/>
                <w:b/>
              </w:rPr>
            </w:pPr>
            <w:r>
              <w:rPr>
                <w:rFonts w:asciiTheme="minorHAnsi" w:eastAsiaTheme="minorHAnsi" w:hAnsiTheme="minorHAnsi"/>
                <w:b/>
              </w:rPr>
              <w:t>Management Notes:</w:t>
            </w:r>
          </w:p>
          <w:p w:rsidR="00157D29" w:rsidRDefault="00B62FAB">
            <w:pPr>
              <w:pStyle w:val="NoSpacing"/>
              <w:numPr>
                <w:ilvl w:val="0"/>
                <w:numId w:val="5"/>
              </w:numPr>
              <w:ind w:left="246" w:hanging="270"/>
              <w:rPr>
                <w:rFonts w:asciiTheme="minorHAnsi" w:eastAsiaTheme="minorHAnsi" w:hAnsiTheme="minorHAnsi"/>
                <w:b/>
              </w:rPr>
            </w:pPr>
            <w:r>
              <w:rPr>
                <w:rFonts w:asciiTheme="minorHAnsi" w:hAnsiTheme="minorHAnsi"/>
              </w:rPr>
              <w:t xml:space="preserve">This report will be used as an initial point of agreement and understanding between the evaluation team and the FGE Evaluation Manager &amp; Reference Groups. </w:t>
            </w:r>
          </w:p>
        </w:tc>
        <w:tc>
          <w:tcPr>
            <w:tcW w:w="1390" w:type="dxa"/>
            <w:shd w:val="clear" w:color="auto" w:fill="auto"/>
            <w:tcMar>
              <w:left w:w="108" w:type="dxa"/>
            </w:tcMar>
          </w:tcPr>
          <w:p w:rsidR="00157D29" w:rsidRDefault="00B62FAB">
            <w:pPr>
              <w:pStyle w:val="NoSpacing"/>
            </w:pPr>
            <w:r>
              <w:rPr>
                <w:rFonts w:asciiTheme="minorHAnsi" w:eastAsiaTheme="minorHAnsi" w:hAnsiTheme="minorHAnsi"/>
                <w:b/>
                <w:sz w:val="22"/>
                <w:szCs w:val="22"/>
              </w:rPr>
              <w:t>6</w:t>
            </w:r>
            <w:r>
              <w:rPr>
                <w:rFonts w:asciiTheme="minorHAnsi" w:eastAsiaTheme="minorHAnsi" w:hAnsiTheme="minorHAnsi"/>
                <w:b/>
                <w:sz w:val="22"/>
                <w:szCs w:val="22"/>
                <w:vertAlign w:val="superscript"/>
              </w:rPr>
              <w:t>th</w:t>
            </w:r>
            <w:r>
              <w:rPr>
                <w:rFonts w:asciiTheme="minorHAnsi" w:eastAsiaTheme="minorHAnsi" w:hAnsiTheme="minorHAnsi"/>
                <w:b/>
                <w:sz w:val="22"/>
                <w:szCs w:val="22"/>
              </w:rPr>
              <w:t xml:space="preserve"> week </w:t>
            </w:r>
          </w:p>
        </w:tc>
      </w:tr>
      <w:tr w:rsidR="00157D29">
        <w:trPr>
          <w:trHeight w:val="489"/>
        </w:trPr>
        <w:tc>
          <w:tcPr>
            <w:tcW w:w="4050" w:type="dxa"/>
            <w:shd w:val="clear" w:color="auto" w:fill="auto"/>
            <w:tcMar>
              <w:left w:w="108" w:type="dxa"/>
            </w:tcMar>
          </w:tcPr>
          <w:p w:rsidR="00157D29" w:rsidRDefault="00B62FAB">
            <w:pPr>
              <w:pStyle w:val="NoSpacing"/>
              <w:jc w:val="both"/>
              <w:rPr>
                <w:rFonts w:ascii="Calibri" w:hAnsi="Calibri" w:cs="Calibri"/>
                <w:bCs/>
                <w:color w:val="000000"/>
                <w:sz w:val="22"/>
                <w:szCs w:val="22"/>
              </w:rPr>
            </w:pPr>
            <w:r>
              <w:rPr>
                <w:rFonts w:ascii="Calibri" w:hAnsi="Calibri" w:cs="Calibri"/>
                <w:bCs/>
                <w:color w:val="000000"/>
                <w:sz w:val="22"/>
                <w:szCs w:val="22"/>
              </w:rPr>
              <w:t>Evaluation Team submits Final Inception Report with finalized methodology, questions, and workplan.</w:t>
            </w:r>
          </w:p>
        </w:tc>
        <w:tc>
          <w:tcPr>
            <w:tcW w:w="153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r>
              <w:rPr>
                <w:rFonts w:asciiTheme="minorHAnsi" w:eastAsiaTheme="minorHAnsi" w:hAnsiTheme="minorHAnsi"/>
                <w:b/>
                <w:sz w:val="22"/>
                <w:szCs w:val="22"/>
              </w:rPr>
              <w:t>Inception Report (final)</w:t>
            </w:r>
          </w:p>
        </w:tc>
        <w:tc>
          <w:tcPr>
            <w:tcW w:w="2654" w:type="dxa"/>
            <w:shd w:val="clear" w:color="auto" w:fill="auto"/>
            <w:tcMar>
              <w:left w:w="108" w:type="dxa"/>
            </w:tcMar>
          </w:tcPr>
          <w:p w:rsidR="00157D29" w:rsidRDefault="00B62FAB">
            <w:pPr>
              <w:pStyle w:val="NoSpacing"/>
              <w:rPr>
                <w:rFonts w:asciiTheme="minorHAnsi" w:hAnsiTheme="minorHAnsi"/>
              </w:rPr>
            </w:pPr>
            <w:r>
              <w:rPr>
                <w:rFonts w:asciiTheme="minorHAnsi" w:hAnsiTheme="minorHAnsi"/>
                <w:b/>
              </w:rPr>
              <w:t>Payment:</w:t>
            </w:r>
            <w:r>
              <w:rPr>
                <w:rFonts w:asciiTheme="minorHAnsi" w:hAnsiTheme="minorHAnsi"/>
              </w:rPr>
              <w:t xml:space="preserve"> </w:t>
            </w:r>
          </w:p>
          <w:p w:rsidR="00157D29" w:rsidRDefault="00B62FAB">
            <w:pPr>
              <w:pStyle w:val="NoSpacing"/>
              <w:numPr>
                <w:ilvl w:val="0"/>
                <w:numId w:val="15"/>
              </w:numPr>
              <w:ind w:left="246" w:hanging="246"/>
              <w:rPr>
                <w:rFonts w:asciiTheme="minorHAnsi" w:eastAsiaTheme="minorHAnsi" w:hAnsiTheme="minorHAnsi"/>
                <w:b/>
              </w:rPr>
            </w:pPr>
            <w:r>
              <w:rPr>
                <w:rFonts w:asciiTheme="minorHAnsi" w:hAnsiTheme="minorHAnsi"/>
              </w:rPr>
              <w:t>20% of total amount on approval of deliverable.</w:t>
            </w:r>
          </w:p>
          <w:p w:rsidR="00157D29" w:rsidRDefault="00157D29">
            <w:pPr>
              <w:pStyle w:val="NoSpacing"/>
              <w:ind w:left="360"/>
              <w:jc w:val="both"/>
              <w:rPr>
                <w:rFonts w:asciiTheme="minorHAnsi" w:eastAsiaTheme="minorHAnsi" w:hAnsiTheme="minorHAnsi"/>
                <w:b/>
              </w:rPr>
            </w:pPr>
          </w:p>
        </w:tc>
        <w:tc>
          <w:tcPr>
            <w:tcW w:w="1390" w:type="dxa"/>
            <w:shd w:val="clear" w:color="auto" w:fill="auto"/>
            <w:tcMar>
              <w:left w:w="108" w:type="dxa"/>
            </w:tcMar>
          </w:tcPr>
          <w:p w:rsidR="00157D29" w:rsidRDefault="00B62FAB">
            <w:pPr>
              <w:pStyle w:val="NoSpacing"/>
            </w:pPr>
            <w:r>
              <w:rPr>
                <w:rFonts w:asciiTheme="minorHAnsi" w:eastAsiaTheme="minorHAnsi" w:hAnsiTheme="minorHAnsi"/>
                <w:b/>
                <w:sz w:val="22"/>
                <w:szCs w:val="22"/>
              </w:rPr>
              <w:t>8</w:t>
            </w:r>
            <w:r>
              <w:rPr>
                <w:rFonts w:asciiTheme="minorHAnsi" w:eastAsiaTheme="minorHAnsi" w:hAnsiTheme="minorHAnsi"/>
                <w:b/>
                <w:sz w:val="22"/>
                <w:szCs w:val="22"/>
                <w:vertAlign w:val="superscript"/>
              </w:rPr>
              <w:t>th</w:t>
            </w:r>
            <w:r>
              <w:rPr>
                <w:rFonts w:asciiTheme="minorHAnsi" w:eastAsiaTheme="minorHAnsi" w:hAnsiTheme="minorHAnsi"/>
                <w:b/>
                <w:sz w:val="22"/>
                <w:szCs w:val="22"/>
              </w:rPr>
              <w:t xml:space="preserve"> week </w:t>
            </w:r>
          </w:p>
        </w:tc>
      </w:tr>
      <w:tr w:rsidR="00157D29">
        <w:trPr>
          <w:trHeight w:val="422"/>
        </w:trPr>
        <w:tc>
          <w:tcPr>
            <w:tcW w:w="4050" w:type="dxa"/>
            <w:shd w:val="clear" w:color="auto" w:fill="CCC0D9" w:themeFill="accent4" w:themeFillTint="66"/>
            <w:tcMar>
              <w:left w:w="108" w:type="dxa"/>
            </w:tcMar>
          </w:tcPr>
          <w:p w:rsidR="00157D29" w:rsidRDefault="00B62FAB">
            <w:pPr>
              <w:pStyle w:val="NoSpacing"/>
              <w:numPr>
                <w:ilvl w:val="0"/>
                <w:numId w:val="26"/>
              </w:numPr>
              <w:jc w:val="both"/>
              <w:rPr>
                <w:rFonts w:asciiTheme="minorHAnsi" w:eastAsiaTheme="minorHAnsi" w:hAnsiTheme="minorHAnsi"/>
                <w:b/>
                <w:sz w:val="22"/>
                <w:szCs w:val="22"/>
              </w:rPr>
            </w:pPr>
            <w:r>
              <w:rPr>
                <w:rFonts w:ascii="Calibri" w:hAnsi="Calibri" w:cs="Calibri"/>
                <w:b/>
                <w:bCs/>
                <w:color w:val="000000"/>
                <w:sz w:val="22"/>
                <w:szCs w:val="22"/>
              </w:rPr>
              <w:t>Research &amp; Data Collection Phase</w:t>
            </w:r>
          </w:p>
        </w:tc>
        <w:tc>
          <w:tcPr>
            <w:tcW w:w="1530"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c>
          <w:tcPr>
            <w:tcW w:w="2654"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c>
          <w:tcPr>
            <w:tcW w:w="1390"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r>
      <w:tr w:rsidR="00157D29">
        <w:tc>
          <w:tcPr>
            <w:tcW w:w="4050" w:type="dxa"/>
            <w:shd w:val="clear" w:color="auto" w:fill="auto"/>
            <w:tcMar>
              <w:left w:w="108" w:type="dxa"/>
            </w:tcMar>
          </w:tcPr>
          <w:p w:rsidR="00157D29" w:rsidRDefault="00B62FAB">
            <w:pPr>
              <w:pStyle w:val="NoSpacing"/>
              <w:ind w:left="72"/>
              <w:jc w:val="both"/>
              <w:rPr>
                <w:rFonts w:asciiTheme="minorHAnsi" w:eastAsiaTheme="minorHAnsi" w:hAnsiTheme="minorHAnsi"/>
                <w:b/>
                <w:sz w:val="22"/>
                <w:szCs w:val="22"/>
              </w:rPr>
            </w:pPr>
            <w:r>
              <w:rPr>
                <w:rFonts w:ascii="Calibri" w:hAnsi="Calibri" w:cs="Calibri"/>
                <w:bCs/>
                <w:color w:val="000000"/>
                <w:sz w:val="22"/>
                <w:szCs w:val="22"/>
              </w:rPr>
              <w:t>In-depth document review as well as interviews with global, regional and national UN Women staff, donors, and grantee organizations (in alignment with final methodology adopted).</w:t>
            </w:r>
          </w:p>
        </w:tc>
        <w:tc>
          <w:tcPr>
            <w:tcW w:w="1530" w:type="dxa"/>
            <w:shd w:val="clear" w:color="auto" w:fill="auto"/>
            <w:tcMar>
              <w:left w:w="108" w:type="dxa"/>
            </w:tcMar>
          </w:tcPr>
          <w:p w:rsidR="00157D29" w:rsidRDefault="00157D29">
            <w:pPr>
              <w:pStyle w:val="NoSpacing"/>
              <w:jc w:val="both"/>
              <w:rPr>
                <w:rFonts w:asciiTheme="minorHAnsi" w:eastAsiaTheme="minorHAnsi" w:hAnsiTheme="minorHAnsi"/>
                <w:b/>
                <w:sz w:val="22"/>
                <w:szCs w:val="22"/>
              </w:rPr>
            </w:pPr>
          </w:p>
        </w:tc>
        <w:tc>
          <w:tcPr>
            <w:tcW w:w="2654" w:type="dxa"/>
            <w:shd w:val="clear" w:color="auto" w:fill="auto"/>
            <w:tcMar>
              <w:left w:w="108" w:type="dxa"/>
            </w:tcMar>
          </w:tcPr>
          <w:p w:rsidR="00157D29" w:rsidRDefault="00157D29">
            <w:pPr>
              <w:pStyle w:val="NoSpacing"/>
              <w:ind w:left="360"/>
              <w:jc w:val="both"/>
              <w:rPr>
                <w:rFonts w:asciiTheme="minorHAnsi" w:eastAsiaTheme="minorHAnsi" w:hAnsiTheme="minorHAnsi"/>
                <w:b/>
                <w:sz w:val="22"/>
                <w:szCs w:val="22"/>
              </w:rPr>
            </w:pPr>
          </w:p>
        </w:tc>
        <w:tc>
          <w:tcPr>
            <w:tcW w:w="1390" w:type="dxa"/>
            <w:shd w:val="clear" w:color="auto" w:fill="auto"/>
            <w:tcMar>
              <w:left w:w="108" w:type="dxa"/>
            </w:tcMar>
          </w:tcPr>
          <w:p w:rsidR="00157D29" w:rsidRDefault="00B62FAB">
            <w:pPr>
              <w:pStyle w:val="NoSpacing"/>
              <w:jc w:val="both"/>
            </w:pPr>
            <w:r>
              <w:rPr>
                <w:rFonts w:asciiTheme="minorHAnsi" w:eastAsiaTheme="minorHAnsi" w:hAnsiTheme="minorHAnsi"/>
                <w:b/>
                <w:sz w:val="22"/>
                <w:szCs w:val="22"/>
              </w:rPr>
              <w:t>8</w:t>
            </w:r>
            <w:r>
              <w:rPr>
                <w:rFonts w:asciiTheme="minorHAnsi" w:eastAsiaTheme="minorHAnsi" w:hAnsiTheme="minorHAnsi"/>
                <w:b/>
                <w:sz w:val="22"/>
                <w:szCs w:val="22"/>
                <w:vertAlign w:val="superscript"/>
              </w:rPr>
              <w:t>th</w:t>
            </w:r>
            <w:r>
              <w:rPr>
                <w:rFonts w:asciiTheme="minorHAnsi" w:eastAsiaTheme="minorHAnsi" w:hAnsiTheme="minorHAnsi"/>
                <w:b/>
                <w:sz w:val="22"/>
                <w:szCs w:val="22"/>
              </w:rPr>
              <w:t xml:space="preserve"> week – 17</w:t>
            </w:r>
            <w:r>
              <w:rPr>
                <w:rFonts w:asciiTheme="minorHAnsi" w:eastAsiaTheme="minorHAnsi" w:hAnsiTheme="minorHAnsi"/>
                <w:b/>
                <w:sz w:val="22"/>
                <w:szCs w:val="22"/>
                <w:vertAlign w:val="superscript"/>
              </w:rPr>
              <w:t>st</w:t>
            </w:r>
            <w:r>
              <w:rPr>
                <w:rFonts w:asciiTheme="minorHAnsi" w:eastAsiaTheme="minorHAnsi" w:hAnsiTheme="minorHAnsi"/>
                <w:b/>
                <w:sz w:val="22"/>
                <w:szCs w:val="22"/>
              </w:rPr>
              <w:t xml:space="preserve"> week </w:t>
            </w:r>
          </w:p>
        </w:tc>
      </w:tr>
      <w:tr w:rsidR="00157D29">
        <w:tc>
          <w:tcPr>
            <w:tcW w:w="4050" w:type="dxa"/>
            <w:shd w:val="clear" w:color="auto" w:fill="auto"/>
            <w:tcMar>
              <w:left w:w="108" w:type="dxa"/>
            </w:tcMar>
          </w:tcPr>
          <w:p w:rsidR="00157D29" w:rsidRDefault="00B62FAB">
            <w:pPr>
              <w:pStyle w:val="NoSpacing"/>
              <w:ind w:left="72"/>
              <w:jc w:val="both"/>
              <w:rPr>
                <w:rFonts w:ascii="Calibri" w:hAnsi="Calibri" w:cs="Calibri"/>
                <w:bCs/>
                <w:color w:val="000000"/>
                <w:sz w:val="22"/>
                <w:szCs w:val="22"/>
              </w:rPr>
            </w:pPr>
            <w:r>
              <w:rPr>
                <w:rFonts w:ascii="Calibri" w:hAnsi="Calibri" w:cs="Calibri"/>
                <w:bCs/>
                <w:color w:val="000000"/>
                <w:sz w:val="22"/>
                <w:szCs w:val="22"/>
              </w:rPr>
              <w:t>Travel for the preparation of at least 2 case studies (one per theme).</w:t>
            </w:r>
          </w:p>
        </w:tc>
        <w:tc>
          <w:tcPr>
            <w:tcW w:w="1530" w:type="dxa"/>
            <w:shd w:val="clear" w:color="auto" w:fill="auto"/>
            <w:tcMar>
              <w:left w:w="108" w:type="dxa"/>
            </w:tcMar>
          </w:tcPr>
          <w:p w:rsidR="00157D29" w:rsidRDefault="00157D29">
            <w:pPr>
              <w:pStyle w:val="NoSpacing"/>
              <w:jc w:val="both"/>
              <w:rPr>
                <w:rFonts w:asciiTheme="minorHAnsi" w:eastAsiaTheme="minorHAnsi" w:hAnsiTheme="minorHAnsi"/>
                <w:b/>
                <w:sz w:val="22"/>
                <w:szCs w:val="22"/>
              </w:rPr>
            </w:pPr>
          </w:p>
        </w:tc>
        <w:tc>
          <w:tcPr>
            <w:tcW w:w="2654" w:type="dxa"/>
            <w:shd w:val="clear" w:color="auto" w:fill="auto"/>
            <w:tcMar>
              <w:left w:w="108" w:type="dxa"/>
            </w:tcMar>
          </w:tcPr>
          <w:p w:rsidR="00157D29" w:rsidRDefault="00B62FAB">
            <w:pPr>
              <w:pStyle w:val="NoSpacing"/>
              <w:numPr>
                <w:ilvl w:val="0"/>
                <w:numId w:val="5"/>
              </w:numPr>
              <w:ind w:left="246" w:hanging="270"/>
              <w:rPr>
                <w:rFonts w:asciiTheme="minorHAnsi" w:eastAsiaTheme="minorHAnsi" w:hAnsiTheme="minorHAnsi"/>
              </w:rPr>
            </w:pPr>
            <w:r>
              <w:rPr>
                <w:rFonts w:asciiTheme="minorHAnsi" w:hAnsiTheme="minorHAnsi"/>
                <w:b/>
              </w:rPr>
              <w:t>Travel arrangements</w:t>
            </w:r>
            <w:r>
              <w:rPr>
                <w:rFonts w:asciiTheme="minorHAnsi" w:hAnsiTheme="minorHAnsi"/>
              </w:rPr>
              <w:t xml:space="preserve"> will be the responsibility of the Evaluation Team.  FGE Evaluation Manager will facilitate communications with FGE </w:t>
            </w:r>
            <w:proofErr w:type="gramStart"/>
            <w:r>
              <w:rPr>
                <w:rFonts w:asciiTheme="minorHAnsi" w:hAnsiTheme="minorHAnsi"/>
              </w:rPr>
              <w:t>stakeholders’</w:t>
            </w:r>
            <w:proofErr w:type="gramEnd"/>
            <w:r>
              <w:rPr>
                <w:rFonts w:asciiTheme="minorHAnsi" w:hAnsiTheme="minorHAnsi"/>
              </w:rPr>
              <w:t xml:space="preserve"> consulted.</w:t>
            </w:r>
          </w:p>
        </w:tc>
        <w:tc>
          <w:tcPr>
            <w:tcW w:w="139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r>
              <w:rPr>
                <w:rFonts w:asciiTheme="minorHAnsi" w:eastAsiaTheme="minorHAnsi" w:hAnsiTheme="minorHAnsi"/>
                <w:b/>
                <w:sz w:val="22"/>
                <w:szCs w:val="22"/>
              </w:rPr>
              <w:t>TBD</w:t>
            </w:r>
          </w:p>
        </w:tc>
      </w:tr>
      <w:tr w:rsidR="00157D29">
        <w:tc>
          <w:tcPr>
            <w:tcW w:w="4050" w:type="dxa"/>
            <w:shd w:val="clear" w:color="auto" w:fill="CCC0D9" w:themeFill="accent4" w:themeFillTint="66"/>
            <w:tcMar>
              <w:left w:w="108" w:type="dxa"/>
            </w:tcMar>
          </w:tcPr>
          <w:p w:rsidR="00157D29" w:rsidRDefault="00B62FAB">
            <w:pPr>
              <w:pStyle w:val="NoSpacing"/>
              <w:numPr>
                <w:ilvl w:val="0"/>
                <w:numId w:val="26"/>
              </w:numPr>
              <w:jc w:val="both"/>
              <w:rPr>
                <w:rFonts w:asciiTheme="minorHAnsi" w:eastAsiaTheme="minorHAnsi" w:hAnsiTheme="minorHAnsi"/>
                <w:b/>
                <w:sz w:val="22"/>
                <w:szCs w:val="22"/>
              </w:rPr>
            </w:pPr>
            <w:r>
              <w:rPr>
                <w:rFonts w:asciiTheme="minorHAnsi" w:eastAsiaTheme="minorHAnsi" w:hAnsiTheme="minorHAnsi"/>
                <w:b/>
                <w:sz w:val="22"/>
                <w:szCs w:val="22"/>
              </w:rPr>
              <w:t xml:space="preserve">Final Report </w:t>
            </w:r>
          </w:p>
        </w:tc>
        <w:tc>
          <w:tcPr>
            <w:tcW w:w="1530"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c>
          <w:tcPr>
            <w:tcW w:w="2654"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c>
          <w:tcPr>
            <w:tcW w:w="1390" w:type="dxa"/>
            <w:shd w:val="clear" w:color="auto" w:fill="CCC0D9" w:themeFill="accent4" w:themeFillTint="66"/>
            <w:tcMar>
              <w:left w:w="108" w:type="dxa"/>
            </w:tcMar>
          </w:tcPr>
          <w:p w:rsidR="00157D29" w:rsidRDefault="00157D29">
            <w:pPr>
              <w:pStyle w:val="NoSpacing"/>
              <w:jc w:val="both"/>
              <w:rPr>
                <w:rFonts w:asciiTheme="minorHAnsi" w:eastAsiaTheme="minorHAnsi" w:hAnsiTheme="minorHAnsi"/>
                <w:b/>
                <w:sz w:val="22"/>
                <w:szCs w:val="22"/>
              </w:rPr>
            </w:pPr>
          </w:p>
        </w:tc>
      </w:tr>
      <w:tr w:rsidR="00157D29">
        <w:trPr>
          <w:trHeight w:val="1209"/>
        </w:trPr>
        <w:tc>
          <w:tcPr>
            <w:tcW w:w="4050" w:type="dxa"/>
            <w:shd w:val="clear" w:color="auto" w:fill="auto"/>
            <w:tcMar>
              <w:left w:w="108" w:type="dxa"/>
            </w:tcMar>
          </w:tcPr>
          <w:p w:rsidR="00157D29" w:rsidRDefault="00B62FAB">
            <w:pPr>
              <w:pStyle w:val="NoSpacing"/>
              <w:rPr>
                <w:rFonts w:asciiTheme="minorHAnsi" w:eastAsiaTheme="minorHAnsi" w:hAnsiTheme="minorHAnsi"/>
                <w:sz w:val="22"/>
                <w:szCs w:val="22"/>
              </w:rPr>
            </w:pPr>
            <w:r>
              <w:rPr>
                <w:rFonts w:ascii="Calibri" w:hAnsi="Calibri" w:cs="Calibri"/>
                <w:bCs/>
                <w:color w:val="000000"/>
                <w:sz w:val="22"/>
                <w:szCs w:val="22"/>
              </w:rPr>
              <w:t>Presentation by consultant on preliminary findings, main recommendations, challenges, opportunities, and lessons learned.</w:t>
            </w:r>
          </w:p>
        </w:tc>
        <w:tc>
          <w:tcPr>
            <w:tcW w:w="153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proofErr w:type="spellStart"/>
            <w:r>
              <w:rPr>
                <w:rFonts w:asciiTheme="minorHAnsi" w:eastAsiaTheme="minorHAnsi" w:hAnsiTheme="minorHAnsi"/>
                <w:b/>
                <w:sz w:val="22"/>
                <w:szCs w:val="22"/>
              </w:rPr>
              <w:t>Powerpoint</w:t>
            </w:r>
            <w:proofErr w:type="spellEnd"/>
            <w:r>
              <w:rPr>
                <w:rFonts w:asciiTheme="minorHAnsi" w:eastAsiaTheme="minorHAnsi" w:hAnsiTheme="minorHAnsi"/>
                <w:b/>
                <w:sz w:val="22"/>
                <w:szCs w:val="22"/>
              </w:rPr>
              <w:t xml:space="preserve"> presentation</w:t>
            </w:r>
          </w:p>
        </w:tc>
        <w:tc>
          <w:tcPr>
            <w:tcW w:w="2654" w:type="dxa"/>
            <w:shd w:val="clear" w:color="auto" w:fill="auto"/>
            <w:tcMar>
              <w:left w:w="108" w:type="dxa"/>
            </w:tcMar>
          </w:tcPr>
          <w:p w:rsidR="00157D29" w:rsidRDefault="00157D29">
            <w:pPr>
              <w:pStyle w:val="NoSpacing"/>
              <w:jc w:val="both"/>
              <w:rPr>
                <w:rFonts w:asciiTheme="minorHAnsi" w:eastAsiaTheme="minorHAnsi" w:hAnsiTheme="minorHAnsi"/>
                <w:b/>
                <w:sz w:val="22"/>
                <w:szCs w:val="22"/>
              </w:rPr>
            </w:pPr>
          </w:p>
          <w:p w:rsidR="00157D29" w:rsidRDefault="00157D29">
            <w:pPr>
              <w:pStyle w:val="NoSpacing"/>
              <w:jc w:val="both"/>
              <w:rPr>
                <w:rFonts w:asciiTheme="minorHAnsi" w:eastAsiaTheme="minorHAnsi" w:hAnsiTheme="minorHAnsi"/>
                <w:b/>
                <w:sz w:val="22"/>
                <w:szCs w:val="22"/>
              </w:rPr>
            </w:pPr>
          </w:p>
          <w:p w:rsidR="00157D29" w:rsidRDefault="00157D29">
            <w:pPr>
              <w:pStyle w:val="NoSpacing"/>
              <w:jc w:val="both"/>
              <w:rPr>
                <w:rFonts w:asciiTheme="minorHAnsi" w:eastAsiaTheme="minorHAnsi" w:hAnsiTheme="minorHAnsi"/>
                <w:b/>
                <w:sz w:val="22"/>
                <w:szCs w:val="22"/>
              </w:rPr>
            </w:pPr>
          </w:p>
          <w:p w:rsidR="00157D29" w:rsidRDefault="00157D29">
            <w:pPr>
              <w:pStyle w:val="NoSpacing"/>
              <w:jc w:val="both"/>
              <w:rPr>
                <w:rFonts w:asciiTheme="minorHAnsi" w:eastAsiaTheme="minorHAnsi" w:hAnsiTheme="minorHAnsi"/>
                <w:b/>
                <w:sz w:val="22"/>
                <w:szCs w:val="22"/>
              </w:rPr>
            </w:pPr>
          </w:p>
          <w:p w:rsidR="00157D29" w:rsidRDefault="00157D29">
            <w:pPr>
              <w:pStyle w:val="NoSpacing"/>
              <w:jc w:val="both"/>
              <w:rPr>
                <w:rFonts w:asciiTheme="minorHAnsi" w:eastAsiaTheme="minorHAnsi" w:hAnsiTheme="minorHAnsi"/>
                <w:sz w:val="22"/>
                <w:szCs w:val="22"/>
              </w:rPr>
            </w:pPr>
          </w:p>
        </w:tc>
        <w:tc>
          <w:tcPr>
            <w:tcW w:w="1390" w:type="dxa"/>
            <w:shd w:val="clear" w:color="auto" w:fill="auto"/>
            <w:tcMar>
              <w:left w:w="108" w:type="dxa"/>
            </w:tcMar>
          </w:tcPr>
          <w:p w:rsidR="00157D29" w:rsidRDefault="00B62FAB">
            <w:pPr>
              <w:pStyle w:val="NoSpacing"/>
              <w:jc w:val="both"/>
              <w:rPr>
                <w:b/>
                <w:bCs/>
              </w:rPr>
            </w:pPr>
            <w:r>
              <w:rPr>
                <w:rFonts w:asciiTheme="minorHAnsi" w:eastAsiaTheme="minorHAnsi" w:hAnsiTheme="minorHAnsi"/>
                <w:b/>
                <w:bCs/>
                <w:sz w:val="22"/>
                <w:szCs w:val="22"/>
              </w:rPr>
              <w:t>22</w:t>
            </w:r>
            <w:r>
              <w:rPr>
                <w:rFonts w:asciiTheme="minorHAnsi" w:eastAsiaTheme="minorHAnsi" w:hAnsiTheme="minorHAnsi"/>
                <w:b/>
                <w:bCs/>
                <w:sz w:val="22"/>
                <w:szCs w:val="22"/>
                <w:vertAlign w:val="superscript"/>
              </w:rPr>
              <w:t>nd</w:t>
            </w:r>
            <w:r>
              <w:rPr>
                <w:rFonts w:asciiTheme="minorHAnsi" w:eastAsiaTheme="minorHAnsi" w:hAnsiTheme="minorHAnsi"/>
                <w:b/>
                <w:bCs/>
                <w:sz w:val="22"/>
                <w:szCs w:val="22"/>
              </w:rPr>
              <w:t xml:space="preserve"> week </w:t>
            </w:r>
          </w:p>
        </w:tc>
      </w:tr>
      <w:tr w:rsidR="00157D29">
        <w:trPr>
          <w:trHeight w:val="3140"/>
        </w:trPr>
        <w:tc>
          <w:tcPr>
            <w:tcW w:w="4050" w:type="dxa"/>
            <w:shd w:val="clear" w:color="auto" w:fill="auto"/>
            <w:tcMar>
              <w:left w:w="108" w:type="dxa"/>
            </w:tcMar>
          </w:tcPr>
          <w:p w:rsidR="00157D29" w:rsidRDefault="00B62FAB">
            <w:pPr>
              <w:pStyle w:val="NoSpacing"/>
              <w:jc w:val="both"/>
              <w:rPr>
                <w:rFonts w:ascii="Calibri" w:hAnsi="Calibri" w:cs="Calibri"/>
                <w:bCs/>
                <w:color w:val="000000"/>
                <w:sz w:val="22"/>
                <w:szCs w:val="22"/>
              </w:rPr>
            </w:pPr>
            <w:r>
              <w:rPr>
                <w:rFonts w:ascii="Calibri" w:hAnsi="Calibri" w:cs="Calibri"/>
                <w:bCs/>
                <w:color w:val="000000"/>
                <w:sz w:val="22"/>
                <w:szCs w:val="22"/>
              </w:rPr>
              <w:t xml:space="preserve">Evaluation Team submits first draft Evaluation Report (three rounds of revision). </w:t>
            </w:r>
          </w:p>
        </w:tc>
        <w:tc>
          <w:tcPr>
            <w:tcW w:w="153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r>
              <w:rPr>
                <w:rFonts w:ascii="Calibri" w:hAnsi="Calibri" w:cs="Calibri"/>
                <w:b/>
                <w:color w:val="000000"/>
                <w:sz w:val="22"/>
                <w:szCs w:val="22"/>
              </w:rPr>
              <w:t>First draft Evaluation Report</w:t>
            </w:r>
          </w:p>
        </w:tc>
        <w:tc>
          <w:tcPr>
            <w:tcW w:w="2654" w:type="dxa"/>
            <w:shd w:val="clear" w:color="auto" w:fill="auto"/>
            <w:tcMar>
              <w:left w:w="108" w:type="dxa"/>
            </w:tcMar>
          </w:tcPr>
          <w:p w:rsidR="00157D29" w:rsidRDefault="00B62FAB">
            <w:pPr>
              <w:pStyle w:val="NoSpacing"/>
              <w:spacing w:after="240"/>
              <w:jc w:val="both"/>
              <w:rPr>
                <w:rFonts w:asciiTheme="minorHAnsi" w:eastAsiaTheme="minorHAnsi" w:hAnsiTheme="minorHAnsi"/>
                <w:b/>
              </w:rPr>
            </w:pPr>
            <w:r>
              <w:rPr>
                <w:rFonts w:asciiTheme="minorHAnsi" w:eastAsiaTheme="minorHAnsi" w:hAnsiTheme="minorHAnsi"/>
                <w:b/>
              </w:rPr>
              <w:t>Management Notes:</w:t>
            </w:r>
          </w:p>
          <w:p w:rsidR="00157D29" w:rsidRDefault="00B62FAB">
            <w:pPr>
              <w:pStyle w:val="NoSpacing"/>
              <w:numPr>
                <w:ilvl w:val="0"/>
                <w:numId w:val="6"/>
              </w:numPr>
              <w:ind w:left="246" w:hanging="246"/>
              <w:jc w:val="both"/>
              <w:rPr>
                <w:rFonts w:asciiTheme="minorHAnsi" w:eastAsiaTheme="minorHAnsi" w:hAnsiTheme="minorHAnsi"/>
              </w:rPr>
            </w:pPr>
            <w:r>
              <w:rPr>
                <w:rFonts w:asciiTheme="minorHAnsi" w:eastAsiaTheme="minorHAnsi" w:hAnsiTheme="minorHAnsi"/>
              </w:rPr>
              <w:t xml:space="preserve">The final evaluation report will go through a process of review and approval by the Core Reference Group. Final approval of findings will be done by FGE Chief. </w:t>
            </w:r>
          </w:p>
          <w:p w:rsidR="00157D29" w:rsidRDefault="00157D29">
            <w:pPr>
              <w:pStyle w:val="NoSpacing"/>
              <w:ind w:left="246" w:hanging="246"/>
              <w:jc w:val="both"/>
              <w:rPr>
                <w:rFonts w:asciiTheme="minorHAnsi" w:eastAsiaTheme="minorHAnsi" w:hAnsiTheme="minorHAnsi"/>
              </w:rPr>
            </w:pPr>
          </w:p>
          <w:p w:rsidR="00157D29" w:rsidRDefault="00B62FAB">
            <w:pPr>
              <w:pStyle w:val="NoSpacing"/>
              <w:numPr>
                <w:ilvl w:val="0"/>
                <w:numId w:val="6"/>
              </w:numPr>
              <w:ind w:left="246" w:hanging="246"/>
              <w:jc w:val="both"/>
              <w:rPr>
                <w:rFonts w:asciiTheme="minorHAnsi" w:eastAsiaTheme="minorHAnsi" w:hAnsiTheme="minorHAnsi"/>
              </w:rPr>
            </w:pPr>
            <w:r>
              <w:rPr>
                <w:rFonts w:asciiTheme="minorHAnsi" w:eastAsiaTheme="minorHAnsi" w:hAnsiTheme="minorHAnsi"/>
                <w:b/>
              </w:rPr>
              <w:t>Pay</w:t>
            </w:r>
            <w:r>
              <w:rPr>
                <w:rFonts w:asciiTheme="minorHAnsi" w:hAnsiTheme="minorHAnsi"/>
                <w:b/>
              </w:rPr>
              <w:t>ment:</w:t>
            </w:r>
            <w:r>
              <w:rPr>
                <w:rFonts w:asciiTheme="minorHAnsi" w:hAnsiTheme="minorHAnsi"/>
              </w:rPr>
              <w:t xml:space="preserve"> 40% of total amount on approval of deliverable.</w:t>
            </w:r>
          </w:p>
        </w:tc>
        <w:tc>
          <w:tcPr>
            <w:tcW w:w="1390" w:type="dxa"/>
            <w:shd w:val="clear" w:color="auto" w:fill="auto"/>
            <w:tcMar>
              <w:left w:w="108" w:type="dxa"/>
            </w:tcMar>
          </w:tcPr>
          <w:p w:rsidR="00157D29" w:rsidRDefault="00B62FAB">
            <w:pPr>
              <w:pStyle w:val="NoSpacing"/>
              <w:jc w:val="both"/>
              <w:rPr>
                <w:b/>
                <w:bCs/>
              </w:rPr>
            </w:pPr>
            <w:r>
              <w:rPr>
                <w:rFonts w:asciiTheme="minorHAnsi" w:eastAsiaTheme="minorHAnsi" w:hAnsiTheme="minorHAnsi"/>
                <w:b/>
                <w:bCs/>
                <w:sz w:val="22"/>
                <w:szCs w:val="22"/>
              </w:rPr>
              <w:t>25</w:t>
            </w:r>
            <w:r>
              <w:rPr>
                <w:rFonts w:asciiTheme="minorHAnsi" w:eastAsiaTheme="minorHAnsi" w:hAnsiTheme="minorHAnsi"/>
                <w:b/>
                <w:bCs/>
                <w:sz w:val="22"/>
                <w:szCs w:val="22"/>
                <w:vertAlign w:val="superscript"/>
              </w:rPr>
              <w:t>st</w:t>
            </w:r>
            <w:r>
              <w:rPr>
                <w:rFonts w:asciiTheme="minorHAnsi" w:eastAsiaTheme="minorHAnsi" w:hAnsiTheme="minorHAnsi"/>
                <w:b/>
                <w:bCs/>
                <w:sz w:val="22"/>
                <w:szCs w:val="22"/>
              </w:rPr>
              <w:t xml:space="preserve"> week </w:t>
            </w:r>
          </w:p>
        </w:tc>
      </w:tr>
      <w:tr w:rsidR="00157D29">
        <w:trPr>
          <w:trHeight w:val="516"/>
        </w:trPr>
        <w:tc>
          <w:tcPr>
            <w:tcW w:w="4050" w:type="dxa"/>
            <w:shd w:val="clear" w:color="auto" w:fill="auto"/>
            <w:tcMar>
              <w:left w:w="108" w:type="dxa"/>
            </w:tcMar>
          </w:tcPr>
          <w:p w:rsidR="00157D29" w:rsidRDefault="00B62FAB">
            <w:pPr>
              <w:pStyle w:val="NoSpacing"/>
              <w:jc w:val="both"/>
              <w:rPr>
                <w:rFonts w:ascii="Calibri" w:hAnsi="Calibri" w:cs="Calibri"/>
                <w:bCs/>
                <w:color w:val="000000"/>
                <w:sz w:val="22"/>
                <w:szCs w:val="22"/>
              </w:rPr>
            </w:pPr>
            <w:r>
              <w:rPr>
                <w:rFonts w:ascii="Calibri" w:hAnsi="Calibri" w:cs="Calibri"/>
                <w:bCs/>
                <w:color w:val="000000"/>
                <w:sz w:val="22"/>
                <w:szCs w:val="22"/>
              </w:rPr>
              <w:t>Submission of Final Evaluation Report</w:t>
            </w:r>
          </w:p>
        </w:tc>
        <w:tc>
          <w:tcPr>
            <w:tcW w:w="1530" w:type="dxa"/>
            <w:shd w:val="clear" w:color="auto" w:fill="auto"/>
            <w:tcMar>
              <w:left w:w="108" w:type="dxa"/>
            </w:tcMar>
          </w:tcPr>
          <w:p w:rsidR="00157D29" w:rsidRDefault="00B62FAB">
            <w:pPr>
              <w:pStyle w:val="NoSpacing"/>
              <w:jc w:val="both"/>
              <w:rPr>
                <w:rFonts w:asciiTheme="minorHAnsi" w:eastAsiaTheme="minorHAnsi" w:hAnsiTheme="minorHAnsi"/>
                <w:b/>
                <w:sz w:val="22"/>
                <w:szCs w:val="22"/>
              </w:rPr>
            </w:pPr>
            <w:r>
              <w:rPr>
                <w:rFonts w:ascii="Calibri" w:hAnsi="Calibri" w:cs="Calibri"/>
                <w:b/>
                <w:color w:val="000000"/>
                <w:sz w:val="22"/>
                <w:szCs w:val="22"/>
              </w:rPr>
              <w:t>Final Evaluation Report</w:t>
            </w:r>
          </w:p>
        </w:tc>
        <w:tc>
          <w:tcPr>
            <w:tcW w:w="2654" w:type="dxa"/>
            <w:shd w:val="clear" w:color="auto" w:fill="auto"/>
            <w:tcMar>
              <w:left w:w="108" w:type="dxa"/>
            </w:tcMar>
          </w:tcPr>
          <w:p w:rsidR="00157D29" w:rsidRDefault="00B62FAB">
            <w:pPr>
              <w:pStyle w:val="NoSpacing"/>
              <w:jc w:val="both"/>
              <w:rPr>
                <w:rFonts w:asciiTheme="minorHAnsi" w:hAnsiTheme="minorHAnsi"/>
                <w:b/>
              </w:rPr>
            </w:pPr>
            <w:r>
              <w:rPr>
                <w:rFonts w:asciiTheme="minorHAnsi" w:eastAsiaTheme="minorHAnsi" w:hAnsiTheme="minorHAnsi"/>
                <w:b/>
              </w:rPr>
              <w:t>Management Notes:</w:t>
            </w:r>
          </w:p>
          <w:p w:rsidR="00157D29" w:rsidRDefault="00B62FAB">
            <w:pPr>
              <w:spacing w:before="120" w:after="120"/>
              <w:jc w:val="both"/>
              <w:rPr>
                <w:rFonts w:asciiTheme="minorHAnsi" w:eastAsiaTheme="minorHAnsi" w:hAnsiTheme="minorHAnsi"/>
              </w:rPr>
            </w:pPr>
            <w:r>
              <w:rPr>
                <w:rFonts w:asciiTheme="minorHAnsi" w:eastAsiaTheme="minorHAnsi" w:hAnsiTheme="minorHAnsi"/>
              </w:rPr>
              <w:t xml:space="preserve">The final report will include a concise Executive Summary </w:t>
            </w:r>
            <w:r>
              <w:rPr>
                <w:rFonts w:asciiTheme="minorHAnsi" w:eastAsiaTheme="minorHAnsi" w:hAnsiTheme="minorHAnsi"/>
              </w:rPr>
              <w:lastRenderedPageBreak/>
              <w:t xml:space="preserve">and annexes detailing the methodological approach and any analytical products developed </w:t>
            </w:r>
            <w:proofErr w:type="gramStart"/>
            <w:r>
              <w:rPr>
                <w:rFonts w:asciiTheme="minorHAnsi" w:eastAsiaTheme="minorHAnsi" w:hAnsiTheme="minorHAnsi"/>
              </w:rPr>
              <w:t>during the course of</w:t>
            </w:r>
            <w:proofErr w:type="gramEnd"/>
            <w:r>
              <w:rPr>
                <w:rFonts w:asciiTheme="minorHAnsi" w:eastAsiaTheme="minorHAnsi" w:hAnsiTheme="minorHAnsi"/>
              </w:rPr>
              <w:t xml:space="preserve"> the evaluation. The structure of the report will be defined in the inception report.</w:t>
            </w:r>
          </w:p>
          <w:p w:rsidR="00157D29" w:rsidRDefault="00B62FAB">
            <w:pPr>
              <w:pStyle w:val="NoSpacing"/>
              <w:numPr>
                <w:ilvl w:val="0"/>
                <w:numId w:val="6"/>
              </w:numPr>
              <w:ind w:left="246" w:hanging="246"/>
              <w:jc w:val="both"/>
              <w:rPr>
                <w:rFonts w:asciiTheme="minorHAnsi" w:eastAsiaTheme="minorHAnsi" w:hAnsiTheme="minorHAnsi"/>
              </w:rPr>
            </w:pPr>
            <w:r>
              <w:rPr>
                <w:rFonts w:asciiTheme="minorHAnsi" w:eastAsiaTheme="minorHAnsi" w:hAnsiTheme="minorHAnsi"/>
                <w:b/>
              </w:rPr>
              <w:t>Pay</w:t>
            </w:r>
            <w:r>
              <w:rPr>
                <w:rFonts w:asciiTheme="minorHAnsi" w:hAnsiTheme="minorHAnsi"/>
                <w:b/>
              </w:rPr>
              <w:t>ment:</w:t>
            </w:r>
            <w:r>
              <w:rPr>
                <w:rFonts w:asciiTheme="minorHAnsi" w:hAnsiTheme="minorHAnsi"/>
              </w:rPr>
              <w:t xml:space="preserve"> 40% of total amount on approval of deliverable.</w:t>
            </w:r>
          </w:p>
          <w:p w:rsidR="00157D29" w:rsidRDefault="00157D29">
            <w:pPr>
              <w:pStyle w:val="NoSpacing"/>
              <w:jc w:val="both"/>
              <w:rPr>
                <w:rFonts w:asciiTheme="minorHAnsi" w:eastAsiaTheme="minorHAnsi" w:hAnsiTheme="minorHAnsi"/>
                <w:b/>
              </w:rPr>
            </w:pPr>
          </w:p>
        </w:tc>
        <w:tc>
          <w:tcPr>
            <w:tcW w:w="1390" w:type="dxa"/>
            <w:shd w:val="clear" w:color="auto" w:fill="auto"/>
            <w:tcMar>
              <w:left w:w="108" w:type="dxa"/>
            </w:tcMar>
          </w:tcPr>
          <w:p w:rsidR="00157D29" w:rsidRDefault="00B62FAB">
            <w:pPr>
              <w:pStyle w:val="NoSpacing"/>
              <w:jc w:val="both"/>
              <w:rPr>
                <w:b/>
                <w:bCs/>
              </w:rPr>
            </w:pPr>
            <w:r>
              <w:rPr>
                <w:rFonts w:asciiTheme="minorHAnsi" w:eastAsiaTheme="minorHAnsi" w:hAnsiTheme="minorHAnsi"/>
                <w:b/>
                <w:bCs/>
                <w:sz w:val="22"/>
                <w:szCs w:val="22"/>
              </w:rPr>
              <w:lastRenderedPageBreak/>
              <w:t>32</w:t>
            </w:r>
            <w:r>
              <w:rPr>
                <w:rFonts w:asciiTheme="minorHAnsi" w:eastAsiaTheme="minorHAnsi" w:hAnsiTheme="minorHAnsi"/>
                <w:b/>
                <w:bCs/>
                <w:sz w:val="22"/>
                <w:szCs w:val="22"/>
                <w:vertAlign w:val="superscript"/>
              </w:rPr>
              <w:t>th</w:t>
            </w:r>
            <w:r>
              <w:rPr>
                <w:rFonts w:asciiTheme="minorHAnsi" w:eastAsiaTheme="minorHAnsi" w:hAnsiTheme="minorHAnsi"/>
                <w:b/>
                <w:bCs/>
                <w:sz w:val="22"/>
                <w:szCs w:val="22"/>
              </w:rPr>
              <w:t xml:space="preserve"> week </w:t>
            </w:r>
          </w:p>
        </w:tc>
      </w:tr>
      <w:tr w:rsidR="00157D29">
        <w:trPr>
          <w:trHeight w:val="170"/>
        </w:trPr>
        <w:tc>
          <w:tcPr>
            <w:tcW w:w="4050" w:type="dxa"/>
            <w:shd w:val="clear" w:color="auto" w:fill="auto"/>
            <w:tcMar>
              <w:left w:w="108" w:type="dxa"/>
            </w:tcMar>
          </w:tcPr>
          <w:p w:rsidR="00157D29" w:rsidRDefault="00B62FAB">
            <w:pPr>
              <w:pStyle w:val="NoSpacing"/>
              <w:jc w:val="both"/>
              <w:rPr>
                <w:rFonts w:ascii="Calibri" w:hAnsi="Calibri" w:cs="Calibri"/>
                <w:bCs/>
                <w:color w:val="000000"/>
                <w:sz w:val="22"/>
                <w:szCs w:val="22"/>
              </w:rPr>
            </w:pPr>
            <w:r>
              <w:rPr>
                <w:rFonts w:ascii="Calibri" w:hAnsi="Calibri" w:cs="Calibri"/>
                <w:bCs/>
                <w:color w:val="000000"/>
                <w:sz w:val="22"/>
                <w:szCs w:val="22"/>
              </w:rPr>
              <w:t>Webinar to present the Final Report to UN Women´s Senior Management by the Evaluation team.</w:t>
            </w:r>
          </w:p>
        </w:tc>
        <w:tc>
          <w:tcPr>
            <w:tcW w:w="1530" w:type="dxa"/>
            <w:shd w:val="clear" w:color="auto" w:fill="auto"/>
            <w:tcMar>
              <w:left w:w="108" w:type="dxa"/>
            </w:tcMar>
          </w:tcPr>
          <w:p w:rsidR="00157D29" w:rsidRDefault="00157D29">
            <w:pPr>
              <w:pStyle w:val="NoSpacing"/>
              <w:jc w:val="both"/>
              <w:rPr>
                <w:rFonts w:ascii="Calibri" w:hAnsi="Calibri" w:cs="Calibri"/>
                <w:b/>
                <w:color w:val="000000"/>
                <w:sz w:val="22"/>
                <w:szCs w:val="22"/>
              </w:rPr>
            </w:pPr>
          </w:p>
        </w:tc>
        <w:tc>
          <w:tcPr>
            <w:tcW w:w="2654" w:type="dxa"/>
            <w:shd w:val="clear" w:color="auto" w:fill="auto"/>
            <w:tcMar>
              <w:left w:w="108" w:type="dxa"/>
            </w:tcMar>
          </w:tcPr>
          <w:p w:rsidR="00157D29" w:rsidRDefault="00157D29">
            <w:pPr>
              <w:pStyle w:val="NoSpacing"/>
              <w:ind w:left="246"/>
              <w:jc w:val="both"/>
              <w:rPr>
                <w:rFonts w:asciiTheme="minorHAnsi" w:eastAsiaTheme="minorHAnsi" w:hAnsiTheme="minorHAnsi"/>
                <w:b/>
                <w:sz w:val="22"/>
                <w:szCs w:val="22"/>
              </w:rPr>
            </w:pPr>
          </w:p>
        </w:tc>
        <w:tc>
          <w:tcPr>
            <w:tcW w:w="1390" w:type="dxa"/>
            <w:shd w:val="clear" w:color="auto" w:fill="auto"/>
            <w:tcMar>
              <w:left w:w="108" w:type="dxa"/>
            </w:tcMar>
          </w:tcPr>
          <w:p w:rsidR="00157D29" w:rsidRDefault="00B62FAB">
            <w:pPr>
              <w:pStyle w:val="NoSpacing"/>
              <w:jc w:val="both"/>
              <w:rPr>
                <w:b/>
                <w:bCs/>
              </w:rPr>
            </w:pPr>
            <w:r>
              <w:rPr>
                <w:rFonts w:asciiTheme="minorHAnsi" w:eastAsiaTheme="minorHAnsi" w:hAnsiTheme="minorHAnsi"/>
                <w:b/>
                <w:bCs/>
                <w:sz w:val="22"/>
                <w:szCs w:val="22"/>
              </w:rPr>
              <w:t>32</w:t>
            </w:r>
            <w:r>
              <w:rPr>
                <w:rFonts w:asciiTheme="minorHAnsi" w:eastAsiaTheme="minorHAnsi" w:hAnsiTheme="minorHAnsi"/>
                <w:b/>
                <w:bCs/>
                <w:sz w:val="22"/>
                <w:szCs w:val="22"/>
                <w:vertAlign w:val="superscript"/>
              </w:rPr>
              <w:t>th</w:t>
            </w:r>
            <w:r>
              <w:rPr>
                <w:rFonts w:asciiTheme="minorHAnsi" w:eastAsiaTheme="minorHAnsi" w:hAnsiTheme="minorHAnsi"/>
                <w:b/>
                <w:bCs/>
                <w:sz w:val="22"/>
                <w:szCs w:val="22"/>
              </w:rPr>
              <w:t xml:space="preserve"> week </w:t>
            </w:r>
          </w:p>
        </w:tc>
      </w:tr>
    </w:tbl>
    <w:p w:rsidR="00157D29" w:rsidRDefault="00B62FAB">
      <w:pPr>
        <w:pStyle w:val="ListParagraph"/>
        <w:spacing w:after="200" w:line="276" w:lineRule="auto"/>
        <w:ind w:left="360"/>
        <w:jc w:val="both"/>
        <w:rPr>
          <w:rFonts w:asciiTheme="minorHAnsi" w:eastAsiaTheme="minorHAnsi" w:hAnsiTheme="minorHAnsi"/>
          <w:b/>
          <w:sz w:val="22"/>
          <w:szCs w:val="22"/>
        </w:rPr>
      </w:pPr>
      <w:r>
        <w:rPr>
          <w:rFonts w:asciiTheme="minorHAnsi" w:eastAsiaTheme="minorHAnsi" w:hAnsiTheme="minorHAnsi"/>
          <w:b/>
          <w:sz w:val="22"/>
          <w:szCs w:val="22"/>
        </w:rPr>
        <w:t xml:space="preserve"> </w:t>
      </w:r>
    </w:p>
    <w:p w:rsidR="00157D29" w:rsidRDefault="00B62FAB">
      <w:pPr>
        <w:pStyle w:val="ListParagraph"/>
        <w:numPr>
          <w:ilvl w:val="0"/>
          <w:numId w:val="1"/>
        </w:numPr>
        <w:spacing w:after="200" w:line="276" w:lineRule="auto"/>
        <w:jc w:val="both"/>
        <w:rPr>
          <w:rFonts w:asciiTheme="minorHAnsi" w:eastAsiaTheme="minorHAnsi" w:hAnsiTheme="minorHAnsi"/>
          <w:b/>
          <w:sz w:val="22"/>
          <w:szCs w:val="22"/>
        </w:rPr>
      </w:pPr>
      <w:r>
        <w:rPr>
          <w:rFonts w:asciiTheme="minorHAnsi" w:eastAsiaTheme="minorHAnsi" w:hAnsiTheme="minorHAnsi"/>
          <w:b/>
          <w:sz w:val="22"/>
          <w:szCs w:val="22"/>
        </w:rPr>
        <w:t>Management of the consultancy</w:t>
      </w:r>
    </w:p>
    <w:p w:rsidR="00157D29" w:rsidRDefault="00B62FAB">
      <w:pPr>
        <w:jc w:val="both"/>
        <w:rPr>
          <w:rFonts w:asciiTheme="minorHAnsi" w:eastAsiaTheme="minorHAnsi" w:hAnsiTheme="minorHAnsi"/>
          <w:sz w:val="22"/>
          <w:szCs w:val="22"/>
        </w:rPr>
      </w:pPr>
      <w:r>
        <w:rPr>
          <w:rFonts w:asciiTheme="minorHAnsi" w:eastAsiaTheme="minorHAnsi" w:hAnsiTheme="minorHAnsi"/>
          <w:sz w:val="22"/>
          <w:szCs w:val="22"/>
        </w:rPr>
        <w:t xml:space="preserve">This will be a consultancy done remotely (based on deliverables). </w:t>
      </w:r>
      <w:r>
        <w:rPr>
          <w:rFonts w:asciiTheme="minorHAnsi" w:eastAsiaTheme="minorHAnsi" w:hAnsiTheme="minorHAnsi"/>
          <w:b/>
          <w:sz w:val="22"/>
          <w:szCs w:val="22"/>
        </w:rPr>
        <w:t>Travel will be expected</w:t>
      </w:r>
      <w:r>
        <w:rPr>
          <w:rFonts w:asciiTheme="minorHAnsi" w:eastAsiaTheme="minorHAnsi" w:hAnsiTheme="minorHAnsi"/>
          <w:sz w:val="22"/>
          <w:szCs w:val="22"/>
        </w:rPr>
        <w:t xml:space="preserve"> as part of the preparation of the two case studies. The consultancy will work mainly through desk review of all reports and related documents, interviews, and other relevant methodologies. </w:t>
      </w:r>
    </w:p>
    <w:p w:rsidR="00157D29" w:rsidRDefault="00157D29">
      <w:pPr>
        <w:jc w:val="both"/>
        <w:rPr>
          <w:rFonts w:asciiTheme="minorHAnsi" w:eastAsiaTheme="minorHAnsi" w:hAnsiTheme="minorHAnsi"/>
          <w:b/>
          <w:sz w:val="22"/>
          <w:szCs w:val="22"/>
        </w:rPr>
      </w:pPr>
    </w:p>
    <w:p w:rsidR="00157D29" w:rsidRDefault="00B62FAB">
      <w:pPr>
        <w:rPr>
          <w:rFonts w:asciiTheme="minorHAnsi" w:eastAsiaTheme="minorHAnsi" w:hAnsiTheme="minorHAnsi"/>
          <w:sz w:val="22"/>
          <w:szCs w:val="22"/>
        </w:rPr>
      </w:pPr>
      <w:r>
        <w:rPr>
          <w:rFonts w:asciiTheme="minorHAnsi" w:eastAsiaTheme="minorHAnsi" w:hAnsiTheme="minorHAnsi"/>
          <w:b/>
          <w:sz w:val="22"/>
          <w:szCs w:val="22"/>
        </w:rPr>
        <w:t>Management of the Evaluation:</w:t>
      </w:r>
      <w:r>
        <w:rPr>
          <w:rFonts w:asciiTheme="minorHAnsi" w:eastAsiaTheme="minorHAnsi" w:hAnsiTheme="minorHAnsi"/>
          <w:sz w:val="22"/>
          <w:szCs w:val="22"/>
        </w:rPr>
        <w:t xml:space="preserve"> The Team Leader of the consultancy reports directly to the Fund for Gender Equality Chief. An Evaluation Manager will be appointed by the Chief. The Evaluation Manager is responsible for managing the day to day aspects of the evaluation process. This includes: leading the development of the TOR; managing the selection and recruitment of the evaluation team; managing the contractual arrangements</w:t>
      </w:r>
      <w:r>
        <w:rPr>
          <w:rStyle w:val="Ancladenotaalpie"/>
          <w:rFonts w:asciiTheme="minorHAnsi" w:eastAsiaTheme="minorHAnsi" w:hAnsiTheme="minorHAnsi"/>
          <w:sz w:val="22"/>
          <w:szCs w:val="22"/>
        </w:rPr>
        <w:footnoteReference w:id="8"/>
      </w:r>
      <w:r>
        <w:rPr>
          <w:rFonts w:asciiTheme="minorHAnsi" w:eastAsiaTheme="minorHAnsi" w:hAnsiTheme="minorHAnsi"/>
          <w:sz w:val="22"/>
          <w:szCs w:val="22"/>
        </w:rPr>
        <w:t xml:space="preserve">, budget and personnel involved in the evaluation; providing support and coordination to the reference groups; providing the evaluators with administrative support and required data; connecting the evaluation team with the </w:t>
      </w:r>
      <w:proofErr w:type="spellStart"/>
      <w:r>
        <w:rPr>
          <w:rFonts w:asciiTheme="minorHAnsi" w:eastAsiaTheme="minorHAnsi" w:hAnsiTheme="minorHAnsi"/>
          <w:sz w:val="22"/>
          <w:szCs w:val="22"/>
        </w:rPr>
        <w:t>programme</w:t>
      </w:r>
      <w:proofErr w:type="spellEnd"/>
      <w:r>
        <w:rPr>
          <w:rFonts w:asciiTheme="minorHAnsi" w:eastAsiaTheme="minorHAnsi" w:hAnsiTheme="minorHAnsi"/>
          <w:sz w:val="22"/>
          <w:szCs w:val="22"/>
        </w:rPr>
        <w:t xml:space="preserve"> unit, senior management and other relevant stakeholders; reviewing the interim reports and final reports to ensure  quality. </w:t>
      </w:r>
    </w:p>
    <w:p w:rsidR="00157D29" w:rsidRDefault="00157D29">
      <w:pPr>
        <w:jc w:val="both"/>
        <w:rPr>
          <w:rFonts w:asciiTheme="minorHAnsi" w:eastAsiaTheme="minorHAnsi" w:hAnsiTheme="minorHAnsi"/>
          <w:sz w:val="22"/>
          <w:szCs w:val="22"/>
        </w:rPr>
      </w:pPr>
    </w:p>
    <w:p w:rsidR="00157D29" w:rsidRDefault="00B62FAB">
      <w:pPr>
        <w:pStyle w:val="ListParagraph"/>
        <w:numPr>
          <w:ilvl w:val="0"/>
          <w:numId w:val="7"/>
        </w:numPr>
        <w:jc w:val="both"/>
        <w:rPr>
          <w:rFonts w:asciiTheme="minorHAnsi" w:eastAsiaTheme="minorHAnsi" w:hAnsiTheme="minorHAnsi"/>
          <w:sz w:val="22"/>
          <w:szCs w:val="22"/>
        </w:rPr>
      </w:pPr>
      <w:r>
        <w:rPr>
          <w:rFonts w:asciiTheme="minorHAnsi" w:eastAsiaTheme="minorHAnsi" w:hAnsiTheme="minorHAnsi"/>
          <w:b/>
          <w:sz w:val="22"/>
          <w:szCs w:val="22"/>
        </w:rPr>
        <w:t xml:space="preserve">Core Reference Group (CRG): </w:t>
      </w:r>
      <w:r>
        <w:rPr>
          <w:rFonts w:asciiTheme="minorHAnsi" w:eastAsiaTheme="minorHAnsi" w:hAnsiTheme="minorHAnsi"/>
          <w:sz w:val="22"/>
          <w:szCs w:val="22"/>
        </w:rPr>
        <w:t>A Core Reference Group will be created to</w:t>
      </w:r>
      <w:r>
        <w:rPr>
          <w:rFonts w:asciiTheme="minorHAnsi" w:hAnsiTheme="minorHAnsi"/>
          <w:sz w:val="22"/>
          <w:szCs w:val="22"/>
        </w:rPr>
        <w:t xml:space="preserve"> provide quality assurance and approve all evaluation products (</w:t>
      </w:r>
      <w:proofErr w:type="spellStart"/>
      <w:r>
        <w:rPr>
          <w:rFonts w:asciiTheme="minorHAnsi" w:hAnsiTheme="minorHAnsi"/>
          <w:sz w:val="22"/>
          <w:szCs w:val="22"/>
        </w:rPr>
        <w:t>ToR</w:t>
      </w:r>
      <w:proofErr w:type="spellEnd"/>
      <w:r>
        <w:rPr>
          <w:rFonts w:asciiTheme="minorHAnsi" w:hAnsiTheme="minorHAnsi"/>
          <w:sz w:val="22"/>
          <w:szCs w:val="22"/>
        </w:rPr>
        <w:t xml:space="preserve">, inception report, draft and final reports). </w:t>
      </w:r>
      <w:r>
        <w:rPr>
          <w:rFonts w:asciiTheme="minorHAnsi" w:eastAsiaTheme="minorHAnsi" w:hAnsiTheme="minorHAnsi"/>
          <w:sz w:val="22"/>
          <w:szCs w:val="22"/>
        </w:rPr>
        <w:t xml:space="preserve"> </w:t>
      </w:r>
    </w:p>
    <w:p w:rsidR="00157D29" w:rsidRDefault="00B62FAB">
      <w:pPr>
        <w:ind w:firstLine="360"/>
        <w:jc w:val="both"/>
        <w:rPr>
          <w:rFonts w:asciiTheme="minorHAnsi" w:eastAsiaTheme="minorHAnsi" w:hAnsiTheme="minorHAnsi"/>
          <w:sz w:val="22"/>
          <w:szCs w:val="22"/>
          <w:lang w:val="en-GB"/>
        </w:rPr>
      </w:pPr>
      <w:r>
        <w:rPr>
          <w:rFonts w:asciiTheme="minorHAnsi" w:eastAsiaTheme="minorHAnsi" w:hAnsiTheme="minorHAnsi"/>
          <w:sz w:val="22"/>
          <w:szCs w:val="22"/>
          <w:lang w:val="en-GB"/>
        </w:rPr>
        <w:t xml:space="preserve">The role of the CRG will include: </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Identifying information needs, defining objectives and delimiting the scope of the evaluation (approving the Inception Report).</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Facilitating the participation of those involved in the evaluation.</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Facilitating the consultant’s access to all information and documentation relevant to the intervention.</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Monitoring the quality of the process and deliverables that will stem from the exercise (Inception Report, Preliminary findings and Final Report), and providing quality feedback.</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 xml:space="preserve">Supporting development and implementation of Management Response (MR) and Dissemination Strategy (DS) as needed.  </w:t>
      </w:r>
    </w:p>
    <w:p w:rsidR="00157D29" w:rsidRDefault="00B62FAB">
      <w:pPr>
        <w:pStyle w:val="ListParagraph"/>
        <w:numPr>
          <w:ilvl w:val="0"/>
          <w:numId w:val="8"/>
        </w:numPr>
        <w:ind w:left="1440"/>
        <w:jc w:val="both"/>
        <w:rPr>
          <w:rFonts w:asciiTheme="minorHAnsi" w:eastAsiaTheme="minorHAnsi" w:hAnsiTheme="minorHAnsi"/>
          <w:sz w:val="22"/>
          <w:szCs w:val="22"/>
          <w:lang w:val="en-GB"/>
        </w:rPr>
      </w:pPr>
      <w:r>
        <w:rPr>
          <w:rFonts w:asciiTheme="minorHAnsi" w:eastAsiaTheme="minorHAnsi" w:hAnsiTheme="minorHAnsi"/>
          <w:sz w:val="22"/>
          <w:szCs w:val="22"/>
          <w:lang w:val="en-GB"/>
        </w:rPr>
        <w:t>Ensuring the successful implementation of the MR and DR, including disseminating the results of the evaluation, especially among the organizations and entities within their interest group.</w:t>
      </w:r>
    </w:p>
    <w:p w:rsidR="00157D29" w:rsidRDefault="00157D29">
      <w:pPr>
        <w:pStyle w:val="ListParagraph"/>
        <w:jc w:val="both"/>
        <w:rPr>
          <w:rFonts w:asciiTheme="minorHAnsi" w:eastAsiaTheme="minorHAnsi" w:hAnsiTheme="minorHAnsi"/>
          <w:sz w:val="22"/>
          <w:szCs w:val="22"/>
        </w:rPr>
      </w:pPr>
    </w:p>
    <w:p w:rsidR="00157D29" w:rsidRDefault="00B62FAB">
      <w:pPr>
        <w:pStyle w:val="ListParagraph"/>
        <w:ind w:left="360"/>
        <w:jc w:val="both"/>
        <w:rPr>
          <w:rFonts w:asciiTheme="minorHAnsi" w:eastAsiaTheme="minorHAnsi" w:hAnsiTheme="minorHAnsi"/>
          <w:sz w:val="22"/>
          <w:szCs w:val="22"/>
        </w:rPr>
      </w:pPr>
      <w:r>
        <w:rPr>
          <w:rFonts w:asciiTheme="minorHAnsi" w:eastAsiaTheme="minorHAnsi" w:hAnsiTheme="minorHAnsi"/>
          <w:sz w:val="22"/>
          <w:szCs w:val="22"/>
        </w:rPr>
        <w:lastRenderedPageBreak/>
        <w:t xml:space="preserve">Invited CRG members will include: </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Chief of the Fund for Gender Equality</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 xml:space="preserve">Evaluation Manager </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 xml:space="preserve">FGE Monitoring and Reporting Specialists </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Focal Point from UN Women Independent Evaluation Office</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 xml:space="preserve">Focal Point (s) from </w:t>
      </w:r>
      <w:proofErr w:type="spellStart"/>
      <w:r>
        <w:rPr>
          <w:rFonts w:asciiTheme="minorHAnsi" w:eastAsiaTheme="minorHAnsi" w:hAnsiTheme="minorHAnsi"/>
          <w:sz w:val="22"/>
          <w:szCs w:val="22"/>
        </w:rPr>
        <w:t>Programme</w:t>
      </w:r>
      <w:proofErr w:type="spellEnd"/>
      <w:r>
        <w:rPr>
          <w:rFonts w:asciiTheme="minorHAnsi" w:eastAsiaTheme="minorHAnsi" w:hAnsiTheme="minorHAnsi"/>
          <w:sz w:val="22"/>
          <w:szCs w:val="22"/>
        </w:rPr>
        <w:t xml:space="preserve"> Division (ex. PPGU Unit, CSO section)</w:t>
      </w:r>
    </w:p>
    <w:p w:rsidR="00157D29" w:rsidRDefault="00B62FAB">
      <w:pPr>
        <w:pStyle w:val="ListParagraph"/>
        <w:numPr>
          <w:ilvl w:val="0"/>
          <w:numId w:val="9"/>
        </w:numPr>
        <w:jc w:val="both"/>
        <w:rPr>
          <w:rFonts w:asciiTheme="minorHAnsi" w:eastAsiaTheme="minorHAnsi" w:hAnsiTheme="minorHAnsi"/>
          <w:sz w:val="22"/>
          <w:szCs w:val="22"/>
        </w:rPr>
      </w:pPr>
      <w:r>
        <w:rPr>
          <w:rFonts w:asciiTheme="minorHAnsi" w:eastAsiaTheme="minorHAnsi" w:hAnsiTheme="minorHAnsi"/>
          <w:sz w:val="22"/>
          <w:szCs w:val="22"/>
        </w:rPr>
        <w:t>Focal Point(s) from Policy Division (WEE and/or WPP Units)</w:t>
      </w:r>
    </w:p>
    <w:p w:rsidR="00157D29" w:rsidRDefault="00157D29">
      <w:pPr>
        <w:jc w:val="both"/>
        <w:rPr>
          <w:rFonts w:asciiTheme="minorHAnsi" w:eastAsiaTheme="minorHAnsi" w:hAnsiTheme="minorHAnsi"/>
          <w:sz w:val="22"/>
          <w:szCs w:val="22"/>
          <w:lang w:val="en-GB"/>
        </w:rPr>
      </w:pPr>
    </w:p>
    <w:p w:rsidR="00157D29" w:rsidRDefault="00B62FAB">
      <w:pPr>
        <w:pStyle w:val="ListParagraph"/>
        <w:numPr>
          <w:ilvl w:val="0"/>
          <w:numId w:val="7"/>
        </w:numPr>
        <w:jc w:val="both"/>
        <w:rPr>
          <w:rFonts w:cs="Calibri"/>
          <w:color w:val="000000"/>
        </w:rPr>
      </w:pPr>
      <w:r>
        <w:rPr>
          <w:rFonts w:asciiTheme="minorHAnsi" w:eastAsiaTheme="minorHAnsi" w:hAnsiTheme="minorHAnsi"/>
          <w:b/>
          <w:sz w:val="22"/>
          <w:szCs w:val="22"/>
        </w:rPr>
        <w:t>Broad Reference Group (BRG):</w:t>
      </w:r>
      <w:r>
        <w:rPr>
          <w:rFonts w:asciiTheme="minorHAnsi" w:eastAsiaTheme="minorHAnsi" w:hAnsiTheme="minorHAnsi"/>
          <w:sz w:val="22"/>
          <w:szCs w:val="22"/>
        </w:rPr>
        <w:t xml:space="preserve"> A Broad Reference Group will be created at the start of the evaluation to ensure an efficient, participatory and accountable process and facilitate the participation of stakeholders </w:t>
      </w:r>
      <w:r>
        <w:rPr>
          <w:rFonts w:asciiTheme="minorHAnsi" w:hAnsiTheme="minorHAnsi"/>
          <w:sz w:val="22"/>
          <w:szCs w:val="22"/>
        </w:rPr>
        <w:t xml:space="preserve">ensuring quality by providing inputs on evaluation products, including this </w:t>
      </w:r>
      <w:proofErr w:type="spellStart"/>
      <w:r>
        <w:rPr>
          <w:rFonts w:asciiTheme="minorHAnsi" w:hAnsiTheme="minorHAnsi"/>
          <w:sz w:val="22"/>
          <w:szCs w:val="22"/>
        </w:rPr>
        <w:t>ToR</w:t>
      </w:r>
      <w:proofErr w:type="spellEnd"/>
      <w:r>
        <w:rPr>
          <w:rFonts w:asciiTheme="minorHAnsi" w:hAnsiTheme="minorHAnsi"/>
          <w:sz w:val="22"/>
          <w:szCs w:val="22"/>
        </w:rPr>
        <w:t xml:space="preserve">. </w:t>
      </w:r>
      <w:r>
        <w:rPr>
          <w:rFonts w:ascii="Calibri" w:hAnsi="Calibri" w:cs="Calibri"/>
          <w:color w:val="000000"/>
          <w:sz w:val="22"/>
          <w:szCs w:val="22"/>
        </w:rPr>
        <w:t xml:space="preserve">The </w:t>
      </w:r>
      <w:r>
        <w:rPr>
          <w:rFonts w:ascii="Calibri" w:hAnsi="Calibri" w:cs="Calibri"/>
          <w:b/>
          <w:color w:val="000000"/>
          <w:sz w:val="22"/>
          <w:szCs w:val="22"/>
        </w:rPr>
        <w:t>BRG</w:t>
      </w:r>
      <w:r>
        <w:rPr>
          <w:rFonts w:ascii="Calibri" w:hAnsi="Calibri" w:cs="Calibri"/>
          <w:color w:val="000000"/>
          <w:sz w:val="22"/>
          <w:szCs w:val="22"/>
        </w:rPr>
        <w:t xml:space="preserve"> will be informed throughout the evaluation process and will be asked to participate at strategic points during the evaluation, including briefings by the evaluation team of findings and recommendations. It will also support the dissemination of the findings and recommendations. </w:t>
      </w:r>
    </w:p>
    <w:p w:rsidR="00157D29" w:rsidRDefault="00157D29">
      <w:pPr>
        <w:jc w:val="both"/>
        <w:rPr>
          <w:rFonts w:asciiTheme="minorHAnsi" w:eastAsiaTheme="minorHAnsi" w:hAnsiTheme="minorHAnsi"/>
          <w:sz w:val="22"/>
          <w:szCs w:val="22"/>
        </w:rPr>
      </w:pPr>
    </w:p>
    <w:p w:rsidR="00157D29" w:rsidRDefault="00B62FAB">
      <w:pPr>
        <w:ind w:firstLine="360"/>
        <w:jc w:val="both"/>
        <w:rPr>
          <w:rFonts w:asciiTheme="minorHAnsi" w:eastAsiaTheme="minorHAnsi" w:hAnsiTheme="minorHAnsi"/>
          <w:sz w:val="22"/>
          <w:szCs w:val="22"/>
        </w:rPr>
      </w:pPr>
      <w:r>
        <w:rPr>
          <w:rFonts w:asciiTheme="minorHAnsi" w:eastAsiaTheme="minorHAnsi" w:hAnsiTheme="minorHAnsi"/>
          <w:sz w:val="22"/>
          <w:szCs w:val="22"/>
        </w:rPr>
        <w:t>Invited BRG members will include:</w:t>
      </w:r>
    </w:p>
    <w:tbl>
      <w:tblPr>
        <w:tblStyle w:val="TableGrid"/>
        <w:tblW w:w="9175" w:type="dxa"/>
        <w:tblInd w:w="175" w:type="dxa"/>
        <w:tblLook w:val="04A0" w:firstRow="1" w:lastRow="0" w:firstColumn="1" w:lastColumn="0" w:noHBand="0" w:noVBand="1"/>
      </w:tblPr>
      <w:tblGrid>
        <w:gridCol w:w="3059"/>
        <w:gridCol w:w="6116"/>
      </w:tblGrid>
      <w:tr w:rsidR="00157D29">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UN Women -HQ</w:t>
            </w: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proofErr w:type="spellStart"/>
            <w:r>
              <w:rPr>
                <w:rFonts w:asciiTheme="minorHAnsi" w:eastAsiaTheme="minorHAnsi" w:hAnsiTheme="minorHAnsi"/>
                <w:sz w:val="22"/>
                <w:szCs w:val="22"/>
              </w:rPr>
              <w:t>Programme</w:t>
            </w:r>
            <w:proofErr w:type="spellEnd"/>
            <w:r>
              <w:rPr>
                <w:rFonts w:asciiTheme="minorHAnsi" w:eastAsiaTheme="minorHAnsi" w:hAnsiTheme="minorHAnsi"/>
                <w:sz w:val="22"/>
                <w:szCs w:val="22"/>
              </w:rPr>
              <w:t xml:space="preserve"> Division Director and Deputy Director (UNW) </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Policy Division Director (UNW)</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 xml:space="preserve">Head of Civil Society Unit (UNW) </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Head of Independent Evaluation Office (UNW)</w:t>
            </w:r>
          </w:p>
        </w:tc>
      </w:tr>
      <w:tr w:rsidR="00157D29">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UN Women -Field (RO/CO)</w:t>
            </w: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6 Regional Directors (UNW ROs)</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10 FGE Focal Points from the 6 regions (UNW CO/MCO/RO)</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Eco/Pol empowerment Regional Advisors (UNW ROs)</w:t>
            </w:r>
          </w:p>
        </w:tc>
      </w:tr>
      <w:tr w:rsidR="00157D29">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Donors -Governments</w:t>
            </w: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b/>
                <w:sz w:val="22"/>
                <w:szCs w:val="22"/>
              </w:rPr>
            </w:pPr>
            <w:r>
              <w:rPr>
                <w:rFonts w:asciiTheme="minorHAnsi" w:eastAsiaTheme="minorHAnsi" w:hAnsiTheme="minorHAnsi"/>
                <w:sz w:val="22"/>
                <w:szCs w:val="22"/>
              </w:rPr>
              <w:t>Government of Germany (Donor)</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Government of Switzerland (Donor)</w:t>
            </w:r>
          </w:p>
        </w:tc>
      </w:tr>
      <w:tr w:rsidR="00157D29">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Donors -Private Sector</w:t>
            </w: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b/>
                <w:sz w:val="22"/>
                <w:szCs w:val="22"/>
              </w:rPr>
            </w:pPr>
            <w:r>
              <w:rPr>
                <w:rFonts w:asciiTheme="minorHAnsi" w:eastAsiaTheme="minorHAnsi" w:hAnsiTheme="minorHAnsi"/>
                <w:sz w:val="22"/>
                <w:szCs w:val="22"/>
              </w:rPr>
              <w:t>Angelica Fuentes Foundation</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Chanel Foundation</w:t>
            </w:r>
          </w:p>
        </w:tc>
      </w:tr>
      <w:tr w:rsidR="00157D29">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Civil Society</w:t>
            </w: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AWID Representative</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sz w:val="22"/>
                <w:szCs w:val="22"/>
              </w:rPr>
            </w:pPr>
            <w:r>
              <w:rPr>
                <w:rFonts w:asciiTheme="minorHAnsi" w:eastAsiaTheme="minorHAnsi" w:hAnsiTheme="minorHAnsi"/>
                <w:sz w:val="22"/>
                <w:szCs w:val="22"/>
              </w:rPr>
              <w:t>Global Fund for Women Representative</w:t>
            </w:r>
          </w:p>
        </w:tc>
      </w:tr>
      <w:tr w:rsidR="00157D29">
        <w:tc>
          <w:tcPr>
            <w:tcW w:w="3059" w:type="dxa"/>
            <w:shd w:val="clear" w:color="auto" w:fill="auto"/>
            <w:tcMar>
              <w:left w:w="108" w:type="dxa"/>
            </w:tcMar>
          </w:tcPr>
          <w:p w:rsidR="00157D29" w:rsidRDefault="00157D29">
            <w:pPr>
              <w:ind w:left="157"/>
              <w:jc w:val="both"/>
              <w:rPr>
                <w:rFonts w:asciiTheme="minorHAnsi" w:eastAsiaTheme="minorHAnsi" w:hAnsiTheme="minorHAnsi"/>
                <w:sz w:val="22"/>
                <w:szCs w:val="22"/>
              </w:rPr>
            </w:pPr>
          </w:p>
        </w:tc>
        <w:tc>
          <w:tcPr>
            <w:tcW w:w="6115" w:type="dxa"/>
            <w:shd w:val="clear" w:color="auto" w:fill="auto"/>
            <w:tcMar>
              <w:left w:w="108" w:type="dxa"/>
            </w:tcMar>
          </w:tcPr>
          <w:p w:rsidR="00157D29" w:rsidRDefault="00B62FAB">
            <w:pPr>
              <w:pStyle w:val="ListParagraph"/>
              <w:numPr>
                <w:ilvl w:val="0"/>
                <w:numId w:val="11"/>
              </w:numPr>
              <w:ind w:left="535"/>
              <w:jc w:val="both"/>
              <w:rPr>
                <w:rFonts w:asciiTheme="minorHAnsi" w:eastAsiaTheme="minorHAnsi" w:hAnsiTheme="minorHAnsi"/>
                <w:b/>
                <w:sz w:val="22"/>
                <w:szCs w:val="22"/>
              </w:rPr>
            </w:pPr>
            <w:r>
              <w:rPr>
                <w:rFonts w:asciiTheme="minorHAnsi" w:eastAsiaTheme="minorHAnsi" w:hAnsiTheme="minorHAnsi"/>
                <w:sz w:val="22"/>
                <w:szCs w:val="22"/>
              </w:rPr>
              <w:t>10 Representatives of Grantees from 6 regions</w:t>
            </w:r>
          </w:p>
        </w:tc>
      </w:tr>
      <w:tr w:rsidR="00157D29">
        <w:trPr>
          <w:trHeight w:val="89"/>
        </w:trPr>
        <w:tc>
          <w:tcPr>
            <w:tcW w:w="3059" w:type="dxa"/>
            <w:shd w:val="clear" w:color="auto" w:fill="auto"/>
            <w:tcMar>
              <w:left w:w="108" w:type="dxa"/>
            </w:tcMar>
          </w:tcPr>
          <w:p w:rsidR="00157D29" w:rsidRDefault="00B62FAB">
            <w:pPr>
              <w:ind w:left="157"/>
              <w:jc w:val="both"/>
              <w:rPr>
                <w:rFonts w:asciiTheme="minorHAnsi" w:eastAsiaTheme="minorHAnsi" w:hAnsiTheme="minorHAnsi"/>
                <w:sz w:val="22"/>
                <w:szCs w:val="22"/>
              </w:rPr>
            </w:pPr>
            <w:r>
              <w:rPr>
                <w:rFonts w:asciiTheme="minorHAnsi" w:eastAsiaTheme="minorHAnsi" w:hAnsiTheme="minorHAnsi"/>
                <w:sz w:val="22"/>
                <w:szCs w:val="22"/>
              </w:rPr>
              <w:t>Beneficiaries</w:t>
            </w:r>
          </w:p>
        </w:tc>
        <w:tc>
          <w:tcPr>
            <w:tcW w:w="6115" w:type="dxa"/>
            <w:shd w:val="clear" w:color="auto" w:fill="auto"/>
            <w:tcMar>
              <w:left w:w="108" w:type="dxa"/>
            </w:tcMar>
          </w:tcPr>
          <w:p w:rsidR="00157D29" w:rsidRDefault="00B62FAB">
            <w:pPr>
              <w:pStyle w:val="ListParagraph"/>
              <w:numPr>
                <w:ilvl w:val="0"/>
                <w:numId w:val="6"/>
              </w:numPr>
              <w:ind w:left="521"/>
              <w:jc w:val="both"/>
              <w:rPr>
                <w:rFonts w:asciiTheme="minorHAnsi" w:eastAsiaTheme="minorHAnsi" w:hAnsiTheme="minorHAnsi"/>
                <w:b/>
                <w:sz w:val="22"/>
                <w:szCs w:val="22"/>
              </w:rPr>
            </w:pPr>
            <w:r>
              <w:rPr>
                <w:rFonts w:asciiTheme="minorHAnsi" w:eastAsiaTheme="minorHAnsi" w:hAnsiTheme="minorHAnsi"/>
                <w:sz w:val="22"/>
                <w:szCs w:val="22"/>
              </w:rPr>
              <w:t>10 Representatives of Beneficiaries from 6 regions</w:t>
            </w:r>
          </w:p>
        </w:tc>
      </w:tr>
    </w:tbl>
    <w:p w:rsidR="00157D29" w:rsidRDefault="00157D29">
      <w:pPr>
        <w:jc w:val="both"/>
        <w:rPr>
          <w:rFonts w:asciiTheme="minorHAnsi" w:eastAsiaTheme="minorHAnsi" w:hAnsiTheme="minorHAnsi"/>
          <w:sz w:val="22"/>
          <w:szCs w:val="22"/>
        </w:rPr>
      </w:pPr>
    </w:p>
    <w:p w:rsidR="00157D29" w:rsidRDefault="00B62FAB">
      <w:pPr>
        <w:pStyle w:val="ListParagraph"/>
        <w:numPr>
          <w:ilvl w:val="0"/>
          <w:numId w:val="1"/>
        </w:numPr>
        <w:jc w:val="both"/>
        <w:rPr>
          <w:rFonts w:asciiTheme="minorHAnsi" w:eastAsiaTheme="minorHAnsi" w:hAnsiTheme="minorHAnsi"/>
          <w:b/>
          <w:color w:val="000000" w:themeColor="text1"/>
          <w:sz w:val="22"/>
          <w:szCs w:val="22"/>
        </w:rPr>
      </w:pPr>
      <w:r>
        <w:rPr>
          <w:rFonts w:asciiTheme="minorHAnsi" w:eastAsiaTheme="minorHAnsi" w:hAnsiTheme="minorHAnsi"/>
          <w:b/>
          <w:color w:val="000000" w:themeColor="text1"/>
          <w:sz w:val="22"/>
          <w:szCs w:val="22"/>
        </w:rPr>
        <w:t xml:space="preserve">Ethical Code of Conduct: </w:t>
      </w:r>
    </w:p>
    <w:p w:rsidR="00157D29" w:rsidRDefault="00157D29">
      <w:pPr>
        <w:jc w:val="both"/>
        <w:rPr>
          <w:rFonts w:asciiTheme="minorHAnsi" w:eastAsiaTheme="minorHAnsi" w:hAnsiTheme="minorHAnsi"/>
          <w:b/>
          <w:color w:val="000000" w:themeColor="text1"/>
          <w:sz w:val="22"/>
          <w:szCs w:val="22"/>
        </w:rPr>
      </w:pPr>
    </w:p>
    <w:p w:rsidR="00157D29" w:rsidRDefault="00B62FAB">
      <w:pPr>
        <w:pStyle w:val="ListParagraph"/>
        <w:ind w:left="360"/>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The evaluation of the </w:t>
      </w:r>
      <w:proofErr w:type="spellStart"/>
      <w:r>
        <w:rPr>
          <w:rFonts w:asciiTheme="minorHAnsi" w:eastAsiaTheme="minorHAnsi" w:hAnsiTheme="minorHAnsi"/>
          <w:color w:val="000000" w:themeColor="text1"/>
          <w:sz w:val="22"/>
          <w:szCs w:val="22"/>
        </w:rPr>
        <w:t>programme</w:t>
      </w:r>
      <w:proofErr w:type="spellEnd"/>
      <w:r>
        <w:rPr>
          <w:rFonts w:asciiTheme="minorHAnsi" w:eastAsiaTheme="minorHAnsi" w:hAnsiTheme="minorHAnsi"/>
          <w:color w:val="000000" w:themeColor="text1"/>
          <w:sz w:val="22"/>
          <w:szCs w:val="22"/>
        </w:rPr>
        <w:t xml:space="preserve"> is to be carried out </w:t>
      </w:r>
      <w:proofErr w:type="gramStart"/>
      <w:r>
        <w:rPr>
          <w:rFonts w:asciiTheme="minorHAnsi" w:eastAsiaTheme="minorHAnsi" w:hAnsiTheme="minorHAnsi"/>
          <w:color w:val="000000" w:themeColor="text1"/>
          <w:sz w:val="22"/>
          <w:szCs w:val="22"/>
        </w:rPr>
        <w:t>according to</w:t>
      </w:r>
      <w:proofErr w:type="gramEnd"/>
      <w:r>
        <w:rPr>
          <w:rFonts w:asciiTheme="minorHAnsi" w:eastAsiaTheme="minorHAnsi" w:hAnsiTheme="minorHAnsi"/>
          <w:color w:val="000000" w:themeColor="text1"/>
          <w:sz w:val="22"/>
          <w:szCs w:val="22"/>
        </w:rPr>
        <w:t xml:space="preserve"> ethical principles and standards established by the UNEG.</w:t>
      </w:r>
    </w:p>
    <w:p w:rsidR="00157D29" w:rsidRDefault="00157D29">
      <w:pPr>
        <w:pStyle w:val="ListParagraph"/>
        <w:ind w:left="360"/>
        <w:jc w:val="both"/>
        <w:rPr>
          <w:rFonts w:asciiTheme="minorHAnsi" w:eastAsiaTheme="minorHAnsi" w:hAnsiTheme="minorHAnsi"/>
          <w:color w:val="000000" w:themeColor="text1"/>
          <w:sz w:val="22"/>
          <w:szCs w:val="22"/>
        </w:rPr>
      </w:pP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Anonymity and confidentiality. The evaluation must respect the rights of individuals who provide information, ensuring their anonymity and confidentiality.</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Responsibility. The report must mention any dispute or difference of opinion that may have arisen among the consultants or between the consultant and the heads of the </w:t>
      </w:r>
      <w:proofErr w:type="spellStart"/>
      <w:r>
        <w:rPr>
          <w:rFonts w:asciiTheme="minorHAnsi" w:eastAsiaTheme="minorHAnsi" w:hAnsiTheme="minorHAnsi"/>
          <w:color w:val="000000" w:themeColor="text1"/>
          <w:sz w:val="22"/>
          <w:szCs w:val="22"/>
        </w:rPr>
        <w:t>Programme</w:t>
      </w:r>
      <w:proofErr w:type="spellEnd"/>
      <w:r>
        <w:rPr>
          <w:rFonts w:asciiTheme="minorHAnsi" w:eastAsiaTheme="minorHAnsi" w:hAnsiTheme="minorHAnsi"/>
          <w:color w:val="000000" w:themeColor="text1"/>
          <w:sz w:val="22"/>
          <w:szCs w:val="22"/>
        </w:rPr>
        <w:t xml:space="preserve"> </w:t>
      </w:r>
      <w:proofErr w:type="gramStart"/>
      <w:r>
        <w:rPr>
          <w:rFonts w:asciiTheme="minorHAnsi" w:eastAsiaTheme="minorHAnsi" w:hAnsiTheme="minorHAnsi"/>
          <w:color w:val="000000" w:themeColor="text1"/>
          <w:sz w:val="22"/>
          <w:szCs w:val="22"/>
        </w:rPr>
        <w:t>in connection with</w:t>
      </w:r>
      <w:proofErr w:type="gramEnd"/>
      <w:r>
        <w:rPr>
          <w:rFonts w:asciiTheme="minorHAnsi" w:eastAsiaTheme="minorHAnsi" w:hAnsiTheme="minorHAnsi"/>
          <w:color w:val="000000" w:themeColor="text1"/>
          <w:sz w:val="22"/>
          <w:szCs w:val="22"/>
        </w:rPr>
        <w:t xml:space="preserve"> the findings and/or recommendations. The team must corroborate all assertions, or disagreement with them noted.</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Integrity. The evaluator will be responsible for highlighting issues not specifically mentioned in the TOR, if this is needed to obtain a more complete analysis of the intervention.</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Independence. The consultant should ensure his or her independence from the intervention under review, and he or she must not be associated with its management or any element thereof.</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lastRenderedPageBreak/>
        <w:t>Incidents. If problems arise at any other stage of the evaluation, they must be reported immediately to the manager of the evaluation. If this is not done, the existence of such problems may in no case be used to justify the failure to obtain the results stipulated in these terms of reference.</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Validation of information. The consultant will be responsible for ensuring the accuracy of the information collected while preparing the reports and will be ultimately responsible for the information presented in the evaluation report.</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Intellectual property. In handling information sources, the consultant shall respect the intellectual property rights of the institutions and communities that are under review. </w:t>
      </w:r>
    </w:p>
    <w:p w:rsidR="00157D29" w:rsidRDefault="00B62FAB">
      <w:pPr>
        <w:pStyle w:val="ListParagraph"/>
        <w:numPr>
          <w:ilvl w:val="0"/>
          <w:numId w:val="10"/>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Delivery of reports. If delivery of the reports is delayed, or </w:t>
      </w:r>
      <w:proofErr w:type="gramStart"/>
      <w:r>
        <w:rPr>
          <w:rFonts w:asciiTheme="minorHAnsi" w:eastAsiaTheme="minorHAnsi" w:hAnsiTheme="minorHAnsi"/>
          <w:color w:val="000000" w:themeColor="text1"/>
          <w:sz w:val="22"/>
          <w:szCs w:val="22"/>
        </w:rPr>
        <w:t>in the event that</w:t>
      </w:r>
      <w:proofErr w:type="gramEnd"/>
      <w:r>
        <w:rPr>
          <w:rFonts w:asciiTheme="minorHAnsi" w:eastAsiaTheme="minorHAnsi" w:hAnsiTheme="minorHAnsi"/>
          <w:color w:val="000000" w:themeColor="text1"/>
          <w:sz w:val="22"/>
          <w:szCs w:val="22"/>
        </w:rPr>
        <w:t xml:space="preserve"> the quality of the reports delivered is clearly lower than what was agreed, the penalties stipulated in these terms of reference will be applicable.</w:t>
      </w:r>
    </w:p>
    <w:p w:rsidR="00157D29" w:rsidRDefault="00157D29">
      <w:pPr>
        <w:jc w:val="both"/>
        <w:rPr>
          <w:rFonts w:asciiTheme="minorHAnsi" w:eastAsiaTheme="minorHAnsi" w:hAnsiTheme="minorHAnsi"/>
          <w:color w:val="000000" w:themeColor="text1"/>
          <w:sz w:val="22"/>
          <w:szCs w:val="22"/>
        </w:rPr>
      </w:pPr>
    </w:p>
    <w:p w:rsidR="00157D29" w:rsidRDefault="00B62FAB">
      <w:p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More information under these links:</w:t>
      </w:r>
    </w:p>
    <w:p w:rsidR="00157D29" w:rsidRDefault="00157D29">
      <w:pPr>
        <w:jc w:val="both"/>
        <w:rPr>
          <w:rFonts w:asciiTheme="minorHAnsi" w:eastAsiaTheme="minorHAnsi" w:hAnsiTheme="minorHAnsi"/>
          <w:color w:val="000000" w:themeColor="text1"/>
          <w:sz w:val="22"/>
          <w:szCs w:val="22"/>
        </w:rPr>
      </w:pPr>
    </w:p>
    <w:p w:rsidR="00157D29" w:rsidRDefault="00B62FAB">
      <w:pPr>
        <w:rPr>
          <w:rFonts w:asciiTheme="minorHAnsi" w:hAnsiTheme="minorHAnsi"/>
          <w:color w:val="000000"/>
          <w:sz w:val="22"/>
          <w:szCs w:val="22"/>
        </w:rPr>
      </w:pPr>
      <w:r>
        <w:rPr>
          <w:rFonts w:asciiTheme="minorHAnsi" w:hAnsiTheme="minorHAnsi"/>
          <w:color w:val="000000"/>
          <w:sz w:val="22"/>
          <w:szCs w:val="22"/>
        </w:rPr>
        <w:t>For UN Women’s Evaluation Policy, please refer to:</w:t>
      </w:r>
    </w:p>
    <w:p w:rsidR="00157D29" w:rsidRDefault="0093676A">
      <w:hyperlink r:id="rId13">
        <w:r w:rsidR="00B62FAB">
          <w:rPr>
            <w:rStyle w:val="EnlacedeInternet"/>
            <w:rFonts w:asciiTheme="minorHAnsi" w:hAnsiTheme="minorHAnsi"/>
            <w:sz w:val="22"/>
            <w:szCs w:val="22"/>
          </w:rPr>
          <w:t>http://www.unwomen.org/publications/evaluation-policy/</w:t>
        </w:r>
      </w:hyperlink>
      <w:r w:rsidR="00B62FAB">
        <w:rPr>
          <w:rFonts w:asciiTheme="minorHAnsi" w:hAnsiTheme="minorHAnsi"/>
        </w:rPr>
        <w:t xml:space="preserve"> </w:t>
      </w:r>
    </w:p>
    <w:p w:rsidR="00157D29" w:rsidRDefault="00157D29">
      <w:pPr>
        <w:rPr>
          <w:rFonts w:asciiTheme="minorHAnsi" w:hAnsiTheme="minorHAnsi"/>
          <w:color w:val="000000"/>
          <w:sz w:val="22"/>
          <w:szCs w:val="22"/>
        </w:rPr>
      </w:pPr>
    </w:p>
    <w:p w:rsidR="00157D29" w:rsidRDefault="00B62FAB">
      <w:pPr>
        <w:rPr>
          <w:rFonts w:asciiTheme="minorHAnsi" w:hAnsiTheme="minorHAnsi"/>
          <w:color w:val="000000"/>
          <w:sz w:val="22"/>
          <w:szCs w:val="22"/>
        </w:rPr>
      </w:pPr>
      <w:r>
        <w:rPr>
          <w:rFonts w:asciiTheme="minorHAnsi" w:hAnsiTheme="minorHAnsi"/>
          <w:color w:val="000000"/>
          <w:sz w:val="22"/>
          <w:szCs w:val="22"/>
        </w:rPr>
        <w:t>For UNEG Ethical Guidelines for Evaluation in the UN System, please refer to:</w:t>
      </w:r>
    </w:p>
    <w:p w:rsidR="00157D29" w:rsidRDefault="0093676A">
      <w:hyperlink r:id="rId14">
        <w:r w:rsidR="00B62FAB">
          <w:rPr>
            <w:rStyle w:val="EnlacedeInternet"/>
            <w:rFonts w:asciiTheme="minorHAnsi" w:hAnsiTheme="minorHAnsi"/>
            <w:sz w:val="22"/>
            <w:szCs w:val="22"/>
          </w:rPr>
          <w:t>http://www.uneval.org/search/index.jsp?q=ethical+guidelines</w:t>
        </w:r>
      </w:hyperlink>
      <w:r w:rsidR="00B62FAB">
        <w:rPr>
          <w:rFonts w:asciiTheme="minorHAnsi" w:hAnsiTheme="minorHAnsi"/>
        </w:rPr>
        <w:t xml:space="preserve"> </w:t>
      </w:r>
    </w:p>
    <w:p w:rsidR="00157D29" w:rsidRDefault="00157D29">
      <w:pPr>
        <w:rPr>
          <w:rFonts w:asciiTheme="minorHAnsi" w:hAnsiTheme="minorHAnsi"/>
          <w:color w:val="000000"/>
          <w:sz w:val="22"/>
          <w:szCs w:val="22"/>
        </w:rPr>
      </w:pPr>
    </w:p>
    <w:p w:rsidR="00157D29" w:rsidRDefault="00B62FAB">
      <w:r>
        <w:rPr>
          <w:rFonts w:asciiTheme="minorHAnsi" w:hAnsiTheme="minorHAnsi"/>
          <w:color w:val="000000"/>
          <w:sz w:val="22"/>
          <w:szCs w:val="22"/>
        </w:rPr>
        <w:t xml:space="preserve">For UNEG Code of Conduct for Evaluators, please refer to: </w:t>
      </w:r>
      <w:hyperlink r:id="rId15">
        <w:r>
          <w:rPr>
            <w:rStyle w:val="EnlacedeInternet"/>
            <w:rFonts w:asciiTheme="minorHAnsi" w:hAnsiTheme="minorHAnsi"/>
            <w:sz w:val="22"/>
            <w:szCs w:val="22"/>
          </w:rPr>
          <w:t>http://www.unevaluation.org/unegcodeofconduct</w:t>
        </w:r>
      </w:hyperlink>
      <w:r>
        <w:rPr>
          <w:rFonts w:asciiTheme="minorHAnsi" w:hAnsiTheme="minorHAnsi"/>
        </w:rPr>
        <w:t xml:space="preserve"> </w:t>
      </w:r>
    </w:p>
    <w:p w:rsidR="00157D29" w:rsidRDefault="00157D29">
      <w:pPr>
        <w:jc w:val="both"/>
        <w:rPr>
          <w:rFonts w:asciiTheme="minorHAnsi" w:eastAsiaTheme="minorHAnsi" w:hAnsiTheme="minorHAnsi"/>
          <w:color w:val="000000" w:themeColor="text1"/>
          <w:sz w:val="22"/>
          <w:szCs w:val="22"/>
        </w:rPr>
      </w:pPr>
    </w:p>
    <w:p w:rsidR="00157D29" w:rsidRDefault="00157D29">
      <w:pPr>
        <w:jc w:val="both"/>
        <w:rPr>
          <w:rFonts w:asciiTheme="minorHAnsi" w:eastAsiaTheme="minorHAnsi" w:hAnsiTheme="minorHAnsi"/>
          <w:b/>
          <w:sz w:val="22"/>
          <w:szCs w:val="22"/>
        </w:rPr>
      </w:pPr>
    </w:p>
    <w:p w:rsidR="00157D29" w:rsidRDefault="00B62FAB">
      <w:pPr>
        <w:pStyle w:val="ListParagraph"/>
        <w:numPr>
          <w:ilvl w:val="0"/>
          <w:numId w:val="1"/>
        </w:numPr>
        <w:jc w:val="both"/>
        <w:rPr>
          <w:rFonts w:asciiTheme="minorHAnsi" w:eastAsiaTheme="minorHAnsi" w:hAnsiTheme="minorHAnsi"/>
          <w:b/>
          <w:sz w:val="22"/>
          <w:szCs w:val="22"/>
        </w:rPr>
      </w:pPr>
      <w:r>
        <w:rPr>
          <w:rFonts w:asciiTheme="minorHAnsi" w:eastAsiaTheme="minorHAnsi" w:hAnsiTheme="minorHAnsi"/>
          <w:b/>
          <w:sz w:val="22"/>
          <w:szCs w:val="22"/>
        </w:rPr>
        <w:t>Skills and Competencies and requirements of the team leader</w:t>
      </w:r>
    </w:p>
    <w:p w:rsidR="00157D29" w:rsidRDefault="00157D29">
      <w:pPr>
        <w:jc w:val="both"/>
        <w:rPr>
          <w:rFonts w:asciiTheme="minorHAnsi" w:eastAsiaTheme="minorHAnsi" w:hAnsiTheme="minorHAnsi"/>
          <w:sz w:val="22"/>
          <w:szCs w:val="22"/>
        </w:rPr>
      </w:pPr>
    </w:p>
    <w:p w:rsidR="00157D29" w:rsidRDefault="00B62FAB">
      <w:pPr>
        <w:jc w:val="both"/>
        <w:rPr>
          <w:rFonts w:asciiTheme="minorHAnsi" w:eastAsiaTheme="minorHAnsi" w:hAnsiTheme="minorHAnsi"/>
          <w:sz w:val="22"/>
          <w:szCs w:val="22"/>
        </w:rPr>
      </w:pPr>
      <w:r>
        <w:rPr>
          <w:rFonts w:asciiTheme="minorHAnsi" w:eastAsiaTheme="minorHAnsi" w:hAnsiTheme="minorHAnsi"/>
          <w:sz w:val="22"/>
          <w:szCs w:val="22"/>
        </w:rPr>
        <w:t>Education:</w:t>
      </w:r>
    </w:p>
    <w:p w:rsidR="00157D29" w:rsidRDefault="00B62FAB">
      <w:pPr>
        <w:pStyle w:val="ListParagraph"/>
        <w:numPr>
          <w:ilvl w:val="0"/>
          <w:numId w:val="3"/>
        </w:numPr>
        <w:jc w:val="both"/>
        <w:rPr>
          <w:rFonts w:asciiTheme="minorHAnsi" w:eastAsiaTheme="minorHAnsi" w:hAnsiTheme="minorHAnsi"/>
          <w:sz w:val="22"/>
          <w:szCs w:val="22"/>
        </w:rPr>
      </w:pPr>
      <w:r>
        <w:rPr>
          <w:rFonts w:asciiTheme="minorHAnsi" w:eastAsiaTheme="minorHAnsi" w:hAnsiTheme="minorHAnsi"/>
          <w:sz w:val="22"/>
          <w:szCs w:val="22"/>
        </w:rPr>
        <w:t>A Masters or higher level degree in International Development or a similar field related to political and economic development, monitoring and evaluation, etc.</w:t>
      </w:r>
    </w:p>
    <w:p w:rsidR="00157D29" w:rsidRDefault="00157D29">
      <w:pPr>
        <w:jc w:val="both"/>
        <w:rPr>
          <w:rFonts w:asciiTheme="minorHAnsi" w:eastAsiaTheme="minorHAnsi" w:hAnsiTheme="minorHAnsi"/>
          <w:sz w:val="22"/>
          <w:szCs w:val="22"/>
        </w:rPr>
      </w:pPr>
    </w:p>
    <w:p w:rsidR="00157D29" w:rsidRDefault="00B62FAB">
      <w:p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Work Experience:</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A minimum of 10 </w:t>
      </w:r>
      <w:proofErr w:type="gramStart"/>
      <w:r>
        <w:rPr>
          <w:rFonts w:asciiTheme="minorHAnsi" w:eastAsiaTheme="minorHAnsi" w:hAnsiTheme="minorHAnsi"/>
          <w:color w:val="000000" w:themeColor="text1"/>
          <w:sz w:val="22"/>
          <w:szCs w:val="22"/>
        </w:rPr>
        <w:t>years</w:t>
      </w:r>
      <w:proofErr w:type="gramEnd"/>
      <w:r>
        <w:rPr>
          <w:rFonts w:asciiTheme="minorHAnsi" w:eastAsiaTheme="minorHAnsi" w:hAnsiTheme="minorHAnsi"/>
          <w:color w:val="000000" w:themeColor="text1"/>
          <w:sz w:val="22"/>
          <w:szCs w:val="22"/>
        </w:rPr>
        <w:t xml:space="preserve"> relevant experience undertaking evaluations is required including proven practical professional experience in designing and conducting major evaluations.</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Substantive experience in evaluating similar development projects related to local development and political and economic empowerment of women. </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 xml:space="preserve">Substantive experience in evaluating projects and </w:t>
      </w:r>
      <w:proofErr w:type="spellStart"/>
      <w:r>
        <w:rPr>
          <w:rFonts w:asciiTheme="minorHAnsi" w:eastAsiaTheme="minorHAnsi" w:hAnsiTheme="minorHAnsi"/>
          <w:color w:val="000000" w:themeColor="text1"/>
          <w:sz w:val="22"/>
          <w:szCs w:val="22"/>
        </w:rPr>
        <w:t>programmes</w:t>
      </w:r>
      <w:proofErr w:type="spellEnd"/>
      <w:r>
        <w:rPr>
          <w:rFonts w:asciiTheme="minorHAnsi" w:eastAsiaTheme="minorHAnsi" w:hAnsiTheme="minorHAnsi"/>
          <w:color w:val="000000" w:themeColor="text1"/>
          <w:sz w:val="22"/>
          <w:szCs w:val="22"/>
        </w:rPr>
        <w:t xml:space="preserve"> with a strong gender focus is preferred. </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Experience working with CSOs and aid effectiveness agenda is an asset.</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Excellent and proven knowledge of evaluation methodologies and approaches.</w:t>
      </w:r>
    </w:p>
    <w:p w:rsidR="00157D29" w:rsidRDefault="00B62FAB">
      <w:pPr>
        <w:pStyle w:val="ListParagraph"/>
        <w:numPr>
          <w:ilvl w:val="0"/>
          <w:numId w:val="2"/>
        </w:numPr>
        <w:jc w:val="both"/>
        <w:rPr>
          <w:rFonts w:asciiTheme="minorHAnsi" w:eastAsiaTheme="minorHAnsi" w:hAnsiTheme="minorHAnsi"/>
          <w:color w:val="000000" w:themeColor="text1"/>
          <w:sz w:val="22"/>
          <w:szCs w:val="22"/>
        </w:rPr>
      </w:pPr>
      <w:r>
        <w:rPr>
          <w:rFonts w:asciiTheme="minorHAnsi" w:eastAsiaTheme="minorHAnsi" w:hAnsiTheme="minorHAnsi"/>
          <w:color w:val="000000" w:themeColor="text1"/>
          <w:sz w:val="22"/>
          <w:szCs w:val="22"/>
        </w:rPr>
        <w:t>Proven experience in producing coherent, clear analytic reports and knowledge pieces is a requirement.</w:t>
      </w:r>
    </w:p>
    <w:p w:rsidR="00157D29" w:rsidRDefault="00157D29">
      <w:pPr>
        <w:pStyle w:val="ListParagraph"/>
        <w:ind w:left="1080"/>
        <w:jc w:val="both"/>
        <w:rPr>
          <w:rFonts w:asciiTheme="minorHAnsi" w:eastAsiaTheme="minorHAnsi" w:hAnsiTheme="minorHAnsi"/>
          <w:sz w:val="22"/>
          <w:szCs w:val="22"/>
        </w:rPr>
      </w:pPr>
    </w:p>
    <w:p w:rsidR="00157D29" w:rsidRDefault="00B62FAB">
      <w:pPr>
        <w:jc w:val="both"/>
        <w:rPr>
          <w:rFonts w:asciiTheme="minorHAnsi" w:eastAsiaTheme="minorHAnsi" w:hAnsiTheme="minorHAnsi"/>
          <w:sz w:val="22"/>
          <w:szCs w:val="22"/>
        </w:rPr>
      </w:pPr>
      <w:r>
        <w:rPr>
          <w:rFonts w:asciiTheme="minorHAnsi" w:eastAsiaTheme="minorHAnsi" w:hAnsiTheme="minorHAnsi"/>
          <w:sz w:val="22"/>
          <w:szCs w:val="22"/>
        </w:rPr>
        <w:t>Language Requirements:</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Excellent English writing and communication and analytical skills are required.</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 xml:space="preserve">Working knowledge of Spanish, French and Arabic is necessary – as several reports to be reviewed will be in those languages. </w:t>
      </w:r>
    </w:p>
    <w:p w:rsidR="00157D29" w:rsidRDefault="00157D29">
      <w:pPr>
        <w:pStyle w:val="ListParagraph"/>
        <w:ind w:left="1080"/>
        <w:jc w:val="both"/>
        <w:rPr>
          <w:rFonts w:asciiTheme="minorHAnsi" w:eastAsiaTheme="minorHAnsi" w:hAnsiTheme="minorHAnsi"/>
          <w:sz w:val="22"/>
          <w:szCs w:val="22"/>
        </w:rPr>
      </w:pPr>
    </w:p>
    <w:p w:rsidR="00157D29" w:rsidRDefault="00B62FAB">
      <w:pPr>
        <w:jc w:val="both"/>
        <w:rPr>
          <w:rFonts w:asciiTheme="minorHAnsi" w:eastAsiaTheme="minorHAnsi" w:hAnsiTheme="minorHAnsi"/>
          <w:b/>
          <w:sz w:val="22"/>
          <w:szCs w:val="22"/>
        </w:rPr>
      </w:pPr>
      <w:r>
        <w:rPr>
          <w:rFonts w:asciiTheme="minorHAnsi" w:eastAsiaTheme="minorHAnsi" w:hAnsiTheme="minorHAnsi"/>
          <w:b/>
          <w:sz w:val="22"/>
          <w:szCs w:val="22"/>
        </w:rPr>
        <w:lastRenderedPageBreak/>
        <w:t xml:space="preserve">Other team </w:t>
      </w:r>
      <w:proofErr w:type="gramStart"/>
      <w:r>
        <w:rPr>
          <w:rFonts w:asciiTheme="minorHAnsi" w:eastAsiaTheme="minorHAnsi" w:hAnsiTheme="minorHAnsi"/>
          <w:b/>
          <w:sz w:val="22"/>
          <w:szCs w:val="22"/>
        </w:rPr>
        <w:t>members</w:t>
      </w:r>
      <w:proofErr w:type="gramEnd"/>
      <w:r>
        <w:rPr>
          <w:rFonts w:asciiTheme="minorHAnsi" w:eastAsiaTheme="minorHAnsi" w:hAnsiTheme="minorHAnsi"/>
          <w:b/>
          <w:sz w:val="22"/>
          <w:szCs w:val="22"/>
        </w:rPr>
        <w:t xml:space="preserve"> requirements:</w:t>
      </w:r>
    </w:p>
    <w:p w:rsidR="00157D29" w:rsidRDefault="00157D29">
      <w:pPr>
        <w:jc w:val="both"/>
        <w:rPr>
          <w:rFonts w:ascii="Calibri" w:eastAsia="Calibri" w:hAnsi="Calibri"/>
          <w:sz w:val="22"/>
          <w:szCs w:val="22"/>
        </w:rPr>
      </w:pPr>
    </w:p>
    <w:p w:rsidR="00157D29" w:rsidRDefault="00B62FAB">
      <w:pPr>
        <w:jc w:val="both"/>
        <w:rPr>
          <w:rFonts w:asciiTheme="minorHAnsi" w:eastAsiaTheme="minorHAnsi" w:hAnsiTheme="minorHAnsi"/>
        </w:rPr>
      </w:pPr>
      <w:r>
        <w:rPr>
          <w:rFonts w:ascii="Calibri" w:eastAsiaTheme="minorHAnsi" w:hAnsi="Calibri"/>
          <w:sz w:val="22"/>
          <w:szCs w:val="22"/>
        </w:rPr>
        <w:t>Team members should endure expertise on gender and, on the thematic areas of WEE/WPE. Therefore, 1 to 2 team members are recommended in addition to the team leader.</w:t>
      </w:r>
    </w:p>
    <w:p w:rsidR="00157D29" w:rsidRDefault="00157D29">
      <w:pPr>
        <w:jc w:val="both"/>
        <w:rPr>
          <w:rFonts w:asciiTheme="minorHAnsi" w:eastAsiaTheme="minorHAnsi" w:hAnsiTheme="minorHAnsi"/>
          <w:sz w:val="22"/>
          <w:szCs w:val="22"/>
        </w:rPr>
      </w:pPr>
    </w:p>
    <w:p w:rsidR="00157D29" w:rsidRDefault="00157D29">
      <w:pPr>
        <w:jc w:val="both"/>
        <w:rPr>
          <w:rFonts w:asciiTheme="minorHAnsi" w:eastAsiaTheme="minorHAnsi" w:hAnsiTheme="minorHAnsi"/>
          <w:sz w:val="22"/>
          <w:szCs w:val="22"/>
        </w:rPr>
      </w:pPr>
    </w:p>
    <w:p w:rsidR="00157D29" w:rsidRDefault="00B62FAB">
      <w:pPr>
        <w:pStyle w:val="ListParagraph"/>
        <w:numPr>
          <w:ilvl w:val="0"/>
          <w:numId w:val="1"/>
        </w:numPr>
        <w:jc w:val="both"/>
        <w:rPr>
          <w:rFonts w:asciiTheme="minorHAnsi" w:eastAsiaTheme="minorHAnsi" w:hAnsiTheme="minorHAnsi"/>
          <w:b/>
          <w:sz w:val="22"/>
          <w:szCs w:val="22"/>
        </w:rPr>
      </w:pPr>
      <w:r>
        <w:rPr>
          <w:rFonts w:asciiTheme="minorHAnsi" w:eastAsiaTheme="minorHAnsi" w:hAnsiTheme="minorHAnsi"/>
          <w:b/>
          <w:sz w:val="22"/>
          <w:szCs w:val="22"/>
        </w:rPr>
        <w:t>Proposal</w:t>
      </w:r>
    </w:p>
    <w:p w:rsidR="00157D29" w:rsidRDefault="00157D29">
      <w:pPr>
        <w:jc w:val="both"/>
        <w:rPr>
          <w:rFonts w:asciiTheme="minorHAnsi" w:eastAsiaTheme="minorHAnsi" w:hAnsiTheme="minorHAnsi"/>
          <w:sz w:val="22"/>
          <w:szCs w:val="22"/>
        </w:rPr>
      </w:pPr>
    </w:p>
    <w:p w:rsidR="00157D29" w:rsidRDefault="00B62FAB">
      <w:pPr>
        <w:jc w:val="both"/>
        <w:rPr>
          <w:rFonts w:asciiTheme="minorHAnsi" w:eastAsiaTheme="minorHAnsi" w:hAnsiTheme="minorHAnsi"/>
          <w:sz w:val="22"/>
          <w:szCs w:val="22"/>
        </w:rPr>
      </w:pPr>
      <w:r>
        <w:rPr>
          <w:rFonts w:asciiTheme="minorHAnsi" w:eastAsiaTheme="minorHAnsi" w:hAnsiTheme="minorHAnsi"/>
          <w:sz w:val="22"/>
          <w:szCs w:val="22"/>
        </w:rPr>
        <w:t>The Evaluation Team is required to submit a proposal of maximum 5 pages, which must include the following items:</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Summary of experience and background.</w:t>
      </w:r>
    </w:p>
    <w:p w:rsidR="00157D29" w:rsidRDefault="00B62FAB">
      <w:pPr>
        <w:pStyle w:val="ListParagraph"/>
        <w:numPr>
          <w:ilvl w:val="0"/>
          <w:numId w:val="2"/>
        </w:numPr>
        <w:jc w:val="both"/>
        <w:rPr>
          <w:rFonts w:asciiTheme="minorHAnsi" w:eastAsiaTheme="minorHAnsi" w:hAnsiTheme="minorHAnsi"/>
          <w:sz w:val="22"/>
          <w:szCs w:val="22"/>
        </w:rPr>
      </w:pPr>
      <w:proofErr w:type="gramStart"/>
      <w:r>
        <w:rPr>
          <w:rFonts w:asciiTheme="minorHAnsi" w:eastAsiaTheme="minorHAnsi" w:hAnsiTheme="minorHAnsi"/>
          <w:sz w:val="22"/>
          <w:szCs w:val="22"/>
        </w:rPr>
        <w:t>Brief summary</w:t>
      </w:r>
      <w:proofErr w:type="gramEnd"/>
      <w:r>
        <w:rPr>
          <w:rFonts w:asciiTheme="minorHAnsi" w:eastAsiaTheme="minorHAnsi" w:hAnsiTheme="minorHAnsi"/>
          <w:sz w:val="22"/>
          <w:szCs w:val="22"/>
        </w:rPr>
        <w:t xml:space="preserve"> of the proposed methodology for the ME/MA including the involvement of the Reference Group and other stakeholders during each step.</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 xml:space="preserve">Work plan – including timelines and deliverables and if applicable – team structure roles and responsibilities. </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 xml:space="preserve">Budget </w:t>
      </w:r>
    </w:p>
    <w:p w:rsidR="00157D29" w:rsidRDefault="00B62FAB">
      <w:pPr>
        <w:pStyle w:val="ListParagraph"/>
        <w:numPr>
          <w:ilvl w:val="0"/>
          <w:numId w:val="2"/>
        </w:numPr>
        <w:jc w:val="both"/>
        <w:rPr>
          <w:rFonts w:asciiTheme="minorHAnsi" w:eastAsiaTheme="minorHAnsi" w:hAnsiTheme="minorHAnsi"/>
          <w:sz w:val="22"/>
          <w:szCs w:val="22"/>
        </w:rPr>
      </w:pPr>
      <w:r>
        <w:rPr>
          <w:rFonts w:asciiTheme="minorHAnsi" w:eastAsiaTheme="minorHAnsi" w:hAnsiTheme="minorHAnsi"/>
          <w:sz w:val="22"/>
          <w:szCs w:val="22"/>
        </w:rPr>
        <w:t>List of the most relevant previous consulting projects completed, including a description of the projects and contact details for references.</w:t>
      </w:r>
    </w:p>
    <w:p w:rsidR="00157D29" w:rsidRDefault="00157D29">
      <w:pPr>
        <w:jc w:val="both"/>
        <w:rPr>
          <w:rFonts w:asciiTheme="minorHAnsi" w:eastAsiaTheme="minorHAnsi" w:hAnsiTheme="minorHAnsi"/>
          <w:sz w:val="22"/>
          <w:szCs w:val="22"/>
        </w:rPr>
      </w:pPr>
    </w:p>
    <w:p w:rsidR="00157D29" w:rsidRDefault="00B62FAB">
      <w:pPr>
        <w:jc w:val="both"/>
        <w:rPr>
          <w:rFonts w:asciiTheme="minorHAnsi" w:eastAsiaTheme="minorHAnsi" w:hAnsiTheme="minorHAnsi"/>
          <w:sz w:val="22"/>
          <w:szCs w:val="22"/>
        </w:rPr>
      </w:pPr>
      <w:r>
        <w:rPr>
          <w:rFonts w:asciiTheme="minorHAnsi" w:eastAsiaTheme="minorHAnsi" w:hAnsiTheme="minorHAnsi"/>
          <w:sz w:val="22"/>
          <w:szCs w:val="22"/>
        </w:rPr>
        <w:t>The following items should be included as attachments (not included in the page limit):</w:t>
      </w:r>
    </w:p>
    <w:p w:rsidR="00157D29" w:rsidRDefault="00B62FAB">
      <w:pPr>
        <w:pStyle w:val="ListParagraph"/>
        <w:numPr>
          <w:ilvl w:val="0"/>
          <w:numId w:val="4"/>
        </w:numPr>
        <w:jc w:val="both"/>
        <w:rPr>
          <w:rFonts w:asciiTheme="minorHAnsi" w:eastAsiaTheme="minorHAnsi" w:hAnsiTheme="minorHAnsi"/>
          <w:sz w:val="22"/>
          <w:szCs w:val="22"/>
        </w:rPr>
      </w:pPr>
      <w:r>
        <w:rPr>
          <w:rFonts w:asciiTheme="minorHAnsi" w:eastAsiaTheme="minorHAnsi" w:hAnsiTheme="minorHAnsi"/>
          <w:sz w:val="22"/>
          <w:szCs w:val="22"/>
        </w:rPr>
        <w:t>CV for consultant, and other team members if applicable.</w:t>
      </w:r>
    </w:p>
    <w:p w:rsidR="00157D29" w:rsidRDefault="00B62FAB">
      <w:pPr>
        <w:pStyle w:val="ListParagraph"/>
        <w:numPr>
          <w:ilvl w:val="0"/>
          <w:numId w:val="4"/>
        </w:numPr>
        <w:jc w:val="both"/>
        <w:rPr>
          <w:rFonts w:asciiTheme="minorHAnsi" w:eastAsiaTheme="minorHAnsi" w:hAnsiTheme="minorHAnsi"/>
          <w:sz w:val="22"/>
          <w:szCs w:val="22"/>
        </w:rPr>
      </w:pPr>
      <w:r>
        <w:rPr>
          <w:rFonts w:asciiTheme="minorHAnsi" w:eastAsiaTheme="minorHAnsi" w:hAnsiTheme="minorHAnsi"/>
          <w:sz w:val="22"/>
          <w:szCs w:val="22"/>
        </w:rPr>
        <w:t>At least three sample reports from previous consulting projects (all samples will be kept confidential) or links to website where reports can be retrieved (highly recommended).</w:t>
      </w:r>
    </w:p>
    <w:p w:rsidR="00157D29" w:rsidRDefault="00157D29">
      <w:pPr>
        <w:jc w:val="both"/>
        <w:rPr>
          <w:rFonts w:asciiTheme="minorHAnsi" w:eastAsiaTheme="minorHAnsi" w:hAnsiTheme="minorHAnsi"/>
          <w:sz w:val="22"/>
          <w:szCs w:val="22"/>
        </w:rPr>
      </w:pPr>
    </w:p>
    <w:p w:rsidR="00157D29" w:rsidRDefault="00B62FAB">
      <w:pPr>
        <w:spacing w:after="200" w:line="276" w:lineRule="auto"/>
      </w:pPr>
      <w:bookmarkStart w:id="0" w:name="_GoBack"/>
      <w:bookmarkEnd w:id="0"/>
      <w:r>
        <w:br w:type="page"/>
      </w:r>
    </w:p>
    <w:p w:rsidR="00157D29" w:rsidRDefault="00B62FAB">
      <w:pPr>
        <w:pStyle w:val="HEADLINE1ALL"/>
        <w:ind w:right="-270"/>
        <w:rPr>
          <w:rFonts w:ascii="TheSansSemiBold-Plain" w:hAnsi="TheSansSemiBold-Plain" w:cs="TheSansSemiBold-Plain"/>
          <w:b w:val="0"/>
          <w:bCs w:val="0"/>
          <w:outline/>
          <w:sz w:val="28"/>
          <w:szCs w:val="28"/>
          <w14:textOutline w14:w="9525" w14:cap="flat" w14:cmpd="sng" w14:algn="ctr">
            <w14:solidFill>
              <w14:srgbClr w14:val="00ADEF"/>
            </w14:solidFill>
            <w14:prstDash w14:val="solid"/>
            <w14:round/>
          </w14:textOutline>
          <w14:textFill>
            <w14:noFill/>
          </w14:textFill>
        </w:rPr>
      </w:pPr>
      <w:r>
        <w:rPr>
          <w:sz w:val="28"/>
          <w:szCs w:val="28"/>
        </w:rPr>
        <w:lastRenderedPageBreak/>
        <w:t xml:space="preserve">Annex: GERAAS evaluation report quality assessment checklist </w:t>
      </w:r>
    </w:p>
    <w:tbl>
      <w:tblPr>
        <w:tblW w:w="10800" w:type="dxa"/>
        <w:tblInd w:w="-64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top w:w="80" w:type="dxa"/>
          <w:left w:w="77" w:type="dxa"/>
          <w:bottom w:w="80" w:type="dxa"/>
          <w:right w:w="80" w:type="dxa"/>
        </w:tblCellMar>
        <w:tblLook w:val="0000" w:firstRow="0" w:lastRow="0" w:firstColumn="0" w:lastColumn="0" w:noHBand="0" w:noVBand="0"/>
      </w:tblPr>
      <w:tblGrid>
        <w:gridCol w:w="540"/>
        <w:gridCol w:w="10260"/>
      </w:tblGrid>
      <w:tr w:rsidR="00157D29">
        <w:trPr>
          <w:trHeight w:val="338"/>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1: OBJECT AND CONTEXT OF THE EVALUATION</w:t>
            </w:r>
          </w:p>
        </w:tc>
      </w:tr>
      <w:tr w:rsidR="00157D29">
        <w:trPr>
          <w:trHeight w:val="342"/>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1.1  The</w:t>
            </w:r>
            <w:proofErr w:type="gramEnd"/>
            <w:r>
              <w:t xml:space="preserve"> </w:t>
            </w:r>
            <w:r>
              <w:rPr>
                <w:rStyle w:val="MAIN-COLORBOLDALL"/>
              </w:rPr>
              <w:t xml:space="preserve">logic model and/or the expected results chain </w:t>
            </w:r>
            <w:r>
              <w:t xml:space="preserve">(inputs, outputs and outcomes) of the object is clearly described. </w:t>
            </w:r>
          </w:p>
        </w:tc>
      </w:tr>
      <w:tr w:rsidR="00157D29">
        <w:trPr>
          <w:trHeight w:val="54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1.2  The</w:t>
            </w:r>
            <w:proofErr w:type="gramEnd"/>
            <w:r>
              <w:t xml:space="preserve"> </w:t>
            </w:r>
            <w:r>
              <w:rPr>
                <w:rStyle w:val="MAIN-COLORBOLDALL"/>
              </w:rPr>
              <w:t>context</w:t>
            </w:r>
            <w:r>
              <w:t xml:space="preserve"> includes factors that have a direct bearing on the object of the evaluation: social, political, economic, demographic and institutional. This also includes explanation of the contextual gender equality and human rights issues, roles, attitudes and relations. </w:t>
            </w:r>
          </w:p>
        </w:tc>
      </w:tr>
      <w:tr w:rsidR="00157D29">
        <w:trPr>
          <w:trHeight w:val="36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1.3</w:t>
            </w:r>
            <w:r>
              <w:rPr>
                <w:rStyle w:val="MAIN-COLORBOLDALL"/>
              </w:rPr>
              <w:t xml:space="preserve"> </w:t>
            </w:r>
            <w:r>
              <w:t xml:space="preserve"> </w:t>
            </w:r>
            <w:r>
              <w:rPr>
                <w:rStyle w:val="MAIN-COLORBOLDALL"/>
              </w:rPr>
              <w:t>The</w:t>
            </w:r>
            <w:proofErr w:type="gramEnd"/>
            <w:r>
              <w:rPr>
                <w:rStyle w:val="MAIN-COLORBOLDALL"/>
              </w:rPr>
              <w:t xml:space="preserve"> scale and complexity of the object of the evaluation are clearly described </w:t>
            </w:r>
            <w:r>
              <w:t xml:space="preserve">(the number of components, the geographic context and boundaries, the purpose, goal and organization or management of the object, and the total resources from all sources including humans and budgets).                        </w:t>
            </w:r>
          </w:p>
        </w:tc>
      </w:tr>
      <w:tr w:rsidR="00157D29">
        <w:trPr>
          <w:trHeight w:val="34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1.4  The</w:t>
            </w:r>
            <w:proofErr w:type="gramEnd"/>
            <w:r>
              <w:t xml:space="preserve"> </w:t>
            </w:r>
            <w:r>
              <w:rPr>
                <w:rStyle w:val="MAIN-COLORBOLDALL"/>
              </w:rPr>
              <w:t>key stakeholders</w:t>
            </w:r>
            <w:r>
              <w:t xml:space="preserve"> involved in the object implementation, including the implementing agency(s) and partners, other </w:t>
            </w:r>
            <w:r>
              <w:br/>
              <w:t>stakeholders and their roles.</w:t>
            </w:r>
          </w:p>
        </w:tc>
      </w:tr>
      <w:tr w:rsidR="00157D29">
        <w:trPr>
          <w:trHeight w:val="34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1.5  The</w:t>
            </w:r>
            <w:proofErr w:type="gramEnd"/>
            <w:r>
              <w:t xml:space="preserve"> report identifies </w:t>
            </w:r>
            <w:r>
              <w:rPr>
                <w:rStyle w:val="MAIN-COLORBOLDALL"/>
              </w:rPr>
              <w:t>the implementation status of the object</w:t>
            </w:r>
            <w:r>
              <w:t xml:space="preserve">, including its phase of implementation and any significant changes (e.g., plans, strategies, logical frameworks) that have occurred over time and explains the implications of those changes for the evaluation. </w:t>
            </w:r>
          </w:p>
        </w:tc>
      </w:tr>
      <w:tr w:rsidR="00157D29">
        <w:trPr>
          <w:trHeight w:val="351"/>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2: PURPOSE, OBJECTIVES AND SCOPE</w:t>
            </w:r>
          </w:p>
        </w:tc>
      </w:tr>
      <w:tr w:rsidR="00157D29">
        <w:trPr>
          <w:trHeight w:val="43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2.1  </w:t>
            </w:r>
            <w:r>
              <w:rPr>
                <w:rStyle w:val="MAIN-COLORBOLDALL"/>
              </w:rPr>
              <w:t>Purpose</w:t>
            </w:r>
            <w:proofErr w:type="gramEnd"/>
            <w:r>
              <w:rPr>
                <w:rStyle w:val="MAIN-COLORBOLDALL"/>
              </w:rPr>
              <w:t xml:space="preserve"> of evaluation</w:t>
            </w:r>
            <w:r>
              <w:t xml:space="preserve"> is clearly defined, including why the evaluation was needed at that point in time, who needed the information, what information is needed and how the information will be used.</w:t>
            </w:r>
          </w:p>
        </w:tc>
      </w:tr>
      <w:tr w:rsidR="00157D29">
        <w:trPr>
          <w:trHeight w:val="42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2.2  </w:t>
            </w:r>
            <w:r>
              <w:rPr>
                <w:rStyle w:val="MAIN-COLORBOLDALL"/>
              </w:rPr>
              <w:t>Evaluation</w:t>
            </w:r>
            <w:proofErr w:type="gramEnd"/>
            <w:r>
              <w:rPr>
                <w:rStyle w:val="MAIN-COLORBOLDALL"/>
              </w:rPr>
              <w:t xml:space="preserve"> objectives: </w:t>
            </w:r>
            <w:r>
              <w:t>A clear explanation of the evaluation objectives including main evaluation questions is provided.</w:t>
            </w:r>
          </w:p>
        </w:tc>
      </w:tr>
      <w:tr w:rsidR="00157D29">
        <w:trPr>
          <w:trHeight w:val="391"/>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2.3</w:t>
            </w:r>
            <w:r>
              <w:rPr>
                <w:rStyle w:val="MAIN-COLORBOLDALL"/>
              </w:rPr>
              <w:t xml:space="preserve"> </w:t>
            </w:r>
            <w:r>
              <w:t xml:space="preserve"> </w:t>
            </w:r>
            <w:r>
              <w:rPr>
                <w:rStyle w:val="MAIN-COLORBOLDALL"/>
              </w:rPr>
              <w:t>Evaluation</w:t>
            </w:r>
            <w:proofErr w:type="gramEnd"/>
            <w:r>
              <w:rPr>
                <w:rStyle w:val="MAIN-COLORBOLDALL"/>
              </w:rPr>
              <w:t xml:space="preserve"> scope: </w:t>
            </w:r>
            <w:r>
              <w:t>The scope of the evaluation is described including justification of what the evaluation covers and did not cover</w:t>
            </w:r>
          </w:p>
        </w:tc>
      </w:tr>
      <w:tr w:rsidR="00157D29">
        <w:trPr>
          <w:trHeight w:val="51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suppressAutoHyphens/>
              <w:ind w:right="100"/>
            </w:pPr>
            <w:proofErr w:type="gramStart"/>
            <w:r>
              <w:t>2.4</w:t>
            </w:r>
            <w:r>
              <w:rPr>
                <w:rStyle w:val="MAIN-COLORBOLDALL"/>
              </w:rPr>
              <w:t xml:space="preserve"> </w:t>
            </w:r>
            <w:r>
              <w:t xml:space="preserve"> </w:t>
            </w:r>
            <w:r>
              <w:rPr>
                <w:rStyle w:val="MAIN-COLORBOLDALL"/>
              </w:rPr>
              <w:t>Evaluation</w:t>
            </w:r>
            <w:proofErr w:type="gramEnd"/>
            <w:r>
              <w:rPr>
                <w:rStyle w:val="MAIN-COLORBOLDALL"/>
              </w:rPr>
              <w:t xml:space="preserve"> criteria: </w:t>
            </w:r>
            <w:r>
              <w:t>The report describes and provides an explanation of the chosen evaluation criteria, performance standards, or other criteria used by the evaluators.</w:t>
            </w:r>
          </w:p>
        </w:tc>
      </w:tr>
      <w:tr w:rsidR="00157D29">
        <w:trPr>
          <w:trHeight w:val="41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2.5  </w:t>
            </w:r>
            <w:r>
              <w:rPr>
                <w:rStyle w:val="MAIN-COLORBOLDALL"/>
              </w:rPr>
              <w:t>Gender</w:t>
            </w:r>
            <w:proofErr w:type="gramEnd"/>
            <w:r>
              <w:rPr>
                <w:rStyle w:val="MAIN-COLORBOLDALL"/>
              </w:rPr>
              <w:t xml:space="preserve"> and human rights: </w:t>
            </w:r>
            <w:r>
              <w:t>Evaluation objectives and scope include questions that address issues of gender and human rights.</w:t>
            </w:r>
            <w:r>
              <w:rPr>
                <w:rStyle w:val="MAIN-COLORBOLDALL"/>
              </w:rPr>
              <w:t xml:space="preserve"> </w:t>
            </w:r>
          </w:p>
        </w:tc>
      </w:tr>
      <w:tr w:rsidR="00157D29">
        <w:trPr>
          <w:trHeight w:val="322"/>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3: METHODOLOGY</w:t>
            </w:r>
          </w:p>
        </w:tc>
      </w:tr>
      <w:tr w:rsidR="00157D29">
        <w:trPr>
          <w:trHeight w:val="39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3.1  </w:t>
            </w:r>
            <w:r>
              <w:rPr>
                <w:rStyle w:val="MAIN-COLORBOLDALL"/>
              </w:rPr>
              <w:t>Methodology</w:t>
            </w:r>
            <w:proofErr w:type="gramEnd"/>
            <w:r>
              <w:rPr>
                <w:rStyle w:val="MAIN-COLORBOLDALL"/>
              </w:rPr>
              <w:t>:</w:t>
            </w:r>
            <w:r>
              <w:t xml:space="preserve"> The report presents a transparent description of the methodology applied to the evaluation that clearly explains </w:t>
            </w:r>
            <w:r>
              <w:br/>
              <w:t>how the evaluation was specifically designed to address the evaluation criteria, yield answers to the evaluation questions, and achieve evaluation purposes and objectives.</w:t>
            </w:r>
          </w:p>
        </w:tc>
      </w:tr>
      <w:tr w:rsidR="00157D29">
        <w:trPr>
          <w:trHeight w:val="55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3.2</w:t>
            </w:r>
            <w:r>
              <w:rPr>
                <w:rStyle w:val="MAIN-COLORBOLDALL"/>
              </w:rPr>
              <w:t xml:space="preserve"> </w:t>
            </w:r>
            <w:r>
              <w:t xml:space="preserve"> </w:t>
            </w:r>
            <w:r>
              <w:rPr>
                <w:rStyle w:val="MAIN-COLORBOLDALL"/>
              </w:rPr>
              <w:t>Data</w:t>
            </w:r>
            <w:proofErr w:type="gramEnd"/>
            <w:r>
              <w:rPr>
                <w:rStyle w:val="MAIN-COLORBOLDALL"/>
              </w:rPr>
              <w:t xml:space="preserve"> collection: </w:t>
            </w:r>
            <w:r>
              <w:t xml:space="preserve">The report describes the data collection methods and analysis, the rationale for selecting them, and their limitations. Reference indicators and benchmarks are included where relevant. </w:t>
            </w:r>
          </w:p>
        </w:tc>
      </w:tr>
      <w:tr w:rsidR="00157D29">
        <w:trPr>
          <w:trHeight w:val="53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3.3  </w:t>
            </w:r>
            <w:r>
              <w:rPr>
                <w:rStyle w:val="MAIN-COLORBOLDALL"/>
              </w:rPr>
              <w:t>Data</w:t>
            </w:r>
            <w:proofErr w:type="gramEnd"/>
            <w:r>
              <w:rPr>
                <w:rStyle w:val="MAIN-COLORBOLDALL"/>
              </w:rPr>
              <w:t xml:space="preserve"> sources:</w:t>
            </w:r>
            <w:r>
              <w:t xml:space="preserve"> The report describes the data sources, the rationale for their selection, and their limitations. The report includes discussion of how the mix of data sources was used to obtain a diversity of perspectives, ensure data accuracy and overcome data limits.</w:t>
            </w:r>
          </w:p>
        </w:tc>
      </w:tr>
      <w:tr w:rsidR="00157D29">
        <w:trPr>
          <w:trHeight w:val="54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3.4  </w:t>
            </w:r>
            <w:r>
              <w:rPr>
                <w:rStyle w:val="MAIN-COLORBOLDALL"/>
              </w:rPr>
              <w:t>Sampling</w:t>
            </w:r>
            <w:proofErr w:type="gramEnd"/>
            <w:r>
              <w:rPr>
                <w:rStyle w:val="MAIN-COLORBOLDALL"/>
              </w:rPr>
              <w:t xml:space="preserve"> frame:</w:t>
            </w:r>
            <w:r>
              <w:t xml:space="preserve"> The report describes the sampling frame—area and population to be represented, rationale for selection, mechanics of selection, numbers selected out of potential subjects, and limitations of the sample.</w:t>
            </w:r>
          </w:p>
        </w:tc>
      </w:tr>
      <w:tr w:rsidR="00157D29">
        <w:trPr>
          <w:trHeight w:val="584"/>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3.5  </w:t>
            </w:r>
            <w:r>
              <w:rPr>
                <w:rStyle w:val="MAIN-COLORBOLDALL"/>
              </w:rPr>
              <w:t>Stakeholder</w:t>
            </w:r>
            <w:proofErr w:type="gramEnd"/>
            <w:r>
              <w:rPr>
                <w:rStyle w:val="MAIN-COLORBOLDALL"/>
              </w:rPr>
              <w:t xml:space="preserve"> consultation: </w:t>
            </w:r>
            <w:r>
              <w:t>The evaluation report gives a complete description of the stakeholder consultation process in the evaluation, including the rationale for selecting the particular level and activities for consultation.</w:t>
            </w:r>
          </w:p>
        </w:tc>
      </w:tr>
      <w:tr w:rsidR="00157D29">
        <w:trPr>
          <w:trHeight w:val="435"/>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3.6  </w:t>
            </w:r>
            <w:r>
              <w:rPr>
                <w:rStyle w:val="MAIN-COLORBOLDALL"/>
              </w:rPr>
              <w:t>Data</w:t>
            </w:r>
            <w:proofErr w:type="gramEnd"/>
            <w:r>
              <w:rPr>
                <w:rStyle w:val="MAIN-COLORBOLDALL"/>
              </w:rPr>
              <w:t xml:space="preserve"> quality:</w:t>
            </w:r>
            <w:r>
              <w:t xml:space="preserve"> The report presents evidence that adequate measures were taken to ensure data quality, including evidence supporting the reliability and validity of data collection tools (e.g., interview protocols, observation tools, etc.).</w:t>
            </w:r>
          </w:p>
        </w:tc>
      </w:tr>
      <w:tr w:rsidR="00157D29">
        <w:trPr>
          <w:trHeight w:val="539"/>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3.6  </w:t>
            </w:r>
            <w:r>
              <w:rPr>
                <w:rStyle w:val="MAIN-COLORBOLDALL"/>
              </w:rPr>
              <w:t>Gender</w:t>
            </w:r>
            <w:proofErr w:type="gramEnd"/>
            <w:r>
              <w:rPr>
                <w:rStyle w:val="MAIN-COLORBOLDALL"/>
              </w:rPr>
              <w:t xml:space="preserve"> and human rights considerations:</w:t>
            </w:r>
            <w:r>
              <w:t xml:space="preserve"> The methods employed are appropriate for analyzing gender and rights issues identified in the evaluation scope.</w:t>
            </w:r>
          </w:p>
        </w:tc>
      </w:tr>
      <w:tr w:rsidR="00157D29">
        <w:trPr>
          <w:trHeight w:val="83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3.7</w:t>
            </w:r>
            <w:r>
              <w:rPr>
                <w:rStyle w:val="MAIN-COLORBOLDALL"/>
              </w:rPr>
              <w:t xml:space="preserve"> </w:t>
            </w:r>
            <w:r>
              <w:t xml:space="preserve"> </w:t>
            </w:r>
            <w:r>
              <w:rPr>
                <w:rStyle w:val="MAIN-COLORBOLDALL"/>
              </w:rPr>
              <w:t>Ethics</w:t>
            </w:r>
            <w:proofErr w:type="gramEnd"/>
            <w:r>
              <w:rPr>
                <w:rStyle w:val="MAIN-COLORBOLDALL"/>
              </w:rPr>
              <w:t xml:space="preserve">: </w:t>
            </w:r>
            <w:r>
              <w:t xml:space="preserve">The evaluation report includes a discussion of the extent to which the evaluation design included ethical safeguards and mechanisms and measures that were implemented to ensure that the evaluation process conformed with relevant ethical standards including but not limited to informed consent of participants, privacy and confidentiality considerations. </w:t>
            </w:r>
          </w:p>
        </w:tc>
      </w:tr>
      <w:tr w:rsidR="00157D29">
        <w:trPr>
          <w:trHeight w:val="321"/>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4: FINDINGS</w:t>
            </w:r>
          </w:p>
        </w:tc>
      </w:tr>
      <w:tr w:rsidR="00157D29">
        <w:trPr>
          <w:trHeight w:val="599"/>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rPr>
                <w:spacing w:val="2"/>
              </w:rPr>
              <w:t xml:space="preserve">4.1 </w:t>
            </w:r>
            <w:r>
              <w:t xml:space="preserve"> </w:t>
            </w:r>
            <w:r>
              <w:rPr>
                <w:spacing w:val="2"/>
              </w:rPr>
              <w:t>Findings</w:t>
            </w:r>
            <w:proofErr w:type="gramEnd"/>
            <w:r>
              <w:rPr>
                <w:spacing w:val="2"/>
              </w:rPr>
              <w:t xml:space="preserve"> respond directly to the evaluation criteria and questions detailed in the scope and objectives section of the report and are based on evidence derived from data collection and analysis methods described in the methodology section of the report.</w:t>
            </w:r>
          </w:p>
        </w:tc>
      </w:tr>
      <w:tr w:rsidR="00157D29">
        <w:trPr>
          <w:trHeight w:val="37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4.2  Reported</w:t>
            </w:r>
            <w:proofErr w:type="gramEnd"/>
            <w:r>
              <w:t xml:space="preserve"> findings reflect systematic and appropriate analysis and interpretation of the data.</w:t>
            </w:r>
          </w:p>
        </w:tc>
      </w:tr>
      <w:tr w:rsidR="00157D29">
        <w:trPr>
          <w:trHeight w:val="564"/>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4.3  Reported</w:t>
            </w:r>
            <w:proofErr w:type="gramEnd"/>
            <w:r>
              <w:t xml:space="preserve"> findings address the evaluation criteria (such as efficiency, effectiveness, sustainability, impact and relevance) and questions defined in the evaluation scope.</w:t>
            </w:r>
          </w:p>
        </w:tc>
      </w:tr>
      <w:tr w:rsidR="00157D29">
        <w:trPr>
          <w:trHeight w:val="35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4.4  Findings</w:t>
            </w:r>
            <w:proofErr w:type="gramEnd"/>
            <w:r>
              <w:t xml:space="preserve"> are objectively reported based on the evidence.</w:t>
            </w:r>
          </w:p>
        </w:tc>
      </w:tr>
      <w:tr w:rsidR="00157D29">
        <w:trPr>
          <w:trHeight w:val="42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4.5  Gaps</w:t>
            </w:r>
            <w:proofErr w:type="gramEnd"/>
            <w:r>
              <w:t xml:space="preserve"> and limitations in the data and/or unanticipated findings are reported and discussed.</w:t>
            </w:r>
          </w:p>
        </w:tc>
      </w:tr>
      <w:tr w:rsidR="00157D29">
        <w:trPr>
          <w:trHeight w:val="386"/>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4.6  Reasons</w:t>
            </w:r>
            <w:proofErr w:type="gramEnd"/>
            <w:r>
              <w:t xml:space="preserve"> for accomplishments and failures, especially continuing constraints, are identified as much as possible.</w:t>
            </w:r>
          </w:p>
        </w:tc>
      </w:tr>
      <w:tr w:rsidR="00157D29">
        <w:trPr>
          <w:trHeight w:val="362"/>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5: CONCLUSIONS AND LESSONS LEARNED</w:t>
            </w:r>
          </w:p>
        </w:tc>
      </w:tr>
      <w:tr w:rsidR="00157D29">
        <w:trPr>
          <w:trHeight w:val="61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rPr>
                <w:spacing w:val="2"/>
              </w:rPr>
              <w:t xml:space="preserve">5.1 </w:t>
            </w:r>
            <w:r>
              <w:t xml:space="preserve"> </w:t>
            </w:r>
            <w:r>
              <w:rPr>
                <w:spacing w:val="2"/>
              </w:rPr>
              <w:t>Conclusions</w:t>
            </w:r>
            <w:proofErr w:type="gramEnd"/>
            <w:r>
              <w:rPr>
                <w:spacing w:val="2"/>
              </w:rPr>
              <w:t xml:space="preserve"> present reasonable judgments based on findings and substantiated by evidence, and provide insights pertinent to the object and purpose of the evaluation.</w:t>
            </w:r>
          </w:p>
        </w:tc>
      </w:tr>
      <w:tr w:rsidR="00157D29">
        <w:trPr>
          <w:trHeight w:val="37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5.2  The</w:t>
            </w:r>
            <w:proofErr w:type="gramEnd"/>
            <w:r>
              <w:t xml:space="preserve"> conclusions reflect reasonable evaluative judgments relating to key evaluation questions.</w:t>
            </w:r>
          </w:p>
        </w:tc>
      </w:tr>
      <w:tr w:rsidR="00157D29">
        <w:trPr>
          <w:trHeight w:val="374"/>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5.3  Conclusions</w:t>
            </w:r>
            <w:proofErr w:type="gramEnd"/>
            <w:r>
              <w:t xml:space="preserve"> are well substantiated by the evidence presented and are logically connected to evaluation findings. </w:t>
            </w:r>
          </w:p>
        </w:tc>
      </w:tr>
      <w:tr w:rsidR="00157D29">
        <w:trPr>
          <w:trHeight w:val="50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5.4  Stated</w:t>
            </w:r>
            <w:proofErr w:type="gramEnd"/>
            <w:r>
              <w:t xml:space="preserve"> conclusions provide insights into the identification and/or solutions of important problems or issues pertinent to the prospective decisions and actions of evaluation users.</w:t>
            </w:r>
          </w:p>
        </w:tc>
      </w:tr>
      <w:tr w:rsidR="00157D29">
        <w:trPr>
          <w:trHeight w:val="60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5.4  Conclusions</w:t>
            </w:r>
            <w:proofErr w:type="gramEnd"/>
            <w:r>
              <w:t xml:space="preserve"> present strengths and weaknesses of the object (policy, </w:t>
            </w:r>
            <w:proofErr w:type="spellStart"/>
            <w:r>
              <w:t>programmes</w:t>
            </w:r>
            <w:proofErr w:type="spellEnd"/>
            <w:r>
              <w:t>, projects or other intervention) being evaluated, based on the evidence presented and taking due account of the views of a diverse cross-section of stakeholders.</w:t>
            </w:r>
          </w:p>
        </w:tc>
      </w:tr>
      <w:tr w:rsidR="00157D29">
        <w:trPr>
          <w:trHeight w:val="69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5.5  </w:t>
            </w:r>
            <w:r>
              <w:rPr>
                <w:rStyle w:val="MAIN-COLORBOLDALL"/>
              </w:rPr>
              <w:t>Lessons</w:t>
            </w:r>
            <w:proofErr w:type="gramEnd"/>
            <w:r>
              <w:rPr>
                <w:rStyle w:val="MAIN-COLORBOLDALL"/>
              </w:rPr>
              <w:t xml:space="preserve"> learned</w:t>
            </w:r>
            <w:r>
              <w:t>: When presented, lessons drawn represent contributions to general knowledge. They may refine or add to commonly accepted understanding, but should not be merely a repetition of common knowledge. Lessons presented suggest how they can be applied to different contexts and/or different sectors.</w:t>
            </w:r>
          </w:p>
        </w:tc>
      </w:tr>
      <w:tr w:rsidR="00157D29">
        <w:trPr>
          <w:trHeight w:val="351"/>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6: RECOMMENDATIONS</w:t>
            </w:r>
          </w:p>
        </w:tc>
      </w:tr>
      <w:tr w:rsidR="00157D29">
        <w:trPr>
          <w:trHeight w:val="347"/>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6.1  Recommendations</w:t>
            </w:r>
            <w:proofErr w:type="gramEnd"/>
            <w:r>
              <w:t xml:space="preserve"> are supported by evidence and conclusions, and were developed with the involvement of relevant stakeholders.</w:t>
            </w:r>
          </w:p>
        </w:tc>
      </w:tr>
      <w:tr w:rsidR="00157D29">
        <w:trPr>
          <w:trHeight w:val="38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6.2  The</w:t>
            </w:r>
            <w:proofErr w:type="gramEnd"/>
            <w:r>
              <w:t xml:space="preserve"> report describes the process followed in developing the recommendations including consultation with stakeholders.</w:t>
            </w:r>
          </w:p>
        </w:tc>
      </w:tr>
      <w:tr w:rsidR="00157D29">
        <w:trPr>
          <w:trHeight w:val="359"/>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6.3  Recommendations</w:t>
            </w:r>
            <w:proofErr w:type="gramEnd"/>
            <w:r>
              <w:t xml:space="preserve"> are relevant to the object and purposes of the evaluation.</w:t>
            </w:r>
          </w:p>
        </w:tc>
      </w:tr>
      <w:tr w:rsidR="00157D29">
        <w:trPr>
          <w:trHeight w:val="359"/>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6.4  Recommendations</w:t>
            </w:r>
            <w:proofErr w:type="gramEnd"/>
            <w:r>
              <w:t xml:space="preserve"> clearly identify the target group for each recommendation.</w:t>
            </w:r>
          </w:p>
        </w:tc>
      </w:tr>
      <w:tr w:rsidR="00157D29">
        <w:trPr>
          <w:trHeight w:val="359"/>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6.5  Recommendations</w:t>
            </w:r>
            <w:proofErr w:type="gramEnd"/>
            <w:r>
              <w:t xml:space="preserve"> are clearly stated with priorities for action made clear.</w:t>
            </w:r>
          </w:p>
        </w:tc>
      </w:tr>
      <w:tr w:rsidR="00157D29">
        <w:trPr>
          <w:trHeight w:val="45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6.6  Recommendations</w:t>
            </w:r>
            <w:proofErr w:type="gramEnd"/>
            <w:r>
              <w:t xml:space="preserve"> are actionable and reflect an understanding of the commissioning organization and potential constraints to </w:t>
            </w:r>
            <w:r>
              <w:br/>
              <w:t xml:space="preserve">follow-up. </w:t>
            </w:r>
          </w:p>
        </w:tc>
      </w:tr>
      <w:tr w:rsidR="00157D29">
        <w:trPr>
          <w:trHeight w:val="359"/>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7: GENDER AND HUMAN RIGHTS</w:t>
            </w:r>
          </w:p>
        </w:tc>
      </w:tr>
      <w:tr w:rsidR="00157D29">
        <w:trPr>
          <w:trHeight w:val="54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r>
              <w:t xml:space="preserve">7.1 GEEW is integrated in the evaluation scope of analysis and indicators are designed in a way that ensures GEEW-related data </w:t>
            </w:r>
            <w:r>
              <w:br/>
              <w:t>will be collected.</w:t>
            </w:r>
          </w:p>
        </w:tc>
      </w:tr>
      <w:tr w:rsidR="00157D29">
        <w:trPr>
          <w:trHeight w:val="53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r>
              <w:t>7.2 Evaluation criteria and evaluation questions specifically address how GEEW has been integrated into the design, planning, implementation of the intervention and the results achieved.</w:t>
            </w:r>
          </w:p>
        </w:tc>
      </w:tr>
      <w:tr w:rsidR="00157D29">
        <w:trPr>
          <w:trHeight w:val="368"/>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7.3  A</w:t>
            </w:r>
            <w:proofErr w:type="gramEnd"/>
            <w:r>
              <w:t xml:space="preserve"> gender-responsive evaluation methodology, methods and tools, and data analysis techniques are selected.</w:t>
            </w:r>
          </w:p>
        </w:tc>
      </w:tr>
      <w:tr w:rsidR="00157D29">
        <w:trPr>
          <w:trHeight w:val="35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r>
              <w:rPr>
                <w:spacing w:val="-4"/>
              </w:rPr>
              <w:t>7.4 The evaluation findings, conclusions and recommendation reflect a gender analysis</w:t>
            </w:r>
          </w:p>
        </w:tc>
      </w:tr>
      <w:tr w:rsidR="00157D29">
        <w:trPr>
          <w:trHeight w:val="374"/>
        </w:trPr>
        <w:tc>
          <w:tcPr>
            <w:tcW w:w="10799" w:type="dxa"/>
            <w:gridSpan w:val="2"/>
            <w:tcBorders>
              <w:top w:val="single" w:sz="2" w:space="0" w:color="FFFFFF"/>
              <w:left w:val="single" w:sz="2" w:space="0" w:color="FFFFFF"/>
              <w:bottom w:val="single" w:sz="2" w:space="0" w:color="FFFFFF"/>
              <w:right w:val="single" w:sz="2" w:space="0" w:color="FFFFFF"/>
            </w:tcBorders>
            <w:shd w:val="solid" w:color="00ADEF" w:fill="auto"/>
            <w:tcMar>
              <w:left w:w="77" w:type="dxa"/>
            </w:tcMar>
            <w:vAlign w:val="center"/>
          </w:tcPr>
          <w:p w:rsidR="00157D29" w:rsidRDefault="00B62FAB">
            <w:pPr>
              <w:pStyle w:val="TABLETOP"/>
              <w:ind w:right="-270"/>
            </w:pPr>
            <w:r>
              <w:t>PARAMETER 8: THE REPORT STRUCTURE</w:t>
            </w:r>
          </w:p>
        </w:tc>
      </w:tr>
      <w:tr w:rsidR="00157D29">
        <w:trPr>
          <w:trHeight w:val="56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t xml:space="preserve">8.1  </w:t>
            </w:r>
            <w:r>
              <w:rPr>
                <w:rStyle w:val="MAIN-COLORBOLDALL"/>
              </w:rPr>
              <w:t>Report</w:t>
            </w:r>
            <w:proofErr w:type="gramEnd"/>
            <w:r>
              <w:rPr>
                <w:rStyle w:val="MAIN-COLORBOLDALL"/>
              </w:rPr>
              <w:t xml:space="preserve"> is logically structured</w:t>
            </w:r>
            <w:r>
              <w:t xml:space="preserve"> with clarity and coherence (e.g., background and objectives are presented before findings, and findings are presented before conclusions and recommendations).</w:t>
            </w:r>
          </w:p>
        </w:tc>
      </w:tr>
      <w:tr w:rsidR="00157D29">
        <w:trPr>
          <w:trHeight w:val="75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rPr>
                <w:color w:val="00000A"/>
              </w:rPr>
            </w:pPr>
            <w:proofErr w:type="gramStart"/>
            <w:r>
              <w:t xml:space="preserve">8.2  </w:t>
            </w:r>
            <w:r>
              <w:rPr>
                <w:rStyle w:val="MAIN-COLORBOLDALL"/>
              </w:rPr>
              <w:t>The</w:t>
            </w:r>
            <w:proofErr w:type="gramEnd"/>
            <w:r>
              <w:rPr>
                <w:rStyle w:val="MAIN-COLORBOLDALL"/>
              </w:rPr>
              <w:t xml:space="preserve"> title page and opening pages</w:t>
            </w:r>
            <w:r>
              <w:t xml:space="preserve"> provide key basic information</w:t>
            </w:r>
            <w:r>
              <w:rPr>
                <w:color w:val="00000A"/>
              </w:rPr>
              <w:t xml:space="preserve">                                                   </w:t>
            </w:r>
          </w:p>
          <w:p w:rsidR="00157D29" w:rsidRDefault="00B62FAB">
            <w:pPr>
              <w:pStyle w:val="TABLEREGULAR"/>
              <w:ind w:right="100"/>
            </w:pPr>
            <w:r>
              <w:t xml:space="preserve">        A. Name of the evaluation object                                                                                   </w:t>
            </w:r>
          </w:p>
          <w:p w:rsidR="00157D29" w:rsidRDefault="00B62FAB">
            <w:pPr>
              <w:pStyle w:val="TABLEREGULAR"/>
              <w:tabs>
                <w:tab w:val="left" w:pos="300"/>
              </w:tabs>
              <w:ind w:right="100"/>
            </w:pPr>
            <w:r>
              <w:t xml:space="preserve">        B. Time frame of the evaluation and date of the report                                                                </w:t>
            </w:r>
          </w:p>
          <w:p w:rsidR="00157D29" w:rsidRDefault="00B62FAB">
            <w:pPr>
              <w:pStyle w:val="TABLEREGULAR"/>
              <w:tabs>
                <w:tab w:val="left" w:pos="300"/>
              </w:tabs>
              <w:ind w:right="100"/>
            </w:pPr>
            <w:r>
              <w:t xml:space="preserve">        C. Locations (country, region, etc.) of the evaluation object                                                             </w:t>
            </w:r>
          </w:p>
          <w:p w:rsidR="00157D29" w:rsidRDefault="00B62FAB">
            <w:pPr>
              <w:pStyle w:val="TABLEREGULAR"/>
              <w:tabs>
                <w:tab w:val="left" w:pos="300"/>
              </w:tabs>
              <w:ind w:right="100"/>
            </w:pPr>
            <w:r>
              <w:t xml:space="preserve">        D. Names and/or organizations of evaluators                                                                        </w:t>
            </w:r>
          </w:p>
          <w:p w:rsidR="00157D29" w:rsidRDefault="00B62FAB">
            <w:pPr>
              <w:pStyle w:val="TABLEREGULAR"/>
              <w:tabs>
                <w:tab w:val="left" w:pos="300"/>
              </w:tabs>
              <w:ind w:right="100"/>
            </w:pPr>
            <w:r>
              <w:t xml:space="preserve">        E. Name of the organization commissioning the evaluation </w:t>
            </w:r>
          </w:p>
          <w:p w:rsidR="00157D29" w:rsidRDefault="00B62FAB">
            <w:pPr>
              <w:pStyle w:val="TABLEREGULAR"/>
              <w:tabs>
                <w:tab w:val="left" w:pos="300"/>
              </w:tabs>
              <w:ind w:right="100"/>
            </w:pPr>
            <w:r>
              <w:t xml:space="preserve">        F. Table of contents which also lists tables, graphs, figures and annexes                                                                                                             </w:t>
            </w:r>
            <w:r>
              <w:br/>
              <w:t xml:space="preserve">        G. List of acronyms</w:t>
            </w:r>
          </w:p>
        </w:tc>
      </w:tr>
      <w:tr w:rsidR="00157D29">
        <w:trPr>
          <w:trHeight w:val="750"/>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left="72" w:right="100"/>
            </w:pPr>
            <w:proofErr w:type="gramStart"/>
            <w:r>
              <w:t>8.3  The</w:t>
            </w:r>
            <w:proofErr w:type="gramEnd"/>
            <w:r>
              <w:t xml:space="preserve"> </w:t>
            </w:r>
            <w:r>
              <w:rPr>
                <w:rStyle w:val="MAIN-COLORBOLDALL"/>
              </w:rPr>
              <w:t>executive summary</w:t>
            </w:r>
            <w:r>
              <w:t xml:space="preserve"> is a stand-alone section that includes </w:t>
            </w:r>
            <w:r>
              <w:br/>
              <w:t xml:space="preserve">       A. Overview of the evaluation object </w:t>
            </w:r>
            <w:r>
              <w:br/>
              <w:t xml:space="preserve">       B. Evaluation objectives and intended audience </w:t>
            </w:r>
            <w:r>
              <w:br/>
              <w:t xml:space="preserve">       C. Evaluation methodology </w:t>
            </w:r>
            <w:r>
              <w:br/>
              <w:t xml:space="preserve">       D. Most important findings and conclusions   </w:t>
            </w:r>
            <w:r>
              <w:br/>
              <w:t xml:space="preserve">       E. Main recommendations</w:t>
            </w:r>
          </w:p>
        </w:tc>
      </w:tr>
      <w:tr w:rsidR="00157D29">
        <w:trPr>
          <w:trHeight w:val="1993"/>
        </w:trPr>
        <w:tc>
          <w:tcPr>
            <w:tcW w:w="540"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157D29">
            <w:pPr>
              <w:pStyle w:val="NoParagraphStyle"/>
              <w:spacing w:line="240" w:lineRule="auto"/>
              <w:ind w:right="-270"/>
              <w:textAlignment w:val="auto"/>
              <w:rPr>
                <w:rFonts w:cs="Times New Roman"/>
                <w:color w:val="00000A"/>
              </w:rPr>
            </w:pPr>
          </w:p>
        </w:tc>
        <w:tc>
          <w:tcPr>
            <w:tcW w:w="10259" w:type="dxa"/>
            <w:tcBorders>
              <w:top w:val="single" w:sz="2" w:space="0" w:color="FFFFFF"/>
              <w:left w:val="single" w:sz="2" w:space="0" w:color="FFFFFF"/>
              <w:bottom w:val="single" w:sz="2" w:space="0" w:color="FFFFFF"/>
              <w:right w:val="single" w:sz="2" w:space="0" w:color="FFFFFF"/>
            </w:tcBorders>
            <w:shd w:val="solid" w:color="B3DEEB" w:fill="auto"/>
            <w:tcMar>
              <w:left w:w="77" w:type="dxa"/>
            </w:tcMar>
          </w:tcPr>
          <w:p w:rsidR="00157D29" w:rsidRDefault="00B62FAB">
            <w:pPr>
              <w:pStyle w:val="TABLEREGULAR"/>
              <w:ind w:right="100"/>
            </w:pPr>
            <w:proofErr w:type="gramStart"/>
            <w:r>
              <w:rPr>
                <w:spacing w:val="0"/>
              </w:rPr>
              <w:t xml:space="preserve">8.4 </w:t>
            </w:r>
            <w:r>
              <w:t xml:space="preserve"> </w:t>
            </w:r>
            <w:r>
              <w:rPr>
                <w:rStyle w:val="MAIN-COLORBOLDALL"/>
                <w:spacing w:val="0"/>
              </w:rPr>
              <w:t>Annexes</w:t>
            </w:r>
            <w:proofErr w:type="gramEnd"/>
            <w:r>
              <w:rPr>
                <w:spacing w:val="0"/>
              </w:rPr>
              <w:t xml:space="preserve"> increase the credibility of the evaluation report. They may include, inter alia:</w:t>
            </w:r>
            <w:r>
              <w:t xml:space="preserve">  </w:t>
            </w:r>
            <w:r>
              <w:br/>
              <w:t xml:space="preserve">       A. </w:t>
            </w:r>
            <w:proofErr w:type="spellStart"/>
            <w:r>
              <w:t>ToRs</w:t>
            </w:r>
            <w:proofErr w:type="spellEnd"/>
            <w:r>
              <w:br/>
              <w:t xml:space="preserve">       B. List of persons interviewed and sites visited</w:t>
            </w:r>
            <w:r>
              <w:br/>
              <w:t xml:space="preserve">       C. List of documents consulted</w:t>
            </w:r>
            <w:r>
              <w:br/>
              <w:t xml:space="preserve">      D. More details on the methodology, such as data collection instruments, including details of their reliability and validity</w:t>
            </w:r>
            <w:r>
              <w:br/>
              <w:t xml:space="preserve">      E. Evaluators biodata and/or justification of team composition</w:t>
            </w:r>
            <w:r>
              <w:br/>
              <w:t xml:space="preserve">      F. Evaluation matrix</w:t>
            </w:r>
            <w:r>
              <w:br/>
              <w:t xml:space="preserve">      G. results framework</w:t>
            </w:r>
          </w:p>
        </w:tc>
      </w:tr>
    </w:tbl>
    <w:p w:rsidR="00157D29" w:rsidRDefault="00157D29">
      <w:pPr>
        <w:ind w:right="-270"/>
      </w:pPr>
    </w:p>
    <w:p w:rsidR="00157D29" w:rsidRDefault="00157D29"/>
    <w:sectPr w:rsidR="00157D29">
      <w:pgSz w:w="12240" w:h="15840"/>
      <w:pgMar w:top="1440" w:right="1440" w:bottom="1440" w:left="1440" w:header="0" w:footer="0"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76A" w:rsidRDefault="0093676A">
      <w:r>
        <w:separator/>
      </w:r>
    </w:p>
  </w:endnote>
  <w:endnote w:type="continuationSeparator" w:id="0">
    <w:p w:rsidR="0093676A" w:rsidRDefault="00936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heSansSemiBold-Plain">
    <w:altName w:val="Times New Roman"/>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inionPro-Regular">
    <w:altName w:val="Times New Roman"/>
    <w:charset w:val="00"/>
    <w:family w:val="roman"/>
    <w:pitch w:val="variable"/>
  </w:font>
  <w:font w:name="TheSansBold-Plain">
    <w:altName w:val="Times New Roman"/>
    <w:charset w:val="00"/>
    <w:family w:val="roman"/>
    <w:pitch w:val="variable"/>
  </w:font>
  <w:font w:name="TheSansSemiLight-Plain">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76A" w:rsidRDefault="0093676A">
      <w:r>
        <w:separator/>
      </w:r>
    </w:p>
  </w:footnote>
  <w:footnote w:type="continuationSeparator" w:id="0">
    <w:p w:rsidR="0093676A" w:rsidRDefault="0093676A">
      <w:r>
        <w:continuationSeparator/>
      </w:r>
    </w:p>
  </w:footnote>
  <w:footnote w:id="1">
    <w:p w:rsidR="00157D29" w:rsidRDefault="00B62FAB">
      <w:pPr>
        <w:pStyle w:val="FootnoteText"/>
      </w:pPr>
      <w:r>
        <w:rPr>
          <w:rStyle w:val="FootnoteReference"/>
          <w:sz w:val="18"/>
          <w:szCs w:val="18"/>
        </w:rPr>
        <w:footnoteRef/>
      </w:r>
      <w:r>
        <w:rPr>
          <w:rStyle w:val="FootnoteReference"/>
          <w:sz w:val="18"/>
          <w:szCs w:val="18"/>
        </w:rPr>
        <w:tab/>
      </w:r>
      <w:r>
        <w:rPr>
          <w:sz w:val="18"/>
          <w:szCs w:val="18"/>
        </w:rPr>
        <w:t xml:space="preserve"> </w:t>
      </w:r>
      <w:r>
        <w:rPr>
          <w:rFonts w:asciiTheme="minorHAnsi" w:hAnsiTheme="minorHAnsi"/>
          <w:sz w:val="18"/>
          <w:szCs w:val="18"/>
        </w:rPr>
        <w:t>In previous cycles, FGE allowed governments to be eligible for grants.</w:t>
      </w:r>
    </w:p>
  </w:footnote>
  <w:footnote w:id="2">
    <w:p w:rsidR="00157D29" w:rsidRDefault="00B62FAB">
      <w:pPr>
        <w:pStyle w:val="Default"/>
      </w:pPr>
      <w:r>
        <w:rPr>
          <w:rStyle w:val="FootnoteReference"/>
          <w:rFonts w:asciiTheme="minorHAnsi" w:hAnsiTheme="minorHAnsi"/>
          <w:sz w:val="18"/>
          <w:szCs w:val="18"/>
        </w:rPr>
        <w:footnoteRef/>
      </w:r>
      <w:r>
        <w:rPr>
          <w:rStyle w:val="FootnoteReference"/>
          <w:rFonts w:asciiTheme="minorHAnsi" w:hAnsiTheme="minorHAnsi"/>
          <w:sz w:val="18"/>
          <w:szCs w:val="18"/>
        </w:rPr>
        <w:tab/>
      </w:r>
      <w:r>
        <w:rPr>
          <w:rFonts w:asciiTheme="minorHAnsi" w:hAnsiTheme="minorHAnsi"/>
          <w:sz w:val="18"/>
          <w:szCs w:val="18"/>
        </w:rPr>
        <w:t xml:space="preserve"> With an initial investment of US$ 65M from the Spanish Government, FGE partners have grown to 23 since 2009, including government (95%), private sector (4%) and UN Women National Committees (1%) donors, for a total contribution of over USD 84 million. For the full list of donors, please visits, www.unwomen.org/fge.</w:t>
      </w:r>
    </w:p>
  </w:footnote>
  <w:footnote w:id="3">
    <w:p w:rsidR="00157D29" w:rsidRDefault="00B62FAB">
      <w:pPr>
        <w:pStyle w:val="FootnoteText"/>
      </w:pPr>
      <w:r>
        <w:rPr>
          <w:rStyle w:val="FootnoteReference"/>
        </w:rPr>
        <w:footnoteRef/>
      </w:r>
      <w:r>
        <w:rPr>
          <w:rStyle w:val="FootnoteReference"/>
        </w:rPr>
        <w:tab/>
      </w:r>
      <w:r>
        <w:t xml:space="preserve"> </w:t>
      </w:r>
      <w:r>
        <w:rPr>
          <w:rFonts w:asciiTheme="minorHAnsi" w:eastAsiaTheme="minorHAnsi" w:hAnsiTheme="minorHAnsi"/>
          <w:color w:val="000000"/>
          <w:sz w:val="18"/>
          <w:szCs w:val="18"/>
        </w:rPr>
        <w:t xml:space="preserve">This Meta-Analysis was a systematic review of findings, conclusions, lessons and recommendations from FGE evaluations produced between 2011-2015 that were rated as Satisfactory or above, </w:t>
      </w:r>
      <w:proofErr w:type="gramStart"/>
      <w:r>
        <w:rPr>
          <w:rFonts w:asciiTheme="minorHAnsi" w:eastAsiaTheme="minorHAnsi" w:hAnsiTheme="minorHAnsi"/>
          <w:color w:val="000000"/>
          <w:sz w:val="18"/>
          <w:szCs w:val="18"/>
        </w:rPr>
        <w:t>according to</w:t>
      </w:r>
      <w:proofErr w:type="gramEnd"/>
      <w:r>
        <w:rPr>
          <w:rFonts w:asciiTheme="minorHAnsi" w:eastAsiaTheme="minorHAnsi" w:hAnsiTheme="minorHAnsi"/>
          <w:color w:val="000000"/>
          <w:sz w:val="18"/>
          <w:szCs w:val="18"/>
        </w:rPr>
        <w:t xml:space="preserve"> the UN Women Global Evaluation Report Assessment and Analysis System (GERAAS) standards for evaluation reports.</w:t>
      </w:r>
    </w:p>
  </w:footnote>
  <w:footnote w:id="4">
    <w:p w:rsidR="00157D29" w:rsidRDefault="00B62FAB">
      <w:pPr>
        <w:pStyle w:val="FootnoteText"/>
      </w:pPr>
      <w:r>
        <w:rPr>
          <w:rStyle w:val="FootnoteReference"/>
          <w:rFonts w:asciiTheme="minorHAnsi" w:hAnsiTheme="minorHAnsi"/>
          <w:sz w:val="18"/>
          <w:szCs w:val="18"/>
        </w:rPr>
        <w:footnoteRef/>
      </w:r>
      <w:r>
        <w:rPr>
          <w:rStyle w:val="FootnoteReference"/>
          <w:rFonts w:asciiTheme="minorHAnsi" w:hAnsiTheme="minorHAnsi"/>
          <w:sz w:val="18"/>
          <w:szCs w:val="18"/>
        </w:rPr>
        <w:tab/>
      </w:r>
      <w:r>
        <w:rPr>
          <w:rFonts w:asciiTheme="minorHAnsi" w:hAnsiTheme="minorHAnsi"/>
          <w:sz w:val="18"/>
          <w:szCs w:val="18"/>
        </w:rPr>
        <w:t xml:space="preserve"> Note that the period before the establishment of UN Women will be assessed to cover the cycle of implementation and catalytic </w:t>
      </w:r>
      <w:proofErr w:type="spellStart"/>
      <w:r>
        <w:rPr>
          <w:rFonts w:asciiTheme="minorHAnsi" w:hAnsiTheme="minorHAnsi"/>
          <w:sz w:val="18"/>
          <w:szCs w:val="18"/>
        </w:rPr>
        <w:t>programmes</w:t>
      </w:r>
      <w:proofErr w:type="spellEnd"/>
      <w:r>
        <w:rPr>
          <w:rFonts w:asciiTheme="minorHAnsi" w:hAnsiTheme="minorHAnsi"/>
          <w:sz w:val="18"/>
          <w:szCs w:val="18"/>
        </w:rPr>
        <w:t xml:space="preserve"> (2009-2012) </w:t>
      </w:r>
    </w:p>
  </w:footnote>
  <w:footnote w:id="5">
    <w:p w:rsidR="00157D29" w:rsidRDefault="00B62FAB">
      <w:pPr>
        <w:pStyle w:val="FootnoteText"/>
      </w:pPr>
      <w:r>
        <w:rPr>
          <w:rStyle w:val="FootnoteReference"/>
          <w:rFonts w:asciiTheme="minorHAnsi" w:hAnsiTheme="minorHAnsi" w:cstheme="minorHAnsi"/>
          <w:sz w:val="18"/>
          <w:szCs w:val="18"/>
        </w:rPr>
        <w:footnoteRef/>
      </w:r>
      <w:r>
        <w:rPr>
          <w:rStyle w:val="FootnoteReference"/>
          <w:rFonts w:asciiTheme="minorHAnsi" w:hAnsiTheme="minorHAnsi" w:cstheme="minorHAnsi"/>
          <w:sz w:val="18"/>
          <w:szCs w:val="18"/>
        </w:rPr>
        <w:tab/>
      </w:r>
      <w:r>
        <w:rPr>
          <w:rFonts w:asciiTheme="minorHAnsi" w:hAnsiTheme="minorHAnsi" w:cstheme="minorHAnsi"/>
          <w:sz w:val="18"/>
          <w:szCs w:val="18"/>
        </w:rPr>
        <w:t xml:space="preserve"> </w:t>
      </w:r>
      <w:r>
        <w:rPr>
          <w:rFonts w:asciiTheme="minorHAnsi" w:eastAsiaTheme="minorHAnsi" w:hAnsiTheme="minorHAnsi"/>
          <w:color w:val="000000"/>
          <w:sz w:val="18"/>
          <w:szCs w:val="18"/>
        </w:rPr>
        <w:t xml:space="preserve">The 3-pillar approach includes (1) direct financing of CSO-led high-impact, innovative </w:t>
      </w:r>
      <w:proofErr w:type="spellStart"/>
      <w:r>
        <w:rPr>
          <w:rFonts w:asciiTheme="minorHAnsi" w:eastAsiaTheme="minorHAnsi" w:hAnsiTheme="minorHAnsi"/>
          <w:color w:val="000000"/>
          <w:sz w:val="18"/>
          <w:szCs w:val="18"/>
        </w:rPr>
        <w:t>programmes</w:t>
      </w:r>
      <w:proofErr w:type="spellEnd"/>
      <w:r>
        <w:rPr>
          <w:rFonts w:asciiTheme="minorHAnsi" w:eastAsiaTheme="minorHAnsi" w:hAnsiTheme="minorHAnsi"/>
          <w:color w:val="000000"/>
          <w:sz w:val="18"/>
          <w:szCs w:val="18"/>
        </w:rPr>
        <w:t xml:space="preserve"> through a transparent and competitive selection process, (2) a package of technical, capacity building and networking support services to grantee organizations, and (3) results-based management, reporting and knowledge management to enable capturing of results and knowledge on women’s economic and political empowerment across the globe.</w:t>
      </w:r>
    </w:p>
  </w:footnote>
  <w:footnote w:id="6">
    <w:p w:rsidR="00157D29" w:rsidRDefault="00B62FAB">
      <w:r>
        <w:rPr>
          <w:rStyle w:val="FootnoteReference"/>
          <w:rFonts w:ascii="Calibri" w:hAnsi="Calibri"/>
          <w:sz w:val="16"/>
          <w:szCs w:val="16"/>
        </w:rPr>
        <w:footnoteRef/>
      </w:r>
      <w:r>
        <w:rPr>
          <w:rStyle w:val="FootnoteReference"/>
          <w:rFonts w:ascii="Calibri" w:hAnsi="Calibri"/>
          <w:sz w:val="16"/>
          <w:szCs w:val="16"/>
        </w:rPr>
        <w:tab/>
      </w:r>
      <w:r>
        <w:rPr>
          <w:rFonts w:ascii="Calibri" w:hAnsi="Calibri"/>
          <w:sz w:val="16"/>
          <w:szCs w:val="16"/>
        </w:rPr>
        <w:t xml:space="preserve"> UN Women, </w:t>
      </w:r>
      <w:r>
        <w:rPr>
          <w:rFonts w:ascii="Calibri" w:hAnsi="Calibri"/>
          <w:bCs/>
          <w:i/>
          <w:sz w:val="16"/>
          <w:szCs w:val="16"/>
        </w:rPr>
        <w:t>Evaluation policy of the United Nations Entity for Gender Equality and the Empowerment of Women</w:t>
      </w:r>
      <w:r>
        <w:rPr>
          <w:rFonts w:ascii="Calibri" w:hAnsi="Calibri"/>
          <w:bCs/>
          <w:sz w:val="16"/>
          <w:szCs w:val="16"/>
        </w:rPr>
        <w:t xml:space="preserve"> (UNW/2012/12)</w:t>
      </w:r>
    </w:p>
  </w:footnote>
  <w:footnote w:id="7">
    <w:p w:rsidR="00157D29" w:rsidRDefault="00B62FAB">
      <w:pPr>
        <w:pStyle w:val="CommentText"/>
        <w:rPr>
          <w:rFonts w:asciiTheme="minorHAnsi" w:hAnsiTheme="minorHAnsi"/>
          <w:sz w:val="16"/>
          <w:szCs w:val="16"/>
        </w:rPr>
      </w:pPr>
      <w:r>
        <w:rPr>
          <w:rStyle w:val="FootnoteReference"/>
          <w:rFonts w:asciiTheme="minorHAnsi" w:hAnsiTheme="minorHAnsi"/>
          <w:sz w:val="16"/>
          <w:szCs w:val="16"/>
        </w:rPr>
        <w:footnoteRef/>
      </w:r>
      <w:r>
        <w:rPr>
          <w:rStyle w:val="FootnoteReference"/>
          <w:rFonts w:asciiTheme="minorHAnsi" w:hAnsiTheme="minorHAnsi"/>
          <w:sz w:val="16"/>
          <w:szCs w:val="16"/>
        </w:rPr>
        <w:tab/>
      </w:r>
      <w:r>
        <w:rPr>
          <w:rFonts w:asciiTheme="minorHAnsi" w:hAnsiTheme="minorHAnsi"/>
          <w:sz w:val="16"/>
          <w:szCs w:val="16"/>
        </w:rPr>
        <w:t xml:space="preserve"> UN Women and UNEG ethical guidelines for evaluation </w:t>
      </w:r>
    </w:p>
    <w:p w:rsidR="00157D29" w:rsidRDefault="0093676A">
      <w:pPr>
        <w:pStyle w:val="CommentText"/>
        <w:rPr>
          <w:rFonts w:asciiTheme="minorHAnsi" w:hAnsiTheme="minorHAnsi"/>
          <w:sz w:val="18"/>
          <w:szCs w:val="18"/>
        </w:rPr>
      </w:pPr>
      <w:hyperlink r:id="rId1">
        <w:r w:rsidR="00B62FAB">
          <w:rPr>
            <w:rStyle w:val="EnlacedeInternet"/>
            <w:rFonts w:asciiTheme="minorHAnsi" w:hAnsiTheme="minorHAnsi"/>
            <w:sz w:val="18"/>
            <w:szCs w:val="18"/>
          </w:rPr>
          <w:tab/>
          <w:t>http://gate.unwomen.org/resources/docs/SiteDocuments/UNWomen%20-%20CodeofConductforEvaluationForm-Consultants.pdf</w:t>
        </w:r>
      </w:hyperlink>
    </w:p>
    <w:p w:rsidR="00157D29" w:rsidRDefault="0093676A">
      <w:pPr>
        <w:pStyle w:val="FootnoteText"/>
      </w:pPr>
      <w:hyperlink r:id="rId2">
        <w:r w:rsidR="00B62FAB">
          <w:rPr>
            <w:rStyle w:val="EnlacedeInternet"/>
            <w:rFonts w:asciiTheme="minorHAnsi" w:hAnsiTheme="minorHAnsi"/>
            <w:sz w:val="18"/>
            <w:szCs w:val="18"/>
          </w:rPr>
          <w:tab/>
          <w:t>http://www.unevaluation.org/document/detail/102</w:t>
        </w:r>
      </w:hyperlink>
    </w:p>
  </w:footnote>
  <w:footnote w:id="8">
    <w:p w:rsidR="00157D29" w:rsidRDefault="00B62FAB">
      <w:pPr>
        <w:pStyle w:val="FootnoteText"/>
      </w:pPr>
      <w:r>
        <w:rPr>
          <w:rStyle w:val="FootnoteReference"/>
          <w:rFonts w:asciiTheme="minorHAnsi" w:hAnsiTheme="minorHAnsi"/>
          <w:sz w:val="18"/>
          <w:szCs w:val="18"/>
        </w:rPr>
        <w:footnoteRef/>
      </w:r>
      <w:r>
        <w:rPr>
          <w:rStyle w:val="FootnoteReference"/>
          <w:rFonts w:asciiTheme="minorHAnsi" w:hAnsiTheme="minorHAnsi"/>
          <w:sz w:val="18"/>
          <w:szCs w:val="18"/>
        </w:rPr>
        <w:tab/>
      </w:r>
      <w:r>
        <w:rPr>
          <w:rFonts w:asciiTheme="minorHAnsi" w:hAnsiTheme="minorHAnsi"/>
          <w:sz w:val="18"/>
          <w:szCs w:val="18"/>
        </w:rPr>
        <w:t xml:space="preserve"> With the support of FGE Secretariat who will manage payments and contractual/admin issues.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32D5"/>
    <w:multiLevelType w:val="multilevel"/>
    <w:tmpl w:val="9F68C7F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0312702C"/>
    <w:multiLevelType w:val="multilevel"/>
    <w:tmpl w:val="32F40AA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6FF0E42"/>
    <w:multiLevelType w:val="multilevel"/>
    <w:tmpl w:val="784C6C6A"/>
    <w:lvl w:ilvl="0">
      <w:start w:val="1"/>
      <w:numFmt w:val="bullet"/>
      <w:lvlText w:val="•"/>
      <w:lvlJc w:val="left"/>
      <w:pPr>
        <w:ind w:left="1080" w:hanging="720"/>
      </w:pPr>
      <w:rPr>
        <w:rFonts w:ascii="Calibri" w:hAnsi="Calibri"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7ED4C13"/>
    <w:multiLevelType w:val="multilevel"/>
    <w:tmpl w:val="95125CB6"/>
    <w:lvl w:ilvl="0">
      <w:start w:val="1"/>
      <w:numFmt w:val="lowerLetter"/>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A8843B4"/>
    <w:multiLevelType w:val="multilevel"/>
    <w:tmpl w:val="39560A6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0EBC724A"/>
    <w:multiLevelType w:val="multilevel"/>
    <w:tmpl w:val="8B8AA9C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17C6590"/>
    <w:multiLevelType w:val="multilevel"/>
    <w:tmpl w:val="FEF6B7E6"/>
    <w:lvl w:ilvl="0">
      <w:start w:val="1"/>
      <w:numFmt w:val="decimal"/>
      <w:lvlText w:val="%1."/>
      <w:lvlJc w:val="left"/>
      <w:pPr>
        <w:ind w:left="360" w:hanging="36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A44849"/>
    <w:multiLevelType w:val="multilevel"/>
    <w:tmpl w:val="CE16A5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3D92D04"/>
    <w:multiLevelType w:val="multilevel"/>
    <w:tmpl w:val="4BDE0D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A2E7D17"/>
    <w:multiLevelType w:val="multilevel"/>
    <w:tmpl w:val="75BE61B0"/>
    <w:lvl w:ilvl="0">
      <w:start w:val="1"/>
      <w:numFmt w:val="bullet"/>
      <w:lvlText w:val="-"/>
      <w:lvlJc w:val="left"/>
      <w:pPr>
        <w:ind w:left="720" w:hanging="360"/>
      </w:pPr>
      <w:rPr>
        <w:rFonts w:ascii="Calibri" w:hAnsi="Calibri" w:cs="Calibri"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1F623272"/>
    <w:multiLevelType w:val="multilevel"/>
    <w:tmpl w:val="14FAFE8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0EC2E67"/>
    <w:multiLevelType w:val="multilevel"/>
    <w:tmpl w:val="E69814D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C211E55"/>
    <w:multiLevelType w:val="multilevel"/>
    <w:tmpl w:val="C366D12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22565A9"/>
    <w:multiLevelType w:val="multilevel"/>
    <w:tmpl w:val="9F6430C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5A12BD5"/>
    <w:multiLevelType w:val="multilevel"/>
    <w:tmpl w:val="710EBC5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60065D6"/>
    <w:multiLevelType w:val="multilevel"/>
    <w:tmpl w:val="27DC9D5C"/>
    <w:lvl w:ilvl="0">
      <w:numFmt w:val="bullet"/>
      <w:lvlText w:val="•"/>
      <w:lvlJc w:val="left"/>
      <w:pPr>
        <w:ind w:left="1440" w:hanging="360"/>
      </w:pPr>
      <w:rPr>
        <w:rFonts w:ascii="Calibri" w:hAnsi="Calibri" w:cs="Times New Roman" w:hint="default"/>
        <w:b/>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6" w15:restartNumberingAfterBreak="0">
    <w:nsid w:val="39400BA8"/>
    <w:multiLevelType w:val="multilevel"/>
    <w:tmpl w:val="B2A8431A"/>
    <w:lvl w:ilvl="0">
      <w:start w:val="1"/>
      <w:numFmt w:val="lowerRoman"/>
      <w:lvlText w:val="%1."/>
      <w:lvlJc w:val="right"/>
      <w:pPr>
        <w:ind w:left="720" w:hanging="360"/>
      </w:pPr>
    </w:lvl>
    <w:lvl w:ilvl="1">
      <w:start w:val="1"/>
      <w:numFmt w:val="lowerRoman"/>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881EA0"/>
    <w:multiLevelType w:val="multilevel"/>
    <w:tmpl w:val="16AE69AC"/>
    <w:lvl w:ilvl="0">
      <w:start w:val="1"/>
      <w:numFmt w:val="bullet"/>
      <w:lvlText w:val="•"/>
      <w:lvlJc w:val="left"/>
      <w:pPr>
        <w:ind w:left="1440" w:hanging="720"/>
      </w:pPr>
      <w:rPr>
        <w:rFonts w:ascii="Calibri" w:hAnsi="Calibri" w:cs="Times New Roman" w:hint="default"/>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8" w15:restartNumberingAfterBreak="0">
    <w:nsid w:val="3DB87529"/>
    <w:multiLevelType w:val="multilevel"/>
    <w:tmpl w:val="0E342F84"/>
    <w:lvl w:ilvl="0">
      <w:start w:val="1"/>
      <w:numFmt w:val="bullet"/>
      <w:lvlText w:val="•"/>
      <w:lvlJc w:val="left"/>
      <w:pPr>
        <w:ind w:left="720" w:hanging="360"/>
      </w:pPr>
      <w:rPr>
        <w:rFonts w:ascii="Calibri" w:hAnsi="Calibri"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3DF179FA"/>
    <w:multiLevelType w:val="multilevel"/>
    <w:tmpl w:val="598A784A"/>
    <w:lvl w:ilvl="0">
      <w:start w:val="1"/>
      <w:numFmt w:val="bullet"/>
      <w:lvlText w:val="•"/>
      <w:lvlJc w:val="left"/>
      <w:pPr>
        <w:ind w:left="1080" w:hanging="720"/>
      </w:pPr>
      <w:rPr>
        <w:rFonts w:ascii="Calibri" w:hAnsi="Calibri"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3E84145F"/>
    <w:multiLevelType w:val="multilevel"/>
    <w:tmpl w:val="592E94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315C27"/>
    <w:multiLevelType w:val="multilevel"/>
    <w:tmpl w:val="1AEAD66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63E2264B"/>
    <w:multiLevelType w:val="multilevel"/>
    <w:tmpl w:val="699E6B7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3" w15:restartNumberingAfterBreak="0">
    <w:nsid w:val="6BB1413E"/>
    <w:multiLevelType w:val="multilevel"/>
    <w:tmpl w:val="35043AE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73DB6B37"/>
    <w:multiLevelType w:val="multilevel"/>
    <w:tmpl w:val="C2E4377C"/>
    <w:lvl w:ilvl="0">
      <w:start w:val="1"/>
      <w:numFmt w:val="bullet"/>
      <w:lvlText w:val="•"/>
      <w:lvlJc w:val="left"/>
      <w:pPr>
        <w:ind w:left="1080" w:hanging="720"/>
      </w:pPr>
      <w:rPr>
        <w:rFonts w:ascii="Calibri" w:hAnsi="Calibri"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749434B7"/>
    <w:multiLevelType w:val="multilevel"/>
    <w:tmpl w:val="33A47F8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7A9202D4"/>
    <w:multiLevelType w:val="multilevel"/>
    <w:tmpl w:val="65A2516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7F286639"/>
    <w:multiLevelType w:val="multilevel"/>
    <w:tmpl w:val="D164757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6"/>
  </w:num>
  <w:num w:numId="2">
    <w:abstractNumId w:val="19"/>
  </w:num>
  <w:num w:numId="3">
    <w:abstractNumId w:val="7"/>
  </w:num>
  <w:num w:numId="4">
    <w:abstractNumId w:val="24"/>
  </w:num>
  <w:num w:numId="5">
    <w:abstractNumId w:val="4"/>
  </w:num>
  <w:num w:numId="6">
    <w:abstractNumId w:val="0"/>
  </w:num>
  <w:num w:numId="7">
    <w:abstractNumId w:val="3"/>
  </w:num>
  <w:num w:numId="8">
    <w:abstractNumId w:val="2"/>
  </w:num>
  <w:num w:numId="9">
    <w:abstractNumId w:val="17"/>
  </w:num>
  <w:num w:numId="10">
    <w:abstractNumId w:val="18"/>
  </w:num>
  <w:num w:numId="11">
    <w:abstractNumId w:val="15"/>
  </w:num>
  <w:num w:numId="12">
    <w:abstractNumId w:val="16"/>
  </w:num>
  <w:num w:numId="13">
    <w:abstractNumId w:val="21"/>
  </w:num>
  <w:num w:numId="14">
    <w:abstractNumId w:val="9"/>
  </w:num>
  <w:num w:numId="15">
    <w:abstractNumId w:val="8"/>
  </w:num>
  <w:num w:numId="16">
    <w:abstractNumId w:val="5"/>
  </w:num>
  <w:num w:numId="17">
    <w:abstractNumId w:val="1"/>
  </w:num>
  <w:num w:numId="18">
    <w:abstractNumId w:val="25"/>
  </w:num>
  <w:num w:numId="19">
    <w:abstractNumId w:val="26"/>
  </w:num>
  <w:num w:numId="20">
    <w:abstractNumId w:val="12"/>
  </w:num>
  <w:num w:numId="21">
    <w:abstractNumId w:val="13"/>
  </w:num>
  <w:num w:numId="22">
    <w:abstractNumId w:val="27"/>
  </w:num>
  <w:num w:numId="23">
    <w:abstractNumId w:val="10"/>
  </w:num>
  <w:num w:numId="24">
    <w:abstractNumId w:val="23"/>
  </w:num>
  <w:num w:numId="25">
    <w:abstractNumId w:val="14"/>
  </w:num>
  <w:num w:numId="26">
    <w:abstractNumId w:val="20"/>
  </w:num>
  <w:num w:numId="27">
    <w:abstractNumId w:val="11"/>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29"/>
    <w:rsid w:val="00157D29"/>
    <w:rsid w:val="002D7330"/>
    <w:rsid w:val="00743DBA"/>
    <w:rsid w:val="0093676A"/>
    <w:rsid w:val="00B62FAB"/>
    <w:rsid w:val="00D618B4"/>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C7BF"/>
  <w15:docId w15:val="{1FAFD93A-4275-44C3-B8D5-A9124014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5351D"/>
    <w:pPr>
      <w:spacing w:line="240" w:lineRule="auto"/>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link w:val="BVIfnrCharCarCar"/>
    <w:uiPriority w:val="99"/>
    <w:qFormat/>
    <w:rsid w:val="0055351D"/>
    <w:rPr>
      <w:vertAlign w:val="superscript"/>
    </w:rPr>
  </w:style>
  <w:style w:type="character" w:customStyle="1" w:styleId="FootnoteTextChar">
    <w:name w:val="Footnote Text Char"/>
    <w:basedOn w:val="DefaultParagraphFont"/>
    <w:link w:val="FootnoteText"/>
    <w:uiPriority w:val="99"/>
    <w:qFormat/>
    <w:rsid w:val="0055351D"/>
    <w:rPr>
      <w:rFonts w:ascii="CG Times" w:eastAsia="Times New Roman" w:hAnsi="CG Times" w:cs="Times New Roman"/>
      <w:sz w:val="24"/>
      <w:szCs w:val="20"/>
    </w:rPr>
  </w:style>
  <w:style w:type="character" w:customStyle="1" w:styleId="BalloonTextChar">
    <w:name w:val="Balloon Text Char"/>
    <w:basedOn w:val="DefaultParagraphFont"/>
    <w:link w:val="BalloonText"/>
    <w:uiPriority w:val="99"/>
    <w:semiHidden/>
    <w:qFormat/>
    <w:rsid w:val="00742F68"/>
    <w:rPr>
      <w:rFonts w:ascii="Tahoma" w:eastAsia="Times New Roman" w:hAnsi="Tahoma" w:cs="Tahoma"/>
      <w:sz w:val="16"/>
      <w:szCs w:val="16"/>
    </w:rPr>
  </w:style>
  <w:style w:type="character" w:styleId="CommentReference">
    <w:name w:val="annotation reference"/>
    <w:basedOn w:val="DefaultParagraphFont"/>
    <w:uiPriority w:val="99"/>
    <w:semiHidden/>
    <w:unhideWhenUsed/>
    <w:qFormat/>
    <w:rsid w:val="00081D6A"/>
    <w:rPr>
      <w:sz w:val="16"/>
      <w:szCs w:val="16"/>
    </w:rPr>
  </w:style>
  <w:style w:type="character" w:customStyle="1" w:styleId="CommentTextChar">
    <w:name w:val="Comment Text Char"/>
    <w:basedOn w:val="DefaultParagraphFont"/>
    <w:link w:val="CommentText"/>
    <w:uiPriority w:val="99"/>
    <w:semiHidden/>
    <w:qFormat/>
    <w:rsid w:val="00081D6A"/>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sid w:val="00081D6A"/>
    <w:rPr>
      <w:rFonts w:ascii="Times New Roman" w:eastAsia="Times New Roman" w:hAnsi="Times New Roman" w:cs="Times New Roman"/>
      <w:b/>
      <w:bCs/>
      <w:sz w:val="20"/>
      <w:szCs w:val="20"/>
    </w:rPr>
  </w:style>
  <w:style w:type="character" w:customStyle="1" w:styleId="EnlacedeInternet">
    <w:name w:val="Enlace de Internet"/>
    <w:basedOn w:val="DefaultParagraphFont"/>
    <w:uiPriority w:val="99"/>
    <w:unhideWhenUsed/>
    <w:rsid w:val="005612FA"/>
    <w:rPr>
      <w:color w:val="0000FF" w:themeColor="hyperlink"/>
      <w:u w:val="single"/>
    </w:rPr>
  </w:style>
  <w:style w:type="character" w:customStyle="1" w:styleId="ListParagraphChar">
    <w:name w:val="List Paragraph Char"/>
    <w:link w:val="ListParagraph"/>
    <w:uiPriority w:val="34"/>
    <w:qFormat/>
    <w:locked/>
    <w:rsid w:val="006965F1"/>
    <w:rPr>
      <w:rFonts w:ascii="Times New Roman" w:eastAsia="Times New Roman" w:hAnsi="Times New Roman" w:cs="Times New Roman"/>
      <w:sz w:val="20"/>
      <w:szCs w:val="20"/>
    </w:rPr>
  </w:style>
  <w:style w:type="character" w:customStyle="1" w:styleId="apple-converted-space">
    <w:name w:val="apple-converted-space"/>
    <w:basedOn w:val="DefaultParagraphFont"/>
    <w:qFormat/>
    <w:rsid w:val="00E750AA"/>
  </w:style>
  <w:style w:type="character" w:styleId="FollowedHyperlink">
    <w:name w:val="FollowedHyperlink"/>
    <w:basedOn w:val="DefaultParagraphFont"/>
    <w:uiPriority w:val="99"/>
    <w:semiHidden/>
    <w:unhideWhenUsed/>
    <w:qFormat/>
    <w:rsid w:val="00825842"/>
    <w:rPr>
      <w:color w:val="800080" w:themeColor="followedHyperlink"/>
      <w:u w:val="single"/>
    </w:rPr>
  </w:style>
  <w:style w:type="character" w:customStyle="1" w:styleId="MAIN-COLORBOLDALL">
    <w:name w:val="MAIN-COLORBOLD ALL"/>
    <w:uiPriority w:val="99"/>
    <w:qFormat/>
    <w:rsid w:val="00552FC9"/>
    <w:rPr>
      <w:rFonts w:ascii="TheSansSemiBold-Plain" w:hAnsi="TheSansSemiBold-Plain" w:cs="TheSansSemiBold-Plain"/>
      <w:b/>
      <w:bCs/>
      <w:color w:val="00ADEF"/>
      <w:sz w:val="19"/>
      <w:szCs w:val="19"/>
    </w:rPr>
  </w:style>
  <w:style w:type="character" w:customStyle="1" w:styleId="ListLabel1">
    <w:name w:val="ListLabel 1"/>
    <w:qFormat/>
    <w:rPr>
      <w:rFonts w:eastAsia="Calibri" w:cs="Times New Roman"/>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Calibri" w:cs="Times New Roman"/>
      <w:sz w:val="22"/>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sz w:val="22"/>
    </w:rPr>
  </w:style>
  <w:style w:type="character" w:customStyle="1" w:styleId="ListLabel19">
    <w:name w:val="ListLabel 19"/>
    <w:qFormat/>
    <w:rPr>
      <w:rFonts w:eastAsia="Calibri" w:cs="Times New Roman"/>
      <w:sz w:val="22"/>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eastAsia="Calibri" w:cs="Times New Roman"/>
      <w:sz w:val="22"/>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eastAsia="Calibri" w:cs="Times New Roman"/>
      <w:sz w:val="22"/>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eastAsia="Calibri" w:cs="Times New Roman"/>
      <w:b/>
      <w:sz w:val="22"/>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eastAsia="Calibri" w:cs="Times New Roman"/>
    </w:rPr>
  </w:style>
  <w:style w:type="character" w:customStyle="1" w:styleId="ListLabel36">
    <w:name w:val="ListLabel 36"/>
    <w:qFormat/>
    <w:rPr>
      <w:rFonts w:eastAsia="Times New Roman" w:cs="Times New Roman"/>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ascii="Calibri" w:eastAsia="Times New Roman" w:hAnsi="Calibri" w:cs="Calibri"/>
      <w:sz w:val="22"/>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eastAsia="Times New Roman" w:cs="Calibri"/>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customStyle="1" w:styleId="Encabezado">
    <w:name w:val="Encabezado"/>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FootnoteText">
    <w:name w:val="footnote text"/>
    <w:basedOn w:val="Normal"/>
    <w:link w:val="FootnoteTextChar"/>
  </w:style>
  <w:style w:type="paragraph" w:styleId="ListParagraph">
    <w:name w:val="List Paragraph"/>
    <w:basedOn w:val="Normal"/>
    <w:link w:val="ListParagraphChar"/>
    <w:uiPriority w:val="34"/>
    <w:qFormat/>
    <w:rsid w:val="008C19AC"/>
    <w:pPr>
      <w:ind w:left="720"/>
      <w:contextualSpacing/>
    </w:pPr>
  </w:style>
  <w:style w:type="paragraph" w:styleId="NoSpacing">
    <w:name w:val="No Spacing"/>
    <w:uiPriority w:val="1"/>
    <w:qFormat/>
    <w:rsid w:val="00D3484B"/>
    <w:pPr>
      <w:spacing w:line="240" w:lineRule="auto"/>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qFormat/>
    <w:rsid w:val="00742F68"/>
    <w:rPr>
      <w:rFonts w:ascii="Tahoma" w:hAnsi="Tahoma" w:cs="Tahoma"/>
      <w:sz w:val="16"/>
      <w:szCs w:val="16"/>
    </w:rPr>
  </w:style>
  <w:style w:type="paragraph" w:styleId="CommentText">
    <w:name w:val="annotation text"/>
    <w:basedOn w:val="Normal"/>
    <w:link w:val="CommentTextChar"/>
    <w:uiPriority w:val="99"/>
    <w:semiHidden/>
    <w:unhideWhenUsed/>
    <w:qFormat/>
    <w:rsid w:val="00081D6A"/>
  </w:style>
  <w:style w:type="paragraph" w:styleId="CommentSubject">
    <w:name w:val="annotation subject"/>
    <w:basedOn w:val="CommentText"/>
    <w:link w:val="CommentSubjectChar"/>
    <w:uiPriority w:val="99"/>
    <w:semiHidden/>
    <w:unhideWhenUsed/>
    <w:qFormat/>
    <w:rsid w:val="00081D6A"/>
    <w:rPr>
      <w:b/>
      <w:bCs/>
    </w:rPr>
  </w:style>
  <w:style w:type="paragraph" w:styleId="Revision">
    <w:name w:val="Revision"/>
    <w:uiPriority w:val="99"/>
    <w:semiHidden/>
    <w:qFormat/>
    <w:rsid w:val="007813BB"/>
    <w:pPr>
      <w:spacing w:line="240" w:lineRule="auto"/>
    </w:pPr>
    <w:rPr>
      <w:rFonts w:ascii="Times New Roman" w:eastAsia="Times New Roman" w:hAnsi="Times New Roman" w:cs="Times New Roman"/>
      <w:szCs w:val="20"/>
    </w:rPr>
  </w:style>
  <w:style w:type="paragraph" w:customStyle="1" w:styleId="Default">
    <w:name w:val="Default"/>
    <w:qFormat/>
    <w:rsid w:val="008E166E"/>
    <w:pPr>
      <w:spacing w:line="240" w:lineRule="auto"/>
    </w:pPr>
    <w:rPr>
      <w:rFonts w:ascii="Calibri" w:eastAsia="Calibri" w:hAnsi="Calibri" w:cs="Calibri"/>
      <w:color w:val="000000"/>
      <w:sz w:val="24"/>
      <w:szCs w:val="24"/>
    </w:rPr>
  </w:style>
  <w:style w:type="paragraph" w:customStyle="1" w:styleId="MediumGrid1-Accent21">
    <w:name w:val="Medium Grid 1 - Accent 21"/>
    <w:basedOn w:val="Normal"/>
    <w:uiPriority w:val="34"/>
    <w:qFormat/>
    <w:rsid w:val="00EC0B5C"/>
    <w:pPr>
      <w:ind w:left="720"/>
    </w:pPr>
  </w:style>
  <w:style w:type="paragraph" w:customStyle="1" w:styleId="NoParagraphStyle">
    <w:name w:val="[No Paragraph Style]"/>
    <w:qFormat/>
    <w:rsid w:val="00552FC9"/>
    <w:pPr>
      <w:widowControl w:val="0"/>
      <w:spacing w:line="288" w:lineRule="auto"/>
      <w:textAlignment w:val="center"/>
    </w:pPr>
    <w:rPr>
      <w:rFonts w:ascii="MinionPro-Regular" w:eastAsia="Times New Roman" w:hAnsi="MinionPro-Regular" w:cs="MinionPro-Regular"/>
      <w:color w:val="000000"/>
      <w:sz w:val="24"/>
      <w:szCs w:val="24"/>
    </w:rPr>
  </w:style>
  <w:style w:type="paragraph" w:customStyle="1" w:styleId="HEADLINE1ALL">
    <w:name w:val="HEADLINE 1 ALL"/>
    <w:basedOn w:val="NoParagraphStyle"/>
    <w:uiPriority w:val="99"/>
    <w:qFormat/>
    <w:rsid w:val="00552FC9"/>
    <w:pPr>
      <w:suppressAutoHyphens/>
      <w:spacing w:after="90" w:line="440" w:lineRule="atLeast"/>
    </w:pPr>
    <w:rPr>
      <w:rFonts w:ascii="TheSansBold-Plain" w:hAnsi="TheSansBold-Plain" w:cs="TheSansBold-Plain"/>
      <w:b/>
      <w:bCs/>
      <w:color w:val="00ADEF"/>
      <w:sz w:val="36"/>
      <w:szCs w:val="36"/>
    </w:rPr>
  </w:style>
  <w:style w:type="paragraph" w:customStyle="1" w:styleId="TABLEREGULAR">
    <w:name w:val="TABLE REGULAR"/>
    <w:basedOn w:val="NoParagraphStyle"/>
    <w:uiPriority w:val="99"/>
    <w:qFormat/>
    <w:rsid w:val="00552FC9"/>
    <w:pPr>
      <w:spacing w:line="220" w:lineRule="atLeast"/>
    </w:pPr>
    <w:rPr>
      <w:rFonts w:ascii="TheSansSemiLight-Plain" w:hAnsi="TheSansSemiLight-Plain" w:cs="TheSansSemiLight-Plain"/>
      <w:spacing w:val="-2"/>
      <w:sz w:val="18"/>
      <w:szCs w:val="18"/>
    </w:rPr>
  </w:style>
  <w:style w:type="paragraph" w:customStyle="1" w:styleId="TABLETOP">
    <w:name w:val="TABLE TOP"/>
    <w:basedOn w:val="NoParagraphStyle"/>
    <w:uiPriority w:val="99"/>
    <w:qFormat/>
    <w:rsid w:val="00552FC9"/>
    <w:pPr>
      <w:spacing w:line="200" w:lineRule="atLeast"/>
    </w:pPr>
    <w:rPr>
      <w:rFonts w:ascii="TheSansSemiBold-Plain" w:hAnsi="TheSansSemiBold-Plain" w:cs="TheSansSemiBold-Plain"/>
      <w:b/>
      <w:bCs/>
      <w:color w:val="FFFFFF"/>
      <w:sz w:val="18"/>
      <w:szCs w:val="18"/>
    </w:rPr>
  </w:style>
  <w:style w:type="paragraph" w:customStyle="1" w:styleId="BVIfnrCharCarCar">
    <w:name w:val="BVI fnr Char Car Car"/>
    <w:basedOn w:val="Normal"/>
    <w:link w:val="FootnoteReference"/>
    <w:uiPriority w:val="99"/>
    <w:qFormat/>
    <w:rsid w:val="00283ACB"/>
    <w:pPr>
      <w:spacing w:after="160" w:line="240" w:lineRule="exact"/>
    </w:pPr>
    <w:rPr>
      <w:rFonts w:asciiTheme="minorHAnsi" w:eastAsiaTheme="minorHAnsi" w:hAnsiTheme="minorHAnsi" w:cstheme="minorBidi"/>
      <w:sz w:val="22"/>
      <w:szCs w:val="22"/>
      <w:vertAlign w:val="superscript"/>
    </w:rPr>
  </w:style>
  <w:style w:type="table" w:styleId="TableGrid">
    <w:name w:val="Table Grid"/>
    <w:basedOn w:val="TableNormal"/>
    <w:uiPriority w:val="59"/>
    <w:rsid w:val="00B80F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women.org/publications/evaluation-polic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gate.unwomen.org/Evaluation/Details?EvaluationId=1013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unevaluation.org/unegcodeofconduc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search/index.jsp?q=ethical+guideline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unevaluation.org/document/detail/102" TargetMode="External"/><Relationship Id="rId1" Type="http://schemas.openxmlformats.org/officeDocument/2006/relationships/hyperlink" Target="http://gate.unwomen.org/resources/docs/SiteDocuments/UNWomen%20-%20CodeofConductforEvaluationForm-Consulta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512DADFDF1A54C8C79BAD778E2381E" ma:contentTypeVersion="1" ma:contentTypeDescription="Create a new document." ma:contentTypeScope="" ma:versionID="e301e49fce65da6f0e11ad5f7df42cf6">
  <xsd:schema xmlns:xsd="http://www.w3.org/2001/XMLSchema" xmlns:xs="http://www.w3.org/2001/XMLSchema" xmlns:p="http://schemas.microsoft.com/office/2006/metadata/properties" xmlns:ns3="7efaa744-c833-44db-99d5-f74e83d94dba" targetNamespace="http://schemas.microsoft.com/office/2006/metadata/properties" ma:root="true" ma:fieldsID="4c2272c00d862deee893ba2cd3f956fa" ns3:_="">
    <xsd:import namespace="7efaa744-c833-44db-99d5-f74e83d94dba"/>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aa744-c833-44db-99d5-f74e83d94d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2DE71-A847-4B7C-BC97-9954AF87C674}">
  <ds:schemaRefs>
    <ds:schemaRef ds:uri="http://schemas.microsoft.com/sharepoint/v3/contenttype/forms"/>
  </ds:schemaRefs>
</ds:datastoreItem>
</file>

<file path=customXml/itemProps2.xml><?xml version="1.0" encoding="utf-8"?>
<ds:datastoreItem xmlns:ds="http://schemas.openxmlformats.org/officeDocument/2006/customXml" ds:itemID="{B28FBF07-77B1-4165-B137-CC1E7D9AB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aa744-c833-44db-99d5-f74e83d94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6857-D020-4B21-AA3D-F29A90BABB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7D0214-E6D0-4974-A1D3-153DEE18D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5413</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Messay Tassew</dc:creator>
  <dc:description/>
  <cp:lastModifiedBy>Laura Gonzalez Martinez</cp:lastModifiedBy>
  <cp:revision>3</cp:revision>
  <cp:lastPrinted>2015-05-11T13:02:00Z</cp:lastPrinted>
  <dcterms:created xsi:type="dcterms:W3CDTF">2017-01-23T11:43:00Z</dcterms:created>
  <dcterms:modified xsi:type="dcterms:W3CDTF">2017-01-23T11:46:00Z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0x01010046512DADFDF1A54C8C79BAD778E2381E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