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46E9" w:rsidRPr="00653829" w:rsidRDefault="00F1017E" w:rsidP="00FF46E9">
      <w:pPr>
        <w:jc w:val="center"/>
        <w:rPr>
          <w:b/>
          <w:bCs/>
          <w:sz w:val="22"/>
        </w:rPr>
      </w:pPr>
      <w:r w:rsidRPr="00F1017E">
        <w:rPr>
          <w:rStyle w:val="Strong"/>
          <w:rFonts w:ascii="Helvetica" w:hAnsi="Helvetica" w:cs="Calibri"/>
          <w:color w:val="0099FF"/>
          <w:sz w:val="45"/>
          <w:szCs w:val="45"/>
        </w:rPr>
        <w:t>UN WOMEN</w:t>
      </w:r>
      <w:r w:rsidRPr="00653829">
        <w:rPr>
          <w:b/>
          <w:bCs/>
          <w:sz w:val="22"/>
        </w:rPr>
        <w:t xml:space="preserve"> </w:t>
      </w:r>
      <w:r>
        <w:rPr>
          <w:rStyle w:val="Strong"/>
          <w:rFonts w:ascii="Helvetica" w:hAnsi="Helvetica" w:cs="Calibri"/>
          <w:color w:val="0099FF"/>
          <w:sz w:val="45"/>
          <w:szCs w:val="45"/>
        </w:rPr>
        <w:t>WEST CENTRAL  AFRICA R</w:t>
      </w:r>
      <w:r>
        <w:rPr>
          <w:rStyle w:val="Strong"/>
          <w:rFonts w:ascii="Helvetica" w:hAnsi="Helvetica"/>
          <w:color w:val="0099FF"/>
          <w:sz w:val="45"/>
          <w:szCs w:val="45"/>
        </w:rPr>
        <w:t xml:space="preserve">EGIONAL </w:t>
      </w:r>
      <w:r>
        <w:rPr>
          <w:rStyle w:val="Strong"/>
          <w:rFonts w:ascii="Helvetica" w:hAnsi="Helvetica" w:cs="Calibri"/>
          <w:color w:val="0099FF"/>
          <w:sz w:val="45"/>
          <w:szCs w:val="45"/>
        </w:rPr>
        <w:t>OFFICE</w:t>
      </w:r>
      <w:r w:rsidRPr="00653829">
        <w:rPr>
          <w:b/>
          <w:bCs/>
          <w:sz w:val="22"/>
        </w:rPr>
        <w:t xml:space="preserve"> </w:t>
      </w:r>
    </w:p>
    <w:p w:rsidR="00653829" w:rsidRPr="00FF46E9" w:rsidRDefault="00653829" w:rsidP="00FF46E9">
      <w:pPr>
        <w:jc w:val="center"/>
        <w:rPr>
          <w:b/>
          <w:bCs/>
          <w:sz w:val="22"/>
        </w:rPr>
      </w:pPr>
    </w:p>
    <w:tbl>
      <w:tblPr>
        <w:tblStyle w:val="TableGrid"/>
        <w:tblW w:w="0" w:type="auto"/>
        <w:tblInd w:w="720" w:type="dxa"/>
        <w:tblLook w:val="04A0" w:firstRow="1" w:lastRow="0" w:firstColumn="1" w:lastColumn="0" w:noHBand="0" w:noVBand="1"/>
      </w:tblPr>
      <w:tblGrid>
        <w:gridCol w:w="8630"/>
      </w:tblGrid>
      <w:tr w:rsidR="00FF46E9" w:rsidTr="00F1017E">
        <w:tc>
          <w:tcPr>
            <w:tcW w:w="8630" w:type="dxa"/>
            <w:tcBorders>
              <w:bottom w:val="nil"/>
            </w:tcBorders>
          </w:tcPr>
          <w:tbl>
            <w:tblPr>
              <w:tblW w:w="5000" w:type="pct"/>
              <w:tblCellMar>
                <w:left w:w="0" w:type="dxa"/>
                <w:right w:w="0" w:type="dxa"/>
              </w:tblCellMar>
              <w:tblLook w:val="04A0" w:firstRow="1" w:lastRow="0" w:firstColumn="1" w:lastColumn="0" w:noHBand="0" w:noVBand="1"/>
            </w:tblPr>
            <w:tblGrid>
              <w:gridCol w:w="8414"/>
            </w:tblGrid>
            <w:tr w:rsidR="00F1017E" w:rsidTr="00F1017E">
              <w:tc>
                <w:tcPr>
                  <w:tcW w:w="0" w:type="auto"/>
                  <w:tcBorders>
                    <w:top w:val="nil"/>
                    <w:left w:val="nil"/>
                    <w:bottom w:val="nil"/>
                    <w:right w:val="nil"/>
                  </w:tcBorders>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414"/>
                  </w:tblGrid>
                  <w:tr w:rsidR="00F1017E">
                    <w:tc>
                      <w:tcPr>
                        <w:tcW w:w="9000" w:type="dxa"/>
                        <w:tcBorders>
                          <w:top w:val="nil"/>
                          <w:left w:val="nil"/>
                          <w:bottom w:val="nil"/>
                          <w:right w:val="nil"/>
                        </w:tcBorders>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414"/>
                        </w:tblGrid>
                        <w:tr w:rsidR="00F1017E">
                          <w:tc>
                            <w:tcPr>
                              <w:tcW w:w="0" w:type="auto"/>
                              <w:tcBorders>
                                <w:top w:val="nil"/>
                                <w:left w:val="nil"/>
                                <w:bottom w:val="nil"/>
                                <w:right w:val="nil"/>
                              </w:tcBorders>
                              <w:tcMar>
                                <w:top w:w="0" w:type="dxa"/>
                                <w:left w:w="270" w:type="dxa"/>
                                <w:bottom w:w="135" w:type="dxa"/>
                                <w:right w:w="270" w:type="dxa"/>
                              </w:tcMar>
                              <w:hideMark/>
                            </w:tcPr>
                            <w:p w:rsidR="00F1017E" w:rsidRDefault="00F1017E" w:rsidP="00F1017E">
                              <w:pPr>
                                <w:spacing w:line="475" w:lineRule="atLeast"/>
                                <w:rPr>
                                  <w:rFonts w:ascii="Calibri" w:hAnsi="Calibri" w:cs="Calibri"/>
                                  <w:sz w:val="22"/>
                                </w:rPr>
                              </w:pPr>
                            </w:p>
                          </w:tc>
                        </w:tr>
                      </w:tbl>
                      <w:p w:rsidR="00F1017E" w:rsidRDefault="00F1017E" w:rsidP="00F1017E">
                        <w:pPr>
                          <w:rPr>
                            <w:szCs w:val="24"/>
                          </w:rPr>
                        </w:pPr>
                      </w:p>
                    </w:tc>
                  </w:tr>
                </w:tbl>
                <w:p w:rsidR="00F1017E" w:rsidRDefault="00F1017E" w:rsidP="00F1017E">
                  <w:pPr>
                    <w:rPr>
                      <w:szCs w:val="24"/>
                    </w:rPr>
                  </w:pPr>
                </w:p>
              </w:tc>
            </w:tr>
          </w:tbl>
          <w:p w:rsidR="00F1017E" w:rsidRPr="00F1017E" w:rsidRDefault="00F1017E" w:rsidP="00F1017E">
            <w:pPr>
              <w:rPr>
                <w:rStyle w:val="Strong"/>
                <w:rFonts w:ascii="Helvetica" w:hAnsi="Helvetica"/>
                <w:color w:val="0099FF"/>
                <w:sz w:val="40"/>
                <w:szCs w:val="40"/>
              </w:rPr>
            </w:pPr>
            <w:r w:rsidRPr="00F1017E">
              <w:rPr>
                <w:rStyle w:val="Strong"/>
                <w:rFonts w:ascii="Helvetica" w:hAnsi="Helvetica" w:cs="Calibri"/>
                <w:color w:val="0099FF"/>
                <w:sz w:val="40"/>
                <w:szCs w:val="40"/>
              </w:rPr>
              <w:t>KNOWLEDGE MANAGEMENT EVALUATION</w:t>
            </w:r>
          </w:p>
          <w:tbl>
            <w:tblPr>
              <w:tblW w:w="5000" w:type="pct"/>
              <w:tblCellMar>
                <w:left w:w="0" w:type="dxa"/>
                <w:right w:w="0" w:type="dxa"/>
              </w:tblCellMar>
              <w:tblLook w:val="04A0" w:firstRow="1" w:lastRow="0" w:firstColumn="1" w:lastColumn="0" w:noHBand="0" w:noVBand="1"/>
            </w:tblPr>
            <w:tblGrid>
              <w:gridCol w:w="8414"/>
            </w:tblGrid>
            <w:tr w:rsidR="00F1017E" w:rsidTr="00F1017E">
              <w:tc>
                <w:tcPr>
                  <w:tcW w:w="0" w:type="auto"/>
                  <w:tcBorders>
                    <w:top w:val="nil"/>
                    <w:left w:val="nil"/>
                    <w:bottom w:val="nil"/>
                    <w:right w:val="nil"/>
                  </w:tcBorders>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414"/>
                  </w:tblGrid>
                  <w:tr w:rsidR="00F1017E">
                    <w:tc>
                      <w:tcPr>
                        <w:tcW w:w="9000" w:type="dxa"/>
                        <w:tcBorders>
                          <w:top w:val="nil"/>
                          <w:left w:val="nil"/>
                          <w:bottom w:val="nil"/>
                          <w:right w:val="nil"/>
                        </w:tcBorders>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414"/>
                        </w:tblGrid>
                        <w:tr w:rsidR="00F1017E">
                          <w:tc>
                            <w:tcPr>
                              <w:tcW w:w="0" w:type="auto"/>
                              <w:tcBorders>
                                <w:top w:val="nil"/>
                                <w:left w:val="nil"/>
                                <w:bottom w:val="nil"/>
                                <w:right w:val="nil"/>
                              </w:tcBorders>
                              <w:tcMar>
                                <w:top w:w="0" w:type="dxa"/>
                                <w:left w:w="270" w:type="dxa"/>
                                <w:bottom w:w="135" w:type="dxa"/>
                                <w:right w:w="270" w:type="dxa"/>
                              </w:tcMar>
                              <w:hideMark/>
                            </w:tcPr>
                            <w:p w:rsidR="00F1017E" w:rsidRPr="00FF46E9" w:rsidRDefault="00F1017E" w:rsidP="00F1017E">
                              <w:pPr>
                                <w:jc w:val="center"/>
                                <w:rPr>
                                  <w:b/>
                                  <w:bCs/>
                                  <w:sz w:val="22"/>
                                </w:rPr>
                              </w:pPr>
                              <w:r w:rsidRPr="00653829">
                                <w:rPr>
                                  <w:b/>
                                  <w:bCs/>
                                  <w:sz w:val="22"/>
                                </w:rPr>
                                <w:t>Summary Video</w:t>
                              </w:r>
                              <w:r>
                                <w:rPr>
                                  <w:b/>
                                  <w:bCs/>
                                  <w:sz w:val="22"/>
                                </w:rPr>
                                <w:t xml:space="preserve"> </w:t>
                              </w:r>
                              <w:r w:rsidRPr="00653829">
                                <w:rPr>
                                  <w:b/>
                                  <w:bCs/>
                                  <w:sz w:val="22"/>
                                </w:rPr>
                                <w:t>(2020)</w:t>
                              </w:r>
                            </w:p>
                            <w:p w:rsidR="00F1017E" w:rsidRPr="00F1017E" w:rsidRDefault="00F1017E" w:rsidP="00F1017E">
                              <w:pPr>
                                <w:spacing w:line="475" w:lineRule="atLeast"/>
                                <w:rPr>
                                  <w:sz w:val="21"/>
                                  <w:szCs w:val="21"/>
                                </w:rPr>
                              </w:pPr>
                              <w:r>
                                <w:rPr>
                                  <w:rFonts w:ascii="Helvetica Neue" w:hAnsi="Helvetica Neue" w:cs="Calibri"/>
                                  <w:color w:val="595959"/>
                                </w:rPr>
                                <w:t> </w:t>
                              </w:r>
                              <w:r w:rsidRPr="00F1017E">
                                <w:rPr>
                                  <w:color w:val="595959"/>
                                  <w:sz w:val="22"/>
                                  <w:szCs w:val="21"/>
                                </w:rPr>
                                <w:t>The West and Central Africa Regional Office Evaluation unit recently conducted the</w:t>
                              </w:r>
                              <w:r w:rsidRPr="00F1017E">
                                <w:rPr>
                                  <w:rStyle w:val="apple-converted-space"/>
                                  <w:color w:val="595959"/>
                                  <w:sz w:val="22"/>
                                  <w:szCs w:val="21"/>
                                </w:rPr>
                                <w:t> </w:t>
                              </w:r>
                              <w:hyperlink r:id="rId5" w:history="1">
                                <w:r w:rsidRPr="00F1017E">
                                  <w:rPr>
                                    <w:rStyle w:val="Hyperlink"/>
                                    <w:color w:val="005B66"/>
                                    <w:sz w:val="22"/>
                                    <w:szCs w:val="21"/>
                                  </w:rPr>
                                  <w:t>knowledge management evaluation</w:t>
                                </w:r>
                              </w:hyperlink>
                              <w:r w:rsidRPr="00F1017E">
                                <w:rPr>
                                  <w:rStyle w:val="apple-converted-space"/>
                                  <w:color w:val="595959"/>
                                  <w:sz w:val="22"/>
                                  <w:szCs w:val="21"/>
                                </w:rPr>
                                <w:t> </w:t>
                              </w:r>
                              <w:r w:rsidRPr="00F1017E">
                                <w:rPr>
                                  <w:color w:val="595959"/>
                                  <w:sz w:val="22"/>
                                  <w:szCs w:val="21"/>
                                </w:rPr>
                                <w:t>in 6 countries of the region:</w:t>
                              </w:r>
                              <w:r w:rsidRPr="00F1017E">
                                <w:rPr>
                                  <w:rStyle w:val="apple-converted-space"/>
                                  <w:color w:val="595959"/>
                                  <w:sz w:val="22"/>
                                  <w:szCs w:val="21"/>
                                </w:rPr>
                                <w:t> </w:t>
                              </w:r>
                              <w:r w:rsidRPr="00F1017E">
                                <w:rPr>
                                  <w:rStyle w:val="Strong"/>
                                  <w:color w:val="0099FF"/>
                                  <w:sz w:val="22"/>
                                  <w:szCs w:val="21"/>
                                </w:rPr>
                                <w:t>Nigeria, Liberia, Cameroon, Ivory Coast, Mali, Senegal.</w:t>
                              </w:r>
                              <w:r w:rsidRPr="00F1017E">
                                <w:rPr>
                                  <w:color w:val="595959"/>
                                  <w:sz w:val="22"/>
                                  <w:szCs w:val="21"/>
                                </w:rPr>
                                <w:br/>
                                <w:t>The purpose was to assess the current state of the knowledge management function and identify challenges and opportunities around UN Women’s role as a knowledge broker and provider. As capacity development for gender equality constitutes the single most important type of activities delivered by UN Women, there are clear gains to be expected from assessing in what way the entity’s knowledge-base is created, stored, and updated.</w:t>
                              </w:r>
                              <w:r w:rsidRPr="00F1017E">
                                <w:rPr>
                                  <w:color w:val="595959"/>
                                  <w:sz w:val="22"/>
                                  <w:szCs w:val="21"/>
                                </w:rPr>
                                <w:br/>
                                <w:t>The term</w:t>
                              </w:r>
                              <w:r w:rsidRPr="00F1017E">
                                <w:rPr>
                                  <w:rStyle w:val="apple-converted-space"/>
                                  <w:b/>
                                  <w:bCs/>
                                  <w:color w:val="595959"/>
                                  <w:sz w:val="22"/>
                                  <w:szCs w:val="21"/>
                                </w:rPr>
                                <w:t> </w:t>
                              </w:r>
                              <w:r w:rsidRPr="00F1017E">
                                <w:rPr>
                                  <w:rStyle w:val="Strong"/>
                                  <w:color w:val="0099FF"/>
                                  <w:sz w:val="22"/>
                                  <w:szCs w:val="21"/>
                                </w:rPr>
                                <w:t>“</w:t>
                              </w:r>
                              <w:r w:rsidRPr="00F1017E">
                                <w:rPr>
                                  <w:rStyle w:val="Emphasis"/>
                                  <w:b/>
                                  <w:bCs/>
                                  <w:color w:val="0099FF"/>
                                  <w:sz w:val="22"/>
                                  <w:szCs w:val="21"/>
                                </w:rPr>
                                <w:t>knowledge</w:t>
                              </w:r>
                              <w:r w:rsidRPr="00F1017E">
                                <w:rPr>
                                  <w:rStyle w:val="Strong"/>
                                  <w:color w:val="0099FF"/>
                                  <w:sz w:val="22"/>
                                  <w:szCs w:val="21"/>
                                </w:rPr>
                                <w:t>”</w:t>
                              </w:r>
                              <w:r w:rsidRPr="00F1017E">
                                <w:rPr>
                                  <w:rStyle w:val="apple-converted-space"/>
                                  <w:b/>
                                  <w:bCs/>
                                  <w:color w:val="595959"/>
                                  <w:sz w:val="22"/>
                                  <w:szCs w:val="21"/>
                                </w:rPr>
                                <w:t> </w:t>
                              </w:r>
                              <w:r w:rsidRPr="00F1017E">
                                <w:rPr>
                                  <w:color w:val="595959"/>
                                  <w:sz w:val="22"/>
                                  <w:szCs w:val="21"/>
                                </w:rPr>
                                <w:t>was perceived differently by different persons interviewed in the six countries visited in the region. Country offices surveyed gave different levels of importance to knowledge management and the role it played in helping the organization deliver on its mandate.</w:t>
                              </w:r>
                              <w:r w:rsidRPr="00F1017E">
                                <w:rPr>
                                  <w:color w:val="595959"/>
                                  <w:sz w:val="22"/>
                                  <w:szCs w:val="21"/>
                                </w:rPr>
                                <w:br/>
                              </w:r>
                              <w:r w:rsidRPr="00F1017E">
                                <w:rPr>
                                  <w:rStyle w:val="Strong"/>
                                  <w:color w:val="0099FF"/>
                                  <w:sz w:val="22"/>
                                  <w:szCs w:val="21"/>
                                </w:rPr>
                                <w:t>A working definition of knowledge is “</w:t>
                              </w:r>
                              <w:r w:rsidRPr="00F1017E">
                                <w:rPr>
                                  <w:rStyle w:val="Emphasis"/>
                                  <w:b/>
                                  <w:bCs/>
                                  <w:color w:val="0099FF"/>
                                  <w:sz w:val="22"/>
                                  <w:szCs w:val="21"/>
                                </w:rPr>
                                <w:t>that which is learned, either from direct experience or as a result of oral or written transmission</w:t>
                              </w:r>
                              <w:r w:rsidRPr="00F1017E">
                                <w:rPr>
                                  <w:rStyle w:val="Strong"/>
                                  <w:color w:val="0099FF"/>
                                  <w:sz w:val="22"/>
                                  <w:szCs w:val="21"/>
                                </w:rPr>
                                <w:t>”.</w:t>
                              </w:r>
                              <w:r w:rsidRPr="00F1017E">
                                <w:rPr>
                                  <w:color w:val="595959"/>
                                  <w:sz w:val="22"/>
                                  <w:szCs w:val="21"/>
                                </w:rPr>
                                <w:br/>
                                <w:t>And for this evaluation, we defined knowledge management as the process through which organizations create, store, transmit, and use their institutional and collective knowledge.</w:t>
                              </w:r>
                              <w:r w:rsidRPr="00F1017E">
                                <w:rPr>
                                  <w:color w:val="595959"/>
                                  <w:sz w:val="22"/>
                                  <w:szCs w:val="21"/>
                                </w:rPr>
                                <w:br/>
                              </w:r>
                              <w:hyperlink r:id="rId6" w:history="1">
                                <w:r w:rsidRPr="00F1017E">
                                  <w:rPr>
                                    <w:rStyle w:val="Hyperlink"/>
                                    <w:color w:val="005B66"/>
                                    <w:sz w:val="22"/>
                                    <w:szCs w:val="21"/>
                                  </w:rPr>
                                  <w:t>The evaluation</w:t>
                                </w:r>
                              </w:hyperlink>
                              <w:r w:rsidRPr="00F1017E">
                                <w:rPr>
                                  <w:rStyle w:val="apple-converted-space"/>
                                  <w:color w:val="595959"/>
                                  <w:sz w:val="22"/>
                                  <w:szCs w:val="21"/>
                                </w:rPr>
                                <w:t> </w:t>
                              </w:r>
                              <w:r w:rsidRPr="00F1017E">
                                <w:rPr>
                                  <w:color w:val="595959"/>
                                  <w:sz w:val="22"/>
                                  <w:szCs w:val="21"/>
                                </w:rPr>
                                <w:t>set out to find the relevance, effectiveness, efficiency, and sustainability of UN Women WCAR practices pertaining to “</w:t>
                              </w:r>
                              <w:r w:rsidRPr="00F1017E">
                                <w:rPr>
                                  <w:rStyle w:val="Emphasis"/>
                                  <w:color w:val="595959"/>
                                  <w:sz w:val="22"/>
                                  <w:szCs w:val="21"/>
                                </w:rPr>
                                <w:t>organizational learning</w:t>
                              </w:r>
                              <w:r w:rsidRPr="00F1017E">
                                <w:rPr>
                                  <w:color w:val="595959"/>
                                  <w:sz w:val="22"/>
                                  <w:szCs w:val="21"/>
                                </w:rPr>
                                <w:t>” and “</w:t>
                              </w:r>
                              <w:r w:rsidRPr="00F1017E">
                                <w:rPr>
                                  <w:rStyle w:val="Emphasis"/>
                                  <w:color w:val="595959"/>
                                  <w:sz w:val="22"/>
                                  <w:szCs w:val="21"/>
                                </w:rPr>
                                <w:t>knowledge transmission</w:t>
                              </w:r>
                              <w:r w:rsidRPr="00F1017E">
                                <w:rPr>
                                  <w:color w:val="595959"/>
                                  <w:sz w:val="22"/>
                                  <w:szCs w:val="21"/>
                                </w:rPr>
                                <w:t>”.</w:t>
                              </w:r>
                              <w:r w:rsidRPr="00F1017E">
                                <w:rPr>
                                  <w:color w:val="595959"/>
                                  <w:sz w:val="22"/>
                                  <w:szCs w:val="21"/>
                                </w:rPr>
                                <w:br/>
                              </w:r>
                              <w:r w:rsidRPr="00F1017E">
                                <w:rPr>
                                  <w:color w:val="595959"/>
                                  <w:sz w:val="22"/>
                                  <w:szCs w:val="21"/>
                                </w:rPr>
                                <w:lastRenderedPageBreak/>
                                <w:br/>
                                <w:t>It recommended that Country Offices take steps to:</w:t>
                              </w:r>
                              <w:r>
                                <w:rPr>
                                  <w:rFonts w:ascii="Helvetica Neue" w:hAnsi="Helvetica Neue" w:cs="Calibri"/>
                                  <w:color w:val="595959"/>
                                </w:rPr>
                                <w:br/>
                              </w:r>
                              <w:r>
                                <w:rPr>
                                  <w:rFonts w:ascii="Helvetica Neue" w:hAnsi="Helvetica Neue" w:cs="Calibri"/>
                                  <w:color w:val="595959"/>
                                </w:rPr>
                                <w:br/>
                              </w:r>
                              <w:r w:rsidRPr="00F1017E">
                                <w:rPr>
                                  <w:rStyle w:val="Strong"/>
                                  <w:b w:val="0"/>
                                  <w:bCs w:val="0"/>
                                  <w:color w:val="0099FF"/>
                                  <w:sz w:val="22"/>
                                  <w:szCs w:val="21"/>
                                </w:rPr>
                                <w:t>(1) institutionalize standard practices of knowledge creation, storage, and dissemination,</w:t>
                              </w:r>
                              <w:r w:rsidRPr="00F1017E">
                                <w:rPr>
                                  <w:b/>
                                  <w:bCs/>
                                  <w:color w:val="0099FF"/>
                                  <w:sz w:val="22"/>
                                  <w:szCs w:val="21"/>
                                </w:rPr>
                                <w:br/>
                              </w:r>
                              <w:r w:rsidRPr="00F1017E">
                                <w:rPr>
                                  <w:rStyle w:val="Strong"/>
                                  <w:b w:val="0"/>
                                  <w:bCs w:val="0"/>
                                  <w:color w:val="0099FF"/>
                                  <w:sz w:val="22"/>
                                  <w:szCs w:val="21"/>
                                </w:rPr>
                                <w:t>(2) reduce language and literacy barriers,</w:t>
                              </w:r>
                              <w:r w:rsidRPr="00F1017E">
                                <w:rPr>
                                  <w:b/>
                                  <w:bCs/>
                                  <w:color w:val="0099FF"/>
                                  <w:sz w:val="22"/>
                                  <w:szCs w:val="21"/>
                                </w:rPr>
                                <w:br/>
                              </w:r>
                              <w:r w:rsidRPr="00F1017E">
                                <w:rPr>
                                  <w:rStyle w:val="Strong"/>
                                  <w:b w:val="0"/>
                                  <w:bCs w:val="0"/>
                                  <w:color w:val="0099FF"/>
                                  <w:sz w:val="22"/>
                                  <w:szCs w:val="21"/>
                                </w:rPr>
                                <w:t>(3) promote knowledge-sharing across the UN System,</w:t>
                              </w:r>
                              <w:r w:rsidRPr="00F1017E">
                                <w:rPr>
                                  <w:b/>
                                  <w:bCs/>
                                  <w:color w:val="0099FF"/>
                                  <w:sz w:val="22"/>
                                  <w:szCs w:val="21"/>
                                </w:rPr>
                                <w:br/>
                              </w:r>
                              <w:r w:rsidRPr="00F1017E">
                                <w:rPr>
                                  <w:rStyle w:val="Strong"/>
                                  <w:b w:val="0"/>
                                  <w:bCs w:val="0"/>
                                  <w:color w:val="0099FF"/>
                                  <w:sz w:val="22"/>
                                  <w:szCs w:val="21"/>
                                </w:rPr>
                                <w:t>(4) collaborate with Academic Institutions in order to generate high-quality knowledge and</w:t>
                              </w:r>
                              <w:r w:rsidRPr="00F1017E">
                                <w:rPr>
                                  <w:b/>
                                  <w:bCs/>
                                  <w:color w:val="0099FF"/>
                                  <w:sz w:val="22"/>
                                  <w:szCs w:val="21"/>
                                </w:rPr>
                                <w:br/>
                              </w:r>
                              <w:r w:rsidRPr="00F1017E">
                                <w:rPr>
                                  <w:rStyle w:val="Strong"/>
                                  <w:b w:val="0"/>
                                  <w:bCs w:val="0"/>
                                  <w:color w:val="0099FF"/>
                                  <w:sz w:val="22"/>
                                  <w:szCs w:val="21"/>
                                </w:rPr>
                                <w:t>(5) enhance a culture of using lessons drawn from rigorous evaluations.</w:t>
                              </w:r>
                            </w:p>
                          </w:tc>
                        </w:tr>
                      </w:tbl>
                      <w:p w:rsidR="00F1017E" w:rsidRDefault="00F1017E" w:rsidP="00F1017E">
                        <w:pPr>
                          <w:rPr>
                            <w:szCs w:val="24"/>
                          </w:rPr>
                        </w:pPr>
                      </w:p>
                    </w:tc>
                  </w:tr>
                </w:tbl>
                <w:p w:rsidR="00F1017E" w:rsidRDefault="00F1017E" w:rsidP="00F1017E">
                  <w:pPr>
                    <w:rPr>
                      <w:szCs w:val="24"/>
                    </w:rPr>
                  </w:pPr>
                </w:p>
              </w:tc>
            </w:tr>
          </w:tbl>
          <w:p w:rsidR="00F1017E" w:rsidRDefault="00F1017E" w:rsidP="00F1017E">
            <w:pPr>
              <w:rPr>
                <w:rFonts w:ascii="Calibri" w:hAnsi="Calibri" w:cs="Calibri"/>
                <w:sz w:val="22"/>
              </w:rPr>
            </w:pPr>
            <w:r>
              <w:rPr>
                <w:rFonts w:ascii="Calibri" w:hAnsi="Calibri" w:cs="Calibri"/>
                <w:sz w:val="22"/>
              </w:rPr>
              <w:lastRenderedPageBreak/>
              <w:t> </w:t>
            </w:r>
          </w:p>
          <w:tbl>
            <w:tblPr>
              <w:tblW w:w="5000" w:type="pct"/>
              <w:tblCellMar>
                <w:left w:w="0" w:type="dxa"/>
                <w:right w:w="0" w:type="dxa"/>
              </w:tblCellMar>
              <w:tblLook w:val="04A0" w:firstRow="1" w:lastRow="0" w:firstColumn="1" w:lastColumn="0" w:noHBand="0" w:noVBand="1"/>
            </w:tblPr>
            <w:tblGrid>
              <w:gridCol w:w="8414"/>
            </w:tblGrid>
            <w:tr w:rsidR="00F1017E" w:rsidTr="00F1017E">
              <w:tc>
                <w:tcPr>
                  <w:tcW w:w="0" w:type="auto"/>
                  <w:tcBorders>
                    <w:top w:val="nil"/>
                    <w:left w:val="nil"/>
                    <w:bottom w:val="nil"/>
                    <w:right w:val="nil"/>
                  </w:tcBorders>
                  <w:vAlign w:val="center"/>
                  <w:hideMark/>
                </w:tcPr>
                <w:tbl>
                  <w:tblPr>
                    <w:tblW w:w="5000" w:type="pct"/>
                    <w:jc w:val="center"/>
                    <w:tblCellMar>
                      <w:left w:w="0" w:type="dxa"/>
                      <w:right w:w="0" w:type="dxa"/>
                    </w:tblCellMar>
                    <w:tblLook w:val="04A0" w:firstRow="1" w:lastRow="0" w:firstColumn="1" w:lastColumn="0" w:noHBand="0" w:noVBand="1"/>
                  </w:tblPr>
                  <w:tblGrid>
                    <w:gridCol w:w="9"/>
                    <w:gridCol w:w="8405"/>
                  </w:tblGrid>
                  <w:tr w:rsidR="00F1017E">
                    <w:trPr>
                      <w:jc w:val="center"/>
                    </w:trPr>
                    <w:tc>
                      <w:tcPr>
                        <w:tcW w:w="0" w:type="auto"/>
                        <w:tcBorders>
                          <w:top w:val="nil"/>
                          <w:left w:val="nil"/>
                          <w:bottom w:val="nil"/>
                          <w:right w:val="nil"/>
                        </w:tcBorders>
                        <w:hideMark/>
                      </w:tcPr>
                      <w:p w:rsidR="00F1017E" w:rsidRDefault="00F1017E" w:rsidP="00F1017E">
                        <w:pPr>
                          <w:rPr>
                            <w:rFonts w:ascii="Calibri" w:hAnsi="Calibri" w:cs="Calibri"/>
                            <w:sz w:val="22"/>
                          </w:rPr>
                        </w:pPr>
                      </w:p>
                    </w:tc>
                    <w:tc>
                      <w:tcPr>
                        <w:tcW w:w="0" w:type="auto"/>
                        <w:tcBorders>
                          <w:top w:val="nil"/>
                          <w:left w:val="nil"/>
                          <w:bottom w:val="nil"/>
                          <w:right w:val="nil"/>
                        </w:tcBorders>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405"/>
                        </w:tblGrid>
                        <w:tr w:rsidR="00F1017E">
                          <w:tc>
                            <w:tcPr>
                              <w:tcW w:w="0" w:type="auto"/>
                              <w:tcBorders>
                                <w:top w:val="nil"/>
                                <w:left w:val="nil"/>
                                <w:bottom w:val="nil"/>
                                <w:right w:val="nil"/>
                              </w:tcBorders>
                              <w:tcMar>
                                <w:top w:w="135" w:type="dxa"/>
                                <w:left w:w="270" w:type="dxa"/>
                                <w:bottom w:w="135" w:type="dxa"/>
                                <w:right w:w="270" w:type="dxa"/>
                              </w:tcMar>
                              <w:vAlign w:val="center"/>
                              <w:hideMark/>
                            </w:tcPr>
                            <w:tbl>
                              <w:tblPr>
                                <w:tblW w:w="5000" w:type="pct"/>
                                <w:shd w:val="clear" w:color="auto" w:fill="66B7DD"/>
                                <w:tblCellMar>
                                  <w:left w:w="0" w:type="dxa"/>
                                  <w:right w:w="0" w:type="dxa"/>
                                </w:tblCellMar>
                                <w:tblLook w:val="04A0" w:firstRow="1" w:lastRow="0" w:firstColumn="1" w:lastColumn="0" w:noHBand="0" w:noVBand="1"/>
                              </w:tblPr>
                              <w:tblGrid>
                                <w:gridCol w:w="7865"/>
                              </w:tblGrid>
                              <w:tr w:rsidR="00F1017E">
                                <w:tc>
                                  <w:tcPr>
                                    <w:tcW w:w="0" w:type="auto"/>
                                    <w:tcBorders>
                                      <w:top w:val="nil"/>
                                      <w:left w:val="nil"/>
                                      <w:bottom w:val="nil"/>
                                      <w:right w:val="nil"/>
                                    </w:tcBorders>
                                    <w:shd w:val="clear" w:color="auto" w:fill="66B7DD"/>
                                    <w:tcMar>
                                      <w:top w:w="270" w:type="dxa"/>
                                      <w:left w:w="270" w:type="dxa"/>
                                      <w:bottom w:w="270" w:type="dxa"/>
                                      <w:right w:w="270" w:type="dxa"/>
                                    </w:tcMar>
                                    <w:hideMark/>
                                  </w:tcPr>
                                  <w:p w:rsidR="00F1017E" w:rsidRDefault="00F1017E" w:rsidP="00F1017E">
                                    <w:pPr>
                                      <w:spacing w:line="475" w:lineRule="atLeast"/>
                                      <w:jc w:val="center"/>
                                      <w:rPr>
                                        <w:rFonts w:ascii="Calibri" w:hAnsi="Calibri" w:cs="Calibri"/>
                                        <w:sz w:val="22"/>
                                      </w:rPr>
                                    </w:pPr>
                                    <w:r>
                                      <w:rPr>
                                        <w:rStyle w:val="Strong"/>
                                        <w:rFonts w:ascii="Helvetica" w:hAnsi="Helvetica" w:cs="Calibri"/>
                                        <w:color w:val="000000"/>
                                        <w:sz w:val="36"/>
                                        <w:szCs w:val="36"/>
                                      </w:rPr>
                                      <w:t>WATCH THE VIDEO BELOW</w:t>
                                    </w:r>
                                  </w:p>
                                </w:tc>
                              </w:tr>
                            </w:tbl>
                            <w:p w:rsidR="00F1017E" w:rsidRDefault="00F1017E" w:rsidP="00F1017E">
                              <w:pPr>
                                <w:rPr>
                                  <w:szCs w:val="24"/>
                                </w:rPr>
                              </w:pPr>
                            </w:p>
                          </w:tc>
                        </w:tr>
                      </w:tbl>
                      <w:p w:rsidR="00F1017E" w:rsidRDefault="00F1017E" w:rsidP="00F1017E">
                        <w:pPr>
                          <w:rPr>
                            <w:szCs w:val="24"/>
                          </w:rPr>
                        </w:pPr>
                      </w:p>
                    </w:tc>
                  </w:tr>
                </w:tbl>
                <w:p w:rsidR="00F1017E" w:rsidRDefault="00F1017E" w:rsidP="00F1017E">
                  <w:pPr>
                    <w:jc w:val="center"/>
                    <w:rPr>
                      <w:szCs w:val="24"/>
                    </w:rPr>
                  </w:pPr>
                </w:p>
              </w:tc>
            </w:tr>
          </w:tbl>
          <w:p w:rsidR="00FF46E9" w:rsidRDefault="00FF46E9" w:rsidP="00F1017E">
            <w:pPr>
              <w:rPr>
                <w:color w:val="1F3864" w:themeColor="accent1" w:themeShade="80"/>
                <w:sz w:val="22"/>
              </w:rPr>
            </w:pPr>
          </w:p>
        </w:tc>
      </w:tr>
      <w:tr w:rsidR="00FF46E9" w:rsidTr="00F1017E">
        <w:tc>
          <w:tcPr>
            <w:tcW w:w="8630" w:type="dxa"/>
            <w:tcBorders>
              <w:top w:val="nil"/>
              <w:bottom w:val="nil"/>
            </w:tcBorders>
          </w:tcPr>
          <w:p w:rsidR="00FF46E9" w:rsidRDefault="00FF46E9" w:rsidP="00653829">
            <w:pPr>
              <w:tabs>
                <w:tab w:val="num" w:pos="720"/>
              </w:tabs>
              <w:spacing w:before="100" w:beforeAutospacing="1" w:after="100" w:afterAutospacing="1"/>
              <w:jc w:val="both"/>
              <w:rPr>
                <w:color w:val="1F3864" w:themeColor="accent1" w:themeShade="80"/>
                <w:sz w:val="22"/>
              </w:rPr>
            </w:pPr>
          </w:p>
        </w:tc>
      </w:tr>
      <w:tr w:rsidR="00FF46E9" w:rsidTr="00FF46E9">
        <w:tc>
          <w:tcPr>
            <w:tcW w:w="8630" w:type="dxa"/>
            <w:tcBorders>
              <w:top w:val="nil"/>
            </w:tcBorders>
          </w:tcPr>
          <w:p w:rsidR="00FF46E9" w:rsidRDefault="00FF46E9" w:rsidP="00653829">
            <w:pPr>
              <w:tabs>
                <w:tab w:val="num" w:pos="720"/>
              </w:tabs>
              <w:spacing w:before="100" w:beforeAutospacing="1" w:after="100" w:afterAutospacing="1"/>
              <w:jc w:val="both"/>
              <w:rPr>
                <w:color w:val="1F3864" w:themeColor="accent1" w:themeShade="80"/>
                <w:sz w:val="22"/>
              </w:rPr>
            </w:pPr>
            <w:r>
              <w:rPr>
                <w:noProof/>
                <w:color w:val="1F3864" w:themeColor="accent1" w:themeShade="80"/>
                <w:sz w:val="22"/>
              </w:rPr>
              <w:drawing>
                <wp:inline distT="0" distB="0" distL="0" distR="0" wp14:anchorId="2214D1A1" wp14:editId="13BADCD7">
                  <wp:extent cx="5397952" cy="2728044"/>
                  <wp:effectExtent l="0" t="0" r="0" b="2540"/>
                  <wp:docPr id="1" name="Picture 1" descr="A picture containing text&#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a:hlinkClick r:id="rId7"/>
                          </pic:cNvPr>
                          <pic:cNvPicPr/>
                        </pic:nvPicPr>
                        <pic:blipFill>
                          <a:blip r:embed="rId8">
                            <a:extLst>
                              <a:ext uri="{28A0092B-C50C-407E-A947-70E740481C1C}">
                                <a14:useLocalDpi xmlns:a14="http://schemas.microsoft.com/office/drawing/2010/main" val="0"/>
                              </a:ext>
                            </a:extLst>
                          </a:blip>
                          <a:stretch>
                            <a:fillRect/>
                          </a:stretch>
                        </pic:blipFill>
                        <pic:spPr>
                          <a:xfrm>
                            <a:off x="0" y="0"/>
                            <a:ext cx="5714261" cy="2887902"/>
                          </a:xfrm>
                          <a:prstGeom prst="rect">
                            <a:avLst/>
                          </a:prstGeom>
                        </pic:spPr>
                      </pic:pic>
                    </a:graphicData>
                  </a:graphic>
                </wp:inline>
              </w:drawing>
            </w:r>
          </w:p>
        </w:tc>
      </w:tr>
    </w:tbl>
    <w:p w:rsidR="00653829" w:rsidRPr="00653829" w:rsidRDefault="00653829" w:rsidP="00805AF1">
      <w:pPr>
        <w:tabs>
          <w:tab w:val="num" w:pos="720"/>
        </w:tabs>
        <w:spacing w:before="100" w:beforeAutospacing="1" w:after="100" w:afterAutospacing="1"/>
        <w:ind w:left="720" w:hanging="360"/>
        <w:jc w:val="both"/>
        <w:rPr>
          <w:color w:val="1F3864" w:themeColor="accent1" w:themeShade="80"/>
          <w:sz w:val="22"/>
        </w:rPr>
      </w:pPr>
    </w:p>
    <w:p w:rsidR="008A20B6" w:rsidRPr="00653829" w:rsidRDefault="00F1017E">
      <w:pPr>
        <w:rPr>
          <w:sz w:val="22"/>
        </w:rPr>
      </w:pPr>
    </w:p>
    <w:sectPr w:rsidR="008A20B6" w:rsidRPr="00653829" w:rsidSect="00682E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E654AF"/>
    <w:multiLevelType w:val="hybridMultilevel"/>
    <w:tmpl w:val="04D6E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AF1"/>
    <w:rsid w:val="000C3988"/>
    <w:rsid w:val="00144EAA"/>
    <w:rsid w:val="00171526"/>
    <w:rsid w:val="003874ED"/>
    <w:rsid w:val="00653829"/>
    <w:rsid w:val="00682E05"/>
    <w:rsid w:val="00805AF1"/>
    <w:rsid w:val="00917677"/>
    <w:rsid w:val="00AD7371"/>
    <w:rsid w:val="00DC487C"/>
    <w:rsid w:val="00F1017E"/>
    <w:rsid w:val="00F846F0"/>
    <w:rsid w:val="00FE144C"/>
    <w:rsid w:val="00FF4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CA998"/>
  <w14:defaultImageDpi w14:val="32767"/>
  <w15:chartTrackingRefBased/>
  <w15:docId w15:val="{B158B476-7EC7-CA41-9EE8-58A1D471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color w:val="002060"/>
        <w:spacing w:val="-10"/>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05AF1"/>
    <w:pPr>
      <w:spacing w:after="160" w:line="259" w:lineRule="auto"/>
    </w:pPr>
    <w:rPr>
      <w:rFonts w:cs="Times New Roman"/>
      <w:color w:val="auto"/>
      <w:spacing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829"/>
    <w:pPr>
      <w:spacing w:after="0" w:line="240" w:lineRule="auto"/>
      <w:ind w:left="720"/>
      <w:contextualSpacing/>
    </w:pPr>
    <w:rPr>
      <w:rFonts w:eastAsia="Times New Roman"/>
      <w:szCs w:val="24"/>
      <w:lang w:val="en-CA"/>
    </w:rPr>
  </w:style>
  <w:style w:type="table" w:styleId="TableGrid">
    <w:name w:val="Table Grid"/>
    <w:basedOn w:val="TableNormal"/>
    <w:uiPriority w:val="39"/>
    <w:rsid w:val="00FF46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7677"/>
    <w:rPr>
      <w:color w:val="0563C1" w:themeColor="hyperlink"/>
      <w:u w:val="single"/>
    </w:rPr>
  </w:style>
  <w:style w:type="character" w:styleId="UnresolvedMention">
    <w:name w:val="Unresolved Mention"/>
    <w:basedOn w:val="DefaultParagraphFont"/>
    <w:uiPriority w:val="99"/>
    <w:rsid w:val="00917677"/>
    <w:rPr>
      <w:color w:val="605E5C"/>
      <w:shd w:val="clear" w:color="auto" w:fill="E1DFDD"/>
    </w:rPr>
  </w:style>
  <w:style w:type="character" w:styleId="Strong">
    <w:name w:val="Strong"/>
    <w:basedOn w:val="DefaultParagraphFont"/>
    <w:uiPriority w:val="22"/>
    <w:qFormat/>
    <w:rsid w:val="00F1017E"/>
    <w:rPr>
      <w:b/>
      <w:bCs/>
    </w:rPr>
  </w:style>
  <w:style w:type="character" w:customStyle="1" w:styleId="apple-converted-space">
    <w:name w:val="apple-converted-space"/>
    <w:basedOn w:val="DefaultParagraphFont"/>
    <w:rsid w:val="00F1017E"/>
  </w:style>
  <w:style w:type="character" w:styleId="Emphasis">
    <w:name w:val="Emphasis"/>
    <w:basedOn w:val="DefaultParagraphFont"/>
    <w:uiPriority w:val="20"/>
    <w:qFormat/>
    <w:rsid w:val="00F101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22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unwomen-my.sharepoint.com/:v:/g/personal/cyuma_mbayiha_unwomen_org/EV3vLz-aHxlFuOsvg6_6CNQBswY2znHAU-qsGEDM0br3Qw?e=1hdc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m10.safelinks.protection.outlook.com/?url=https%3A%2F%2Fdrive.google.com%2Ffile%2Fd%2F1O_e5Cq78N-mqkUvRZfabtYXLkKWcgHUA%2Fview%3Fusp%3Dsharing&amp;data=04%7C01%7C%7C2c4d0727748b4ea389fe08d8866bb696%7C2bcd07449e18487d85c3c9a325220be8%7C0%7C0%7C637407144470467044%7CUnknown%7CTWFpbGZsb3d8eyJWIjoiMC4wLjAwMDAiLCJQIjoiV2luMzIiLCJBTiI6Ik1haWwiLCJXVCI6Mn0%3D%7C1000&amp;sdata=sLwYoQXJ6PslNvzn4wv%2FAwUDF6QVdkVa0aXKZE4NzFo%3D&amp;reserved=0" TargetMode="External"/><Relationship Id="rId5" Type="http://schemas.openxmlformats.org/officeDocument/2006/relationships/hyperlink" Target="https://nam10.safelinks.protection.outlook.com/?url=https%3A%2F%2Fdrive.google.com%2Ffile%2Fd%2F1O_e5Cq78N-mqkUvRZfabtYXLkKWcgHUA%2Fview%3Fusp%3Dsharing&amp;data=04%7C01%7C%7C2c4d0727748b4ea389fe08d8866bb696%7C2bcd07449e18487d85c3c9a325220be8%7C0%7C0%7C637407144470467044%7CUnknown%7CTWFpbGZsb3d8eyJWIjoiMC4wLjAwMDAiLCJQIjoiV2luMzIiLCJBTiI6Ik1haWwiLCJXVCI6Mn0%3D%7C1000&amp;sdata=sLwYoQXJ6PslNvzn4wv%2FAwUDF6QVdkVa0aXKZE4NzFo%3D&amp;reserved=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Cyuma MBAYIHA</dc:creator>
  <cp:keywords/>
  <dc:description/>
  <cp:lastModifiedBy>Cyuma MBAYIHA</cp:lastModifiedBy>
  <cp:revision>2</cp:revision>
  <dcterms:created xsi:type="dcterms:W3CDTF">2020-11-21T17:44:00Z</dcterms:created>
  <dcterms:modified xsi:type="dcterms:W3CDTF">2020-11-21T17:44:00Z</dcterms:modified>
</cp:coreProperties>
</file>