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A0EEC" w:rsidRDefault="009A0EEC">
      <w:pPr>
        <w:spacing w:after="120" w:line="240" w:lineRule="auto"/>
        <w:jc w:val="left"/>
        <w:rPr>
          <w:rFonts w:ascii="Times New Roman" w:eastAsia="Times New Roman" w:hAnsi="Times New Roman" w:cs="Times New Roman"/>
          <w:b/>
          <w:sz w:val="22"/>
          <w:szCs w:val="22"/>
          <w:u w:val="single"/>
        </w:rPr>
      </w:pPr>
    </w:p>
    <w:p w14:paraId="00000002" w14:textId="77777777" w:rsidR="009A0EEC" w:rsidRDefault="00BF0077">
      <w:pPr>
        <w:spacing w:after="120" w:line="240" w:lineRule="auto"/>
        <w:jc w:val="left"/>
        <w:rPr>
          <w:rFonts w:ascii="Times New Roman" w:eastAsia="Times New Roman" w:hAnsi="Times New Roman" w:cs="Times New Roman"/>
          <w:b/>
          <w:sz w:val="22"/>
          <w:szCs w:val="22"/>
          <w:u w:val="single"/>
        </w:rPr>
      </w:pPr>
      <w:r>
        <w:rPr>
          <w:rFonts w:ascii="Times New Roman" w:eastAsia="Times New Roman" w:hAnsi="Times New Roman" w:cs="Times New Roman"/>
          <w:noProof/>
          <w:sz w:val="22"/>
          <w:szCs w:val="22"/>
        </w:rPr>
        <w:drawing>
          <wp:anchor distT="0" distB="0" distL="114300" distR="114300" simplePos="0" relativeHeight="251658240" behindDoc="0" locked="0" layoutInCell="1" hidden="0" allowOverlap="1" wp14:anchorId="7BAF1BAC" wp14:editId="07C59E62">
            <wp:simplePos x="0" y="0"/>
            <wp:positionH relativeFrom="margin">
              <wp:align>right</wp:align>
            </wp:positionH>
            <wp:positionV relativeFrom="page">
              <wp:posOffset>247650</wp:posOffset>
            </wp:positionV>
            <wp:extent cx="1466088" cy="713232"/>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466088" cy="713232"/>
                    </a:xfrm>
                    <a:prstGeom prst="rect">
                      <a:avLst/>
                    </a:prstGeom>
                    <a:ln/>
                  </pic:spPr>
                </pic:pic>
              </a:graphicData>
            </a:graphic>
          </wp:anchor>
        </w:drawing>
      </w:r>
    </w:p>
    <w:p w14:paraId="00000003" w14:textId="77777777" w:rsidR="009A0EEC" w:rsidRDefault="009A0EEC">
      <w:pPr>
        <w:spacing w:after="120" w:line="240" w:lineRule="auto"/>
        <w:jc w:val="left"/>
        <w:rPr>
          <w:rFonts w:ascii="Times New Roman" w:eastAsia="Times New Roman" w:hAnsi="Times New Roman" w:cs="Times New Roman"/>
          <w:b/>
          <w:sz w:val="22"/>
          <w:szCs w:val="22"/>
          <w:u w:val="single"/>
        </w:rPr>
      </w:pPr>
    </w:p>
    <w:p w14:paraId="00000004" w14:textId="77777777" w:rsidR="009A0EEC" w:rsidRDefault="00BF0077">
      <w:pPr>
        <w:spacing w:after="12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color w:val="002060"/>
          <w:sz w:val="24"/>
        </w:rPr>
        <w:t>TERMS OF REFERENCE</w:t>
      </w:r>
    </w:p>
    <w:p w14:paraId="00000005" w14:textId="77777777" w:rsidR="009A0EEC" w:rsidRDefault="00BF0077">
      <w:pPr>
        <w:spacing w:line="240" w:lineRule="auto"/>
        <w:ind w:left="567" w:hanging="688"/>
        <w:jc w:val="center"/>
        <w:rPr>
          <w:rFonts w:ascii="Times New Roman" w:eastAsia="Times New Roman" w:hAnsi="Times New Roman" w:cs="Times New Roman"/>
          <w:b/>
          <w:sz w:val="24"/>
        </w:rPr>
      </w:pPr>
      <w:r>
        <w:rPr>
          <w:rFonts w:ascii="Times New Roman" w:eastAsia="Times New Roman" w:hAnsi="Times New Roman" w:cs="Times New Roman"/>
          <w:b/>
          <w:sz w:val="24"/>
        </w:rPr>
        <w:t>Country Programme Evaluation (CPE) of UN Women Malawi Country Office (CO) Strategic Note (SN) 2016-2021</w:t>
      </w:r>
      <w:r>
        <w:rPr>
          <w:rFonts w:ascii="Times New Roman" w:eastAsia="Times New Roman" w:hAnsi="Times New Roman" w:cs="Times New Roman"/>
          <w:b/>
          <w:color w:val="002060"/>
          <w:sz w:val="24"/>
        </w:rPr>
        <w:t>.</w:t>
      </w:r>
    </w:p>
    <w:p w14:paraId="00000006" w14:textId="77777777" w:rsidR="009A0EEC" w:rsidRDefault="009A0EEC">
      <w:pPr>
        <w:spacing w:line="240" w:lineRule="auto"/>
        <w:jc w:val="center"/>
        <w:rPr>
          <w:rFonts w:ascii="Times New Roman" w:eastAsia="Times New Roman" w:hAnsi="Times New Roman" w:cs="Times New Roman"/>
          <w:color w:val="000000"/>
          <w:sz w:val="24"/>
        </w:rPr>
      </w:pPr>
    </w:p>
    <w:p w14:paraId="00000007" w14:textId="77777777" w:rsidR="009A0EEC" w:rsidRDefault="009A0EEC">
      <w:pPr>
        <w:spacing w:line="240" w:lineRule="auto"/>
        <w:rPr>
          <w:rFonts w:ascii="Times New Roman" w:eastAsia="Times New Roman" w:hAnsi="Times New Roman" w:cs="Times New Roman"/>
          <w:b/>
          <w:sz w:val="24"/>
          <w:u w:val="single"/>
        </w:rPr>
      </w:pPr>
    </w:p>
    <w:tbl>
      <w:tblPr>
        <w:tblStyle w:val="a"/>
        <w:tblW w:w="5200" w:type="dxa"/>
        <w:tblLayout w:type="fixed"/>
        <w:tblLook w:val="0400" w:firstRow="0" w:lastRow="0" w:firstColumn="0" w:lastColumn="0" w:noHBand="0" w:noVBand="1"/>
      </w:tblPr>
      <w:tblGrid>
        <w:gridCol w:w="3570"/>
        <w:gridCol w:w="1630"/>
      </w:tblGrid>
      <w:tr w:rsidR="009A0EEC" w14:paraId="2973ED48" w14:textId="77777777">
        <w:tc>
          <w:tcPr>
            <w:tcW w:w="3570" w:type="dxa"/>
            <w:shd w:val="clear" w:color="auto" w:fill="auto"/>
          </w:tcPr>
          <w:p w14:paraId="00000008"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b/>
                <w:sz w:val="24"/>
              </w:rPr>
              <w:t>Location:</w:t>
            </w:r>
          </w:p>
        </w:tc>
        <w:tc>
          <w:tcPr>
            <w:tcW w:w="1630" w:type="dxa"/>
            <w:shd w:val="clear" w:color="auto" w:fill="auto"/>
          </w:tcPr>
          <w:p w14:paraId="00000009"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Malawi</w:t>
            </w:r>
          </w:p>
        </w:tc>
      </w:tr>
      <w:tr w:rsidR="009A0EEC" w14:paraId="5F629E7F" w14:textId="77777777">
        <w:tc>
          <w:tcPr>
            <w:tcW w:w="3570" w:type="dxa"/>
            <w:shd w:val="clear" w:color="auto" w:fill="auto"/>
          </w:tcPr>
          <w:p w14:paraId="0000000A"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b/>
                <w:sz w:val="24"/>
              </w:rPr>
              <w:t>Languages Required:</w:t>
            </w:r>
          </w:p>
        </w:tc>
        <w:tc>
          <w:tcPr>
            <w:tcW w:w="1630" w:type="dxa"/>
            <w:shd w:val="clear" w:color="auto" w:fill="auto"/>
          </w:tcPr>
          <w:p w14:paraId="0000000B"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Fluent English</w:t>
            </w:r>
          </w:p>
        </w:tc>
      </w:tr>
      <w:tr w:rsidR="009A0EEC" w14:paraId="656768F1" w14:textId="77777777">
        <w:tc>
          <w:tcPr>
            <w:tcW w:w="3570" w:type="dxa"/>
            <w:shd w:val="clear" w:color="auto" w:fill="auto"/>
          </w:tcPr>
          <w:p w14:paraId="0000000C"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b/>
                <w:sz w:val="24"/>
              </w:rPr>
              <w:t>Duration of Initial Contract:</w:t>
            </w:r>
          </w:p>
        </w:tc>
        <w:tc>
          <w:tcPr>
            <w:tcW w:w="1630" w:type="dxa"/>
            <w:shd w:val="clear" w:color="auto" w:fill="auto"/>
          </w:tcPr>
          <w:p w14:paraId="0000000D"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45 working days</w:t>
            </w:r>
          </w:p>
        </w:tc>
      </w:tr>
      <w:tr w:rsidR="009A0EEC" w14:paraId="4B31DA97" w14:textId="77777777">
        <w:tc>
          <w:tcPr>
            <w:tcW w:w="3570" w:type="dxa"/>
            <w:shd w:val="clear" w:color="auto" w:fill="auto"/>
          </w:tcPr>
          <w:p w14:paraId="0000000E"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b/>
                <w:sz w:val="24"/>
              </w:rPr>
              <w:t>Expected Duration of Assignment:</w:t>
            </w:r>
          </w:p>
        </w:tc>
        <w:tc>
          <w:tcPr>
            <w:tcW w:w="1630" w:type="dxa"/>
            <w:shd w:val="clear" w:color="auto" w:fill="auto"/>
          </w:tcPr>
          <w:p w14:paraId="0000000F"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6 months</w:t>
            </w:r>
          </w:p>
        </w:tc>
      </w:tr>
    </w:tbl>
    <w:p w14:paraId="00000010"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1"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2"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3"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4"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5"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6"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7"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8"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9"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A"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B"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C"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D"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E"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1F"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20"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21" w14:textId="77777777" w:rsidR="009A0EEC" w:rsidRDefault="009A0EEC">
      <w:pPr>
        <w:spacing w:before="240" w:after="120" w:line="240" w:lineRule="auto"/>
        <w:rPr>
          <w:rFonts w:ascii="Times New Roman" w:eastAsia="Times New Roman" w:hAnsi="Times New Roman" w:cs="Times New Roman"/>
          <w:b/>
          <w:sz w:val="22"/>
          <w:szCs w:val="22"/>
          <w:u w:val="single"/>
        </w:rPr>
      </w:pPr>
    </w:p>
    <w:p w14:paraId="00000022" w14:textId="77777777" w:rsidR="009A0EEC" w:rsidRDefault="00BF0077">
      <w:pPr>
        <w:pStyle w:val="Heading1"/>
        <w:numPr>
          <w:ilvl w:val="0"/>
          <w:numId w:val="6"/>
        </w:numPr>
        <w:spacing w:line="240" w:lineRule="auto"/>
        <w:ind w:left="709"/>
        <w:rPr>
          <w:rFonts w:ascii="Times New Roman" w:eastAsia="Times New Roman" w:hAnsi="Times New Roman" w:cs="Times New Roman"/>
        </w:rPr>
      </w:pPr>
      <w:r>
        <w:rPr>
          <w:rFonts w:ascii="Times New Roman" w:eastAsia="Times New Roman" w:hAnsi="Times New Roman" w:cs="Times New Roman"/>
        </w:rPr>
        <w:lastRenderedPageBreak/>
        <w:t>Introduction and purpose of the CPE</w:t>
      </w:r>
    </w:p>
    <w:p w14:paraId="00000023" w14:textId="77777777" w:rsidR="009A0EEC" w:rsidRDefault="009A0EEC">
      <w:pPr>
        <w:spacing w:line="240" w:lineRule="auto"/>
        <w:rPr>
          <w:rFonts w:ascii="Times New Roman" w:eastAsia="Times New Roman" w:hAnsi="Times New Roman" w:cs="Times New Roman"/>
        </w:rPr>
      </w:pPr>
    </w:p>
    <w:p w14:paraId="00000024"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A Country Portfolio Evaluation (CPE) is a gender-responsive systematic assessment of the performance and contributions made by a Country Office for the achievement of gender equality results in the country they serve. The CPE utilizes the entity’s strategic plan as a reference for measuring progress towards the achievement of expected outcomes and impacts. Similar, to other evaluations, the CPE is compliant with UN Women Evaluation Policy</w:t>
      </w:r>
      <w:r>
        <w:rPr>
          <w:rFonts w:ascii="Times New Roman" w:eastAsia="Times New Roman" w:hAnsi="Times New Roman" w:cs="Times New Roman"/>
          <w:sz w:val="24"/>
          <w:vertAlign w:val="superscript"/>
        </w:rPr>
        <w:footnoteReference w:id="1"/>
      </w:r>
      <w:r>
        <w:rPr>
          <w:rFonts w:ascii="Times New Roman" w:eastAsia="Times New Roman" w:hAnsi="Times New Roman" w:cs="Times New Roman"/>
          <w:sz w:val="24"/>
        </w:rPr>
        <w:t xml:space="preserve"> and aligned with the United Nations Evaluation Group (UNEG) Norms and Standards</w:t>
      </w:r>
      <w:r>
        <w:rPr>
          <w:rFonts w:ascii="Times New Roman" w:eastAsia="Times New Roman" w:hAnsi="Times New Roman" w:cs="Times New Roman"/>
          <w:sz w:val="24"/>
          <w:vertAlign w:val="superscript"/>
        </w:rPr>
        <w:footnoteReference w:id="2"/>
      </w:r>
      <w:r>
        <w:rPr>
          <w:rFonts w:ascii="Times New Roman" w:eastAsia="Times New Roman" w:hAnsi="Times New Roman" w:cs="Times New Roman"/>
          <w:sz w:val="24"/>
        </w:rPr>
        <w:t xml:space="preserve"> for Evaluation in the UN System and Ethical Guidelines.</w:t>
      </w:r>
      <w:r>
        <w:rPr>
          <w:rFonts w:ascii="Times New Roman" w:eastAsia="Times New Roman" w:hAnsi="Times New Roman" w:cs="Times New Roman"/>
          <w:sz w:val="24"/>
          <w:vertAlign w:val="superscript"/>
        </w:rPr>
        <w:footnoteReference w:id="3"/>
      </w:r>
      <w:r>
        <w:rPr>
          <w:rFonts w:ascii="Times New Roman" w:eastAsia="Times New Roman" w:hAnsi="Times New Roman" w:cs="Times New Roman"/>
          <w:sz w:val="24"/>
        </w:rPr>
        <w:t xml:space="preserve"> The CPE is being led by the Independent Evaluation Service (IES) of the Independent Evaluation and Audit Services of UN Women (IEAS).</w:t>
      </w:r>
    </w:p>
    <w:p w14:paraId="00000025"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 will serve a dual and mutually reinforcing learning and accountability purpose as it provides an opportunity to: (</w:t>
      </w: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 consolidate learning from what worked and what could be done differently; and (ii) offer evidence-informed insights to support the development of a new Strategic Note covering the period 2022 to 2027. In general, the CPE will examine UN Women’s integrated mandate, its comparative and collaborative advantages, and the synergies among thematic areas to establish a trajectory of results and analysis of medium- to long-term changes along the development and humanitarian nexus over the five -year period.</w:t>
      </w:r>
    </w:p>
    <w:p w14:paraId="00000026"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Specifically, the CPE will assess the UN Women Malawi’s strategic positioning</w:t>
      </w:r>
      <w:r>
        <w:rPr>
          <w:rFonts w:ascii="Times New Roman" w:eastAsia="Times New Roman" w:hAnsi="Times New Roman" w:cs="Times New Roman"/>
          <w:sz w:val="24"/>
          <w:vertAlign w:val="superscript"/>
        </w:rPr>
        <w:footnoteReference w:id="4"/>
      </w:r>
      <w:r>
        <w:rPr>
          <w:rFonts w:ascii="Times New Roman" w:eastAsia="Times New Roman" w:hAnsi="Times New Roman" w:cs="Times New Roman"/>
          <w:sz w:val="24"/>
        </w:rPr>
        <w:t xml:space="preserve">, and the relevance, effectiveness, efficiency, and sustainability of the portfolio with reference to the Strategic Note cycle of 2016-2021. The CPE will target programmes and projects that the CO has implemented during the past 5 years, with a special focus on the Women Empowerment Programme implemented with funding from the Royal Norwegian Embassy. The CPE focuses on their individual and combined success in advancing gender equality in Malawi. It uses the Strategic Note as the main point of reference. </w:t>
      </w:r>
    </w:p>
    <w:p w14:paraId="00000027"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In particular, the evaluation will examine: </w:t>
      </w:r>
    </w:p>
    <w:p w14:paraId="00000028" w14:textId="77777777" w:rsidR="009A0EEC" w:rsidRDefault="009A0EEC">
      <w:p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p>
    <w:p w14:paraId="00000029" w14:textId="77777777" w:rsidR="009A0EEC" w:rsidRDefault="00BF0077">
      <w:pPr>
        <w:numPr>
          <w:ilvl w:val="0"/>
          <w:numId w:val="8"/>
        </w:num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level of efficiency, effectiveness, and sustainability of UN Women thematic areas and integrated mandate and explanations for these results (including factors beyond UN Women’s control).</w:t>
      </w:r>
    </w:p>
    <w:p w14:paraId="0000002A" w14:textId="77777777" w:rsidR="009A0EEC" w:rsidRDefault="00BF0077">
      <w:pPr>
        <w:numPr>
          <w:ilvl w:val="0"/>
          <w:numId w:val="8"/>
        </w:num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the level of synergy and multiplying effect between the various thematic areas and the integrated mandate including leveraging opportunities with partners (joint programmes, contribution to UNDAF (UNSDCF), national capacity, legislative frameworks etc).</w:t>
      </w:r>
    </w:p>
    <w:p w14:paraId="0000002B" w14:textId="77777777" w:rsidR="009A0EEC" w:rsidRDefault="00BF0077">
      <w:pPr>
        <w:numPr>
          <w:ilvl w:val="0"/>
          <w:numId w:val="8"/>
        </w:num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level of organizational effectiveness and efficiency results including risk mitigation measures, resources stewardship, organizational structure, results-based management) to understand these drivers of strategy and how they were considered and managed; and </w:t>
      </w:r>
    </w:p>
    <w:p w14:paraId="0000002C" w14:textId="3111E737" w:rsidR="009A0EEC" w:rsidRDefault="00BF0077">
      <w:pPr>
        <w:numPr>
          <w:ilvl w:val="0"/>
          <w:numId w:val="8"/>
        </w:num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identify and validate lessons learned, good practices and examples of innovation that support gender equality and women’s empowerment and provide actionable recommendations to feed into</w:t>
      </w:r>
      <w:sdt>
        <w:sdtPr>
          <w:tag w:val="goog_rdk_0"/>
          <w:id w:val="933554815"/>
          <w:showingPlcHdr/>
        </w:sdtPr>
        <w:sdtEndPr/>
        <w:sdtContent>
          <w:r>
            <w:t xml:space="preserve">     </w:t>
          </w:r>
        </w:sdtContent>
      </w:sdt>
      <w:r>
        <w:rPr>
          <w:rFonts w:ascii="Times New Roman" w:eastAsia="Times New Roman" w:hAnsi="Times New Roman" w:cs="Times New Roman"/>
          <w:color w:val="000000"/>
          <w:sz w:val="24"/>
        </w:rPr>
        <w:t>to the forthcoming Strategic Note and its engagement in system-wide initiatives and review process</w:t>
      </w:r>
      <w:sdt>
        <w:sdtPr>
          <w:tag w:val="goog_rdk_1"/>
          <w:id w:val="1929076020"/>
        </w:sdtPr>
        <w:sdtEndPr/>
        <w:sdtContent>
          <w:r>
            <w:rPr>
              <w:rFonts w:ascii="Times New Roman" w:eastAsia="Times New Roman" w:hAnsi="Times New Roman" w:cs="Times New Roman"/>
              <w:color w:val="000000"/>
              <w:sz w:val="24"/>
            </w:rPr>
            <w:t>es</w:t>
          </w:r>
        </w:sdtContent>
      </w:sdt>
      <w:r>
        <w:rPr>
          <w:rFonts w:ascii="Times New Roman" w:eastAsia="Times New Roman" w:hAnsi="Times New Roman" w:cs="Times New Roman"/>
          <w:color w:val="000000"/>
          <w:sz w:val="24"/>
        </w:rPr>
        <w:t xml:space="preserve"> including UNSDCF annual and mid-term reviews. </w:t>
      </w:r>
    </w:p>
    <w:p w14:paraId="0000002D" w14:textId="77777777" w:rsidR="009A0EEC" w:rsidRDefault="009A0EEC">
      <w:p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p>
    <w:p w14:paraId="0000002E" w14:textId="77777777" w:rsidR="009A0EEC" w:rsidRDefault="00BF0077">
      <w:p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proposed CPE will be a transparent and participatory process. To achieve this the evaluation methodology will involve all relevant UN Women Malawi CO staff, stakeholders, and partners at national and sub-national levels. The CPE will be based on gender and human rights principles, as defined in the UN Women Evaluation Policy, and adhere to the UN norms and standards for evaluation in the UN System. </w:t>
      </w:r>
    </w:p>
    <w:p w14:paraId="0000002F" w14:textId="77777777" w:rsidR="009A0EEC" w:rsidRDefault="009A0EEC">
      <w:p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p>
    <w:p w14:paraId="00000030" w14:textId="77777777" w:rsidR="009A0EEC" w:rsidRDefault="00BF0077">
      <w:pPr>
        <w:pStyle w:val="Heading1"/>
        <w:numPr>
          <w:ilvl w:val="0"/>
          <w:numId w:val="6"/>
        </w:numPr>
        <w:spacing w:line="240" w:lineRule="auto"/>
        <w:ind w:left="709"/>
        <w:rPr>
          <w:rFonts w:ascii="Times New Roman" w:eastAsia="Times New Roman" w:hAnsi="Times New Roman" w:cs="Times New Roman"/>
        </w:rPr>
      </w:pPr>
      <w:r>
        <w:rPr>
          <w:rFonts w:ascii="Times New Roman" w:eastAsia="Times New Roman" w:hAnsi="Times New Roman" w:cs="Times New Roman"/>
        </w:rPr>
        <w:t xml:space="preserve">Background (programme/project context) </w:t>
      </w:r>
    </w:p>
    <w:p w14:paraId="00000031" w14:textId="77777777" w:rsidR="009A0EEC" w:rsidRDefault="009A0EEC">
      <w:pPr>
        <w:spacing w:line="240" w:lineRule="auto"/>
      </w:pPr>
    </w:p>
    <w:p w14:paraId="00000032"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UN Women's mandate (GA resolution 64/289) is to lead, coordinate and promote accountability of the UN system to deliver on gender equality and women empowerment with the primary objective of enhancing country-level coherence, ensuring coordinated interventions, and securing positive impacts on the lives of women and girls, including those living in rural areas. </w:t>
      </w:r>
    </w:p>
    <w:p w14:paraId="00000033" w14:textId="77777777" w:rsidR="009A0EEC" w:rsidRDefault="00BF0077">
      <w:p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Country Office (CO) Strategic Note (SN) is the main planning tool for UN Women’s support to normative, coordination and operational work in Malawi. The SN is aimed at ensuring that Women and girls enjoy their full rights and positively contribute to, and benefit from, social economic and political development in Malawi by December 2021. The SN has largely been implemented through the Women Empowerment Programme which consists of three thematic components namely, Gender and governance: Women and Youth empowerment through enterprise development and Elimination of Violence against women and girls.</w:t>
      </w:r>
    </w:p>
    <w:p w14:paraId="00000034" w14:textId="77777777" w:rsidR="009A0EEC" w:rsidRDefault="009A0EEC">
      <w:pPr>
        <w:pBdr>
          <w:top w:val="nil"/>
          <w:left w:val="nil"/>
          <w:bottom w:val="nil"/>
          <w:right w:val="nil"/>
          <w:between w:val="nil"/>
        </w:pBdr>
        <w:tabs>
          <w:tab w:val="left" w:pos="-90"/>
          <w:tab w:val="left" w:pos="0"/>
        </w:tabs>
        <w:spacing w:line="240" w:lineRule="auto"/>
        <w:rPr>
          <w:rFonts w:ascii="Times New Roman" w:eastAsia="Times New Roman" w:hAnsi="Times New Roman" w:cs="Times New Roman"/>
          <w:color w:val="000000"/>
          <w:sz w:val="24"/>
        </w:rPr>
      </w:pPr>
    </w:p>
    <w:p w14:paraId="00000035"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 UN Women portfolio is focused around its three-fold mandate, which includes normative, operation and coordination work. </w:t>
      </w:r>
    </w:p>
    <w:p w14:paraId="00000036" w14:textId="77777777" w:rsidR="009A0EEC" w:rsidRDefault="009A0EEC">
      <w:pPr>
        <w:spacing w:after="120" w:line="240" w:lineRule="auto"/>
        <w:rPr>
          <w:rFonts w:ascii="Times New Roman" w:eastAsia="Times New Roman" w:hAnsi="Times New Roman" w:cs="Times New Roman"/>
          <w:sz w:val="24"/>
        </w:rPr>
      </w:pPr>
    </w:p>
    <w:p w14:paraId="00000037" w14:textId="77777777" w:rsidR="009A0EEC" w:rsidRDefault="00BF0077">
      <w:pPr>
        <w:numPr>
          <w:ilvl w:val="0"/>
          <w:numId w:val="16"/>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Normative work</w:t>
      </w:r>
      <w:r>
        <w:rPr>
          <w:rFonts w:ascii="Times New Roman" w:eastAsia="Times New Roman" w:hAnsi="Times New Roman" w:cs="Times New Roman"/>
          <w:color w:val="000000"/>
          <w:sz w:val="24"/>
        </w:rPr>
        <w:t xml:space="preserve">: to support inter-governmental bodies, such as the Commission on the Status of Women (CSW) and the General Assembly, in their formulation of policies, global standards and norms. The Strategic Note 2016 – 2021 is grounded in the standards, principles, and obligations of the Convention to Eliminate all forms of Discrimination Against Women (CEDAW), Beijing Declaration and Platform for Action, Concluding Observations of the Commission on the Status of Women, UNSCR 1325, CEDAW Concluding Observations on the combined 4th and 5th periodic reports. The SN is designed in support of the international commitments and national strategies and in support </w:t>
      </w:r>
      <w:r>
        <w:rPr>
          <w:rFonts w:ascii="Times New Roman" w:eastAsia="Times New Roman" w:hAnsi="Times New Roman" w:cs="Times New Roman"/>
          <w:sz w:val="24"/>
        </w:rPr>
        <w:t>of efforts</w:t>
      </w:r>
      <w:r>
        <w:rPr>
          <w:rFonts w:ascii="Times New Roman" w:eastAsia="Times New Roman" w:hAnsi="Times New Roman" w:cs="Times New Roman"/>
          <w:color w:val="000000"/>
          <w:sz w:val="24"/>
        </w:rPr>
        <w:t xml:space="preserve"> led by governments and CSOs. The SN is aligned to UN Women Global Strategic Plans 2014 – 2017 and 2018 – 2021.  </w:t>
      </w:r>
    </w:p>
    <w:p w14:paraId="00000038" w14:textId="77777777" w:rsidR="009A0EEC" w:rsidRDefault="00BF0077">
      <w:pPr>
        <w:numPr>
          <w:ilvl w:val="0"/>
          <w:numId w:val="16"/>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lastRenderedPageBreak/>
        <w:t>Operational work</w:t>
      </w:r>
      <w:r>
        <w:rPr>
          <w:rFonts w:ascii="Times New Roman" w:eastAsia="Times New Roman" w:hAnsi="Times New Roman" w:cs="Times New Roman"/>
          <w:color w:val="000000"/>
          <w:sz w:val="24"/>
        </w:rPr>
        <w:t>: to help Member States to implement international standards and to forge effective partnerships with civil society; and</w:t>
      </w:r>
    </w:p>
    <w:p w14:paraId="00000039" w14:textId="77777777" w:rsidR="009A0EEC" w:rsidRDefault="00BF0077">
      <w:pPr>
        <w:numPr>
          <w:ilvl w:val="0"/>
          <w:numId w:val="16"/>
        </w:numPr>
        <w:pBdr>
          <w:top w:val="nil"/>
          <w:left w:val="nil"/>
          <w:bottom w:val="nil"/>
          <w:right w:val="nil"/>
          <w:between w:val="nil"/>
        </w:pBd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Coordination work</w:t>
      </w:r>
      <w:r>
        <w:rPr>
          <w:rFonts w:ascii="Times New Roman" w:eastAsia="Times New Roman" w:hAnsi="Times New Roman" w:cs="Times New Roman"/>
          <w:color w:val="000000"/>
          <w:sz w:val="24"/>
        </w:rPr>
        <w:t>: entails both 1) work to promote the accountability of the United Nations system on gender equality and women empowerment (GEWE), including regular monitoring of system-wide progress, and more broadly 2) work to mobilize and convene key stakeholders to ensure greater coherence and gender mainstreaming across the UN.</w:t>
      </w:r>
    </w:p>
    <w:p w14:paraId="0000003A"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main interventions undertaken across three mandate areas under the Strategic Note 2016 – 2021 are:</w:t>
      </w:r>
    </w:p>
    <w:p w14:paraId="0000003B" w14:textId="77777777" w:rsidR="009A0EEC" w:rsidRDefault="009A0EEC">
      <w:pPr>
        <w:spacing w:after="120" w:line="240" w:lineRule="auto"/>
        <w:rPr>
          <w:rFonts w:ascii="Times New Roman" w:eastAsia="Times New Roman" w:hAnsi="Times New Roman" w:cs="Times New Roman"/>
          <w:sz w:val="24"/>
        </w:rPr>
      </w:pPr>
    </w:p>
    <w:tbl>
      <w:tblPr>
        <w:tblStyle w:val="a0"/>
        <w:tblW w:w="9923" w:type="dxa"/>
        <w:tblLayout w:type="fixed"/>
        <w:tblLook w:val="0400" w:firstRow="0" w:lastRow="0" w:firstColumn="0" w:lastColumn="0" w:noHBand="0" w:noVBand="1"/>
      </w:tblPr>
      <w:tblGrid>
        <w:gridCol w:w="9923"/>
      </w:tblGrid>
      <w:tr w:rsidR="009A0EEC" w14:paraId="5D0C3F14" w14:textId="77777777">
        <w:tc>
          <w:tcPr>
            <w:tcW w:w="9923" w:type="dxa"/>
          </w:tcPr>
          <w:p w14:paraId="0000003C" w14:textId="77777777" w:rsidR="009A0EEC" w:rsidRDefault="009A0EEC">
            <w:pPr>
              <w:widowControl w:val="0"/>
              <w:pBdr>
                <w:top w:val="nil"/>
                <w:left w:val="nil"/>
                <w:bottom w:val="nil"/>
                <w:right w:val="nil"/>
                <w:between w:val="nil"/>
              </w:pBdr>
              <w:jc w:val="left"/>
              <w:rPr>
                <w:rFonts w:ascii="Times New Roman" w:eastAsia="Times New Roman" w:hAnsi="Times New Roman" w:cs="Times New Roman"/>
                <w:sz w:val="24"/>
              </w:rPr>
            </w:pPr>
          </w:p>
          <w:tbl>
            <w:tblPr>
              <w:tblStyle w:val="a1"/>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3"/>
              <w:gridCol w:w="2552"/>
              <w:gridCol w:w="4332"/>
            </w:tblGrid>
            <w:tr w:rsidR="009A0EEC" w14:paraId="70B7C81B" w14:textId="77777777">
              <w:trPr>
                <w:trHeight w:val="665"/>
              </w:trPr>
              <w:tc>
                <w:tcPr>
                  <w:tcW w:w="2863" w:type="dxa"/>
                  <w:shd w:val="clear" w:color="auto" w:fill="D5DCE4"/>
                </w:tcPr>
                <w:p w14:paraId="0000003D" w14:textId="77777777" w:rsidR="009A0EEC" w:rsidRDefault="00BF0077">
                  <w:pPr>
                    <w:spacing w:line="240" w:lineRule="auto"/>
                    <w:jc w:val="left"/>
                    <w:rPr>
                      <w:rFonts w:ascii="Times New Roman" w:eastAsia="Times New Roman" w:hAnsi="Times New Roman" w:cs="Times New Roman"/>
                      <w:b/>
                      <w:sz w:val="24"/>
                    </w:rPr>
                  </w:pPr>
                  <w:r>
                    <w:rPr>
                      <w:rFonts w:ascii="Times New Roman" w:eastAsia="Times New Roman" w:hAnsi="Times New Roman" w:cs="Times New Roman"/>
                      <w:b/>
                      <w:sz w:val="24"/>
                    </w:rPr>
                    <w:t>Normative</w:t>
                  </w:r>
                </w:p>
              </w:tc>
              <w:tc>
                <w:tcPr>
                  <w:tcW w:w="2552" w:type="dxa"/>
                  <w:shd w:val="clear" w:color="auto" w:fill="D5DCE4"/>
                </w:tcPr>
                <w:p w14:paraId="0000003E" w14:textId="77777777" w:rsidR="009A0EEC" w:rsidRDefault="00BF0077">
                  <w:pPr>
                    <w:spacing w:line="240" w:lineRule="auto"/>
                    <w:jc w:val="left"/>
                    <w:rPr>
                      <w:rFonts w:ascii="Times New Roman" w:eastAsia="Times New Roman" w:hAnsi="Times New Roman" w:cs="Times New Roman"/>
                      <w:b/>
                      <w:sz w:val="24"/>
                    </w:rPr>
                  </w:pPr>
                  <w:r>
                    <w:rPr>
                      <w:rFonts w:ascii="Times New Roman" w:eastAsia="Times New Roman" w:hAnsi="Times New Roman" w:cs="Times New Roman"/>
                      <w:b/>
                      <w:sz w:val="24"/>
                    </w:rPr>
                    <w:t>Coordination</w:t>
                  </w:r>
                </w:p>
              </w:tc>
              <w:tc>
                <w:tcPr>
                  <w:tcW w:w="4332" w:type="dxa"/>
                  <w:shd w:val="clear" w:color="auto" w:fill="D5DCE4"/>
                </w:tcPr>
                <w:p w14:paraId="0000003F" w14:textId="77777777" w:rsidR="009A0EEC" w:rsidRDefault="00BF0077">
                  <w:pPr>
                    <w:spacing w:line="240" w:lineRule="auto"/>
                    <w:jc w:val="left"/>
                    <w:rPr>
                      <w:rFonts w:ascii="Times New Roman" w:eastAsia="Times New Roman" w:hAnsi="Times New Roman" w:cs="Times New Roman"/>
                      <w:b/>
                      <w:sz w:val="24"/>
                    </w:rPr>
                  </w:pPr>
                  <w:r>
                    <w:rPr>
                      <w:rFonts w:ascii="Times New Roman" w:eastAsia="Times New Roman" w:hAnsi="Times New Roman" w:cs="Times New Roman"/>
                      <w:b/>
                      <w:sz w:val="24"/>
                    </w:rPr>
                    <w:t>Impact Areas as per the Annual Workplan</w:t>
                  </w:r>
                </w:p>
              </w:tc>
            </w:tr>
            <w:tr w:rsidR="009A0EEC" w14:paraId="5584A71F" w14:textId="77777777">
              <w:tc>
                <w:tcPr>
                  <w:tcW w:w="2863" w:type="dxa"/>
                  <w:shd w:val="clear" w:color="auto" w:fill="auto"/>
                </w:tcPr>
                <w:p w14:paraId="00000040"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Enhanced dialogue among the Gender machinery on implementation of Gender equality related national, regional, and international normative and policy frameworks.</w:t>
                  </w:r>
                </w:p>
                <w:p w14:paraId="00000041"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Support implementation and tracking progress of SDG 5, CEDAW.</w:t>
                  </w:r>
                </w:p>
                <w:p w14:paraId="00000042"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Support to Beijing +20 and +25 national Review </w:t>
                  </w:r>
                </w:p>
                <w:p w14:paraId="00000043"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Support to CEDAW and Istanbul Convention national and shadow reports</w:t>
                  </w:r>
                </w:p>
                <w:p w14:paraId="00000044" w14:textId="77777777" w:rsidR="009A0EEC" w:rsidRDefault="009A0EEC">
                  <w:pPr>
                    <w:spacing w:after="120" w:line="240" w:lineRule="auto"/>
                    <w:jc w:val="left"/>
                    <w:rPr>
                      <w:rFonts w:ascii="Times New Roman" w:eastAsia="Times New Roman" w:hAnsi="Times New Roman" w:cs="Times New Roman"/>
                      <w:sz w:val="24"/>
                    </w:rPr>
                  </w:pPr>
                </w:p>
              </w:tc>
              <w:tc>
                <w:tcPr>
                  <w:tcW w:w="2552" w:type="dxa"/>
                </w:tcPr>
                <w:p w14:paraId="00000045"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Member of the UNCT</w:t>
                  </w:r>
                </w:p>
                <w:p w14:paraId="00000046"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Lead of UNCT Gender Theme Group (GTG)</w:t>
                  </w:r>
                </w:p>
                <w:p w14:paraId="00000047"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Lead of Results Group on Gender Equality (RGEW)</w:t>
                  </w:r>
                </w:p>
                <w:p w14:paraId="00000048"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Co-lead of International Working Group on Gender Equality</w:t>
                  </w:r>
                </w:p>
                <w:p w14:paraId="00000049"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Consultations with Civil Society Advisory Group (CSAG)</w:t>
                  </w:r>
                </w:p>
                <w:p w14:paraId="0000004A"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 xml:space="preserve">Quarterly coordination with Gender mechanisms </w:t>
                  </w:r>
                </w:p>
              </w:tc>
              <w:tc>
                <w:tcPr>
                  <w:tcW w:w="4332" w:type="dxa"/>
                </w:tcPr>
                <w:p w14:paraId="0000004B"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b/>
                      <w:sz w:val="24"/>
                    </w:rPr>
                    <w:t xml:space="preserve">Impact Area 6: </w:t>
                  </w:r>
                  <w:r>
                    <w:rPr>
                      <w:rFonts w:ascii="Times New Roman" w:eastAsia="Times New Roman" w:hAnsi="Times New Roman" w:cs="Times New Roman"/>
                      <w:sz w:val="24"/>
                    </w:rPr>
                    <w:t>A comprehensive and dynamic set of global norms, policies and standards on gender equality and women &amp; girls’ empowerment is strengthened and implemented.</w:t>
                  </w:r>
                </w:p>
                <w:p w14:paraId="0000004C"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b/>
                      <w:sz w:val="24"/>
                    </w:rPr>
                    <w:t xml:space="preserve">Impact Area 1: </w:t>
                  </w:r>
                  <w:r>
                    <w:rPr>
                      <w:rFonts w:ascii="Times New Roman" w:eastAsia="Times New Roman" w:hAnsi="Times New Roman" w:cs="Times New Roman"/>
                      <w:sz w:val="24"/>
                    </w:rPr>
                    <w:t>Women lead, participate in, and benefit equally from governance systems.</w:t>
                  </w:r>
                </w:p>
                <w:p w14:paraId="0000004D"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b/>
                      <w:sz w:val="24"/>
                    </w:rPr>
                    <w:t xml:space="preserve">Impact Area 3: </w:t>
                  </w:r>
                  <w:r>
                    <w:rPr>
                      <w:rFonts w:ascii="Times New Roman" w:eastAsia="Times New Roman" w:hAnsi="Times New Roman" w:cs="Times New Roman"/>
                      <w:sz w:val="24"/>
                    </w:rPr>
                    <w:t>Women and girls live a life free of violence.</w:t>
                  </w:r>
                </w:p>
                <w:p w14:paraId="0000004E" w14:textId="77777777"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b/>
                      <w:sz w:val="24"/>
                    </w:rPr>
                    <w:t xml:space="preserve">Impact Area 2: </w:t>
                  </w:r>
                  <w:r>
                    <w:rPr>
                      <w:rFonts w:ascii="Times New Roman" w:eastAsia="Times New Roman" w:hAnsi="Times New Roman" w:cs="Times New Roman"/>
                      <w:sz w:val="24"/>
                    </w:rPr>
                    <w:t>Women have income security, decent work, and economic autonomy.</w:t>
                  </w:r>
                </w:p>
                <w:p w14:paraId="0000004F" w14:textId="77777777" w:rsidR="009A0EEC" w:rsidRDefault="00BF0077">
                  <w:pPr>
                    <w:spacing w:after="120" w:line="240" w:lineRule="auto"/>
                    <w:jc w:val="left"/>
                    <w:rPr>
                      <w:rFonts w:ascii="Times New Roman" w:eastAsia="Times New Roman" w:hAnsi="Times New Roman" w:cs="Times New Roman"/>
                      <w:i/>
                      <w:sz w:val="24"/>
                    </w:rPr>
                  </w:pPr>
                  <w:r>
                    <w:rPr>
                      <w:rFonts w:ascii="Times New Roman" w:eastAsia="Times New Roman" w:hAnsi="Times New Roman" w:cs="Times New Roman"/>
                      <w:b/>
                      <w:sz w:val="24"/>
                    </w:rPr>
                    <w:t xml:space="preserve">Impact Area 4: </w:t>
                  </w:r>
                  <w:r>
                    <w:rPr>
                      <w:rFonts w:ascii="Times New Roman" w:eastAsia="Times New Roman" w:hAnsi="Times New Roman" w:cs="Times New Roman"/>
                      <w:sz w:val="24"/>
                    </w:rPr>
                    <w:t>Peace, security, transitional justice, and humanitarian action shaped by women leadership and participation</w:t>
                  </w:r>
                  <w:r>
                    <w:rPr>
                      <w:rFonts w:ascii="Times New Roman" w:eastAsia="Times New Roman" w:hAnsi="Times New Roman" w:cs="Times New Roman"/>
                      <w:i/>
                      <w:sz w:val="24"/>
                    </w:rPr>
                    <w:t>.</w:t>
                  </w:r>
                </w:p>
                <w:p w14:paraId="00000050" w14:textId="77777777" w:rsidR="009A0EEC" w:rsidRDefault="009A0EEC">
                  <w:pPr>
                    <w:spacing w:after="120" w:line="240" w:lineRule="auto"/>
                    <w:jc w:val="left"/>
                    <w:rPr>
                      <w:rFonts w:ascii="Times New Roman" w:eastAsia="Times New Roman" w:hAnsi="Times New Roman" w:cs="Times New Roman"/>
                      <w:sz w:val="24"/>
                    </w:rPr>
                  </w:pPr>
                </w:p>
              </w:tc>
            </w:tr>
          </w:tbl>
          <w:p w14:paraId="00000051" w14:textId="77777777" w:rsidR="009A0EEC" w:rsidRDefault="009A0EEC">
            <w:pPr>
              <w:spacing w:after="120" w:line="240" w:lineRule="auto"/>
              <w:rPr>
                <w:rFonts w:ascii="Times New Roman" w:eastAsia="Times New Roman" w:hAnsi="Times New Roman" w:cs="Times New Roman"/>
                <w:sz w:val="24"/>
                <w:highlight w:val="yellow"/>
              </w:rPr>
            </w:pPr>
          </w:p>
        </w:tc>
      </w:tr>
      <w:tr w:rsidR="009A0EEC" w14:paraId="016959F4" w14:textId="77777777">
        <w:tc>
          <w:tcPr>
            <w:tcW w:w="9923" w:type="dxa"/>
          </w:tcPr>
          <w:p w14:paraId="00000052" w14:textId="77777777" w:rsidR="009A0EEC" w:rsidRDefault="009A0EEC">
            <w:pPr>
              <w:spacing w:after="120" w:line="240" w:lineRule="auto"/>
              <w:rPr>
                <w:rFonts w:ascii="Times New Roman" w:eastAsia="Times New Roman" w:hAnsi="Times New Roman" w:cs="Times New Roman"/>
                <w:sz w:val="24"/>
                <w:highlight w:val="yellow"/>
              </w:rPr>
            </w:pPr>
          </w:p>
          <w:p w14:paraId="00000053" w14:textId="77777777" w:rsidR="009A0EEC" w:rsidRDefault="009A0EEC">
            <w:pPr>
              <w:spacing w:after="120" w:line="240" w:lineRule="auto"/>
              <w:rPr>
                <w:rFonts w:ascii="Times New Roman" w:eastAsia="Times New Roman" w:hAnsi="Times New Roman" w:cs="Times New Roman"/>
                <w:sz w:val="24"/>
                <w:highlight w:val="yellow"/>
              </w:rPr>
            </w:pPr>
          </w:p>
          <w:p w14:paraId="00000054" w14:textId="77777777" w:rsidR="009A0EEC" w:rsidRDefault="009A0EEC">
            <w:pPr>
              <w:spacing w:after="120" w:line="240" w:lineRule="auto"/>
              <w:rPr>
                <w:rFonts w:ascii="Times New Roman" w:eastAsia="Times New Roman" w:hAnsi="Times New Roman" w:cs="Times New Roman"/>
                <w:sz w:val="24"/>
                <w:highlight w:val="yellow"/>
              </w:rPr>
            </w:pPr>
          </w:p>
          <w:p w14:paraId="00000055" w14:textId="77777777" w:rsidR="009A0EEC" w:rsidRDefault="009A0EEC">
            <w:pPr>
              <w:spacing w:after="120" w:line="240" w:lineRule="auto"/>
              <w:rPr>
                <w:rFonts w:ascii="Times New Roman" w:eastAsia="Times New Roman" w:hAnsi="Times New Roman" w:cs="Times New Roman"/>
                <w:sz w:val="24"/>
                <w:highlight w:val="yellow"/>
              </w:rPr>
            </w:pPr>
          </w:p>
          <w:p w14:paraId="00000056" w14:textId="77777777" w:rsidR="009A0EEC" w:rsidRDefault="009A0EEC">
            <w:pPr>
              <w:spacing w:after="120" w:line="240" w:lineRule="auto"/>
              <w:rPr>
                <w:rFonts w:ascii="Times New Roman" w:eastAsia="Times New Roman" w:hAnsi="Times New Roman" w:cs="Times New Roman"/>
                <w:sz w:val="24"/>
                <w:highlight w:val="yellow"/>
              </w:rPr>
            </w:pPr>
          </w:p>
          <w:p w14:paraId="00000057" w14:textId="77777777" w:rsidR="009A0EEC" w:rsidRDefault="009A0EEC">
            <w:pPr>
              <w:spacing w:after="120" w:line="240" w:lineRule="auto"/>
              <w:rPr>
                <w:rFonts w:ascii="Times New Roman" w:eastAsia="Times New Roman" w:hAnsi="Times New Roman" w:cs="Times New Roman"/>
                <w:sz w:val="24"/>
                <w:highlight w:val="yellow"/>
              </w:rPr>
            </w:pPr>
          </w:p>
          <w:p w14:paraId="00000058" w14:textId="77777777" w:rsidR="009A0EEC" w:rsidRDefault="009A0EEC">
            <w:pPr>
              <w:spacing w:after="120" w:line="240" w:lineRule="auto"/>
              <w:rPr>
                <w:rFonts w:ascii="Times New Roman" w:eastAsia="Times New Roman" w:hAnsi="Times New Roman" w:cs="Times New Roman"/>
                <w:sz w:val="24"/>
                <w:highlight w:val="yellow"/>
              </w:rPr>
            </w:pPr>
          </w:p>
          <w:p w14:paraId="00000059" w14:textId="77777777" w:rsidR="009A0EEC" w:rsidRDefault="009A0EEC">
            <w:pPr>
              <w:spacing w:after="120" w:line="240" w:lineRule="auto"/>
              <w:rPr>
                <w:rFonts w:ascii="Times New Roman" w:eastAsia="Times New Roman" w:hAnsi="Times New Roman" w:cs="Times New Roman"/>
                <w:sz w:val="24"/>
                <w:highlight w:val="yellow"/>
              </w:rPr>
            </w:pPr>
          </w:p>
          <w:p w14:paraId="0000005A" w14:textId="77777777" w:rsidR="009A0EEC" w:rsidRDefault="009A0EEC">
            <w:pPr>
              <w:spacing w:after="120" w:line="240" w:lineRule="auto"/>
              <w:rPr>
                <w:rFonts w:ascii="Times New Roman" w:eastAsia="Times New Roman" w:hAnsi="Times New Roman" w:cs="Times New Roman"/>
                <w:sz w:val="24"/>
                <w:highlight w:val="yellow"/>
              </w:rPr>
            </w:pPr>
          </w:p>
          <w:tbl>
            <w:tblPr>
              <w:tblStyle w:val="a2"/>
              <w:tblW w:w="96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6"/>
              <w:gridCol w:w="1452"/>
              <w:gridCol w:w="1451"/>
              <w:gridCol w:w="1569"/>
              <w:gridCol w:w="1451"/>
              <w:gridCol w:w="1358"/>
            </w:tblGrid>
            <w:tr w:rsidR="009A0EEC" w14:paraId="39DCD4E8" w14:textId="77777777">
              <w:tc>
                <w:tcPr>
                  <w:tcW w:w="2416" w:type="dxa"/>
                  <w:vMerge w:val="restart"/>
                  <w:shd w:val="clear" w:color="auto" w:fill="BFBFBF"/>
                </w:tcPr>
                <w:p w14:paraId="0000005B" w14:textId="77777777" w:rsidR="009A0EEC" w:rsidRDefault="00BF0077">
                  <w:pPr>
                    <w:spacing w:after="120"/>
                    <w:rPr>
                      <w:rFonts w:ascii="Times" w:eastAsia="Times" w:hAnsi="Times" w:cs="Times"/>
                      <w:b/>
                      <w:sz w:val="24"/>
                    </w:rPr>
                  </w:pPr>
                  <w:r>
                    <w:rPr>
                      <w:rFonts w:ascii="Times" w:eastAsia="Times" w:hAnsi="Times" w:cs="Times"/>
                      <w:b/>
                      <w:sz w:val="24"/>
                    </w:rPr>
                    <w:t>Development Results</w:t>
                  </w:r>
                </w:p>
              </w:tc>
              <w:tc>
                <w:tcPr>
                  <w:tcW w:w="1452" w:type="dxa"/>
                  <w:shd w:val="clear" w:color="auto" w:fill="BFBFBF"/>
                </w:tcPr>
                <w:p w14:paraId="0000005C" w14:textId="77777777" w:rsidR="009A0EEC" w:rsidRDefault="009A0EEC">
                  <w:pPr>
                    <w:spacing w:after="120"/>
                    <w:jc w:val="center"/>
                    <w:rPr>
                      <w:rFonts w:ascii="Times" w:eastAsia="Times" w:hAnsi="Times" w:cs="Times"/>
                      <w:b/>
                      <w:sz w:val="24"/>
                    </w:rPr>
                  </w:pPr>
                </w:p>
              </w:tc>
              <w:tc>
                <w:tcPr>
                  <w:tcW w:w="5829" w:type="dxa"/>
                  <w:gridSpan w:val="4"/>
                  <w:shd w:val="clear" w:color="auto" w:fill="BFBFBF"/>
                </w:tcPr>
                <w:p w14:paraId="0000005D" w14:textId="77777777" w:rsidR="009A0EEC" w:rsidRDefault="00BF0077">
                  <w:pPr>
                    <w:spacing w:after="120"/>
                    <w:jc w:val="center"/>
                    <w:rPr>
                      <w:rFonts w:ascii="Times" w:eastAsia="Times" w:hAnsi="Times" w:cs="Times"/>
                      <w:b/>
                      <w:sz w:val="24"/>
                    </w:rPr>
                  </w:pPr>
                  <w:r>
                    <w:rPr>
                      <w:rFonts w:ascii="Times" w:eastAsia="Times" w:hAnsi="Times" w:cs="Times"/>
                      <w:b/>
                      <w:sz w:val="24"/>
                    </w:rPr>
                    <w:t>Annual Budgets</w:t>
                  </w:r>
                </w:p>
              </w:tc>
            </w:tr>
            <w:tr w:rsidR="009A0EEC" w14:paraId="67E09EAC" w14:textId="77777777">
              <w:tc>
                <w:tcPr>
                  <w:tcW w:w="2416" w:type="dxa"/>
                  <w:vMerge/>
                  <w:shd w:val="clear" w:color="auto" w:fill="BFBFBF"/>
                </w:tcPr>
                <w:p w14:paraId="00000061" w14:textId="77777777" w:rsidR="009A0EEC" w:rsidRDefault="009A0EEC">
                  <w:pPr>
                    <w:widowControl w:val="0"/>
                    <w:pBdr>
                      <w:top w:val="nil"/>
                      <w:left w:val="nil"/>
                      <w:bottom w:val="nil"/>
                      <w:right w:val="nil"/>
                      <w:between w:val="nil"/>
                    </w:pBdr>
                    <w:jc w:val="left"/>
                    <w:rPr>
                      <w:rFonts w:ascii="Times" w:eastAsia="Times" w:hAnsi="Times" w:cs="Times"/>
                      <w:b/>
                      <w:sz w:val="24"/>
                    </w:rPr>
                  </w:pPr>
                </w:p>
              </w:tc>
              <w:tc>
                <w:tcPr>
                  <w:tcW w:w="1452" w:type="dxa"/>
                  <w:shd w:val="clear" w:color="auto" w:fill="BFBFBF"/>
                </w:tcPr>
                <w:p w14:paraId="00000062" w14:textId="77777777" w:rsidR="009A0EEC" w:rsidRDefault="009A0EEC">
                  <w:pPr>
                    <w:spacing w:after="120"/>
                    <w:rPr>
                      <w:rFonts w:ascii="Times" w:eastAsia="Times" w:hAnsi="Times" w:cs="Times"/>
                      <w:b/>
                      <w:sz w:val="24"/>
                    </w:rPr>
                  </w:pPr>
                </w:p>
              </w:tc>
              <w:tc>
                <w:tcPr>
                  <w:tcW w:w="1451" w:type="dxa"/>
                  <w:shd w:val="clear" w:color="auto" w:fill="BFBFBF"/>
                </w:tcPr>
                <w:p w14:paraId="00000063" w14:textId="77777777" w:rsidR="009A0EEC" w:rsidRDefault="00BF0077">
                  <w:pPr>
                    <w:spacing w:after="120"/>
                    <w:rPr>
                      <w:rFonts w:ascii="Times" w:eastAsia="Times" w:hAnsi="Times" w:cs="Times"/>
                      <w:b/>
                      <w:sz w:val="24"/>
                    </w:rPr>
                  </w:pPr>
                  <w:r>
                    <w:rPr>
                      <w:rFonts w:ascii="Times" w:eastAsia="Times" w:hAnsi="Times" w:cs="Times"/>
                      <w:b/>
                      <w:sz w:val="24"/>
                    </w:rPr>
                    <w:t>2018</w:t>
                  </w:r>
                </w:p>
              </w:tc>
              <w:tc>
                <w:tcPr>
                  <w:tcW w:w="1569" w:type="dxa"/>
                  <w:shd w:val="clear" w:color="auto" w:fill="BFBFBF"/>
                </w:tcPr>
                <w:p w14:paraId="00000064" w14:textId="77777777" w:rsidR="009A0EEC" w:rsidRDefault="00BF0077">
                  <w:pPr>
                    <w:spacing w:after="120"/>
                    <w:jc w:val="center"/>
                    <w:rPr>
                      <w:rFonts w:ascii="Times" w:eastAsia="Times" w:hAnsi="Times" w:cs="Times"/>
                      <w:b/>
                      <w:sz w:val="24"/>
                    </w:rPr>
                  </w:pPr>
                  <w:r>
                    <w:rPr>
                      <w:rFonts w:ascii="Times" w:eastAsia="Times" w:hAnsi="Times" w:cs="Times"/>
                      <w:b/>
                      <w:sz w:val="24"/>
                    </w:rPr>
                    <w:t>2019</w:t>
                  </w:r>
                </w:p>
              </w:tc>
              <w:tc>
                <w:tcPr>
                  <w:tcW w:w="1451" w:type="dxa"/>
                  <w:shd w:val="clear" w:color="auto" w:fill="BFBFBF"/>
                </w:tcPr>
                <w:p w14:paraId="00000065" w14:textId="77777777" w:rsidR="009A0EEC" w:rsidRDefault="00BF0077">
                  <w:pPr>
                    <w:spacing w:after="120"/>
                    <w:jc w:val="center"/>
                    <w:rPr>
                      <w:rFonts w:ascii="Times" w:eastAsia="Times" w:hAnsi="Times" w:cs="Times"/>
                      <w:b/>
                      <w:sz w:val="24"/>
                    </w:rPr>
                  </w:pPr>
                  <w:r>
                    <w:rPr>
                      <w:rFonts w:ascii="Times" w:eastAsia="Times" w:hAnsi="Times" w:cs="Times"/>
                      <w:b/>
                      <w:sz w:val="24"/>
                    </w:rPr>
                    <w:t>2020</w:t>
                  </w:r>
                </w:p>
              </w:tc>
              <w:tc>
                <w:tcPr>
                  <w:tcW w:w="1358" w:type="dxa"/>
                  <w:shd w:val="clear" w:color="auto" w:fill="BFBFBF"/>
                </w:tcPr>
                <w:p w14:paraId="00000066" w14:textId="77777777" w:rsidR="009A0EEC" w:rsidRDefault="00BF0077">
                  <w:pPr>
                    <w:spacing w:after="120"/>
                    <w:jc w:val="center"/>
                    <w:rPr>
                      <w:rFonts w:ascii="Times" w:eastAsia="Times" w:hAnsi="Times" w:cs="Times"/>
                      <w:b/>
                      <w:sz w:val="24"/>
                    </w:rPr>
                  </w:pPr>
                  <w:r>
                    <w:rPr>
                      <w:rFonts w:ascii="Times" w:eastAsia="Times" w:hAnsi="Times" w:cs="Times"/>
                      <w:b/>
                      <w:sz w:val="24"/>
                    </w:rPr>
                    <w:t>2021</w:t>
                  </w:r>
                </w:p>
              </w:tc>
            </w:tr>
            <w:tr w:rsidR="009A0EEC" w14:paraId="2F3416E2" w14:textId="77777777">
              <w:tc>
                <w:tcPr>
                  <w:tcW w:w="2416" w:type="dxa"/>
                </w:tcPr>
                <w:p w14:paraId="00000067" w14:textId="77777777" w:rsidR="009A0EEC" w:rsidRDefault="00BF0077">
                  <w:pPr>
                    <w:spacing w:after="120"/>
                    <w:jc w:val="left"/>
                    <w:rPr>
                      <w:rFonts w:ascii="Times" w:eastAsia="Times" w:hAnsi="Times" w:cs="Times"/>
                      <w:sz w:val="24"/>
                    </w:rPr>
                  </w:pPr>
                  <w:r>
                    <w:rPr>
                      <w:rFonts w:ascii="Times" w:eastAsia="Times" w:hAnsi="Times" w:cs="Times"/>
                      <w:b/>
                      <w:sz w:val="24"/>
                    </w:rPr>
                    <w:t xml:space="preserve">Impact Area 1: </w:t>
                  </w:r>
                  <w:r>
                    <w:rPr>
                      <w:rFonts w:ascii="Times" w:eastAsia="Times" w:hAnsi="Times" w:cs="Times"/>
                      <w:sz w:val="24"/>
                    </w:rPr>
                    <w:t>Women lead, participate in, and benefit equally from governance systems.</w:t>
                  </w:r>
                </w:p>
              </w:tc>
              <w:tc>
                <w:tcPr>
                  <w:tcW w:w="1452" w:type="dxa"/>
                  <w:shd w:val="clear" w:color="auto" w:fill="FFFFFF"/>
                </w:tcPr>
                <w:p w14:paraId="00000068" w14:textId="77777777" w:rsidR="009A0EEC" w:rsidRDefault="00BF0077">
                  <w:pPr>
                    <w:spacing w:after="120"/>
                    <w:jc w:val="left"/>
                    <w:rPr>
                      <w:rFonts w:ascii="Times" w:eastAsia="Times" w:hAnsi="Times" w:cs="Times"/>
                      <w:sz w:val="24"/>
                    </w:rPr>
                  </w:pPr>
                  <w:r>
                    <w:rPr>
                      <w:rFonts w:ascii="Times" w:eastAsia="Times" w:hAnsi="Times" w:cs="Times"/>
                      <w:sz w:val="24"/>
                    </w:rPr>
                    <w:t>672,993</w:t>
                  </w:r>
                </w:p>
                <w:p w14:paraId="00000069" w14:textId="77777777" w:rsidR="009A0EEC" w:rsidRDefault="009A0EEC">
                  <w:pPr>
                    <w:spacing w:after="120"/>
                    <w:rPr>
                      <w:rFonts w:ascii="Times" w:eastAsia="Times" w:hAnsi="Times" w:cs="Times"/>
                      <w:sz w:val="24"/>
                      <w:shd w:val="clear" w:color="auto" w:fill="F5F5F5"/>
                    </w:rPr>
                  </w:pPr>
                </w:p>
              </w:tc>
              <w:tc>
                <w:tcPr>
                  <w:tcW w:w="1451" w:type="dxa"/>
                  <w:shd w:val="clear" w:color="auto" w:fill="FFFFFF"/>
                </w:tcPr>
                <w:p w14:paraId="0000006A" w14:textId="77777777" w:rsidR="009A0EEC" w:rsidRDefault="00BF0077">
                  <w:pPr>
                    <w:spacing w:after="120"/>
                    <w:jc w:val="left"/>
                    <w:rPr>
                      <w:rFonts w:ascii="Times" w:eastAsia="Times" w:hAnsi="Times" w:cs="Times"/>
                      <w:sz w:val="24"/>
                    </w:rPr>
                  </w:pPr>
                  <w:r>
                    <w:rPr>
                      <w:rFonts w:ascii="Times" w:eastAsia="Times" w:hAnsi="Times" w:cs="Times"/>
                      <w:sz w:val="24"/>
                    </w:rPr>
                    <w:t>1,112,611</w:t>
                  </w:r>
                </w:p>
                <w:p w14:paraId="0000006B" w14:textId="77777777" w:rsidR="009A0EEC" w:rsidRDefault="009A0EEC">
                  <w:pPr>
                    <w:spacing w:after="120"/>
                    <w:rPr>
                      <w:rFonts w:ascii="Times" w:eastAsia="Times" w:hAnsi="Times" w:cs="Times"/>
                      <w:sz w:val="24"/>
                      <w:highlight w:val="yellow"/>
                    </w:rPr>
                  </w:pPr>
                </w:p>
              </w:tc>
              <w:tc>
                <w:tcPr>
                  <w:tcW w:w="1569" w:type="dxa"/>
                  <w:shd w:val="clear" w:color="auto" w:fill="FFFFFF"/>
                </w:tcPr>
                <w:p w14:paraId="0000006C" w14:textId="77777777" w:rsidR="009A0EEC" w:rsidRDefault="00BF0077">
                  <w:pPr>
                    <w:spacing w:after="120"/>
                    <w:jc w:val="left"/>
                    <w:rPr>
                      <w:rFonts w:ascii="Times" w:eastAsia="Times" w:hAnsi="Times" w:cs="Times"/>
                      <w:sz w:val="24"/>
                    </w:rPr>
                  </w:pPr>
                  <w:r>
                    <w:rPr>
                      <w:rFonts w:ascii="Times" w:eastAsia="Times" w:hAnsi="Times" w:cs="Times"/>
                      <w:sz w:val="24"/>
                    </w:rPr>
                    <w:t>957,656</w:t>
                  </w:r>
                </w:p>
                <w:p w14:paraId="0000006D" w14:textId="77777777" w:rsidR="009A0EEC" w:rsidRDefault="009A0EEC">
                  <w:pPr>
                    <w:spacing w:after="120"/>
                    <w:rPr>
                      <w:rFonts w:ascii="Times" w:eastAsia="Times" w:hAnsi="Times" w:cs="Times"/>
                      <w:sz w:val="24"/>
                      <w:highlight w:val="yellow"/>
                    </w:rPr>
                  </w:pPr>
                </w:p>
              </w:tc>
              <w:tc>
                <w:tcPr>
                  <w:tcW w:w="1451" w:type="dxa"/>
                  <w:shd w:val="clear" w:color="auto" w:fill="FFFFFF"/>
                </w:tcPr>
                <w:p w14:paraId="0000006E" w14:textId="77777777" w:rsidR="009A0EEC" w:rsidRDefault="00BF0077">
                  <w:pPr>
                    <w:spacing w:after="120"/>
                    <w:jc w:val="left"/>
                    <w:rPr>
                      <w:rFonts w:ascii="Times" w:eastAsia="Times" w:hAnsi="Times" w:cs="Times"/>
                      <w:sz w:val="24"/>
                    </w:rPr>
                  </w:pPr>
                  <w:r>
                    <w:rPr>
                      <w:rFonts w:ascii="Times" w:eastAsia="Times" w:hAnsi="Times" w:cs="Times"/>
                      <w:sz w:val="24"/>
                    </w:rPr>
                    <w:t>239,000</w:t>
                  </w:r>
                </w:p>
                <w:p w14:paraId="0000006F" w14:textId="77777777" w:rsidR="009A0EEC" w:rsidRDefault="009A0EEC">
                  <w:pPr>
                    <w:spacing w:after="120"/>
                    <w:rPr>
                      <w:rFonts w:ascii="Times" w:eastAsia="Times" w:hAnsi="Times" w:cs="Times"/>
                      <w:sz w:val="24"/>
                    </w:rPr>
                  </w:pPr>
                </w:p>
              </w:tc>
              <w:tc>
                <w:tcPr>
                  <w:tcW w:w="1358" w:type="dxa"/>
                  <w:shd w:val="clear" w:color="auto" w:fill="FFFFFF"/>
                </w:tcPr>
                <w:p w14:paraId="00000070" w14:textId="77777777" w:rsidR="009A0EEC" w:rsidRDefault="00BF0077">
                  <w:pPr>
                    <w:spacing w:after="120"/>
                    <w:rPr>
                      <w:rFonts w:ascii="Times" w:eastAsia="Times" w:hAnsi="Times" w:cs="Times"/>
                      <w:sz w:val="24"/>
                    </w:rPr>
                  </w:pPr>
                  <w:r>
                    <w:rPr>
                      <w:rFonts w:ascii="Times" w:eastAsia="Times" w:hAnsi="Times" w:cs="Times"/>
                      <w:sz w:val="24"/>
                    </w:rPr>
                    <w:t>590,000</w:t>
                  </w:r>
                </w:p>
              </w:tc>
            </w:tr>
            <w:tr w:rsidR="009A0EEC" w14:paraId="7C5EB33D" w14:textId="77777777">
              <w:tc>
                <w:tcPr>
                  <w:tcW w:w="2416" w:type="dxa"/>
                </w:tcPr>
                <w:p w14:paraId="00000071" w14:textId="77777777" w:rsidR="009A0EEC" w:rsidRDefault="00BF0077">
                  <w:pPr>
                    <w:spacing w:after="120"/>
                    <w:jc w:val="left"/>
                    <w:rPr>
                      <w:rFonts w:ascii="Times" w:eastAsia="Times" w:hAnsi="Times" w:cs="Times"/>
                      <w:sz w:val="24"/>
                    </w:rPr>
                  </w:pPr>
                  <w:r>
                    <w:rPr>
                      <w:rFonts w:ascii="Times" w:eastAsia="Times" w:hAnsi="Times" w:cs="Times"/>
                      <w:b/>
                      <w:sz w:val="24"/>
                    </w:rPr>
                    <w:t xml:space="preserve">Impact Area 3: </w:t>
                  </w:r>
                  <w:r>
                    <w:rPr>
                      <w:rFonts w:ascii="Times" w:eastAsia="Times" w:hAnsi="Times" w:cs="Times"/>
                      <w:sz w:val="24"/>
                    </w:rPr>
                    <w:t>Women and girls live a life free of violence.</w:t>
                  </w:r>
                </w:p>
              </w:tc>
              <w:tc>
                <w:tcPr>
                  <w:tcW w:w="1452" w:type="dxa"/>
                </w:tcPr>
                <w:p w14:paraId="00000072" w14:textId="77777777" w:rsidR="009A0EEC" w:rsidRDefault="00BF0077">
                  <w:pPr>
                    <w:spacing w:after="120"/>
                    <w:jc w:val="left"/>
                    <w:rPr>
                      <w:rFonts w:ascii="Times" w:eastAsia="Times" w:hAnsi="Times" w:cs="Times"/>
                      <w:sz w:val="24"/>
                    </w:rPr>
                  </w:pPr>
                  <w:r>
                    <w:rPr>
                      <w:rFonts w:ascii="Times" w:eastAsia="Times" w:hAnsi="Times" w:cs="Times"/>
                      <w:sz w:val="24"/>
                    </w:rPr>
                    <w:t>732,947</w:t>
                  </w:r>
                </w:p>
                <w:p w14:paraId="00000073" w14:textId="77777777" w:rsidR="009A0EEC" w:rsidRDefault="009A0EEC">
                  <w:pPr>
                    <w:spacing w:after="120"/>
                    <w:rPr>
                      <w:rFonts w:ascii="Times" w:eastAsia="Times" w:hAnsi="Times" w:cs="Times"/>
                      <w:sz w:val="24"/>
                      <w:shd w:val="clear" w:color="auto" w:fill="F5F5F5"/>
                    </w:rPr>
                  </w:pPr>
                </w:p>
              </w:tc>
              <w:tc>
                <w:tcPr>
                  <w:tcW w:w="1451" w:type="dxa"/>
                </w:tcPr>
                <w:p w14:paraId="00000074" w14:textId="77777777" w:rsidR="009A0EEC" w:rsidRDefault="00BF0077">
                  <w:pPr>
                    <w:spacing w:after="120"/>
                    <w:jc w:val="left"/>
                    <w:rPr>
                      <w:rFonts w:ascii="Times" w:eastAsia="Times" w:hAnsi="Times" w:cs="Times"/>
                      <w:sz w:val="24"/>
                    </w:rPr>
                  </w:pPr>
                  <w:r>
                    <w:rPr>
                      <w:rFonts w:ascii="Times" w:eastAsia="Times" w:hAnsi="Times" w:cs="Times"/>
                      <w:sz w:val="24"/>
                    </w:rPr>
                    <w:t>996,398</w:t>
                  </w:r>
                </w:p>
                <w:p w14:paraId="00000075" w14:textId="77777777" w:rsidR="009A0EEC" w:rsidRDefault="009A0EEC">
                  <w:pPr>
                    <w:spacing w:after="120"/>
                    <w:rPr>
                      <w:rFonts w:ascii="Times" w:eastAsia="Times" w:hAnsi="Times" w:cs="Times"/>
                      <w:sz w:val="24"/>
                      <w:highlight w:val="yellow"/>
                    </w:rPr>
                  </w:pPr>
                </w:p>
              </w:tc>
              <w:tc>
                <w:tcPr>
                  <w:tcW w:w="1569" w:type="dxa"/>
                </w:tcPr>
                <w:p w14:paraId="00000076" w14:textId="77777777" w:rsidR="009A0EEC" w:rsidRDefault="00BF0077">
                  <w:pPr>
                    <w:spacing w:after="120"/>
                    <w:jc w:val="left"/>
                    <w:rPr>
                      <w:rFonts w:ascii="Times" w:eastAsia="Times" w:hAnsi="Times" w:cs="Times"/>
                      <w:sz w:val="24"/>
                    </w:rPr>
                  </w:pPr>
                  <w:r>
                    <w:rPr>
                      <w:rFonts w:ascii="Times" w:eastAsia="Times" w:hAnsi="Times" w:cs="Times"/>
                      <w:sz w:val="24"/>
                    </w:rPr>
                    <w:t>3,387,895</w:t>
                  </w:r>
                </w:p>
                <w:p w14:paraId="00000077" w14:textId="77777777" w:rsidR="009A0EEC" w:rsidRDefault="009A0EEC">
                  <w:pPr>
                    <w:spacing w:after="120"/>
                    <w:rPr>
                      <w:rFonts w:ascii="Times" w:eastAsia="Times" w:hAnsi="Times" w:cs="Times"/>
                      <w:sz w:val="24"/>
                      <w:highlight w:val="yellow"/>
                    </w:rPr>
                  </w:pPr>
                </w:p>
              </w:tc>
              <w:tc>
                <w:tcPr>
                  <w:tcW w:w="1451" w:type="dxa"/>
                </w:tcPr>
                <w:p w14:paraId="00000078" w14:textId="77777777" w:rsidR="009A0EEC" w:rsidRDefault="00BF0077">
                  <w:pPr>
                    <w:spacing w:after="120"/>
                    <w:jc w:val="left"/>
                    <w:rPr>
                      <w:rFonts w:ascii="Times" w:eastAsia="Times" w:hAnsi="Times" w:cs="Times"/>
                      <w:sz w:val="24"/>
                    </w:rPr>
                  </w:pPr>
                  <w:r>
                    <w:rPr>
                      <w:rFonts w:ascii="Times" w:eastAsia="Times" w:hAnsi="Times" w:cs="Times"/>
                      <w:sz w:val="24"/>
                    </w:rPr>
                    <w:t>5,243,165</w:t>
                  </w:r>
                </w:p>
                <w:p w14:paraId="00000079" w14:textId="77777777" w:rsidR="009A0EEC" w:rsidRDefault="009A0EEC">
                  <w:pPr>
                    <w:spacing w:after="120"/>
                    <w:rPr>
                      <w:rFonts w:ascii="Times" w:eastAsia="Times" w:hAnsi="Times" w:cs="Times"/>
                      <w:sz w:val="24"/>
                    </w:rPr>
                  </w:pPr>
                </w:p>
              </w:tc>
              <w:tc>
                <w:tcPr>
                  <w:tcW w:w="1358" w:type="dxa"/>
                </w:tcPr>
                <w:p w14:paraId="0000007A" w14:textId="77777777" w:rsidR="009A0EEC" w:rsidRDefault="00BF0077">
                  <w:pPr>
                    <w:spacing w:after="120"/>
                    <w:rPr>
                      <w:rFonts w:ascii="Times" w:eastAsia="Times" w:hAnsi="Times" w:cs="Times"/>
                      <w:sz w:val="24"/>
                    </w:rPr>
                  </w:pPr>
                  <w:r>
                    <w:rPr>
                      <w:rFonts w:ascii="Times" w:eastAsia="Times" w:hAnsi="Times" w:cs="Times"/>
                      <w:sz w:val="24"/>
                    </w:rPr>
                    <w:t>4,785,934</w:t>
                  </w:r>
                </w:p>
              </w:tc>
            </w:tr>
            <w:tr w:rsidR="009A0EEC" w14:paraId="580F34E1" w14:textId="77777777">
              <w:tc>
                <w:tcPr>
                  <w:tcW w:w="2416" w:type="dxa"/>
                </w:tcPr>
                <w:p w14:paraId="0000007B" w14:textId="77777777" w:rsidR="009A0EEC" w:rsidRDefault="00BF0077">
                  <w:pPr>
                    <w:spacing w:after="120"/>
                    <w:jc w:val="left"/>
                    <w:rPr>
                      <w:rFonts w:ascii="Times" w:eastAsia="Times" w:hAnsi="Times" w:cs="Times"/>
                      <w:sz w:val="24"/>
                    </w:rPr>
                  </w:pPr>
                  <w:r>
                    <w:rPr>
                      <w:rFonts w:ascii="Times" w:eastAsia="Times" w:hAnsi="Times" w:cs="Times"/>
                      <w:b/>
                      <w:sz w:val="24"/>
                    </w:rPr>
                    <w:t xml:space="preserve">Impact Area 2: </w:t>
                  </w:r>
                  <w:r>
                    <w:rPr>
                      <w:rFonts w:ascii="Times" w:eastAsia="Times" w:hAnsi="Times" w:cs="Times"/>
                      <w:sz w:val="24"/>
                    </w:rPr>
                    <w:t>Women have income security, decent work, and economic autonomy.</w:t>
                  </w:r>
                </w:p>
              </w:tc>
              <w:tc>
                <w:tcPr>
                  <w:tcW w:w="1452" w:type="dxa"/>
                </w:tcPr>
                <w:p w14:paraId="0000007C" w14:textId="77777777" w:rsidR="009A0EEC" w:rsidRDefault="00BF0077">
                  <w:pPr>
                    <w:spacing w:after="120"/>
                    <w:rPr>
                      <w:rFonts w:ascii="Times" w:eastAsia="Times" w:hAnsi="Times" w:cs="Times"/>
                      <w:sz w:val="24"/>
                      <w:highlight w:val="white"/>
                    </w:rPr>
                  </w:pPr>
                  <w:r>
                    <w:rPr>
                      <w:rFonts w:ascii="Times" w:eastAsia="Times" w:hAnsi="Times" w:cs="Times"/>
                      <w:sz w:val="24"/>
                      <w:highlight w:val="white"/>
                    </w:rPr>
                    <w:t>929,000</w:t>
                  </w:r>
                </w:p>
              </w:tc>
              <w:tc>
                <w:tcPr>
                  <w:tcW w:w="1451" w:type="dxa"/>
                </w:tcPr>
                <w:p w14:paraId="0000007D" w14:textId="77777777" w:rsidR="009A0EEC" w:rsidRDefault="00BF0077">
                  <w:pPr>
                    <w:spacing w:after="120"/>
                    <w:rPr>
                      <w:rFonts w:ascii="Times" w:eastAsia="Times" w:hAnsi="Times" w:cs="Times"/>
                      <w:sz w:val="24"/>
                      <w:highlight w:val="yellow"/>
                    </w:rPr>
                  </w:pPr>
                  <w:r>
                    <w:rPr>
                      <w:rFonts w:ascii="Times" w:eastAsia="Times" w:hAnsi="Times" w:cs="Times"/>
                      <w:sz w:val="24"/>
                      <w:highlight w:val="white"/>
                    </w:rPr>
                    <w:t>857,722</w:t>
                  </w:r>
                </w:p>
              </w:tc>
              <w:tc>
                <w:tcPr>
                  <w:tcW w:w="1569" w:type="dxa"/>
                </w:tcPr>
                <w:p w14:paraId="0000007E" w14:textId="77777777" w:rsidR="009A0EEC" w:rsidRDefault="00BF0077">
                  <w:pPr>
                    <w:spacing w:after="120"/>
                    <w:rPr>
                      <w:rFonts w:ascii="Times" w:eastAsia="Times" w:hAnsi="Times" w:cs="Times"/>
                      <w:sz w:val="24"/>
                      <w:highlight w:val="yellow"/>
                    </w:rPr>
                  </w:pPr>
                  <w:r>
                    <w:rPr>
                      <w:rFonts w:ascii="Times" w:eastAsia="Times" w:hAnsi="Times" w:cs="Times"/>
                      <w:sz w:val="24"/>
                      <w:highlight w:val="white"/>
                    </w:rPr>
                    <w:t>909,218</w:t>
                  </w:r>
                </w:p>
              </w:tc>
              <w:tc>
                <w:tcPr>
                  <w:tcW w:w="1451" w:type="dxa"/>
                </w:tcPr>
                <w:p w14:paraId="0000007F" w14:textId="77777777" w:rsidR="009A0EEC" w:rsidRDefault="00BF0077">
                  <w:pPr>
                    <w:spacing w:after="120"/>
                    <w:rPr>
                      <w:rFonts w:ascii="Times" w:eastAsia="Times" w:hAnsi="Times" w:cs="Times"/>
                      <w:sz w:val="24"/>
                      <w:highlight w:val="yellow"/>
                    </w:rPr>
                  </w:pPr>
                  <w:r>
                    <w:rPr>
                      <w:rFonts w:ascii="Times" w:eastAsia="Times" w:hAnsi="Times" w:cs="Times"/>
                      <w:sz w:val="24"/>
                      <w:highlight w:val="white"/>
                    </w:rPr>
                    <w:t>797,117</w:t>
                  </w:r>
                </w:p>
              </w:tc>
              <w:tc>
                <w:tcPr>
                  <w:tcW w:w="1358" w:type="dxa"/>
                </w:tcPr>
                <w:p w14:paraId="00000080" w14:textId="77777777" w:rsidR="009A0EEC" w:rsidRDefault="00BF0077">
                  <w:pPr>
                    <w:spacing w:after="120"/>
                    <w:rPr>
                      <w:rFonts w:ascii="Times" w:eastAsia="Times" w:hAnsi="Times" w:cs="Times"/>
                      <w:sz w:val="24"/>
                      <w:highlight w:val="yellow"/>
                    </w:rPr>
                  </w:pPr>
                  <w:r>
                    <w:rPr>
                      <w:rFonts w:ascii="Times" w:eastAsia="Times" w:hAnsi="Times" w:cs="Times"/>
                      <w:sz w:val="24"/>
                      <w:highlight w:val="white"/>
                    </w:rPr>
                    <w:t>330,232</w:t>
                  </w:r>
                </w:p>
              </w:tc>
            </w:tr>
            <w:tr w:rsidR="009A0EEC" w14:paraId="5A6C702E" w14:textId="77777777">
              <w:tc>
                <w:tcPr>
                  <w:tcW w:w="2416" w:type="dxa"/>
                </w:tcPr>
                <w:p w14:paraId="00000081" w14:textId="77777777" w:rsidR="009A0EEC" w:rsidRDefault="00BF0077">
                  <w:pPr>
                    <w:spacing w:after="120"/>
                    <w:jc w:val="left"/>
                    <w:rPr>
                      <w:rFonts w:ascii="Times" w:eastAsia="Times" w:hAnsi="Times" w:cs="Times"/>
                      <w:i/>
                      <w:sz w:val="24"/>
                    </w:rPr>
                  </w:pPr>
                  <w:r>
                    <w:rPr>
                      <w:rFonts w:ascii="Times" w:eastAsia="Times" w:hAnsi="Times" w:cs="Times"/>
                      <w:b/>
                      <w:sz w:val="24"/>
                    </w:rPr>
                    <w:t xml:space="preserve">Impact Area 4: </w:t>
                  </w:r>
                  <w:r>
                    <w:rPr>
                      <w:rFonts w:ascii="Times" w:eastAsia="Times" w:hAnsi="Times" w:cs="Times"/>
                      <w:sz w:val="24"/>
                    </w:rPr>
                    <w:t>Peace, security, transitional justice, and humanitarian action shaped by women leadership and participation</w:t>
                  </w:r>
                  <w:r>
                    <w:rPr>
                      <w:rFonts w:ascii="Times" w:eastAsia="Times" w:hAnsi="Times" w:cs="Times"/>
                      <w:i/>
                      <w:sz w:val="24"/>
                    </w:rPr>
                    <w:t>.</w:t>
                  </w:r>
                </w:p>
              </w:tc>
              <w:tc>
                <w:tcPr>
                  <w:tcW w:w="1452" w:type="dxa"/>
                </w:tcPr>
                <w:p w14:paraId="00000082" w14:textId="77777777" w:rsidR="009A0EEC" w:rsidRDefault="009A0EEC">
                  <w:pPr>
                    <w:spacing w:after="120"/>
                    <w:rPr>
                      <w:rFonts w:ascii="Times" w:eastAsia="Times" w:hAnsi="Times" w:cs="Times"/>
                      <w:sz w:val="24"/>
                      <w:highlight w:val="white"/>
                    </w:rPr>
                  </w:pPr>
                </w:p>
              </w:tc>
              <w:tc>
                <w:tcPr>
                  <w:tcW w:w="1451" w:type="dxa"/>
                </w:tcPr>
                <w:p w14:paraId="00000083" w14:textId="77777777" w:rsidR="009A0EEC" w:rsidRDefault="00BF0077">
                  <w:pPr>
                    <w:spacing w:after="120"/>
                    <w:rPr>
                      <w:rFonts w:ascii="Times" w:eastAsia="Times" w:hAnsi="Times" w:cs="Times"/>
                      <w:sz w:val="24"/>
                      <w:highlight w:val="yellow"/>
                    </w:rPr>
                  </w:pPr>
                  <w:r>
                    <w:rPr>
                      <w:rFonts w:ascii="Times" w:eastAsia="Times" w:hAnsi="Times" w:cs="Times"/>
                      <w:sz w:val="24"/>
                      <w:highlight w:val="white"/>
                    </w:rPr>
                    <w:t>250,000</w:t>
                  </w:r>
                </w:p>
              </w:tc>
              <w:tc>
                <w:tcPr>
                  <w:tcW w:w="1569" w:type="dxa"/>
                </w:tcPr>
                <w:p w14:paraId="00000084" w14:textId="77777777" w:rsidR="009A0EEC" w:rsidRDefault="00BF0077">
                  <w:pPr>
                    <w:spacing w:after="120"/>
                    <w:rPr>
                      <w:rFonts w:ascii="Times" w:eastAsia="Times" w:hAnsi="Times" w:cs="Times"/>
                      <w:sz w:val="24"/>
                      <w:highlight w:val="yellow"/>
                    </w:rPr>
                  </w:pPr>
                  <w:r>
                    <w:rPr>
                      <w:rFonts w:ascii="Times" w:eastAsia="Times" w:hAnsi="Times" w:cs="Times"/>
                      <w:sz w:val="24"/>
                      <w:highlight w:val="white"/>
                    </w:rPr>
                    <w:t>600,163</w:t>
                  </w:r>
                </w:p>
              </w:tc>
              <w:tc>
                <w:tcPr>
                  <w:tcW w:w="1451" w:type="dxa"/>
                </w:tcPr>
                <w:p w14:paraId="00000085" w14:textId="77777777" w:rsidR="009A0EEC" w:rsidRDefault="00BF0077">
                  <w:pPr>
                    <w:spacing w:after="120"/>
                    <w:rPr>
                      <w:rFonts w:ascii="Times" w:eastAsia="Times" w:hAnsi="Times" w:cs="Times"/>
                      <w:sz w:val="24"/>
                      <w:highlight w:val="yellow"/>
                    </w:rPr>
                  </w:pPr>
                  <w:r>
                    <w:rPr>
                      <w:rFonts w:ascii="Times" w:eastAsia="Times" w:hAnsi="Times" w:cs="Times"/>
                      <w:sz w:val="24"/>
                      <w:highlight w:val="white"/>
                    </w:rPr>
                    <w:t>170,000</w:t>
                  </w:r>
                </w:p>
              </w:tc>
              <w:tc>
                <w:tcPr>
                  <w:tcW w:w="1358" w:type="dxa"/>
                </w:tcPr>
                <w:p w14:paraId="00000086" w14:textId="77777777" w:rsidR="009A0EEC" w:rsidRDefault="00BF0077">
                  <w:pPr>
                    <w:spacing w:after="120"/>
                    <w:rPr>
                      <w:rFonts w:ascii="Times" w:eastAsia="Times" w:hAnsi="Times" w:cs="Times"/>
                      <w:sz w:val="24"/>
                      <w:highlight w:val="yellow"/>
                    </w:rPr>
                  </w:pPr>
                  <w:r>
                    <w:rPr>
                      <w:rFonts w:ascii="Times" w:eastAsia="Times" w:hAnsi="Times" w:cs="Times"/>
                      <w:sz w:val="24"/>
                      <w:highlight w:val="white"/>
                    </w:rPr>
                    <w:t>1,217,203</w:t>
                  </w:r>
                </w:p>
              </w:tc>
            </w:tr>
            <w:tr w:rsidR="009A0EEC" w14:paraId="0D1889C1" w14:textId="77777777">
              <w:tc>
                <w:tcPr>
                  <w:tcW w:w="2416" w:type="dxa"/>
                </w:tcPr>
                <w:p w14:paraId="00000087" w14:textId="77777777" w:rsidR="009A0EEC" w:rsidRDefault="00BF0077">
                  <w:pPr>
                    <w:spacing w:after="120"/>
                    <w:jc w:val="left"/>
                    <w:rPr>
                      <w:rFonts w:ascii="Times" w:eastAsia="Times" w:hAnsi="Times" w:cs="Times"/>
                      <w:b/>
                      <w:sz w:val="24"/>
                    </w:rPr>
                  </w:pPr>
                  <w:r>
                    <w:rPr>
                      <w:rFonts w:ascii="Times" w:eastAsia="Times" w:hAnsi="Times" w:cs="Times"/>
                      <w:b/>
                      <w:sz w:val="24"/>
                    </w:rPr>
                    <w:t>Global norms policies and standards</w:t>
                  </w:r>
                </w:p>
              </w:tc>
              <w:tc>
                <w:tcPr>
                  <w:tcW w:w="1452" w:type="dxa"/>
                </w:tcPr>
                <w:p w14:paraId="00000088" w14:textId="77777777" w:rsidR="009A0EEC" w:rsidRDefault="009A0EEC">
                  <w:pPr>
                    <w:spacing w:after="120"/>
                    <w:rPr>
                      <w:rFonts w:ascii="Times" w:eastAsia="Times" w:hAnsi="Times" w:cs="Times"/>
                      <w:sz w:val="24"/>
                      <w:highlight w:val="white"/>
                    </w:rPr>
                  </w:pPr>
                </w:p>
              </w:tc>
              <w:tc>
                <w:tcPr>
                  <w:tcW w:w="1451" w:type="dxa"/>
                </w:tcPr>
                <w:p w14:paraId="00000089" w14:textId="77777777" w:rsidR="009A0EEC" w:rsidRDefault="00BF0077">
                  <w:pPr>
                    <w:spacing w:after="120"/>
                    <w:rPr>
                      <w:rFonts w:ascii="Times" w:eastAsia="Times" w:hAnsi="Times" w:cs="Times"/>
                      <w:sz w:val="24"/>
                      <w:highlight w:val="white"/>
                    </w:rPr>
                  </w:pPr>
                  <w:r>
                    <w:rPr>
                      <w:rFonts w:ascii="Times" w:eastAsia="Times" w:hAnsi="Times" w:cs="Times"/>
                      <w:sz w:val="24"/>
                      <w:highlight w:val="white"/>
                    </w:rPr>
                    <w:t>459,480</w:t>
                  </w:r>
                </w:p>
              </w:tc>
              <w:tc>
                <w:tcPr>
                  <w:tcW w:w="1569" w:type="dxa"/>
                </w:tcPr>
                <w:p w14:paraId="0000008A" w14:textId="77777777" w:rsidR="009A0EEC" w:rsidRDefault="00BF0077">
                  <w:pPr>
                    <w:spacing w:after="120"/>
                    <w:rPr>
                      <w:rFonts w:ascii="Times" w:eastAsia="Times" w:hAnsi="Times" w:cs="Times"/>
                      <w:sz w:val="24"/>
                      <w:highlight w:val="white"/>
                    </w:rPr>
                  </w:pPr>
                  <w:r>
                    <w:rPr>
                      <w:rFonts w:ascii="Times" w:eastAsia="Times" w:hAnsi="Times" w:cs="Times"/>
                      <w:sz w:val="24"/>
                      <w:highlight w:val="white"/>
                    </w:rPr>
                    <w:t>561,660</w:t>
                  </w:r>
                </w:p>
              </w:tc>
              <w:tc>
                <w:tcPr>
                  <w:tcW w:w="1451" w:type="dxa"/>
                </w:tcPr>
                <w:p w14:paraId="0000008B" w14:textId="77777777" w:rsidR="009A0EEC" w:rsidRDefault="00BF0077">
                  <w:pPr>
                    <w:spacing w:after="120"/>
                    <w:rPr>
                      <w:rFonts w:ascii="Times" w:eastAsia="Times" w:hAnsi="Times" w:cs="Times"/>
                      <w:sz w:val="24"/>
                      <w:highlight w:val="white"/>
                    </w:rPr>
                  </w:pPr>
                  <w:r>
                    <w:rPr>
                      <w:rFonts w:ascii="Times" w:eastAsia="Times" w:hAnsi="Times" w:cs="Times"/>
                      <w:sz w:val="24"/>
                      <w:highlight w:val="white"/>
                    </w:rPr>
                    <w:t>269,299</w:t>
                  </w:r>
                </w:p>
              </w:tc>
              <w:tc>
                <w:tcPr>
                  <w:tcW w:w="1358" w:type="dxa"/>
                </w:tcPr>
                <w:p w14:paraId="0000008C" w14:textId="77777777" w:rsidR="009A0EEC" w:rsidRDefault="00BF0077">
                  <w:pPr>
                    <w:spacing w:after="120"/>
                    <w:rPr>
                      <w:rFonts w:ascii="Times" w:eastAsia="Times" w:hAnsi="Times" w:cs="Times"/>
                      <w:sz w:val="24"/>
                      <w:highlight w:val="white"/>
                    </w:rPr>
                  </w:pPr>
                  <w:r>
                    <w:rPr>
                      <w:rFonts w:ascii="Times" w:eastAsia="Times" w:hAnsi="Times" w:cs="Times"/>
                      <w:sz w:val="24"/>
                      <w:highlight w:val="white"/>
                    </w:rPr>
                    <w:t>260,000</w:t>
                  </w:r>
                </w:p>
              </w:tc>
            </w:tr>
          </w:tbl>
          <w:p w14:paraId="0000008D" w14:textId="77777777" w:rsidR="009A0EEC" w:rsidRDefault="009A0EEC">
            <w:pPr>
              <w:spacing w:after="120" w:line="240" w:lineRule="auto"/>
              <w:rPr>
                <w:rFonts w:ascii="Times New Roman" w:eastAsia="Times New Roman" w:hAnsi="Times New Roman" w:cs="Times New Roman"/>
                <w:sz w:val="24"/>
                <w:highlight w:val="yellow"/>
              </w:rPr>
            </w:pPr>
          </w:p>
        </w:tc>
      </w:tr>
      <w:tr w:rsidR="009A0EEC" w14:paraId="41AC98E4" w14:textId="77777777">
        <w:tc>
          <w:tcPr>
            <w:tcW w:w="9923" w:type="dxa"/>
          </w:tcPr>
          <w:p w14:paraId="0000008E" w14:textId="77777777" w:rsidR="009A0EEC" w:rsidRDefault="009A0EEC">
            <w:pPr>
              <w:spacing w:after="120" w:line="240" w:lineRule="auto"/>
              <w:rPr>
                <w:rFonts w:ascii="Times New Roman" w:eastAsia="Times New Roman" w:hAnsi="Times New Roman" w:cs="Times New Roman"/>
                <w:sz w:val="24"/>
                <w:highlight w:val="yellow"/>
              </w:rPr>
            </w:pPr>
          </w:p>
        </w:tc>
      </w:tr>
    </w:tbl>
    <w:p w14:paraId="0000008F" w14:textId="77777777" w:rsidR="009A0EEC" w:rsidRDefault="009A0EEC">
      <w:pPr>
        <w:spacing w:after="120" w:line="240" w:lineRule="auto"/>
        <w:rPr>
          <w:rFonts w:ascii="Times New Roman" w:eastAsia="Times New Roman" w:hAnsi="Times New Roman" w:cs="Times New Roman"/>
          <w:sz w:val="24"/>
        </w:rPr>
      </w:pPr>
    </w:p>
    <w:p w14:paraId="00000090"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In line with UN Women’s commitment to Results Based Management, a Development Results Framework (DRF) was developed with performance indicators. The Strategic Note includes an Organisational Effectiveness and Efficiency Framework (OEEF) with performance indicators on coordination and strategic partnership, organizational effectiveness, communications, and financial management. The evaluation is expected to use this to assess organizational performance.</w:t>
      </w:r>
    </w:p>
    <w:p w14:paraId="00000091" w14:textId="77777777" w:rsidR="009A0EEC" w:rsidRDefault="00BF0077">
      <w:pPr>
        <w:pStyle w:val="Heading1"/>
        <w:numPr>
          <w:ilvl w:val="0"/>
          <w:numId w:val="6"/>
        </w:numPr>
        <w:spacing w:line="240" w:lineRule="auto"/>
        <w:ind w:left="709"/>
        <w:rPr>
          <w:rFonts w:ascii="Times New Roman" w:eastAsia="Times New Roman" w:hAnsi="Times New Roman" w:cs="Times New Roman"/>
        </w:rPr>
      </w:pPr>
      <w:r>
        <w:rPr>
          <w:rFonts w:ascii="Times New Roman" w:eastAsia="Times New Roman" w:hAnsi="Times New Roman" w:cs="Times New Roman"/>
        </w:rPr>
        <w:t>Evaluation objectives, criteria, and questions</w:t>
      </w:r>
    </w:p>
    <w:p w14:paraId="00000092"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This CPE is commissioned as a primary formative (forward-looking) evaluation to support the Country Office (CO) and national stakeholders’ strategic learning and decision-making for the next Strategic Note, due to be developed in 2021. The evaluation is expected to have a secondary summative (backwards looking) perspective, to support enhanced accountability for development effectiveness and learning from experience.</w:t>
      </w:r>
    </w:p>
    <w:p w14:paraId="00000093"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The primary intended users of this evaluation are: </w:t>
      </w:r>
    </w:p>
    <w:p w14:paraId="00000094" w14:textId="77777777" w:rsidR="009A0EEC" w:rsidRDefault="00BF0077">
      <w:pPr>
        <w:numPr>
          <w:ilvl w:val="0"/>
          <w:numId w:val="9"/>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UN Women Malawi CO, Regional Office, and UN Women HQ</w:t>
      </w:r>
    </w:p>
    <w:p w14:paraId="00000095" w14:textId="77777777" w:rsidR="009A0EEC" w:rsidRDefault="00BF0077">
      <w:pPr>
        <w:numPr>
          <w:ilvl w:val="0"/>
          <w:numId w:val="9"/>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Target groups, their households and community members, programme/project partners</w:t>
      </w:r>
    </w:p>
    <w:p w14:paraId="00000096" w14:textId="77777777" w:rsidR="009A0EEC" w:rsidRDefault="00BF0077">
      <w:pPr>
        <w:numPr>
          <w:ilvl w:val="0"/>
          <w:numId w:val="9"/>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National government institutions</w:t>
      </w:r>
    </w:p>
    <w:p w14:paraId="00000097" w14:textId="77777777" w:rsidR="009A0EEC" w:rsidRDefault="00BF0077">
      <w:pPr>
        <w:numPr>
          <w:ilvl w:val="0"/>
          <w:numId w:val="9"/>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Civil society representatives</w:t>
      </w:r>
    </w:p>
    <w:p w14:paraId="00000098" w14:textId="77777777" w:rsidR="009A0EEC" w:rsidRDefault="00BF0077">
      <w:pPr>
        <w:numPr>
          <w:ilvl w:val="0"/>
          <w:numId w:val="9"/>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Donors and development partners</w:t>
      </w:r>
    </w:p>
    <w:p w14:paraId="00000099" w14:textId="77777777" w:rsidR="009A0EEC" w:rsidRDefault="00BF0077">
      <w:pPr>
        <w:numPr>
          <w:ilvl w:val="0"/>
          <w:numId w:val="9"/>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UN Country Team and GTG</w:t>
      </w:r>
    </w:p>
    <w:p w14:paraId="0000009A"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Primary intended uses of this evaluation are:</w:t>
      </w:r>
    </w:p>
    <w:p w14:paraId="0000009B" w14:textId="77777777" w:rsidR="009A0EEC" w:rsidRDefault="00BF0077">
      <w:pPr>
        <w:numPr>
          <w:ilvl w:val="0"/>
          <w:numId w:val="13"/>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Learning and improved decision-making to support the development of the next Strategic Note 2022-2027.</w:t>
      </w:r>
    </w:p>
    <w:p w14:paraId="0000009C" w14:textId="77777777" w:rsidR="009A0EEC" w:rsidRDefault="00BF0077">
      <w:pPr>
        <w:numPr>
          <w:ilvl w:val="0"/>
          <w:numId w:val="13"/>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Accountability for the development effectiveness of the CO Strategic Note 2022-2027in terms of UN Women’s contribution to gender equality and women’s empowerment.</w:t>
      </w:r>
    </w:p>
    <w:p w14:paraId="0000009D" w14:textId="77777777" w:rsidR="009A0EEC" w:rsidRDefault="00BF0077">
      <w:pPr>
        <w:numPr>
          <w:ilvl w:val="0"/>
          <w:numId w:val="13"/>
        </w:numPr>
        <w:pBdr>
          <w:top w:val="nil"/>
          <w:left w:val="nil"/>
          <w:bottom w:val="nil"/>
          <w:right w:val="nil"/>
          <w:between w:val="nil"/>
        </w:pBd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Capacity development and mobilisation of national stakeholders to advance gender equality and women empowerment.</w:t>
      </w:r>
    </w:p>
    <w:p w14:paraId="0000009E"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specific evaluation objectives include:</w:t>
      </w:r>
    </w:p>
    <w:p w14:paraId="0000009F" w14:textId="77777777" w:rsidR="009A0EEC" w:rsidRDefault="00BF0077">
      <w:pPr>
        <w:spacing w:after="120" w:line="24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1.</w:t>
      </w:r>
      <w:r>
        <w:rPr>
          <w:rFonts w:ascii="Times New Roman" w:eastAsia="Times New Roman" w:hAnsi="Times New Roman" w:cs="Times New Roman"/>
          <w:sz w:val="24"/>
        </w:rPr>
        <w:tab/>
        <w:t>Assess the relevance of UN Women contribution to the intervention at national levels and alignment with international agreements and conventions on gender equality and women’s empowerment.</w:t>
      </w:r>
    </w:p>
    <w:p w14:paraId="000000A0" w14:textId="77777777" w:rsidR="009A0EEC" w:rsidRDefault="00BF0077">
      <w:pPr>
        <w:spacing w:after="120" w:line="24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2.</w:t>
      </w:r>
      <w:r>
        <w:rPr>
          <w:rFonts w:ascii="Times New Roman" w:eastAsia="Times New Roman" w:hAnsi="Times New Roman" w:cs="Times New Roman"/>
          <w:sz w:val="24"/>
        </w:rPr>
        <w:tab/>
        <w:t>Assess effectiveness and organizational efficiency towards the achievement of gender equality and women’s empowerment results as defined in the Strategic Note.</w:t>
      </w:r>
    </w:p>
    <w:p w14:paraId="000000A1" w14:textId="77777777" w:rsidR="009A0EEC" w:rsidRDefault="00BF0077">
      <w:pPr>
        <w:spacing w:after="120" w:line="24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3.</w:t>
      </w:r>
      <w:r>
        <w:rPr>
          <w:rFonts w:ascii="Times New Roman" w:eastAsia="Times New Roman" w:hAnsi="Times New Roman" w:cs="Times New Roman"/>
          <w:sz w:val="24"/>
        </w:rPr>
        <w:tab/>
        <w:t>Support the UN Women Malawi CO to improve its strategic positioning to better support the achievement of sustained gender equality and women’s empowerment.</w:t>
      </w:r>
    </w:p>
    <w:p w14:paraId="000000A2" w14:textId="77777777" w:rsidR="009A0EEC" w:rsidRDefault="00BF0077">
      <w:pPr>
        <w:spacing w:after="120" w:line="24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4.</w:t>
      </w:r>
      <w:r>
        <w:rPr>
          <w:rFonts w:ascii="Times New Roman" w:eastAsia="Times New Roman" w:hAnsi="Times New Roman" w:cs="Times New Roman"/>
          <w:sz w:val="24"/>
        </w:rPr>
        <w:tab/>
        <w:t>Analyse how human rights approach and gender equality principles are integrated in the design and implementation of the Strategic Note.</w:t>
      </w:r>
    </w:p>
    <w:p w14:paraId="000000A3" w14:textId="77777777" w:rsidR="009A0EEC" w:rsidRDefault="00BF0077">
      <w:pPr>
        <w:spacing w:after="120" w:line="24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5.</w:t>
      </w:r>
      <w:r>
        <w:rPr>
          <w:rFonts w:ascii="Times New Roman" w:eastAsia="Times New Roman" w:hAnsi="Times New Roman" w:cs="Times New Roman"/>
          <w:sz w:val="24"/>
        </w:rPr>
        <w:tab/>
        <w:t>Identify and validate lessons learned, good practices and examples of innovation that supports gender equality and human rights.</w:t>
      </w:r>
    </w:p>
    <w:p w14:paraId="000000A4" w14:textId="77777777" w:rsidR="009A0EEC" w:rsidRDefault="00BF0077">
      <w:pPr>
        <w:spacing w:after="120" w:line="24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6.</w:t>
      </w:r>
      <w:r>
        <w:rPr>
          <w:rFonts w:ascii="Times New Roman" w:eastAsia="Times New Roman" w:hAnsi="Times New Roman" w:cs="Times New Roman"/>
          <w:sz w:val="24"/>
        </w:rPr>
        <w:tab/>
        <w:t>Provide insights into the extent to which the UN Women Malawi CO has realized synergies between its three mandates (normative, coordination and operations).</w:t>
      </w:r>
    </w:p>
    <w:p w14:paraId="000000A5" w14:textId="77777777" w:rsidR="009A0EEC" w:rsidRDefault="00BF0077">
      <w:pPr>
        <w:spacing w:after="120" w:line="240" w:lineRule="auto"/>
        <w:ind w:left="720" w:hanging="360"/>
        <w:rPr>
          <w:rFonts w:ascii="Times New Roman" w:eastAsia="Times New Roman" w:hAnsi="Times New Roman" w:cs="Times New Roman"/>
          <w:sz w:val="24"/>
        </w:rPr>
      </w:pPr>
      <w:r>
        <w:rPr>
          <w:rFonts w:ascii="Times New Roman" w:eastAsia="Times New Roman" w:hAnsi="Times New Roman" w:cs="Times New Roman"/>
          <w:sz w:val="24"/>
        </w:rPr>
        <w:t xml:space="preserve">7. </w:t>
      </w:r>
      <w:r>
        <w:rPr>
          <w:rFonts w:ascii="Times New Roman" w:eastAsia="Times New Roman" w:hAnsi="Times New Roman" w:cs="Times New Roman"/>
          <w:sz w:val="24"/>
        </w:rPr>
        <w:tab/>
        <w:t>Provide actionable recommendations with respect to the development of the next UN Women Malawi CO Strategic Note.</w:t>
      </w:r>
    </w:p>
    <w:p w14:paraId="000000A6" w14:textId="77777777" w:rsidR="009A0EEC" w:rsidRDefault="009A0EEC">
      <w:pPr>
        <w:spacing w:after="120" w:line="240" w:lineRule="auto"/>
        <w:rPr>
          <w:rFonts w:ascii="Times New Roman" w:eastAsia="Times New Roman" w:hAnsi="Times New Roman" w:cs="Times New Roman"/>
          <w:b/>
          <w:sz w:val="24"/>
          <w:u w:val="single"/>
        </w:rPr>
      </w:pPr>
    </w:p>
    <w:p w14:paraId="000000A7"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 will apply four OECD/DAC evaluation criteria [relevance, effectiveness (including normative, and coordination mandates of UN Women), efficiency, human rights and gender equality, coherence, and sustainability] and Human Rights and Gender Equality as an additional criterion. The evaluation will seek to answer the following key evaluation questions and sub-questions:</w:t>
      </w:r>
    </w:p>
    <w:tbl>
      <w:tblPr>
        <w:tblStyle w:val="a3"/>
        <w:tblW w:w="9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6"/>
        <w:gridCol w:w="1254"/>
        <w:gridCol w:w="2559"/>
        <w:gridCol w:w="4179"/>
      </w:tblGrid>
      <w:tr w:rsidR="009A0EEC" w14:paraId="157245F6" w14:textId="77777777">
        <w:trPr>
          <w:trHeight w:val="430"/>
        </w:trPr>
        <w:tc>
          <w:tcPr>
            <w:tcW w:w="1536" w:type="dxa"/>
            <w:shd w:val="clear" w:color="auto" w:fill="D5DCE4"/>
          </w:tcPr>
          <w:p w14:paraId="000000A8"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b/>
                <w:sz w:val="24"/>
              </w:rPr>
              <w:t xml:space="preserve">Key Criteria </w:t>
            </w:r>
          </w:p>
        </w:tc>
        <w:tc>
          <w:tcPr>
            <w:tcW w:w="1254" w:type="dxa"/>
            <w:shd w:val="clear" w:color="auto" w:fill="D5DCE4"/>
          </w:tcPr>
          <w:p w14:paraId="000000A9"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b/>
                <w:sz w:val="24"/>
              </w:rPr>
              <w:t>Key Questions</w:t>
            </w:r>
          </w:p>
        </w:tc>
        <w:tc>
          <w:tcPr>
            <w:tcW w:w="2559" w:type="dxa"/>
            <w:shd w:val="clear" w:color="auto" w:fill="D5DCE4"/>
          </w:tcPr>
          <w:p w14:paraId="000000AA"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b/>
                <w:sz w:val="24"/>
              </w:rPr>
              <w:t>Sub Criteria</w:t>
            </w:r>
          </w:p>
        </w:tc>
        <w:tc>
          <w:tcPr>
            <w:tcW w:w="4179" w:type="dxa"/>
            <w:shd w:val="clear" w:color="auto" w:fill="D5DCE4"/>
          </w:tcPr>
          <w:p w14:paraId="000000AB"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b/>
                <w:sz w:val="24"/>
              </w:rPr>
              <w:t xml:space="preserve">Sub Questions </w:t>
            </w:r>
          </w:p>
        </w:tc>
      </w:tr>
      <w:tr w:rsidR="009A0EEC" w14:paraId="5BF2B938" w14:textId="77777777">
        <w:trPr>
          <w:trHeight w:val="433"/>
        </w:trPr>
        <w:tc>
          <w:tcPr>
            <w:tcW w:w="1536" w:type="dxa"/>
          </w:tcPr>
          <w:p w14:paraId="000000AC"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Relevance </w:t>
            </w:r>
          </w:p>
        </w:tc>
        <w:tc>
          <w:tcPr>
            <w:tcW w:w="1254" w:type="dxa"/>
          </w:tcPr>
          <w:p w14:paraId="000000AD" w14:textId="77777777" w:rsidR="009A0EEC" w:rsidRDefault="00BF0077">
            <w:pPr>
              <w:spacing w:after="120"/>
              <w:ind w:left="-85" w:right="-100"/>
              <w:rPr>
                <w:rFonts w:ascii="Times New Roman" w:eastAsia="Times New Roman" w:hAnsi="Times New Roman" w:cs="Times New Roman"/>
                <w:sz w:val="24"/>
              </w:rPr>
            </w:pPr>
            <w:r>
              <w:rPr>
                <w:rFonts w:ascii="Times New Roman" w:eastAsia="Times New Roman" w:hAnsi="Times New Roman" w:cs="Times New Roman"/>
                <w:sz w:val="24"/>
              </w:rPr>
              <w:t>Are we doing the right things?</w:t>
            </w:r>
          </w:p>
        </w:tc>
        <w:tc>
          <w:tcPr>
            <w:tcW w:w="2559" w:type="dxa"/>
          </w:tcPr>
          <w:p w14:paraId="000000AE"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Alignment and positioning</w:t>
            </w:r>
          </w:p>
        </w:tc>
        <w:tc>
          <w:tcPr>
            <w:tcW w:w="4179" w:type="dxa"/>
          </w:tcPr>
          <w:p w14:paraId="000000AF"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Is the portfolio and the Women Empowerment Programme aligned with national policies and international human rights norms? What is UN Women’s comparative advantage in this area of work compared with other UN entities and key partners?</w:t>
            </w:r>
          </w:p>
        </w:tc>
      </w:tr>
      <w:tr w:rsidR="009A0EEC" w14:paraId="3A64E415" w14:textId="77777777">
        <w:trPr>
          <w:trHeight w:val="1094"/>
        </w:trPr>
        <w:tc>
          <w:tcPr>
            <w:tcW w:w="1536" w:type="dxa"/>
            <w:vMerge w:val="restart"/>
          </w:tcPr>
          <w:p w14:paraId="000000B0"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Efficiency </w:t>
            </w:r>
          </w:p>
        </w:tc>
        <w:tc>
          <w:tcPr>
            <w:tcW w:w="1254" w:type="dxa"/>
            <w:vMerge w:val="restart"/>
          </w:tcPr>
          <w:p w14:paraId="000000B1"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Are we doing things, right?</w:t>
            </w:r>
          </w:p>
        </w:tc>
        <w:tc>
          <w:tcPr>
            <w:tcW w:w="2559" w:type="dxa"/>
          </w:tcPr>
          <w:p w14:paraId="000000B2"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Organizational Efficiency</w:t>
            </w:r>
          </w:p>
        </w:tc>
        <w:tc>
          <w:tcPr>
            <w:tcW w:w="4179" w:type="dxa"/>
          </w:tcPr>
          <w:p w14:paraId="000000B3"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To what extent does the management structure support efficiency for implementation?</w:t>
            </w:r>
          </w:p>
          <w:p w14:paraId="000000B4"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Does the organization have access to the necessary skills, knowledge and capacities needed to deliver to</w:t>
            </w:r>
            <w:sdt>
              <w:sdtPr>
                <w:tag w:val="goog_rdk_2"/>
                <w:id w:val="326110614"/>
              </w:sdtPr>
              <w:sdtEndPr/>
              <w:sdtContent>
                <w:r>
                  <w:rPr>
                    <w:rFonts w:ascii="Times New Roman" w:eastAsia="Times New Roman" w:hAnsi="Times New Roman" w:cs="Times New Roman"/>
                    <w:sz w:val="24"/>
                  </w:rPr>
                  <w:t xml:space="preserve"> the </w:t>
                </w:r>
              </w:sdtContent>
            </w:sdt>
            <w:r>
              <w:rPr>
                <w:rFonts w:ascii="Times New Roman" w:eastAsia="Times New Roman" w:hAnsi="Times New Roman" w:cs="Times New Roman"/>
                <w:sz w:val="24"/>
              </w:rPr>
              <w:t xml:space="preserve"> portfolio?</w:t>
            </w:r>
          </w:p>
          <w:p w14:paraId="000000B5"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Has a Results Based Management system been established and implemented? </w:t>
            </w:r>
          </w:p>
        </w:tc>
      </w:tr>
      <w:tr w:rsidR="009A0EEC" w14:paraId="555B218A" w14:textId="77777777">
        <w:trPr>
          <w:trHeight w:val="620"/>
        </w:trPr>
        <w:tc>
          <w:tcPr>
            <w:tcW w:w="1536" w:type="dxa"/>
            <w:vMerge/>
          </w:tcPr>
          <w:p w14:paraId="000000B6" w14:textId="77777777" w:rsidR="009A0EEC" w:rsidRDefault="009A0EEC">
            <w:pPr>
              <w:widowControl w:val="0"/>
              <w:pBdr>
                <w:top w:val="nil"/>
                <w:left w:val="nil"/>
                <w:bottom w:val="nil"/>
                <w:right w:val="nil"/>
                <w:between w:val="nil"/>
              </w:pBdr>
              <w:jc w:val="left"/>
              <w:rPr>
                <w:rFonts w:ascii="Times New Roman" w:eastAsia="Times New Roman" w:hAnsi="Times New Roman" w:cs="Times New Roman"/>
                <w:sz w:val="24"/>
              </w:rPr>
            </w:pPr>
          </w:p>
        </w:tc>
        <w:tc>
          <w:tcPr>
            <w:tcW w:w="1254" w:type="dxa"/>
            <w:vMerge/>
          </w:tcPr>
          <w:p w14:paraId="000000B7" w14:textId="77777777" w:rsidR="009A0EEC" w:rsidRDefault="009A0EEC">
            <w:pPr>
              <w:widowControl w:val="0"/>
              <w:pBdr>
                <w:top w:val="nil"/>
                <w:left w:val="nil"/>
                <w:bottom w:val="nil"/>
                <w:right w:val="nil"/>
                <w:between w:val="nil"/>
              </w:pBdr>
              <w:jc w:val="left"/>
              <w:rPr>
                <w:rFonts w:ascii="Times New Roman" w:eastAsia="Times New Roman" w:hAnsi="Times New Roman" w:cs="Times New Roman"/>
                <w:sz w:val="24"/>
              </w:rPr>
            </w:pPr>
          </w:p>
        </w:tc>
        <w:tc>
          <w:tcPr>
            <w:tcW w:w="2559" w:type="dxa"/>
          </w:tcPr>
          <w:p w14:paraId="000000B8"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Coherenc</w:t>
            </w:r>
            <w:sdt>
              <w:sdtPr>
                <w:tag w:val="goog_rdk_3"/>
                <w:id w:val="-1759673713"/>
              </w:sdtPr>
              <w:sdtEndPr/>
              <w:sdtContent/>
            </w:sdt>
            <w:sdt>
              <w:sdtPr>
                <w:tag w:val="goog_rdk_4"/>
                <w:id w:val="17663943"/>
              </w:sdtPr>
              <w:sdtEndPr/>
              <w:sdtContent/>
            </w:sdt>
            <w:sdt>
              <w:sdtPr>
                <w:tag w:val="goog_rdk_5"/>
                <w:id w:val="788630449"/>
              </w:sdtPr>
              <w:sdtEndPr/>
              <w:sdtContent/>
            </w:sdt>
            <w:sdt>
              <w:sdtPr>
                <w:tag w:val="goog_rdk_6"/>
                <w:id w:val="1453825919"/>
              </w:sdtPr>
              <w:sdtEndPr/>
              <w:sdtContent/>
            </w:sdt>
            <w:r>
              <w:rPr>
                <w:rFonts w:ascii="Times New Roman" w:eastAsia="Times New Roman" w:hAnsi="Times New Roman" w:cs="Times New Roman"/>
                <w:sz w:val="24"/>
              </w:rPr>
              <w:t>e</w:t>
            </w:r>
          </w:p>
        </w:tc>
        <w:tc>
          <w:tcPr>
            <w:tcW w:w="4179" w:type="dxa"/>
          </w:tcPr>
          <w:p w14:paraId="000000B9"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Are the interventions achieving synergies within the UN Women portfolio and the work of the UN Country Team?</w:t>
            </w:r>
          </w:p>
          <w:p w14:paraId="000000BA"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Is the balance and coherence between programming- operational, coordination and policy‐normative work optimal?</w:t>
            </w:r>
          </w:p>
          <w:p w14:paraId="000000BB" w14:textId="77777777" w:rsidR="009A0EEC" w:rsidRDefault="009A0EEC">
            <w:pPr>
              <w:spacing w:after="120"/>
              <w:rPr>
                <w:rFonts w:ascii="Times New Roman" w:eastAsia="Times New Roman" w:hAnsi="Times New Roman" w:cs="Times New Roman"/>
                <w:sz w:val="24"/>
              </w:rPr>
            </w:pPr>
          </w:p>
        </w:tc>
      </w:tr>
      <w:tr w:rsidR="009A0EEC" w14:paraId="24228E91" w14:textId="77777777">
        <w:trPr>
          <w:trHeight w:val="620"/>
        </w:trPr>
        <w:tc>
          <w:tcPr>
            <w:tcW w:w="1536" w:type="dxa"/>
          </w:tcPr>
          <w:p w14:paraId="000000BC" w14:textId="77777777" w:rsidR="009A0EEC" w:rsidRDefault="009A0EEC">
            <w:pPr>
              <w:spacing w:after="120"/>
              <w:rPr>
                <w:rFonts w:ascii="Times New Roman" w:eastAsia="Times New Roman" w:hAnsi="Times New Roman" w:cs="Times New Roman"/>
                <w:sz w:val="24"/>
              </w:rPr>
            </w:pPr>
          </w:p>
        </w:tc>
        <w:tc>
          <w:tcPr>
            <w:tcW w:w="1254" w:type="dxa"/>
          </w:tcPr>
          <w:p w14:paraId="000000BD" w14:textId="77777777" w:rsidR="009A0EEC" w:rsidRDefault="009A0EEC">
            <w:pPr>
              <w:spacing w:after="120"/>
              <w:rPr>
                <w:rFonts w:ascii="Times New Roman" w:eastAsia="Times New Roman" w:hAnsi="Times New Roman" w:cs="Times New Roman"/>
                <w:sz w:val="24"/>
              </w:rPr>
            </w:pPr>
          </w:p>
        </w:tc>
        <w:tc>
          <w:tcPr>
            <w:tcW w:w="2559" w:type="dxa"/>
          </w:tcPr>
          <w:p w14:paraId="000000BE"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Human Rights and Gender Equality</w:t>
            </w:r>
            <w:r>
              <w:rPr>
                <w:rFonts w:ascii="Times New Roman" w:eastAsia="Times New Roman" w:hAnsi="Times New Roman" w:cs="Times New Roman"/>
                <w:sz w:val="24"/>
              </w:rPr>
              <w:tab/>
            </w:r>
          </w:p>
        </w:tc>
        <w:tc>
          <w:tcPr>
            <w:tcW w:w="4179" w:type="dxa"/>
          </w:tcPr>
          <w:p w14:paraId="000000BF"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Which groups is the portfolio reaching the most, and which are being excluded?</w:t>
            </w:r>
          </w:p>
          <w:p w14:paraId="000000C0"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Has the portfolio been implemented   according to human rights and development effectiveness    principles:</w:t>
            </w:r>
          </w:p>
          <w:p w14:paraId="000000C1" w14:textId="77777777" w:rsidR="009A0EEC" w:rsidRDefault="00BF0077">
            <w:pPr>
              <w:numPr>
                <w:ilvl w:val="0"/>
                <w:numId w:val="14"/>
              </w:numPr>
              <w:spacing w:after="120"/>
              <w:rPr>
                <w:rFonts w:ascii="Times New Roman" w:eastAsia="Times New Roman" w:hAnsi="Times New Roman" w:cs="Times New Roman"/>
                <w:sz w:val="24"/>
              </w:rPr>
            </w:pPr>
            <w:r>
              <w:rPr>
                <w:rFonts w:ascii="Times New Roman" w:eastAsia="Times New Roman" w:hAnsi="Times New Roman" w:cs="Times New Roman"/>
                <w:sz w:val="24"/>
              </w:rPr>
              <w:t>Participation/empowerment.</w:t>
            </w:r>
          </w:p>
          <w:p w14:paraId="000000C2" w14:textId="77777777" w:rsidR="009A0EEC" w:rsidRDefault="00BF0077">
            <w:pPr>
              <w:numPr>
                <w:ilvl w:val="0"/>
                <w:numId w:val="14"/>
              </w:numPr>
              <w:spacing w:after="120"/>
              <w:rPr>
                <w:rFonts w:ascii="Times New Roman" w:eastAsia="Times New Roman" w:hAnsi="Times New Roman" w:cs="Times New Roman"/>
                <w:sz w:val="24"/>
              </w:rPr>
            </w:pPr>
            <w:r>
              <w:rPr>
                <w:rFonts w:ascii="Times New Roman" w:eastAsia="Times New Roman" w:hAnsi="Times New Roman" w:cs="Times New Roman"/>
                <w:sz w:val="24"/>
              </w:rPr>
              <w:t>Inclusion/non-discrimination.</w:t>
            </w:r>
          </w:p>
          <w:p w14:paraId="000000C3" w14:textId="77777777" w:rsidR="009A0EEC" w:rsidRDefault="00BF0077">
            <w:pPr>
              <w:numPr>
                <w:ilvl w:val="0"/>
                <w:numId w:val="14"/>
              </w:numPr>
              <w:spacing w:after="120"/>
              <w:rPr>
                <w:rFonts w:ascii="Times New Roman" w:eastAsia="Times New Roman" w:hAnsi="Times New Roman" w:cs="Times New Roman"/>
                <w:sz w:val="24"/>
              </w:rPr>
            </w:pPr>
            <w:r>
              <w:rPr>
                <w:rFonts w:ascii="Times New Roman" w:eastAsia="Times New Roman" w:hAnsi="Times New Roman" w:cs="Times New Roman"/>
                <w:sz w:val="24"/>
              </w:rPr>
              <w:t>National accountability/ transparency.</w:t>
            </w:r>
          </w:p>
        </w:tc>
      </w:tr>
      <w:tr w:rsidR="009A0EEC" w14:paraId="5CC40593" w14:textId="77777777">
        <w:trPr>
          <w:trHeight w:val="620"/>
        </w:trPr>
        <w:tc>
          <w:tcPr>
            <w:tcW w:w="1536" w:type="dxa"/>
            <w:vMerge w:val="restart"/>
          </w:tcPr>
          <w:p w14:paraId="000000C4"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Effectiveness </w:t>
            </w:r>
          </w:p>
        </w:tc>
        <w:tc>
          <w:tcPr>
            <w:tcW w:w="1254" w:type="dxa"/>
            <w:vMerge w:val="restart"/>
          </w:tcPr>
          <w:p w14:paraId="000000C5"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Are the   things we   are doing working?</w:t>
            </w:r>
          </w:p>
        </w:tc>
        <w:tc>
          <w:tcPr>
            <w:tcW w:w="2559" w:type="dxa"/>
          </w:tcPr>
          <w:p w14:paraId="000000C6"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Operational mandate </w:t>
            </w:r>
          </w:p>
        </w:tc>
        <w:tc>
          <w:tcPr>
            <w:tcW w:w="4179" w:type="dxa"/>
          </w:tcPr>
          <w:p w14:paraId="000000C7"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To what extent have planned outputs/outcomes been achieved on time?</w:t>
            </w:r>
          </w:p>
          <w:p w14:paraId="000000C8"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Are interventions contributing to the expected outcomes? </w:t>
            </w:r>
          </w:p>
          <w:p w14:paraId="000000C9"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What unexpected outcomes (positive   and negative) have been achieved? </w:t>
            </w:r>
          </w:p>
          <w:p w14:paraId="000000CA"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lastRenderedPageBreak/>
              <w:t>What are the main enabling and hindering factors behind observed outcomes?</w:t>
            </w:r>
          </w:p>
        </w:tc>
      </w:tr>
      <w:tr w:rsidR="009A0EEC" w14:paraId="6716BB61" w14:textId="77777777">
        <w:trPr>
          <w:trHeight w:val="620"/>
        </w:trPr>
        <w:tc>
          <w:tcPr>
            <w:tcW w:w="1536" w:type="dxa"/>
            <w:vMerge/>
          </w:tcPr>
          <w:p w14:paraId="000000CB" w14:textId="77777777" w:rsidR="009A0EEC" w:rsidRDefault="009A0EEC">
            <w:pPr>
              <w:widowControl w:val="0"/>
              <w:pBdr>
                <w:top w:val="nil"/>
                <w:left w:val="nil"/>
                <w:bottom w:val="nil"/>
                <w:right w:val="nil"/>
                <w:between w:val="nil"/>
              </w:pBdr>
              <w:jc w:val="left"/>
              <w:rPr>
                <w:rFonts w:ascii="Times New Roman" w:eastAsia="Times New Roman" w:hAnsi="Times New Roman" w:cs="Times New Roman"/>
                <w:sz w:val="24"/>
              </w:rPr>
            </w:pPr>
          </w:p>
        </w:tc>
        <w:tc>
          <w:tcPr>
            <w:tcW w:w="1254" w:type="dxa"/>
            <w:vMerge/>
          </w:tcPr>
          <w:p w14:paraId="000000CC" w14:textId="77777777" w:rsidR="009A0EEC" w:rsidRDefault="009A0EEC">
            <w:pPr>
              <w:widowControl w:val="0"/>
              <w:pBdr>
                <w:top w:val="nil"/>
                <w:left w:val="nil"/>
                <w:bottom w:val="nil"/>
                <w:right w:val="nil"/>
                <w:between w:val="nil"/>
              </w:pBdr>
              <w:jc w:val="left"/>
              <w:rPr>
                <w:rFonts w:ascii="Times New Roman" w:eastAsia="Times New Roman" w:hAnsi="Times New Roman" w:cs="Times New Roman"/>
                <w:sz w:val="24"/>
              </w:rPr>
            </w:pPr>
          </w:p>
        </w:tc>
        <w:tc>
          <w:tcPr>
            <w:tcW w:w="2559" w:type="dxa"/>
          </w:tcPr>
          <w:p w14:paraId="000000CD"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UN Coordination</w:t>
            </w:r>
          </w:p>
        </w:tc>
        <w:tc>
          <w:tcPr>
            <w:tcW w:w="4179" w:type="dxa"/>
          </w:tcPr>
          <w:p w14:paraId="000000CE"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What contribution is UN Women making to UN coordination on GEWE?</w:t>
            </w:r>
          </w:p>
          <w:p w14:paraId="000000CF"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To what extent has gender equality and women’s empowerment been mainstreamed in UN joint   programming such as UNSDCF? </w:t>
            </w:r>
          </w:p>
        </w:tc>
      </w:tr>
      <w:tr w:rsidR="009A0EEC" w14:paraId="6E1F766A" w14:textId="77777777">
        <w:trPr>
          <w:trHeight w:val="620"/>
        </w:trPr>
        <w:tc>
          <w:tcPr>
            <w:tcW w:w="1536" w:type="dxa"/>
            <w:vMerge/>
          </w:tcPr>
          <w:p w14:paraId="000000D0" w14:textId="77777777" w:rsidR="009A0EEC" w:rsidRDefault="009A0EEC">
            <w:pPr>
              <w:widowControl w:val="0"/>
              <w:pBdr>
                <w:top w:val="nil"/>
                <w:left w:val="nil"/>
                <w:bottom w:val="nil"/>
                <w:right w:val="nil"/>
                <w:between w:val="nil"/>
              </w:pBdr>
              <w:jc w:val="left"/>
              <w:rPr>
                <w:rFonts w:ascii="Times New Roman" w:eastAsia="Times New Roman" w:hAnsi="Times New Roman" w:cs="Times New Roman"/>
                <w:sz w:val="24"/>
              </w:rPr>
            </w:pPr>
          </w:p>
        </w:tc>
        <w:tc>
          <w:tcPr>
            <w:tcW w:w="1254" w:type="dxa"/>
            <w:vMerge/>
          </w:tcPr>
          <w:p w14:paraId="000000D1" w14:textId="77777777" w:rsidR="009A0EEC" w:rsidRDefault="009A0EEC">
            <w:pPr>
              <w:widowControl w:val="0"/>
              <w:pBdr>
                <w:top w:val="nil"/>
                <w:left w:val="nil"/>
                <w:bottom w:val="nil"/>
                <w:right w:val="nil"/>
                <w:between w:val="nil"/>
              </w:pBdr>
              <w:jc w:val="left"/>
              <w:rPr>
                <w:rFonts w:ascii="Times New Roman" w:eastAsia="Times New Roman" w:hAnsi="Times New Roman" w:cs="Times New Roman"/>
                <w:sz w:val="24"/>
              </w:rPr>
            </w:pPr>
          </w:p>
        </w:tc>
        <w:tc>
          <w:tcPr>
            <w:tcW w:w="2559" w:type="dxa"/>
          </w:tcPr>
          <w:p w14:paraId="000000D2"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Normative</w:t>
            </w:r>
          </w:p>
        </w:tc>
        <w:tc>
          <w:tcPr>
            <w:tcW w:w="4179" w:type="dxa"/>
          </w:tcPr>
          <w:p w14:paraId="000000D3"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What contribution is UN Women making to implementing global norms and standards for gender equality and women empowerment? </w:t>
            </w:r>
          </w:p>
        </w:tc>
      </w:tr>
      <w:tr w:rsidR="009A0EEC" w14:paraId="480EBC37" w14:textId="77777777">
        <w:trPr>
          <w:trHeight w:val="620"/>
        </w:trPr>
        <w:tc>
          <w:tcPr>
            <w:tcW w:w="1536" w:type="dxa"/>
          </w:tcPr>
          <w:p w14:paraId="000000D4"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Sustainability</w:t>
            </w:r>
          </w:p>
        </w:tc>
        <w:tc>
          <w:tcPr>
            <w:tcW w:w="1254" w:type="dxa"/>
          </w:tcPr>
          <w:p w14:paraId="000000D5"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Will the changes last?</w:t>
            </w:r>
          </w:p>
        </w:tc>
        <w:tc>
          <w:tcPr>
            <w:tcW w:w="2559" w:type="dxa"/>
          </w:tcPr>
          <w:p w14:paraId="000000D6"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Capacity development</w:t>
            </w:r>
          </w:p>
        </w:tc>
        <w:tc>
          <w:tcPr>
            <w:tcW w:w="4179" w:type="dxa"/>
          </w:tcPr>
          <w:p w14:paraId="000000D7"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To what extent was capacity developed to ensure   sustainability of efforts and benefits?</w:t>
            </w:r>
          </w:p>
        </w:tc>
      </w:tr>
      <w:tr w:rsidR="009A0EEC" w14:paraId="78575F9F" w14:textId="77777777">
        <w:trPr>
          <w:trHeight w:val="620"/>
        </w:trPr>
        <w:tc>
          <w:tcPr>
            <w:tcW w:w="1536" w:type="dxa"/>
          </w:tcPr>
          <w:p w14:paraId="000000D8" w14:textId="77777777" w:rsidR="009A0EEC" w:rsidRDefault="009A0EEC">
            <w:pPr>
              <w:spacing w:after="120"/>
              <w:rPr>
                <w:rFonts w:ascii="Times New Roman" w:eastAsia="Times New Roman" w:hAnsi="Times New Roman" w:cs="Times New Roman"/>
                <w:sz w:val="24"/>
              </w:rPr>
            </w:pPr>
          </w:p>
        </w:tc>
        <w:tc>
          <w:tcPr>
            <w:tcW w:w="1254" w:type="dxa"/>
          </w:tcPr>
          <w:p w14:paraId="000000D9" w14:textId="77777777" w:rsidR="009A0EEC" w:rsidRDefault="009A0EEC">
            <w:pPr>
              <w:spacing w:after="120"/>
              <w:rPr>
                <w:rFonts w:ascii="Times New Roman" w:eastAsia="Times New Roman" w:hAnsi="Times New Roman" w:cs="Times New Roman"/>
                <w:sz w:val="24"/>
              </w:rPr>
            </w:pPr>
          </w:p>
        </w:tc>
        <w:tc>
          <w:tcPr>
            <w:tcW w:w="2559" w:type="dxa"/>
          </w:tcPr>
          <w:p w14:paraId="000000DA"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Ownership</w:t>
            </w:r>
          </w:p>
        </w:tc>
        <w:tc>
          <w:tcPr>
            <w:tcW w:w="4179" w:type="dxa"/>
          </w:tcPr>
          <w:p w14:paraId="000000DB"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Is there national ownership and are there national champions for different   parts of the portfolio? </w:t>
            </w:r>
          </w:p>
          <w:p w14:paraId="000000DC"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What local accountability and oversight systems have been established?</w:t>
            </w:r>
          </w:p>
        </w:tc>
      </w:tr>
      <w:tr w:rsidR="009A0EEC" w14:paraId="4AFC4834" w14:textId="77777777">
        <w:trPr>
          <w:trHeight w:val="620"/>
        </w:trPr>
        <w:tc>
          <w:tcPr>
            <w:tcW w:w="1536" w:type="dxa"/>
          </w:tcPr>
          <w:p w14:paraId="000000DD"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Human Rights and Gender Equality</w:t>
            </w:r>
          </w:p>
        </w:tc>
        <w:tc>
          <w:tcPr>
            <w:tcW w:w="1254" w:type="dxa"/>
          </w:tcPr>
          <w:p w14:paraId="000000DE"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Are the   things we   are doing working?</w:t>
            </w:r>
          </w:p>
        </w:tc>
        <w:tc>
          <w:tcPr>
            <w:tcW w:w="2559" w:type="dxa"/>
          </w:tcPr>
          <w:p w14:paraId="000000DF"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Human Rights and Gender Equality</w:t>
            </w:r>
          </w:p>
        </w:tc>
        <w:tc>
          <w:tcPr>
            <w:tcW w:w="4179" w:type="dxa"/>
          </w:tcPr>
          <w:p w14:paraId="000000E0"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Is the choice of partners most relevant to the situation of women and marginalized groups, including women with disabilities?</w:t>
            </w:r>
          </w:p>
          <w:p w14:paraId="000000E1"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Is the choice of interventions most relevant to the situation in the target thematic areas?</w:t>
            </w:r>
          </w:p>
          <w:p w14:paraId="000000E2"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Do interventions in general and particular for the WEP program contribute to target the underlying causes of gender inequality?</w:t>
            </w:r>
          </w:p>
          <w:p w14:paraId="000000E3"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Is the portfolio addressing the root causes of gender inequality?</w:t>
            </w:r>
          </w:p>
          <w:p w14:paraId="000000E4"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To what extent is the portfolio changing the dynamics of power in relationships between different groups?</w:t>
            </w:r>
            <w:r>
              <w:rPr>
                <w:rFonts w:ascii="Times New Roman" w:eastAsia="Times New Roman" w:hAnsi="Times New Roman" w:cs="Times New Roman"/>
                <w:sz w:val="24"/>
              </w:rPr>
              <w:tab/>
            </w:r>
          </w:p>
        </w:tc>
      </w:tr>
      <w:tr w:rsidR="009A0EEC" w14:paraId="4B6ACD07" w14:textId="77777777">
        <w:trPr>
          <w:trHeight w:val="620"/>
        </w:trPr>
        <w:tc>
          <w:tcPr>
            <w:tcW w:w="1536" w:type="dxa"/>
          </w:tcPr>
          <w:p w14:paraId="000000E5"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Coherence</w:t>
            </w:r>
          </w:p>
        </w:tc>
        <w:tc>
          <w:tcPr>
            <w:tcW w:w="1254" w:type="dxa"/>
          </w:tcPr>
          <w:p w14:paraId="000000E6"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Are the   things we   are doing working?</w:t>
            </w:r>
          </w:p>
        </w:tc>
        <w:tc>
          <w:tcPr>
            <w:tcW w:w="2559" w:type="dxa"/>
          </w:tcPr>
          <w:p w14:paraId="000000E7"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compatibility</w:t>
            </w:r>
          </w:p>
        </w:tc>
        <w:tc>
          <w:tcPr>
            <w:tcW w:w="4179" w:type="dxa"/>
          </w:tcPr>
          <w:p w14:paraId="000000E8"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Are the key interventions implemented through various programmes or projects compatible with other interventions in the country?</w:t>
            </w:r>
          </w:p>
          <w:p w14:paraId="000000E9"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lastRenderedPageBreak/>
              <w:t>Is there any potential duplication of efforts in this area?</w:t>
            </w:r>
          </w:p>
        </w:tc>
      </w:tr>
    </w:tbl>
    <w:p w14:paraId="000000EA"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As part of the inception meeting the evaluation team will review agreed indicators for answering each evaluation question. </w:t>
      </w:r>
    </w:p>
    <w:p w14:paraId="000000EB"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 is expected to take a human right and gender-responsive approach</w:t>
      </w:r>
      <w:r>
        <w:rPr>
          <w:rFonts w:ascii="Times New Roman" w:eastAsia="Times New Roman" w:hAnsi="Times New Roman" w:cs="Times New Roman"/>
          <w:sz w:val="26"/>
          <w:szCs w:val="26"/>
          <w:vertAlign w:val="superscript"/>
        </w:rPr>
        <w:footnoteReference w:id="5"/>
      </w:r>
      <w:r>
        <w:rPr>
          <w:rFonts w:ascii="Times New Roman" w:eastAsia="Times New Roman" w:hAnsi="Times New Roman" w:cs="Times New Roman"/>
          <w:sz w:val="24"/>
        </w:rPr>
        <w:t xml:space="preserve"> in identifying how the Strategic Note tackles factors and structures of political and social control that maintain gender inequality. This ensures that the data collected is analysed in relation to relevant international normative frameworks, human rights and gender equality, inclusiveness – Leaving No one behind and disability, power relations and sustainability. The preliminary findings obtained through this process should be validated through a stakeholder workshop with evaluation management and reference groups towards the end of the primary data collection stage.</w:t>
      </w:r>
    </w:p>
    <w:p w14:paraId="000000EC" w14:textId="77777777" w:rsidR="009A0EEC" w:rsidRDefault="00BF0077">
      <w:pPr>
        <w:pStyle w:val="Heading1"/>
        <w:numPr>
          <w:ilvl w:val="0"/>
          <w:numId w:val="6"/>
        </w:numPr>
        <w:spacing w:line="240" w:lineRule="auto"/>
        <w:ind w:left="709"/>
        <w:rPr>
          <w:rFonts w:ascii="Times New Roman" w:eastAsia="Times New Roman" w:hAnsi="Times New Roman" w:cs="Times New Roman"/>
        </w:rPr>
      </w:pPr>
      <w:r>
        <w:rPr>
          <w:rFonts w:ascii="Times New Roman" w:eastAsia="Times New Roman" w:hAnsi="Times New Roman" w:cs="Times New Roman"/>
        </w:rPr>
        <w:t xml:space="preserve">Scope of the evaluation </w:t>
      </w:r>
    </w:p>
    <w:p w14:paraId="000000ED" w14:textId="77777777" w:rsidR="009A0EEC" w:rsidRDefault="009A0EEC">
      <w:pPr>
        <w:spacing w:after="120" w:line="240" w:lineRule="auto"/>
        <w:rPr>
          <w:rFonts w:ascii="Times New Roman" w:eastAsia="Times New Roman" w:hAnsi="Times New Roman" w:cs="Times New Roman"/>
          <w:sz w:val="24"/>
        </w:rPr>
      </w:pPr>
    </w:p>
    <w:p w14:paraId="000000EE" w14:textId="77777777" w:rsidR="009A0EEC" w:rsidRDefault="00BF0077">
      <w:pP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sz w:val="24"/>
        </w:rPr>
        <w:t xml:space="preserve">This evaluation will consider the current Strategic Note covering the period 2016 – 2021. A new Strategic Note is due to be developed in 2021, for the period 2022 – 2027. The period covered by the evaluation will be 2016-2021. The CPE will focus on all activities undertaken by the CO under the Strategic Note, including general support to normative policy and UN coordination. Programme work will be considered in relation to the thematic areas established by the UN Women Strategic Plan 2021-2027. </w:t>
      </w:r>
    </w:p>
    <w:p w14:paraId="000000EF"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As most of the CO work takes place around the country, including remote districts, the evaluators are expected to visit several sites during the field mission to Malawi. All COVID preventive measures will be adhered to and these include wearing of face masks, maintaining social distance, limiting participants during meetings in line with the guidelines. </w:t>
      </w:r>
    </w:p>
    <w:p w14:paraId="000000F0" w14:textId="77777777" w:rsidR="009A0EEC" w:rsidRDefault="00BF0077">
      <w:pPr>
        <w:spacing w:before="240" w:after="120" w:line="240" w:lineRule="auto"/>
        <w:rPr>
          <w:rFonts w:ascii="Times New Roman" w:eastAsia="Times New Roman" w:hAnsi="Times New Roman" w:cs="Times New Roman"/>
          <w:b/>
          <w:sz w:val="24"/>
          <w:u w:val="single"/>
        </w:rPr>
      </w:pPr>
      <w:r>
        <w:rPr>
          <w:rFonts w:ascii="Times New Roman" w:eastAsia="Times New Roman" w:hAnsi="Times New Roman" w:cs="Times New Roman"/>
          <w:b/>
          <w:sz w:val="24"/>
          <w:u w:val="single"/>
        </w:rPr>
        <w:t>VI. Evaluation design (process and methods)</w:t>
      </w:r>
    </w:p>
    <w:p w14:paraId="000000F1"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 team is expected to undertake a rapid evaluability assessment in the Inception. This should include the following:</w:t>
      </w:r>
    </w:p>
    <w:p w14:paraId="000000F2" w14:textId="77777777" w:rsidR="009A0EEC" w:rsidRDefault="00BF0077">
      <w:pPr>
        <w:numPr>
          <w:ilvl w:val="0"/>
          <w:numId w:val="4"/>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An assessment of the relevance, appropriateness, and coherence of the implicit or explicit theory of change, strengthening or reconstructing it where necessary through a stakeholder workshop.</w:t>
      </w:r>
    </w:p>
    <w:p w14:paraId="000000F3" w14:textId="77777777" w:rsidR="009A0EEC" w:rsidRDefault="00BF0077">
      <w:pPr>
        <w:numPr>
          <w:ilvl w:val="0"/>
          <w:numId w:val="4"/>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An assessment of the quality of performance indicators in the DRF and OEEF, and the accessibility and adequacy of relevant documents and secondary data.</w:t>
      </w:r>
    </w:p>
    <w:p w14:paraId="000000F4" w14:textId="77777777" w:rsidR="009A0EEC" w:rsidRDefault="00BF0077">
      <w:pPr>
        <w:numPr>
          <w:ilvl w:val="0"/>
          <w:numId w:val="4"/>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review of the conduciveness of the context for the evaluation.</w:t>
      </w:r>
    </w:p>
    <w:p w14:paraId="000000F5" w14:textId="77777777" w:rsidR="009A0EEC" w:rsidRDefault="00BF0077">
      <w:pPr>
        <w:numPr>
          <w:ilvl w:val="0"/>
          <w:numId w:val="4"/>
        </w:numPr>
        <w:pBdr>
          <w:top w:val="nil"/>
          <w:left w:val="nil"/>
          <w:bottom w:val="nil"/>
          <w:right w:val="nil"/>
          <w:between w:val="nil"/>
        </w:pBd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Ensuring familiarity with accountability and management structures for the evaluation.</w:t>
      </w:r>
    </w:p>
    <w:p w14:paraId="000000F6" w14:textId="77777777" w:rsidR="009A0EEC" w:rsidRDefault="009A0EEC">
      <w:pPr>
        <w:spacing w:after="120" w:line="240" w:lineRule="auto"/>
        <w:rPr>
          <w:rFonts w:ascii="Times New Roman" w:eastAsia="Times New Roman" w:hAnsi="Times New Roman" w:cs="Times New Roman"/>
          <w:sz w:val="24"/>
        </w:rPr>
      </w:pPr>
    </w:p>
    <w:p w14:paraId="000000F7" w14:textId="77777777" w:rsidR="009A0EEC" w:rsidRDefault="00BF0077">
      <w:pPr>
        <w:widowControl w:val="0"/>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evaluation will be carried out following the UN Evaluation Group (UNEG) Norms and Standards (see </w:t>
      </w:r>
      <w:hyperlink r:id="rId10">
        <w:r>
          <w:rPr>
            <w:rFonts w:ascii="Times New Roman" w:eastAsia="Times New Roman" w:hAnsi="Times New Roman" w:cs="Times New Roman"/>
            <w:color w:val="0000FF"/>
            <w:sz w:val="24"/>
            <w:u w:val="single"/>
          </w:rPr>
          <w:t>http://www.unevaluation.org/document/detail/1914</w:t>
        </w:r>
      </w:hyperlink>
      <w:r>
        <w:rPr>
          <w:rFonts w:ascii="Times New Roman" w:eastAsia="Times New Roman" w:hAnsi="Times New Roman" w:cs="Times New Roman"/>
          <w:color w:val="000000"/>
          <w:sz w:val="24"/>
        </w:rPr>
        <w:t xml:space="preserve">), as well as the </w:t>
      </w:r>
      <w:hyperlink r:id="rId11">
        <w:r>
          <w:rPr>
            <w:rFonts w:ascii="Times New Roman" w:eastAsia="Times New Roman" w:hAnsi="Times New Roman" w:cs="Times New Roman"/>
            <w:color w:val="0000FF"/>
            <w:sz w:val="24"/>
            <w:u w:val="single"/>
          </w:rPr>
          <w:t xml:space="preserve">Ethical </w:t>
        </w:r>
        <w:r>
          <w:rPr>
            <w:rFonts w:ascii="Times New Roman" w:eastAsia="Times New Roman" w:hAnsi="Times New Roman" w:cs="Times New Roman"/>
            <w:color w:val="0000FF"/>
            <w:sz w:val="24"/>
            <w:u w:val="single"/>
          </w:rPr>
          <w:lastRenderedPageBreak/>
          <w:t>Guidelines for evaluations in the UN system</w:t>
        </w:r>
      </w:hyperlink>
      <w:r>
        <w:rPr>
          <w:rFonts w:ascii="Times New Roman" w:eastAsia="Times New Roman" w:hAnsi="Times New Roman" w:cs="Times New Roman"/>
          <w:color w:val="000000"/>
          <w:sz w:val="24"/>
        </w:rPr>
        <w:t xml:space="preserve">. The evaluation will also apply the </w:t>
      </w:r>
      <w:hyperlink r:id="rId12">
        <w:r>
          <w:rPr>
            <w:rFonts w:ascii="Times New Roman" w:eastAsia="Times New Roman" w:hAnsi="Times New Roman" w:cs="Times New Roman"/>
            <w:color w:val="0000FF"/>
            <w:sz w:val="24"/>
            <w:u w:val="single"/>
          </w:rPr>
          <w:t>UN Women GERAAS evaluation report quality checklist</w:t>
        </w:r>
      </w:hyperlink>
      <w:r>
        <w:rPr>
          <w:rFonts w:ascii="Times New Roman" w:eastAsia="Times New Roman" w:hAnsi="Times New Roman" w:cs="Times New Roman"/>
          <w:color w:val="000000"/>
          <w:sz w:val="24"/>
        </w:rPr>
        <w:t xml:space="preserve"> and the </w:t>
      </w:r>
      <w:hyperlink r:id="rId13">
        <w:r>
          <w:rPr>
            <w:rFonts w:ascii="Times New Roman" w:eastAsia="Times New Roman" w:hAnsi="Times New Roman" w:cs="Times New Roman"/>
            <w:color w:val="0000FF"/>
            <w:sz w:val="24"/>
            <w:u w:val="single"/>
          </w:rPr>
          <w:t>UNEG Technical Note on the SWAP Evaluation Performance Indicator</w:t>
        </w:r>
      </w:hyperlink>
      <w:r>
        <w:rPr>
          <w:rFonts w:ascii="Times New Roman" w:eastAsia="Times New Roman" w:hAnsi="Times New Roman" w:cs="Times New Roman"/>
          <w:color w:val="000000"/>
          <w:sz w:val="24"/>
        </w:rPr>
        <w:t>. In line with Norms and Standards a management response will be prepared for this evaluation as practical means to enhance the use of evaluation findings and follow-up to the evaluation recommendations. The management response will identify who is responsible, what are the action points and deadlines.</w:t>
      </w:r>
    </w:p>
    <w:p w14:paraId="000000F8"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 will use a theory-based</w:t>
      </w:r>
      <w:r>
        <w:rPr>
          <w:rFonts w:ascii="Times New Roman" w:eastAsia="Times New Roman" w:hAnsi="Times New Roman" w:cs="Times New Roman"/>
          <w:sz w:val="24"/>
          <w:vertAlign w:val="superscript"/>
        </w:rPr>
        <w:footnoteReference w:id="6"/>
      </w:r>
      <w:r>
        <w:rPr>
          <w:rFonts w:ascii="Times New Roman" w:eastAsia="Times New Roman" w:hAnsi="Times New Roman" w:cs="Times New Roman"/>
          <w:sz w:val="24"/>
        </w:rPr>
        <w:t xml:space="preserve"> cluster design</w:t>
      </w:r>
      <w:r>
        <w:rPr>
          <w:rFonts w:ascii="Times New Roman" w:eastAsia="Times New Roman" w:hAnsi="Times New Roman" w:cs="Times New Roman"/>
          <w:sz w:val="24"/>
          <w:vertAlign w:val="superscript"/>
        </w:rPr>
        <w:footnoteReference w:id="7"/>
      </w:r>
      <w:r>
        <w:rPr>
          <w:rFonts w:ascii="Times New Roman" w:eastAsia="Times New Roman" w:hAnsi="Times New Roman" w:cs="Times New Roman"/>
          <w:sz w:val="24"/>
        </w:rPr>
        <w:t>. The performance of the country portfolio will be assessed according to the theory of change stated in the Strategic Note 2016-2021. To achieve sufficient depth, the evaluation will cluster programming, coordination, and policy activities of the Country Office around the thematic areas stated in the UN Women Strategic Plan 2015-2020. It will provide special focus on the Women Empowerment Programming which comes to an end in March 2021.</w:t>
      </w:r>
    </w:p>
    <w:p w14:paraId="000000F9"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 will undertake a desk-based portfolio analysis that includes a synthesis of secondary results data for the Development Results Framework (see Annex [X]) and the Organizational Effectiveness and Efficiency Framework (see Annex [X]) of the Country Office. This will cover all activities undertaken by the Country Office.</w:t>
      </w:r>
    </w:p>
    <w:p w14:paraId="000000FA"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portfolio analysis will include:</w:t>
      </w:r>
    </w:p>
    <w:p w14:paraId="000000FB" w14:textId="77777777" w:rsidR="009A0EEC" w:rsidRDefault="00BF0077">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Desk review of documentary evidence. The method should include a wide range of data sources (including documents, field information, institutional information systems, financial records, beneficiaries, staff, funders, experts, government officials and community groups).</w:t>
      </w:r>
    </w:p>
    <w:p w14:paraId="000000FC" w14:textId="77777777" w:rsidR="009A0EEC" w:rsidRDefault="00BF0077">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Consultation with main stakeholders; and</w:t>
      </w:r>
    </w:p>
    <w:p w14:paraId="000000FD" w14:textId="77777777" w:rsidR="009A0EEC" w:rsidRDefault="00BF0077">
      <w:pPr>
        <w:numPr>
          <w:ilvl w:val="0"/>
          <w:numId w:val="1"/>
        </w:numPr>
        <w:pBdr>
          <w:top w:val="nil"/>
          <w:left w:val="nil"/>
          <w:bottom w:val="nil"/>
          <w:right w:val="nil"/>
          <w:between w:val="nil"/>
        </w:pBd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An independent assessment of development effectiveness using Contribution Analysis. </w:t>
      </w:r>
    </w:p>
    <w:p w14:paraId="000000FE"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 will identify expected and unexpected changes in target and affected groups. It is anticipated that the evaluation will apply process tracing to identify the mechanisms of change and the probable contributions of UN Women. It is suggested that mixed qualitative/quantitative cases of different target groups be developed, compared, and contrasted. The evaluation team will identify which factors, and which combinations of factors, are most frequently associated with a higher contribution of UN Women to expected and unexpected outcomes.</w:t>
      </w:r>
    </w:p>
    <w:p w14:paraId="000000FF"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CPE is being led by the Independent Evaluation Service (IES) of the Independent Evaluation and Audit Services of UN Women (IEAS). The evaluation will use participatory methods to ensure that all stakeholders are consulted as part of the evaluation process. At a minimum, this should include participatory tools for consultation with stakeholder groups and a plan for inclusion of vulnerable and/or marginalized women and individuals and groups who are in the consultation process (see below for examples).</w:t>
      </w:r>
    </w:p>
    <w:p w14:paraId="00000100"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The use of participatory analysis, video, photography, or other methods are particularly encouraged as means to include rights holders. The evaluator should specify how protection of participants and respect for confidentiality will be guaranteed.</w:t>
      </w:r>
    </w:p>
    <w:p w14:paraId="00000101"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 will use the following data collection tools:</w:t>
      </w:r>
    </w:p>
    <w:p w14:paraId="00000102" w14:textId="77777777" w:rsidR="009A0EEC" w:rsidRDefault="00BF0077">
      <w:pPr>
        <w:numPr>
          <w:ilvl w:val="0"/>
          <w:numId w:val="10"/>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Interviews.</w:t>
      </w:r>
    </w:p>
    <w:p w14:paraId="00000103" w14:textId="77777777" w:rsidR="009A0EEC" w:rsidRDefault="00BF0077">
      <w:pPr>
        <w:numPr>
          <w:ilvl w:val="0"/>
          <w:numId w:val="10"/>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Secondary document analysis.</w:t>
      </w:r>
    </w:p>
    <w:p w14:paraId="00000104" w14:textId="77777777" w:rsidR="009A0EEC" w:rsidRDefault="00BF0077">
      <w:pPr>
        <w:numPr>
          <w:ilvl w:val="0"/>
          <w:numId w:val="10"/>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Observation.</w:t>
      </w:r>
    </w:p>
    <w:p w14:paraId="00000105" w14:textId="77777777" w:rsidR="009A0EEC" w:rsidRDefault="00BF0077">
      <w:pPr>
        <w:numPr>
          <w:ilvl w:val="0"/>
          <w:numId w:val="10"/>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Multimedia (photography, drawing).</w:t>
      </w:r>
    </w:p>
    <w:p w14:paraId="00000106" w14:textId="77777777" w:rsidR="009A0EEC" w:rsidRDefault="00BF0077">
      <w:pPr>
        <w:numPr>
          <w:ilvl w:val="0"/>
          <w:numId w:val="10"/>
        </w:numPr>
        <w:pBdr>
          <w:top w:val="nil"/>
          <w:left w:val="nil"/>
          <w:bottom w:val="nil"/>
          <w:right w:val="nil"/>
          <w:between w:val="nil"/>
        </w:pBd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Others.</w:t>
      </w:r>
    </w:p>
    <w:p w14:paraId="00000107"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evaluator</w:t>
      </w:r>
      <w:sdt>
        <w:sdtPr>
          <w:tag w:val="goog_rdk_7"/>
          <w:id w:val="-2070953330"/>
        </w:sdtPr>
        <w:sdtEndPr/>
        <w:sdtContent>
          <w:r>
            <w:rPr>
              <w:rFonts w:ascii="Times New Roman" w:eastAsia="Times New Roman" w:hAnsi="Times New Roman" w:cs="Times New Roman"/>
              <w:sz w:val="24"/>
            </w:rPr>
            <w:t>s</w:t>
          </w:r>
        </w:sdtContent>
      </w:sdt>
      <w:r>
        <w:rPr>
          <w:rFonts w:ascii="Times New Roman" w:eastAsia="Times New Roman" w:hAnsi="Times New Roman" w:cs="Times New Roman"/>
          <w:sz w:val="24"/>
        </w:rPr>
        <w:t xml:space="preserve"> should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00000108"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 is expected to reconstruct the theories of change using a participatory process during the evaluation. This should be critiqued based on feminist and institutional analysis.</w:t>
      </w:r>
    </w:p>
    <w:p w14:paraId="00000109"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 CPE will sample programmes and projects that the CO has implemented during the past 5 years. Special attention will be given to the WEP in a case study as described below. </w:t>
      </w:r>
    </w:p>
    <w:p w14:paraId="0000010A" w14:textId="77777777" w:rsidR="009A0EEC" w:rsidRDefault="009A0EEC">
      <w:pPr>
        <w:spacing w:before="240" w:after="120" w:line="240" w:lineRule="auto"/>
        <w:rPr>
          <w:rFonts w:ascii="Times New Roman" w:eastAsia="Times New Roman" w:hAnsi="Times New Roman" w:cs="Times New Roman"/>
          <w:sz w:val="24"/>
        </w:rPr>
      </w:pPr>
    </w:p>
    <w:p w14:paraId="0000010B" w14:textId="77777777" w:rsidR="009A0EEC" w:rsidRDefault="00BF0077">
      <w:pPr>
        <w:spacing w:line="240" w:lineRule="auto"/>
        <w:rPr>
          <w:rFonts w:ascii="Times New Roman" w:eastAsia="Times New Roman" w:hAnsi="Times New Roman" w:cs="Times New Roman"/>
          <w:b/>
          <w:color w:val="2E75B5"/>
          <w:sz w:val="24"/>
        </w:rPr>
      </w:pPr>
      <w:r>
        <w:rPr>
          <w:rFonts w:ascii="Times New Roman" w:eastAsia="Times New Roman" w:hAnsi="Times New Roman" w:cs="Times New Roman"/>
          <w:b/>
          <w:sz w:val="24"/>
          <w:u w:val="single"/>
        </w:rPr>
        <w:t xml:space="preserve">VII. </w:t>
      </w:r>
      <w:r>
        <w:rPr>
          <w:rFonts w:ascii="Times New Roman" w:eastAsia="Times New Roman" w:hAnsi="Times New Roman" w:cs="Times New Roman"/>
          <w:b/>
          <w:sz w:val="24"/>
        </w:rPr>
        <w:t xml:space="preserve">Case Study </w:t>
      </w:r>
    </w:p>
    <w:p w14:paraId="0000010C" w14:textId="77777777" w:rsidR="009A0EEC" w:rsidRDefault="009A0EEC">
      <w:pPr>
        <w:spacing w:line="240" w:lineRule="auto"/>
        <w:rPr>
          <w:rFonts w:ascii="Times New Roman" w:eastAsia="Times New Roman" w:hAnsi="Times New Roman" w:cs="Times New Roman"/>
          <w:b/>
          <w:color w:val="2E75B5"/>
          <w:sz w:val="24"/>
        </w:rPr>
      </w:pPr>
    </w:p>
    <w:p w14:paraId="0000010D"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A deep-dive case study model will be employed purposively on the three thematic areas of the Women Empowerment Programme and on selected thematic or sub-thematic area</w:t>
      </w:r>
      <w:sdt>
        <w:sdtPr>
          <w:tag w:val="goog_rdk_8"/>
          <w:id w:val="975566653"/>
        </w:sdtPr>
        <w:sdtEndPr/>
        <w:sdtContent>
          <w:r>
            <w:rPr>
              <w:rFonts w:ascii="Times New Roman" w:eastAsia="Times New Roman" w:hAnsi="Times New Roman" w:cs="Times New Roman"/>
              <w:sz w:val="24"/>
            </w:rPr>
            <w:t>s</w:t>
          </w:r>
        </w:sdtContent>
      </w:sdt>
      <w:r>
        <w:rPr>
          <w:rFonts w:ascii="Times New Roman" w:eastAsia="Times New Roman" w:hAnsi="Times New Roman" w:cs="Times New Roman"/>
          <w:sz w:val="24"/>
        </w:rPr>
        <w:t xml:space="preserve"> of other programmes/projects. The selected thematic or sub -thematic areas will be discussed and confirmed with the CO management and programme staff to ensure adequate coverage and representation of intervention areas. The WEP constituted the largest share of programme resources during the SN period. Other criteria for selecting the case study include interventions were advanced enough that results had emerged; the holistic approach would allow assessment of synergy, complementarities, and impact across different thematic areas; a mix of investment across the CO’s composite mandate; and geographical concentration of interventions will facilitate data collection in selected districts and local sites. Baseline benchmarks are also available to track progress over time. </w:t>
      </w:r>
    </w:p>
    <w:p w14:paraId="0000010E" w14:textId="77777777" w:rsidR="009A0EEC" w:rsidRDefault="009A0EEC">
      <w:pPr>
        <w:spacing w:line="240" w:lineRule="auto"/>
        <w:rPr>
          <w:rFonts w:ascii="Times New Roman" w:eastAsia="Times New Roman" w:hAnsi="Times New Roman" w:cs="Times New Roman"/>
          <w:sz w:val="24"/>
        </w:rPr>
      </w:pPr>
    </w:p>
    <w:p w14:paraId="0000010F" w14:textId="16DFEE38"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In general, with the use of the case study, the CPE will seek to unpack the degree to which the project/s have catalysed and accelerated progress towards GEWE through influence of wider programme strategies or policies or through adoption of innovative approaches. Performance will also be examined through the lens of cost efficiency analysis / gains regarding operations, procurement, implementation modalities, execution of advocacy campaigns/communication activities and capacity development interventions particularly workshops/training</w:t>
      </w:r>
      <w:sdt>
        <w:sdtPr>
          <w:tag w:val="goog_rdk_9"/>
          <w:id w:val="1490283286"/>
          <w:showingPlcHdr/>
        </w:sdtPr>
        <w:sdtEndPr/>
        <w:sdtContent>
          <w:r>
            <w:t xml:space="preserve">     </w:t>
          </w:r>
        </w:sdtContent>
      </w:sdt>
      <w:r>
        <w:rPr>
          <w:rFonts w:ascii="Times New Roman" w:eastAsia="Times New Roman" w:hAnsi="Times New Roman" w:cs="Times New Roman"/>
          <w:sz w:val="24"/>
        </w:rPr>
        <w:t xml:space="preserve">. The approach and methods for cost consciousness analysis will be further elaborated in the evaluation matrix.  Data will be collected from secondary and primary sources including stakeholders and beneficiaries at different levels (national, state, UN partners, CSOs/CBOs, and local governments). The number </w:t>
      </w:r>
      <w:r>
        <w:rPr>
          <w:rFonts w:ascii="Times New Roman" w:eastAsia="Times New Roman" w:hAnsi="Times New Roman" w:cs="Times New Roman"/>
          <w:sz w:val="24"/>
        </w:rPr>
        <w:lastRenderedPageBreak/>
        <w:t>and location of field visit sites for the case study/</w:t>
      </w:r>
      <w:proofErr w:type="spellStart"/>
      <w:r>
        <w:rPr>
          <w:rFonts w:ascii="Times New Roman" w:eastAsia="Times New Roman" w:hAnsi="Times New Roman" w:cs="Times New Roman"/>
          <w:sz w:val="24"/>
        </w:rPr>
        <w:t>ies</w:t>
      </w:r>
      <w:proofErr w:type="spellEnd"/>
      <w:r>
        <w:rPr>
          <w:rFonts w:ascii="Times New Roman" w:eastAsia="Times New Roman" w:hAnsi="Times New Roman" w:cs="Times New Roman"/>
          <w:sz w:val="24"/>
        </w:rPr>
        <w:t xml:space="preserve"> will be determined in consideration of having a good mix of the portfolio. </w:t>
      </w:r>
    </w:p>
    <w:p w14:paraId="00000110" w14:textId="77777777" w:rsidR="009A0EEC" w:rsidRDefault="00BF0077">
      <w:pPr>
        <w:pStyle w:val="Heading1"/>
        <w:numPr>
          <w:ilvl w:val="0"/>
          <w:numId w:val="6"/>
        </w:numPr>
        <w:spacing w:line="240" w:lineRule="auto"/>
        <w:ind w:left="709"/>
        <w:rPr>
          <w:rFonts w:ascii="Times New Roman" w:eastAsia="Times New Roman" w:hAnsi="Times New Roman" w:cs="Times New Roman"/>
        </w:rPr>
      </w:pPr>
      <w:r>
        <w:rPr>
          <w:rFonts w:ascii="Times New Roman" w:eastAsia="Times New Roman" w:hAnsi="Times New Roman" w:cs="Times New Roman"/>
        </w:rPr>
        <w:t xml:space="preserve">Stakeholder participation   </w:t>
      </w:r>
    </w:p>
    <w:p w14:paraId="00000111"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evaluators are expected to detail how the evaluation will ensure participation of stakeholders during the design, consultations, data collection, analysis and interpretation and reporting writing. It is expected that the evaluation will target community members, Civil Society Implementing Partners, government institutions, Private sector, Political leaders, and representatives, Donors and development partners, UN Country Team, and others.</w:t>
      </w:r>
    </w:p>
    <w:p w14:paraId="00000112"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evaluators are encouraged to further analyse stakeholders according to the following characteristics: System roles (target groups, programme controllers, sources of expertise, and representatives of excluded groups), Gender roles (intersections of sex, age, household roles, community roles), Human Rights roles (rights holders, principal duty bearers, primary, secondary, and tertiary duty bearers).</w:t>
      </w:r>
    </w:p>
    <w:p w14:paraId="00000113"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They are expected to validate findings through engagement with stakeholders at stakeholder workshops, debriefings, or other forms of engagement. </w:t>
      </w:r>
    </w:p>
    <w:p w14:paraId="00000114" w14:textId="77777777" w:rsidR="009A0EEC" w:rsidRDefault="00BF0077">
      <w:pPr>
        <w:spacing w:after="120" w:line="240" w:lineRule="auto"/>
        <w:ind w:left="426" w:hanging="425"/>
        <w:rPr>
          <w:rFonts w:ascii="Times New Roman" w:eastAsia="Times New Roman" w:hAnsi="Times New Roman" w:cs="Times New Roman"/>
          <w:color w:val="5B9BD5"/>
          <w:sz w:val="32"/>
          <w:szCs w:val="32"/>
        </w:rPr>
      </w:pPr>
      <w:r>
        <w:rPr>
          <w:rFonts w:ascii="Times New Roman" w:eastAsia="Times New Roman" w:hAnsi="Times New Roman" w:cs="Times New Roman"/>
          <w:color w:val="5B9BD5"/>
          <w:sz w:val="32"/>
          <w:szCs w:val="32"/>
        </w:rPr>
        <w:t>VI</w:t>
      </w:r>
      <w:r>
        <w:rPr>
          <w:rFonts w:ascii="Times New Roman" w:eastAsia="Times New Roman" w:hAnsi="Times New Roman" w:cs="Times New Roman"/>
          <w:color w:val="5B9BD5"/>
          <w:sz w:val="32"/>
          <w:szCs w:val="32"/>
        </w:rPr>
        <w:tab/>
        <w:t>Intended users and uses of the evaluation.</w:t>
      </w:r>
    </w:p>
    <w:p w14:paraId="00000115" w14:textId="163131D5"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evaluators are encouraged to extend this analysis through mapping relationships and power dynamics as part of the evaluation. It is important to pay particular attention to participation of rights holders—women and vulnerable and marginalized groups—to ensure the application of a gender-responsive approach. It is also important to specify ethical safeguards that will be employed.</w:t>
      </w:r>
    </w:p>
    <w:p w14:paraId="78516662" w14:textId="65D1ABAB" w:rsidR="00D774C4" w:rsidRDefault="00D774C4">
      <w:pPr>
        <w:spacing w:before="240" w:after="120" w:line="240" w:lineRule="auto"/>
        <w:rPr>
          <w:rFonts w:ascii="Times New Roman" w:eastAsia="Times New Roman" w:hAnsi="Times New Roman" w:cs="Times New Roman"/>
          <w:sz w:val="24"/>
        </w:rPr>
      </w:pPr>
    </w:p>
    <w:p w14:paraId="37B3B8E1" w14:textId="04C86FF3" w:rsidR="00D774C4" w:rsidRDefault="00D774C4">
      <w:pPr>
        <w:spacing w:before="240" w:after="120" w:line="240" w:lineRule="auto"/>
        <w:rPr>
          <w:rFonts w:ascii="Times New Roman" w:eastAsia="Times New Roman" w:hAnsi="Times New Roman" w:cs="Times New Roman"/>
          <w:sz w:val="24"/>
        </w:rPr>
      </w:pPr>
    </w:p>
    <w:p w14:paraId="187B7973" w14:textId="53EEDEC8" w:rsidR="00D774C4" w:rsidRDefault="00D774C4">
      <w:pPr>
        <w:spacing w:before="240" w:after="120" w:line="240" w:lineRule="auto"/>
        <w:rPr>
          <w:rFonts w:ascii="Times New Roman" w:eastAsia="Times New Roman" w:hAnsi="Times New Roman" w:cs="Times New Roman"/>
          <w:sz w:val="24"/>
        </w:rPr>
      </w:pPr>
    </w:p>
    <w:p w14:paraId="0DE58CBB" w14:textId="3A548EE4" w:rsidR="00D774C4" w:rsidRDefault="00D774C4">
      <w:pPr>
        <w:spacing w:before="240" w:after="120" w:line="240" w:lineRule="auto"/>
        <w:rPr>
          <w:rFonts w:ascii="Times New Roman" w:eastAsia="Times New Roman" w:hAnsi="Times New Roman" w:cs="Times New Roman"/>
          <w:sz w:val="24"/>
        </w:rPr>
      </w:pPr>
    </w:p>
    <w:p w14:paraId="58FA9A11" w14:textId="20F564D4" w:rsidR="00D774C4" w:rsidRDefault="00D774C4">
      <w:pPr>
        <w:spacing w:before="240" w:after="120" w:line="240" w:lineRule="auto"/>
        <w:rPr>
          <w:rFonts w:ascii="Times New Roman" w:eastAsia="Times New Roman" w:hAnsi="Times New Roman" w:cs="Times New Roman"/>
          <w:sz w:val="24"/>
        </w:rPr>
      </w:pPr>
    </w:p>
    <w:p w14:paraId="0129ED04" w14:textId="40765751" w:rsidR="00D774C4" w:rsidRDefault="00D774C4">
      <w:pPr>
        <w:spacing w:before="240" w:after="120" w:line="240" w:lineRule="auto"/>
        <w:rPr>
          <w:rFonts w:ascii="Times New Roman" w:eastAsia="Times New Roman" w:hAnsi="Times New Roman" w:cs="Times New Roman"/>
          <w:sz w:val="24"/>
        </w:rPr>
      </w:pPr>
    </w:p>
    <w:p w14:paraId="1700A65B" w14:textId="0EFAAD87" w:rsidR="00D774C4" w:rsidRDefault="00D774C4">
      <w:pPr>
        <w:spacing w:before="240" w:after="120" w:line="240" w:lineRule="auto"/>
        <w:rPr>
          <w:rFonts w:ascii="Times New Roman" w:eastAsia="Times New Roman" w:hAnsi="Times New Roman" w:cs="Times New Roman"/>
          <w:sz w:val="24"/>
        </w:rPr>
      </w:pPr>
    </w:p>
    <w:p w14:paraId="064E129D" w14:textId="77777777" w:rsidR="00D774C4" w:rsidRDefault="00D774C4">
      <w:pPr>
        <w:spacing w:before="240" w:after="120" w:line="240" w:lineRule="auto"/>
        <w:rPr>
          <w:rFonts w:ascii="Times New Roman" w:eastAsia="Times New Roman" w:hAnsi="Times New Roman" w:cs="Times New Roman"/>
          <w:sz w:val="24"/>
        </w:rPr>
      </w:pPr>
    </w:p>
    <w:p w14:paraId="00000116" w14:textId="3714CC63" w:rsidR="009A0EEC" w:rsidRDefault="00BF0077">
      <w:pPr>
        <w:pStyle w:val="Heading1"/>
        <w:spacing w:line="240" w:lineRule="auto"/>
        <w:rPr>
          <w:rFonts w:ascii="Times New Roman" w:eastAsia="Times New Roman" w:hAnsi="Times New Roman" w:cs="Times New Roman"/>
        </w:rPr>
      </w:pPr>
      <w:r>
        <w:rPr>
          <w:rFonts w:ascii="Times New Roman" w:eastAsia="Times New Roman" w:hAnsi="Times New Roman" w:cs="Times New Roman"/>
        </w:rPr>
        <w:lastRenderedPageBreak/>
        <w:t>VII</w:t>
      </w:r>
      <w:r>
        <w:rPr>
          <w:rFonts w:ascii="Times New Roman" w:eastAsia="Times New Roman" w:hAnsi="Times New Roman" w:cs="Times New Roman"/>
        </w:rPr>
        <w:tab/>
        <w:t xml:space="preserve">Time frame for </w:t>
      </w:r>
      <w:r w:rsidR="008A2120">
        <w:rPr>
          <w:rFonts w:ascii="Times New Roman" w:eastAsia="Times New Roman" w:hAnsi="Times New Roman" w:cs="Times New Roman"/>
        </w:rPr>
        <w:t>Senior</w:t>
      </w:r>
      <w:r w:rsidR="007A650A">
        <w:rPr>
          <w:rFonts w:ascii="Times New Roman" w:eastAsia="Times New Roman" w:hAnsi="Times New Roman" w:cs="Times New Roman"/>
        </w:rPr>
        <w:t xml:space="preserve"> Evaluator</w:t>
      </w:r>
      <w:r>
        <w:rPr>
          <w:rFonts w:ascii="Times New Roman" w:eastAsia="Times New Roman" w:hAnsi="Times New Roman" w:cs="Times New Roman"/>
        </w:rPr>
        <w:t xml:space="preserve"> and </w:t>
      </w:r>
      <w:r w:rsidR="007A650A">
        <w:rPr>
          <w:rFonts w:ascii="Times New Roman" w:eastAsia="Times New Roman" w:hAnsi="Times New Roman" w:cs="Times New Roman"/>
        </w:rPr>
        <w:t>Three</w:t>
      </w:r>
      <w:r>
        <w:rPr>
          <w:rFonts w:ascii="Times New Roman" w:eastAsia="Times New Roman" w:hAnsi="Times New Roman" w:cs="Times New Roman"/>
        </w:rPr>
        <w:t xml:space="preserve"> </w:t>
      </w:r>
      <w:r w:rsidR="008A2120">
        <w:rPr>
          <w:rFonts w:ascii="Times New Roman" w:eastAsia="Times New Roman" w:hAnsi="Times New Roman" w:cs="Times New Roman"/>
        </w:rPr>
        <w:t xml:space="preserve">Evaluators-Team Members </w:t>
      </w:r>
    </w:p>
    <w:p w14:paraId="00000117" w14:textId="1C126532"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 evaluation is expected to be conducted within a period of 66 days of which </w:t>
      </w:r>
      <w:r w:rsidR="002C2993">
        <w:rPr>
          <w:rFonts w:ascii="Times New Roman" w:eastAsia="Times New Roman" w:hAnsi="Times New Roman" w:cs="Times New Roman"/>
          <w:sz w:val="24"/>
        </w:rPr>
        <w:t>4</w:t>
      </w:r>
      <w:r>
        <w:rPr>
          <w:rFonts w:ascii="Times New Roman" w:eastAsia="Times New Roman" w:hAnsi="Times New Roman" w:cs="Times New Roman"/>
          <w:sz w:val="24"/>
        </w:rPr>
        <w:t>5 days are billable for the International Consultant and 30 days for each of the two national consultants (preliminary estimations):</w:t>
      </w:r>
    </w:p>
    <w:tbl>
      <w:tblPr>
        <w:tblStyle w:val="a4"/>
        <w:tblW w:w="9433" w:type="dxa"/>
        <w:tblInd w:w="6" w:type="dxa"/>
        <w:tblLayout w:type="fixed"/>
        <w:tblLook w:val="0400" w:firstRow="0" w:lastRow="0" w:firstColumn="0" w:lastColumn="0" w:noHBand="0" w:noVBand="1"/>
      </w:tblPr>
      <w:tblGrid>
        <w:gridCol w:w="3413"/>
        <w:gridCol w:w="1253"/>
        <w:gridCol w:w="1546"/>
        <w:gridCol w:w="1413"/>
        <w:gridCol w:w="1808"/>
      </w:tblGrid>
      <w:tr w:rsidR="009A0EEC" w14:paraId="049F086F" w14:textId="77777777" w:rsidTr="00D774C4">
        <w:trPr>
          <w:trHeight w:val="242"/>
        </w:trPr>
        <w:tc>
          <w:tcPr>
            <w:tcW w:w="3413" w:type="dxa"/>
            <w:tcBorders>
              <w:top w:val="single" w:sz="4" w:space="0" w:color="000000"/>
              <w:left w:val="single" w:sz="4" w:space="0" w:color="000000"/>
              <w:bottom w:val="single" w:sz="4" w:space="0" w:color="000000"/>
              <w:right w:val="single" w:sz="4" w:space="0" w:color="000000"/>
            </w:tcBorders>
            <w:shd w:val="clear" w:color="auto" w:fill="D5DCE4"/>
          </w:tcPr>
          <w:p w14:paraId="00000118"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b/>
                <w:sz w:val="24"/>
              </w:rPr>
              <w:t>Task</w:t>
            </w:r>
          </w:p>
        </w:tc>
        <w:tc>
          <w:tcPr>
            <w:tcW w:w="1253" w:type="dxa"/>
            <w:tcBorders>
              <w:top w:val="single" w:sz="4" w:space="0" w:color="000000"/>
              <w:left w:val="single" w:sz="4" w:space="0" w:color="000000"/>
              <w:bottom w:val="single" w:sz="4" w:space="0" w:color="000000"/>
              <w:right w:val="single" w:sz="4" w:space="0" w:color="000000"/>
            </w:tcBorders>
            <w:shd w:val="clear" w:color="auto" w:fill="D5DCE4"/>
          </w:tcPr>
          <w:p w14:paraId="00000119" w14:textId="77777777" w:rsidR="009A0EEC" w:rsidRDefault="00BF0077">
            <w:pPr>
              <w:spacing w:after="120"/>
              <w:rPr>
                <w:rFonts w:ascii="Times New Roman" w:eastAsia="Times New Roman" w:hAnsi="Times New Roman" w:cs="Times New Roman"/>
                <w:b/>
                <w:sz w:val="24"/>
              </w:rPr>
            </w:pPr>
            <w:r>
              <w:rPr>
                <w:rFonts w:ascii="Times New Roman" w:eastAsia="Times New Roman" w:hAnsi="Times New Roman" w:cs="Times New Roman"/>
                <w:b/>
                <w:sz w:val="24"/>
              </w:rPr>
              <w:t xml:space="preserve">Time frame </w:t>
            </w:r>
          </w:p>
          <w:p w14:paraId="0000011A"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b/>
                <w:sz w:val="24"/>
              </w:rPr>
              <w:t>(Nr. of days)</w:t>
            </w:r>
          </w:p>
        </w:tc>
        <w:tc>
          <w:tcPr>
            <w:tcW w:w="1546" w:type="dxa"/>
            <w:tcBorders>
              <w:top w:val="single" w:sz="4" w:space="0" w:color="000000"/>
              <w:left w:val="single" w:sz="4" w:space="0" w:color="000000"/>
              <w:bottom w:val="single" w:sz="4" w:space="0" w:color="000000"/>
              <w:right w:val="single" w:sz="4" w:space="0" w:color="000000"/>
            </w:tcBorders>
            <w:shd w:val="clear" w:color="auto" w:fill="D5DCE4"/>
          </w:tcPr>
          <w:p w14:paraId="0000011B" w14:textId="77777777" w:rsidR="009A0EEC" w:rsidRDefault="00BF0077">
            <w:pPr>
              <w:spacing w:after="120"/>
              <w:rPr>
                <w:rFonts w:ascii="Times New Roman" w:eastAsia="Times New Roman" w:hAnsi="Times New Roman" w:cs="Times New Roman"/>
                <w:b/>
                <w:sz w:val="24"/>
              </w:rPr>
            </w:pPr>
            <w:r>
              <w:rPr>
                <w:rFonts w:ascii="Times New Roman" w:eastAsia="Times New Roman" w:hAnsi="Times New Roman" w:cs="Times New Roman"/>
                <w:b/>
                <w:sz w:val="24"/>
              </w:rPr>
              <w:t>Effort</w:t>
            </w:r>
          </w:p>
          <w:p w14:paraId="0000011C" w14:textId="77777777" w:rsidR="009A0EEC" w:rsidRDefault="00BF0077">
            <w:pPr>
              <w:spacing w:after="120"/>
              <w:rPr>
                <w:rFonts w:ascii="Times New Roman" w:eastAsia="Times New Roman" w:hAnsi="Times New Roman" w:cs="Times New Roman"/>
                <w:b/>
                <w:sz w:val="24"/>
              </w:rPr>
            </w:pPr>
            <w:r>
              <w:rPr>
                <w:rFonts w:ascii="Times New Roman" w:eastAsia="Times New Roman" w:hAnsi="Times New Roman" w:cs="Times New Roman"/>
                <w:b/>
                <w:sz w:val="24"/>
              </w:rPr>
              <w:t>(Nr. of days) – International Consultant</w:t>
            </w:r>
          </w:p>
        </w:tc>
        <w:tc>
          <w:tcPr>
            <w:tcW w:w="1413" w:type="dxa"/>
            <w:tcBorders>
              <w:top w:val="single" w:sz="4" w:space="0" w:color="000000"/>
              <w:left w:val="single" w:sz="4" w:space="0" w:color="000000"/>
              <w:bottom w:val="single" w:sz="4" w:space="0" w:color="000000"/>
              <w:right w:val="single" w:sz="4" w:space="0" w:color="000000"/>
            </w:tcBorders>
            <w:shd w:val="clear" w:color="auto" w:fill="D5DCE4"/>
          </w:tcPr>
          <w:p w14:paraId="0000011D" w14:textId="77777777" w:rsidR="009A0EEC" w:rsidRDefault="00BF0077">
            <w:pPr>
              <w:spacing w:after="120"/>
              <w:rPr>
                <w:rFonts w:ascii="Times New Roman" w:eastAsia="Times New Roman" w:hAnsi="Times New Roman" w:cs="Times New Roman"/>
                <w:b/>
                <w:sz w:val="24"/>
              </w:rPr>
            </w:pPr>
            <w:r>
              <w:rPr>
                <w:rFonts w:ascii="Times New Roman" w:eastAsia="Times New Roman" w:hAnsi="Times New Roman" w:cs="Times New Roman"/>
                <w:b/>
                <w:sz w:val="24"/>
              </w:rPr>
              <w:t>Effort</w:t>
            </w:r>
          </w:p>
          <w:p w14:paraId="0000011E" w14:textId="77777777" w:rsidR="009A0EEC" w:rsidRDefault="00BF0077">
            <w:pPr>
              <w:spacing w:after="120"/>
              <w:rPr>
                <w:rFonts w:ascii="Times New Roman" w:eastAsia="Times New Roman" w:hAnsi="Times New Roman" w:cs="Times New Roman"/>
                <w:b/>
                <w:sz w:val="24"/>
              </w:rPr>
            </w:pPr>
            <w:r>
              <w:rPr>
                <w:rFonts w:ascii="Times New Roman" w:eastAsia="Times New Roman" w:hAnsi="Times New Roman" w:cs="Times New Roman"/>
                <w:b/>
                <w:sz w:val="24"/>
              </w:rPr>
              <w:t>(Nr. of days) – National Consultants</w:t>
            </w:r>
          </w:p>
        </w:tc>
        <w:tc>
          <w:tcPr>
            <w:tcW w:w="1808" w:type="dxa"/>
            <w:tcBorders>
              <w:top w:val="single" w:sz="4" w:space="0" w:color="000000"/>
              <w:left w:val="single" w:sz="4" w:space="0" w:color="000000"/>
              <w:bottom w:val="single" w:sz="4" w:space="0" w:color="000000"/>
              <w:right w:val="single" w:sz="4" w:space="0" w:color="000000"/>
            </w:tcBorders>
            <w:shd w:val="clear" w:color="auto" w:fill="D5DCE4"/>
          </w:tcPr>
          <w:p w14:paraId="0000011F"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b/>
                <w:sz w:val="24"/>
              </w:rPr>
              <w:t>Responsible party</w:t>
            </w:r>
          </w:p>
        </w:tc>
      </w:tr>
      <w:tr w:rsidR="009A0EEC" w14:paraId="64134AB0" w14:textId="77777777" w:rsidTr="00D774C4">
        <w:trPr>
          <w:trHeight w:val="480"/>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20"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Desk review and preparing the inception meeting (reviewing UN Women Malawi 5-year programming)</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21"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10</w:t>
            </w:r>
          </w:p>
        </w:tc>
        <w:tc>
          <w:tcPr>
            <w:tcW w:w="1546" w:type="dxa"/>
            <w:tcBorders>
              <w:top w:val="single" w:sz="4" w:space="0" w:color="000000"/>
              <w:left w:val="single" w:sz="4" w:space="0" w:color="000000"/>
              <w:bottom w:val="single" w:sz="4" w:space="0" w:color="000000"/>
              <w:right w:val="single" w:sz="4" w:space="0" w:color="000000"/>
            </w:tcBorders>
          </w:tcPr>
          <w:p w14:paraId="00000122" w14:textId="5A48409C" w:rsidR="009A0EEC" w:rsidRDefault="00D774C4">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7</w:t>
            </w:r>
          </w:p>
        </w:tc>
        <w:tc>
          <w:tcPr>
            <w:tcW w:w="1413" w:type="dxa"/>
            <w:tcBorders>
              <w:top w:val="single" w:sz="4" w:space="0" w:color="000000"/>
              <w:left w:val="single" w:sz="4" w:space="0" w:color="000000"/>
              <w:bottom w:val="single" w:sz="4" w:space="0" w:color="000000"/>
              <w:right w:val="single" w:sz="4" w:space="0" w:color="000000"/>
            </w:tcBorders>
          </w:tcPr>
          <w:p w14:paraId="00000123" w14:textId="5224C228" w:rsidR="009A0EEC" w:rsidRDefault="00D774C4">
            <w:pPr>
              <w:spacing w:after="120"/>
              <w:rPr>
                <w:rFonts w:ascii="Times New Roman" w:eastAsia="Times New Roman" w:hAnsi="Times New Roman" w:cs="Times New Roman"/>
                <w:sz w:val="24"/>
              </w:rPr>
            </w:pPr>
            <w:r>
              <w:rPr>
                <w:rFonts w:ascii="Times New Roman" w:eastAsia="Times New Roman" w:hAnsi="Times New Roman" w:cs="Times New Roman"/>
                <w:sz w:val="24"/>
              </w:rPr>
              <w:t>7</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24" w14:textId="77777777" w:rsidR="009A0EEC" w:rsidRDefault="009A0EEC">
            <w:pPr>
              <w:spacing w:after="120"/>
              <w:rPr>
                <w:rFonts w:ascii="Times New Roman" w:eastAsia="Times New Roman" w:hAnsi="Times New Roman" w:cs="Times New Roman"/>
                <w:sz w:val="24"/>
              </w:rPr>
            </w:pPr>
          </w:p>
        </w:tc>
      </w:tr>
      <w:tr w:rsidR="009A0EEC" w14:paraId="53251CE6" w14:textId="77777777" w:rsidTr="00D774C4">
        <w:trPr>
          <w:trHeight w:val="480"/>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25"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Virtual inception meeting/workshop between evaluators, CO, and stakeholders</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26"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1</w:t>
            </w:r>
          </w:p>
        </w:tc>
        <w:tc>
          <w:tcPr>
            <w:tcW w:w="1546" w:type="dxa"/>
            <w:tcBorders>
              <w:top w:val="single" w:sz="4" w:space="0" w:color="000000"/>
              <w:left w:val="single" w:sz="4" w:space="0" w:color="000000"/>
              <w:bottom w:val="single" w:sz="4" w:space="0" w:color="000000"/>
              <w:right w:val="single" w:sz="4" w:space="0" w:color="000000"/>
            </w:tcBorders>
          </w:tcPr>
          <w:p w14:paraId="00000127"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1</w:t>
            </w:r>
          </w:p>
        </w:tc>
        <w:tc>
          <w:tcPr>
            <w:tcW w:w="1413" w:type="dxa"/>
            <w:tcBorders>
              <w:top w:val="single" w:sz="4" w:space="0" w:color="000000"/>
              <w:left w:val="single" w:sz="4" w:space="0" w:color="000000"/>
              <w:bottom w:val="single" w:sz="4" w:space="0" w:color="000000"/>
              <w:right w:val="single" w:sz="4" w:space="0" w:color="000000"/>
            </w:tcBorders>
          </w:tcPr>
          <w:p w14:paraId="00000128"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1</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29"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Evaluators / UN Women CO </w:t>
            </w:r>
          </w:p>
        </w:tc>
      </w:tr>
      <w:tr w:rsidR="009A0EEC" w14:paraId="51D29106" w14:textId="77777777" w:rsidTr="00D774C4">
        <w:trPr>
          <w:trHeight w:val="480"/>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2A" w14:textId="6414EA73" w:rsidR="009A0EEC" w:rsidRDefault="00D774C4">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 xml:space="preserve">Drafting </w:t>
            </w:r>
            <w:r w:rsidR="00BF0077">
              <w:rPr>
                <w:rFonts w:ascii="Times New Roman" w:eastAsia="Times New Roman" w:hAnsi="Times New Roman" w:cs="Times New Roman"/>
                <w:sz w:val="24"/>
              </w:rPr>
              <w:t xml:space="preserve">Inception report </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2B"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7</w:t>
            </w:r>
          </w:p>
        </w:tc>
        <w:tc>
          <w:tcPr>
            <w:tcW w:w="1546" w:type="dxa"/>
            <w:tcBorders>
              <w:top w:val="single" w:sz="4" w:space="0" w:color="000000"/>
              <w:left w:val="single" w:sz="4" w:space="0" w:color="000000"/>
              <w:bottom w:val="single" w:sz="4" w:space="0" w:color="000000"/>
              <w:right w:val="single" w:sz="4" w:space="0" w:color="000000"/>
            </w:tcBorders>
          </w:tcPr>
          <w:p w14:paraId="0000012C" w14:textId="0C06DB68" w:rsidR="009A0EEC" w:rsidRDefault="00D774C4">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1413" w:type="dxa"/>
            <w:tcBorders>
              <w:top w:val="single" w:sz="4" w:space="0" w:color="000000"/>
              <w:left w:val="single" w:sz="4" w:space="0" w:color="000000"/>
              <w:bottom w:val="single" w:sz="4" w:space="0" w:color="000000"/>
              <w:right w:val="single" w:sz="4" w:space="0" w:color="000000"/>
            </w:tcBorders>
          </w:tcPr>
          <w:p w14:paraId="0000012D" w14:textId="0E412245" w:rsidR="009A0EEC" w:rsidRDefault="00D774C4">
            <w:pPr>
              <w:spacing w:after="120"/>
              <w:rPr>
                <w:rFonts w:ascii="Times New Roman" w:eastAsia="Times New Roman" w:hAnsi="Times New Roman" w:cs="Times New Roman"/>
                <w:sz w:val="24"/>
              </w:rPr>
            </w:pPr>
            <w:r>
              <w:rPr>
                <w:rFonts w:ascii="Times New Roman" w:eastAsia="Times New Roman" w:hAnsi="Times New Roman" w:cs="Times New Roman"/>
                <w:sz w:val="24"/>
              </w:rPr>
              <w:t>3</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2E"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Evaluators ERG, EMG</w:t>
            </w:r>
          </w:p>
        </w:tc>
      </w:tr>
      <w:tr w:rsidR="009A0EEC" w14:paraId="16127B7C" w14:textId="77777777" w:rsidTr="00D774C4">
        <w:trPr>
          <w:trHeight w:val="480"/>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2F"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 xml:space="preserve">Evaluation Reference Group and Evaluation Management Group Comments </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30"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1546" w:type="dxa"/>
            <w:tcBorders>
              <w:top w:val="single" w:sz="4" w:space="0" w:color="000000"/>
              <w:left w:val="single" w:sz="4" w:space="0" w:color="000000"/>
              <w:bottom w:val="single" w:sz="4" w:space="0" w:color="000000"/>
              <w:right w:val="single" w:sz="4" w:space="0" w:color="000000"/>
            </w:tcBorders>
          </w:tcPr>
          <w:p w14:paraId="00000131"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0</w:t>
            </w:r>
          </w:p>
        </w:tc>
        <w:tc>
          <w:tcPr>
            <w:tcW w:w="1413" w:type="dxa"/>
            <w:tcBorders>
              <w:top w:val="single" w:sz="4" w:space="0" w:color="000000"/>
              <w:left w:val="single" w:sz="4" w:space="0" w:color="000000"/>
              <w:bottom w:val="single" w:sz="4" w:space="0" w:color="000000"/>
              <w:right w:val="single" w:sz="4" w:space="0" w:color="000000"/>
            </w:tcBorders>
          </w:tcPr>
          <w:p w14:paraId="00000132"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0</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33" w14:textId="77777777" w:rsidR="009A0EEC" w:rsidRDefault="009A0EEC">
            <w:pPr>
              <w:spacing w:after="120"/>
              <w:rPr>
                <w:rFonts w:ascii="Times New Roman" w:eastAsia="Times New Roman" w:hAnsi="Times New Roman" w:cs="Times New Roman"/>
                <w:sz w:val="24"/>
              </w:rPr>
            </w:pPr>
          </w:p>
        </w:tc>
      </w:tr>
      <w:tr w:rsidR="009A0EEC" w14:paraId="5E17F187" w14:textId="77777777" w:rsidTr="00D774C4">
        <w:trPr>
          <w:trHeight w:val="480"/>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34"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Inception report revision</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35"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2</w:t>
            </w:r>
          </w:p>
        </w:tc>
        <w:tc>
          <w:tcPr>
            <w:tcW w:w="1546" w:type="dxa"/>
            <w:tcBorders>
              <w:top w:val="single" w:sz="4" w:space="0" w:color="000000"/>
              <w:left w:val="single" w:sz="4" w:space="0" w:color="000000"/>
              <w:bottom w:val="single" w:sz="4" w:space="0" w:color="000000"/>
              <w:right w:val="single" w:sz="4" w:space="0" w:color="000000"/>
            </w:tcBorders>
          </w:tcPr>
          <w:p w14:paraId="00000136"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2</w:t>
            </w:r>
          </w:p>
        </w:tc>
        <w:tc>
          <w:tcPr>
            <w:tcW w:w="1413" w:type="dxa"/>
            <w:tcBorders>
              <w:top w:val="single" w:sz="4" w:space="0" w:color="000000"/>
              <w:left w:val="single" w:sz="4" w:space="0" w:color="000000"/>
              <w:bottom w:val="single" w:sz="4" w:space="0" w:color="000000"/>
              <w:right w:val="single" w:sz="4" w:space="0" w:color="000000"/>
            </w:tcBorders>
          </w:tcPr>
          <w:p w14:paraId="00000137" w14:textId="0653567A" w:rsidR="009A0EEC" w:rsidRDefault="00D774C4">
            <w:pPr>
              <w:spacing w:after="120"/>
              <w:rPr>
                <w:rFonts w:ascii="Times New Roman" w:eastAsia="Times New Roman" w:hAnsi="Times New Roman" w:cs="Times New Roman"/>
                <w:sz w:val="24"/>
              </w:rPr>
            </w:pPr>
            <w:r>
              <w:rPr>
                <w:rFonts w:ascii="Times New Roman" w:eastAsia="Times New Roman" w:hAnsi="Times New Roman" w:cs="Times New Roman"/>
                <w:sz w:val="24"/>
              </w:rPr>
              <w:t>1</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38" w14:textId="77777777" w:rsidR="009A0EEC" w:rsidRDefault="009A0EEC">
            <w:pPr>
              <w:spacing w:after="120"/>
              <w:rPr>
                <w:rFonts w:ascii="Times New Roman" w:eastAsia="Times New Roman" w:hAnsi="Times New Roman" w:cs="Times New Roman"/>
                <w:sz w:val="24"/>
              </w:rPr>
            </w:pPr>
          </w:p>
        </w:tc>
      </w:tr>
      <w:tr w:rsidR="009A0EEC" w14:paraId="3D5CBBD5" w14:textId="77777777" w:rsidTr="00D774C4">
        <w:trPr>
          <w:trHeight w:val="480"/>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3E"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Data collection</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3F" w14:textId="72EE4665"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1</w:t>
            </w:r>
            <w:r w:rsidR="00D774C4">
              <w:rPr>
                <w:rFonts w:ascii="Times New Roman" w:eastAsia="Times New Roman" w:hAnsi="Times New Roman" w:cs="Times New Roman"/>
                <w:sz w:val="24"/>
              </w:rPr>
              <w:t>8</w:t>
            </w:r>
          </w:p>
        </w:tc>
        <w:tc>
          <w:tcPr>
            <w:tcW w:w="1546" w:type="dxa"/>
            <w:tcBorders>
              <w:top w:val="single" w:sz="4" w:space="0" w:color="000000"/>
              <w:left w:val="single" w:sz="4" w:space="0" w:color="000000"/>
              <w:bottom w:val="single" w:sz="4" w:space="0" w:color="000000"/>
              <w:right w:val="single" w:sz="4" w:space="0" w:color="000000"/>
            </w:tcBorders>
          </w:tcPr>
          <w:p w14:paraId="00000140" w14:textId="38950205"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1</w:t>
            </w:r>
            <w:r w:rsidR="00D774C4">
              <w:rPr>
                <w:rFonts w:ascii="Times New Roman" w:eastAsia="Times New Roman" w:hAnsi="Times New Roman" w:cs="Times New Roman"/>
                <w:sz w:val="24"/>
              </w:rPr>
              <w:t>4</w:t>
            </w:r>
          </w:p>
        </w:tc>
        <w:tc>
          <w:tcPr>
            <w:tcW w:w="1413" w:type="dxa"/>
            <w:tcBorders>
              <w:top w:val="single" w:sz="4" w:space="0" w:color="000000"/>
              <w:left w:val="single" w:sz="4" w:space="0" w:color="000000"/>
              <w:bottom w:val="single" w:sz="4" w:space="0" w:color="000000"/>
              <w:right w:val="single" w:sz="4" w:space="0" w:color="000000"/>
            </w:tcBorders>
          </w:tcPr>
          <w:p w14:paraId="00000141" w14:textId="61BDE045"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1</w:t>
            </w:r>
            <w:r w:rsidR="00D774C4">
              <w:rPr>
                <w:rFonts w:ascii="Times New Roman" w:eastAsia="Times New Roman" w:hAnsi="Times New Roman" w:cs="Times New Roman"/>
                <w:sz w:val="24"/>
              </w:rPr>
              <w:t>4</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42"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Evaluators</w:t>
            </w:r>
          </w:p>
        </w:tc>
      </w:tr>
      <w:tr w:rsidR="009A0EEC" w14:paraId="299EB0FF" w14:textId="77777777" w:rsidTr="00D774C4">
        <w:trPr>
          <w:trHeight w:val="480"/>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43"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 xml:space="preserve">Presentation of preliminary findings (post data collection) </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44"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1546" w:type="dxa"/>
            <w:tcBorders>
              <w:top w:val="single" w:sz="4" w:space="0" w:color="000000"/>
              <w:left w:val="single" w:sz="4" w:space="0" w:color="000000"/>
              <w:bottom w:val="single" w:sz="4" w:space="0" w:color="000000"/>
              <w:right w:val="single" w:sz="4" w:space="0" w:color="000000"/>
            </w:tcBorders>
          </w:tcPr>
          <w:p w14:paraId="00000145"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1</w:t>
            </w:r>
          </w:p>
        </w:tc>
        <w:tc>
          <w:tcPr>
            <w:tcW w:w="1413" w:type="dxa"/>
            <w:tcBorders>
              <w:top w:val="single" w:sz="4" w:space="0" w:color="000000"/>
              <w:left w:val="single" w:sz="4" w:space="0" w:color="000000"/>
              <w:bottom w:val="single" w:sz="4" w:space="0" w:color="000000"/>
              <w:right w:val="single" w:sz="4" w:space="0" w:color="000000"/>
            </w:tcBorders>
          </w:tcPr>
          <w:p w14:paraId="00000146"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1</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47"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Evaluators</w:t>
            </w:r>
          </w:p>
        </w:tc>
      </w:tr>
      <w:tr w:rsidR="009A0EEC" w14:paraId="47F8FF94" w14:textId="77777777" w:rsidTr="00D774C4">
        <w:trPr>
          <w:trHeight w:val="232"/>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48"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Draft Report</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49"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22</w:t>
            </w:r>
          </w:p>
        </w:tc>
        <w:tc>
          <w:tcPr>
            <w:tcW w:w="1546" w:type="dxa"/>
            <w:tcBorders>
              <w:top w:val="single" w:sz="4" w:space="0" w:color="000000"/>
              <w:left w:val="single" w:sz="4" w:space="0" w:color="000000"/>
              <w:bottom w:val="single" w:sz="4" w:space="0" w:color="000000"/>
              <w:right w:val="single" w:sz="4" w:space="0" w:color="000000"/>
            </w:tcBorders>
          </w:tcPr>
          <w:p w14:paraId="0000014A" w14:textId="00EEC1AF"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1</w:t>
            </w:r>
            <w:r w:rsidR="00D774C4">
              <w:rPr>
                <w:rFonts w:ascii="Times New Roman" w:eastAsia="Times New Roman" w:hAnsi="Times New Roman" w:cs="Times New Roman"/>
                <w:sz w:val="24"/>
              </w:rPr>
              <w:t>4</w:t>
            </w:r>
          </w:p>
        </w:tc>
        <w:tc>
          <w:tcPr>
            <w:tcW w:w="1413" w:type="dxa"/>
            <w:tcBorders>
              <w:top w:val="single" w:sz="4" w:space="0" w:color="000000"/>
              <w:left w:val="single" w:sz="4" w:space="0" w:color="000000"/>
              <w:bottom w:val="single" w:sz="4" w:space="0" w:color="000000"/>
              <w:right w:val="single" w:sz="4" w:space="0" w:color="000000"/>
            </w:tcBorders>
          </w:tcPr>
          <w:p w14:paraId="0000014B"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7</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4C" w14:textId="77777777" w:rsidR="009A0EEC" w:rsidRDefault="009A0EEC">
            <w:pPr>
              <w:spacing w:after="120"/>
              <w:rPr>
                <w:rFonts w:ascii="Times New Roman" w:eastAsia="Times New Roman" w:hAnsi="Times New Roman" w:cs="Times New Roman"/>
                <w:sz w:val="24"/>
              </w:rPr>
            </w:pPr>
          </w:p>
        </w:tc>
      </w:tr>
      <w:tr w:rsidR="009A0EEC" w14:paraId="36719B8C" w14:textId="77777777" w:rsidTr="00D774C4">
        <w:trPr>
          <w:trHeight w:val="213"/>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4D"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Evaluation Reference Group and Evaluation Management Group Comments</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4E"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6</w:t>
            </w:r>
          </w:p>
        </w:tc>
        <w:tc>
          <w:tcPr>
            <w:tcW w:w="1546" w:type="dxa"/>
            <w:tcBorders>
              <w:top w:val="single" w:sz="4" w:space="0" w:color="000000"/>
              <w:left w:val="single" w:sz="4" w:space="0" w:color="000000"/>
              <w:bottom w:val="single" w:sz="4" w:space="0" w:color="000000"/>
              <w:right w:val="single" w:sz="4" w:space="0" w:color="000000"/>
            </w:tcBorders>
          </w:tcPr>
          <w:p w14:paraId="0000014F"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0</w:t>
            </w:r>
          </w:p>
        </w:tc>
        <w:tc>
          <w:tcPr>
            <w:tcW w:w="1413" w:type="dxa"/>
            <w:tcBorders>
              <w:top w:val="single" w:sz="4" w:space="0" w:color="000000"/>
              <w:left w:val="single" w:sz="4" w:space="0" w:color="000000"/>
              <w:bottom w:val="single" w:sz="4" w:space="0" w:color="000000"/>
              <w:right w:val="single" w:sz="4" w:space="0" w:color="000000"/>
            </w:tcBorders>
          </w:tcPr>
          <w:p w14:paraId="00000150"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0</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51"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ERG and EMG</w:t>
            </w:r>
          </w:p>
        </w:tc>
      </w:tr>
      <w:tr w:rsidR="009A0EEC" w14:paraId="3F6907FA" w14:textId="77777777" w:rsidTr="00D774C4">
        <w:trPr>
          <w:trHeight w:val="245"/>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52"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Report revision and Final Report submission</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53"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8</w:t>
            </w:r>
          </w:p>
        </w:tc>
        <w:tc>
          <w:tcPr>
            <w:tcW w:w="1546" w:type="dxa"/>
            <w:tcBorders>
              <w:top w:val="single" w:sz="4" w:space="0" w:color="000000"/>
              <w:left w:val="single" w:sz="4" w:space="0" w:color="000000"/>
              <w:bottom w:val="single" w:sz="4" w:space="0" w:color="000000"/>
              <w:right w:val="single" w:sz="4" w:space="0" w:color="000000"/>
            </w:tcBorders>
          </w:tcPr>
          <w:p w14:paraId="00000154"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3</w:t>
            </w:r>
          </w:p>
        </w:tc>
        <w:tc>
          <w:tcPr>
            <w:tcW w:w="1413" w:type="dxa"/>
            <w:tcBorders>
              <w:top w:val="single" w:sz="4" w:space="0" w:color="000000"/>
              <w:left w:val="single" w:sz="4" w:space="0" w:color="000000"/>
              <w:bottom w:val="single" w:sz="4" w:space="0" w:color="000000"/>
              <w:right w:val="single" w:sz="4" w:space="0" w:color="000000"/>
            </w:tcBorders>
          </w:tcPr>
          <w:p w14:paraId="00000155"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1</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56"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Evaluator</w:t>
            </w:r>
          </w:p>
        </w:tc>
      </w:tr>
      <w:tr w:rsidR="009A0EEC" w14:paraId="3B63CB8D" w14:textId="77777777" w:rsidTr="00D774C4">
        <w:trPr>
          <w:trHeight w:val="480"/>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57" w14:textId="77777777" w:rsidR="009A0EEC" w:rsidRDefault="00BF0077">
            <w:pPr>
              <w:spacing w:after="120"/>
              <w:ind w:left="4"/>
              <w:rPr>
                <w:rFonts w:ascii="Times New Roman" w:eastAsia="Times New Roman" w:hAnsi="Times New Roman" w:cs="Times New Roman"/>
                <w:b/>
                <w:sz w:val="24"/>
              </w:rPr>
            </w:pPr>
            <w:r>
              <w:rPr>
                <w:rFonts w:ascii="Times New Roman" w:eastAsia="Times New Roman" w:hAnsi="Times New Roman" w:cs="Times New Roman"/>
                <w:b/>
                <w:sz w:val="24"/>
              </w:rPr>
              <w:t>Sub-Total</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58" w14:textId="77777777" w:rsidR="009A0EEC" w:rsidRDefault="00BF0077">
            <w:pPr>
              <w:spacing w:after="120"/>
              <w:jc w:val="center"/>
              <w:rPr>
                <w:rFonts w:ascii="Times New Roman" w:eastAsia="Times New Roman" w:hAnsi="Times New Roman" w:cs="Times New Roman"/>
                <w:b/>
                <w:sz w:val="24"/>
              </w:rPr>
            </w:pPr>
            <w:r>
              <w:rPr>
                <w:rFonts w:ascii="Times New Roman" w:eastAsia="Times New Roman" w:hAnsi="Times New Roman" w:cs="Times New Roman"/>
                <w:b/>
                <w:sz w:val="24"/>
              </w:rPr>
              <w:t>66</w:t>
            </w:r>
          </w:p>
        </w:tc>
        <w:tc>
          <w:tcPr>
            <w:tcW w:w="1546" w:type="dxa"/>
            <w:tcBorders>
              <w:top w:val="single" w:sz="4" w:space="0" w:color="000000"/>
              <w:left w:val="single" w:sz="4" w:space="0" w:color="000000"/>
              <w:bottom w:val="single" w:sz="4" w:space="0" w:color="000000"/>
              <w:right w:val="single" w:sz="4" w:space="0" w:color="000000"/>
            </w:tcBorders>
          </w:tcPr>
          <w:p w14:paraId="00000159" w14:textId="77777777" w:rsidR="009A0EEC" w:rsidRDefault="00BF0077">
            <w:pPr>
              <w:spacing w:after="120"/>
              <w:jc w:val="center"/>
              <w:rPr>
                <w:rFonts w:ascii="Times New Roman" w:eastAsia="Times New Roman" w:hAnsi="Times New Roman" w:cs="Times New Roman"/>
                <w:b/>
                <w:sz w:val="24"/>
              </w:rPr>
            </w:pPr>
            <w:r>
              <w:rPr>
                <w:rFonts w:ascii="Times New Roman" w:eastAsia="Times New Roman" w:hAnsi="Times New Roman" w:cs="Times New Roman"/>
                <w:b/>
                <w:sz w:val="24"/>
              </w:rPr>
              <w:t>45</w:t>
            </w:r>
          </w:p>
        </w:tc>
        <w:tc>
          <w:tcPr>
            <w:tcW w:w="1413" w:type="dxa"/>
            <w:tcBorders>
              <w:top w:val="single" w:sz="4" w:space="0" w:color="000000"/>
              <w:left w:val="single" w:sz="4" w:space="0" w:color="000000"/>
              <w:bottom w:val="single" w:sz="4" w:space="0" w:color="000000"/>
              <w:right w:val="single" w:sz="4" w:space="0" w:color="000000"/>
            </w:tcBorders>
          </w:tcPr>
          <w:p w14:paraId="0000015A" w14:textId="40B7AAD9" w:rsidR="009A0EEC" w:rsidRDefault="00BF0077">
            <w:pPr>
              <w:spacing w:after="120"/>
              <w:rPr>
                <w:rFonts w:ascii="Times New Roman" w:eastAsia="Times New Roman" w:hAnsi="Times New Roman" w:cs="Times New Roman"/>
                <w:b/>
                <w:sz w:val="24"/>
              </w:rPr>
            </w:pPr>
            <w:r>
              <w:rPr>
                <w:rFonts w:ascii="Times New Roman" w:eastAsia="Times New Roman" w:hAnsi="Times New Roman" w:cs="Times New Roman"/>
                <w:b/>
                <w:sz w:val="24"/>
              </w:rPr>
              <w:t>3</w:t>
            </w:r>
            <w:r w:rsidR="00D774C4">
              <w:rPr>
                <w:rFonts w:ascii="Times New Roman" w:eastAsia="Times New Roman" w:hAnsi="Times New Roman" w:cs="Times New Roman"/>
                <w:b/>
                <w:sz w:val="24"/>
              </w:rPr>
              <w:t>5</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5B" w14:textId="77777777" w:rsidR="009A0EEC" w:rsidRDefault="009A0EEC">
            <w:pPr>
              <w:spacing w:after="120"/>
              <w:rPr>
                <w:rFonts w:ascii="Times New Roman" w:eastAsia="Times New Roman" w:hAnsi="Times New Roman" w:cs="Times New Roman"/>
                <w:sz w:val="24"/>
              </w:rPr>
            </w:pPr>
          </w:p>
        </w:tc>
      </w:tr>
      <w:tr w:rsidR="009A0EEC" w14:paraId="7E84AFDE" w14:textId="77777777" w:rsidTr="00D774C4">
        <w:trPr>
          <w:trHeight w:val="480"/>
        </w:trPr>
        <w:tc>
          <w:tcPr>
            <w:tcW w:w="3413" w:type="dxa"/>
            <w:tcBorders>
              <w:top w:val="single" w:sz="4" w:space="0" w:color="000000"/>
              <w:left w:val="single" w:sz="4" w:space="0" w:color="000000"/>
              <w:bottom w:val="single" w:sz="4" w:space="0" w:color="000000"/>
              <w:right w:val="single" w:sz="4" w:space="0" w:color="000000"/>
            </w:tcBorders>
            <w:shd w:val="clear" w:color="auto" w:fill="auto"/>
          </w:tcPr>
          <w:p w14:paraId="0000015C"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sz w:val="24"/>
              </w:rPr>
              <w:t>Use and follow-up post final report</w:t>
            </w:r>
          </w:p>
        </w:tc>
        <w:tc>
          <w:tcPr>
            <w:tcW w:w="1253" w:type="dxa"/>
            <w:tcBorders>
              <w:top w:val="single" w:sz="4" w:space="0" w:color="000000"/>
              <w:left w:val="single" w:sz="4" w:space="0" w:color="000000"/>
              <w:bottom w:val="single" w:sz="4" w:space="0" w:color="000000"/>
              <w:right w:val="single" w:sz="4" w:space="0" w:color="000000"/>
            </w:tcBorders>
            <w:shd w:val="clear" w:color="auto" w:fill="auto"/>
          </w:tcPr>
          <w:p w14:paraId="0000015D"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6 weeks</w:t>
            </w:r>
          </w:p>
        </w:tc>
        <w:tc>
          <w:tcPr>
            <w:tcW w:w="1546" w:type="dxa"/>
            <w:tcBorders>
              <w:top w:val="single" w:sz="4" w:space="0" w:color="000000"/>
              <w:left w:val="single" w:sz="4" w:space="0" w:color="000000"/>
              <w:bottom w:val="single" w:sz="4" w:space="0" w:color="000000"/>
              <w:right w:val="single" w:sz="4" w:space="0" w:color="000000"/>
            </w:tcBorders>
          </w:tcPr>
          <w:p w14:paraId="0000015E" w14:textId="77777777" w:rsidR="009A0EEC" w:rsidRDefault="00BF0077">
            <w:pPr>
              <w:spacing w:after="120"/>
              <w:jc w:val="center"/>
              <w:rPr>
                <w:rFonts w:ascii="Times New Roman" w:eastAsia="Times New Roman" w:hAnsi="Times New Roman" w:cs="Times New Roman"/>
                <w:sz w:val="24"/>
              </w:rPr>
            </w:pPr>
            <w:r>
              <w:rPr>
                <w:rFonts w:ascii="Times New Roman" w:eastAsia="Times New Roman" w:hAnsi="Times New Roman" w:cs="Times New Roman"/>
                <w:sz w:val="24"/>
              </w:rPr>
              <w:t>—</w:t>
            </w:r>
          </w:p>
        </w:tc>
        <w:tc>
          <w:tcPr>
            <w:tcW w:w="1413" w:type="dxa"/>
            <w:tcBorders>
              <w:top w:val="single" w:sz="4" w:space="0" w:color="000000"/>
              <w:left w:val="single" w:sz="4" w:space="0" w:color="000000"/>
              <w:bottom w:val="single" w:sz="4" w:space="0" w:color="000000"/>
              <w:right w:val="single" w:sz="4" w:space="0" w:color="000000"/>
            </w:tcBorders>
          </w:tcPr>
          <w:p w14:paraId="0000015F" w14:textId="77777777" w:rsidR="009A0EEC" w:rsidRDefault="009A0EEC">
            <w:pPr>
              <w:spacing w:after="120"/>
              <w:rPr>
                <w:rFonts w:ascii="Times New Roman" w:eastAsia="Times New Roman" w:hAnsi="Times New Roman" w:cs="Times New Roman"/>
                <w:sz w:val="24"/>
              </w:rPr>
            </w:pP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00000160"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UN Women</w:t>
            </w:r>
          </w:p>
        </w:tc>
      </w:tr>
    </w:tbl>
    <w:p w14:paraId="00000161"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Under the guidance of evaluation team leader, the evaluators are expected to design and facilitate the following processes:</w:t>
      </w:r>
    </w:p>
    <w:p w14:paraId="00000162" w14:textId="77777777" w:rsidR="009A0EEC" w:rsidRDefault="00BF0077">
      <w:pPr>
        <w:numPr>
          <w:ilvl w:val="0"/>
          <w:numId w:val="11"/>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Virtual inception workshop (including refining evaluation questions, the evaluation framework, stakeholder map, and theories of change).</w:t>
      </w:r>
    </w:p>
    <w:p w14:paraId="00000163" w14:textId="77777777" w:rsidR="009A0EEC" w:rsidRDefault="00BF0077">
      <w:pPr>
        <w:numPr>
          <w:ilvl w:val="0"/>
          <w:numId w:val="11"/>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In-country participatory data collection mission for UN Women staff and key stakeholders.</w:t>
      </w:r>
    </w:p>
    <w:p w14:paraId="00000164" w14:textId="77777777" w:rsidR="009A0EEC" w:rsidRDefault="00BF0077">
      <w:pPr>
        <w:numPr>
          <w:ilvl w:val="0"/>
          <w:numId w:val="11"/>
        </w:numPr>
        <w:pBdr>
          <w:top w:val="nil"/>
          <w:left w:val="nil"/>
          <w:bottom w:val="nil"/>
          <w:right w:val="nil"/>
          <w:between w:val="nil"/>
        </w:pBdr>
        <w:tabs>
          <w:tab w:val="left" w:pos="1230"/>
        </w:tabs>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Findings, validation, and participatory recommendations session.</w:t>
      </w:r>
    </w:p>
    <w:p w14:paraId="00000165" w14:textId="77777777" w:rsidR="009A0EEC" w:rsidRDefault="00BF0077">
      <w:pPr>
        <w:pStyle w:val="Heading1"/>
        <w:numPr>
          <w:ilvl w:val="0"/>
          <w:numId w:val="6"/>
        </w:numPr>
        <w:spacing w:line="240" w:lineRule="auto"/>
        <w:ind w:left="709"/>
        <w:rPr>
          <w:rFonts w:ascii="Times New Roman" w:eastAsia="Times New Roman" w:hAnsi="Times New Roman" w:cs="Times New Roman"/>
        </w:rPr>
      </w:pPr>
      <w:r>
        <w:rPr>
          <w:rFonts w:ascii="Times New Roman" w:eastAsia="Times New Roman" w:hAnsi="Times New Roman" w:cs="Times New Roman"/>
        </w:rPr>
        <w:t xml:space="preserve">Expected deliverables. </w:t>
      </w:r>
    </w:p>
    <w:p w14:paraId="00000166" w14:textId="7661FCE2" w:rsidR="009A0EEC" w:rsidRDefault="00D5293B">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 following are the deliverables expected from the evaluation. </w:t>
      </w:r>
      <w:r>
        <w:rPr>
          <w:rFonts w:ascii="Times New Roman" w:eastAsia="Times New Roman" w:hAnsi="Times New Roman" w:cs="Times New Roman"/>
          <w:color w:val="000000"/>
          <w:sz w:val="24"/>
        </w:rPr>
        <w:t xml:space="preserve">The consultants will be accountable for the portion of deliverable assigned by the Team Leader. </w:t>
      </w:r>
    </w:p>
    <w:tbl>
      <w:tblPr>
        <w:tblStyle w:val="a5"/>
        <w:tblW w:w="9440" w:type="dxa"/>
        <w:jc w:val="center"/>
        <w:tblLayout w:type="fixed"/>
        <w:tblLook w:val="0400" w:firstRow="0" w:lastRow="0" w:firstColumn="0" w:lastColumn="0" w:noHBand="0" w:noVBand="1"/>
      </w:tblPr>
      <w:tblGrid>
        <w:gridCol w:w="3842"/>
        <w:gridCol w:w="2695"/>
        <w:gridCol w:w="2903"/>
      </w:tblGrid>
      <w:tr w:rsidR="009A0EEC" w14:paraId="435BDB13" w14:textId="77777777">
        <w:trPr>
          <w:trHeight w:val="115"/>
          <w:jc w:val="center"/>
        </w:trPr>
        <w:tc>
          <w:tcPr>
            <w:tcW w:w="3842" w:type="dxa"/>
            <w:tcBorders>
              <w:top w:val="single" w:sz="4" w:space="0" w:color="000000"/>
              <w:left w:val="single" w:sz="4" w:space="0" w:color="000000"/>
              <w:bottom w:val="single" w:sz="4" w:space="0" w:color="000000"/>
              <w:right w:val="single" w:sz="4" w:space="0" w:color="000000"/>
            </w:tcBorders>
            <w:shd w:val="clear" w:color="auto" w:fill="D5DCE4"/>
          </w:tcPr>
          <w:p w14:paraId="00000167" w14:textId="77777777" w:rsidR="009A0EEC" w:rsidRDefault="00BF0077">
            <w:pPr>
              <w:spacing w:after="120"/>
              <w:ind w:left="4"/>
              <w:rPr>
                <w:rFonts w:ascii="Times New Roman" w:eastAsia="Times New Roman" w:hAnsi="Times New Roman" w:cs="Times New Roman"/>
                <w:sz w:val="24"/>
              </w:rPr>
            </w:pPr>
            <w:r>
              <w:rPr>
                <w:rFonts w:ascii="Times New Roman" w:eastAsia="Times New Roman" w:hAnsi="Times New Roman" w:cs="Times New Roman"/>
                <w:b/>
                <w:sz w:val="24"/>
              </w:rPr>
              <w:t>Deliverable</w:t>
            </w:r>
          </w:p>
        </w:tc>
        <w:tc>
          <w:tcPr>
            <w:tcW w:w="2695"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00000168" w14:textId="77777777" w:rsidR="009A0EEC" w:rsidRDefault="00BF0077">
            <w:pPr>
              <w:spacing w:after="120"/>
              <w:rPr>
                <w:rFonts w:ascii="Times New Roman" w:eastAsia="Times New Roman" w:hAnsi="Times New Roman" w:cs="Times New Roman"/>
                <w:b/>
                <w:sz w:val="24"/>
              </w:rPr>
            </w:pPr>
            <w:r>
              <w:rPr>
                <w:rFonts w:ascii="Times New Roman" w:eastAsia="Times New Roman" w:hAnsi="Times New Roman" w:cs="Times New Roman"/>
                <w:b/>
                <w:color w:val="000000"/>
                <w:sz w:val="24"/>
              </w:rPr>
              <w:t>Time frame for submission</w:t>
            </w:r>
            <w:r>
              <w:rPr>
                <w:rFonts w:ascii="Times New Roman" w:eastAsia="Times New Roman" w:hAnsi="Times New Roman" w:cs="Times New Roman"/>
                <w:sz w:val="24"/>
              </w:rPr>
              <w:t> </w:t>
            </w:r>
          </w:p>
        </w:tc>
        <w:tc>
          <w:tcPr>
            <w:tcW w:w="2903" w:type="dxa"/>
            <w:tcBorders>
              <w:top w:val="single" w:sz="4" w:space="0" w:color="000000"/>
              <w:left w:val="single" w:sz="4" w:space="0" w:color="000000"/>
              <w:bottom w:val="single" w:sz="4" w:space="0" w:color="000000"/>
              <w:right w:val="single" w:sz="4" w:space="0" w:color="000000"/>
            </w:tcBorders>
            <w:shd w:val="clear" w:color="auto" w:fill="D5DCE4"/>
          </w:tcPr>
          <w:p w14:paraId="00000169"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b/>
                <w:sz w:val="24"/>
              </w:rPr>
              <w:t>Person responsible</w:t>
            </w:r>
          </w:p>
        </w:tc>
      </w:tr>
      <w:tr w:rsidR="009A0EEC" w14:paraId="35F03275" w14:textId="77777777">
        <w:trPr>
          <w:trHeight w:val="193"/>
          <w:jc w:val="center"/>
        </w:trPr>
        <w:tc>
          <w:tcPr>
            <w:tcW w:w="3842" w:type="dxa"/>
            <w:tcBorders>
              <w:top w:val="single" w:sz="4" w:space="0" w:color="000000"/>
              <w:left w:val="single" w:sz="4" w:space="0" w:color="000000"/>
              <w:bottom w:val="single" w:sz="4" w:space="0" w:color="000000"/>
              <w:right w:val="single" w:sz="4" w:space="0" w:color="000000"/>
            </w:tcBorders>
          </w:tcPr>
          <w:p w14:paraId="0000016A" w14:textId="77777777" w:rsidR="009A0EEC" w:rsidRDefault="00BF0077">
            <w:pPr>
              <w:spacing w:after="120"/>
              <w:ind w:left="5"/>
              <w:rPr>
                <w:rFonts w:ascii="Times New Roman" w:eastAsia="Times New Roman" w:hAnsi="Times New Roman" w:cs="Times New Roman"/>
                <w:sz w:val="24"/>
              </w:rPr>
            </w:pPr>
            <w:r>
              <w:rPr>
                <w:rFonts w:ascii="Times New Roman" w:eastAsia="Times New Roman" w:hAnsi="Times New Roman" w:cs="Times New Roman"/>
                <w:sz w:val="24"/>
              </w:rPr>
              <w:t>Inception report Word format (including rounds of revision)</w:t>
            </w:r>
          </w:p>
        </w:tc>
        <w:tc>
          <w:tcPr>
            <w:tcW w:w="2695" w:type="dxa"/>
            <w:tcBorders>
              <w:top w:val="single" w:sz="4" w:space="0" w:color="000000"/>
              <w:left w:val="single" w:sz="4" w:space="0" w:color="000000"/>
              <w:bottom w:val="single" w:sz="4" w:space="0" w:color="000000"/>
              <w:right w:val="single" w:sz="4" w:space="0" w:color="000000"/>
            </w:tcBorders>
            <w:vAlign w:val="center"/>
          </w:tcPr>
          <w:p w14:paraId="0000016B" w14:textId="699D7F7E"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color w:val="000000"/>
                <w:sz w:val="24"/>
              </w:rPr>
              <w:t>2 Weeks after signing of contract</w:t>
            </w:r>
            <w:r>
              <w:rPr>
                <w:rFonts w:ascii="Times New Roman" w:eastAsia="Times New Roman" w:hAnsi="Times New Roman" w:cs="Times New Roman"/>
                <w:sz w:val="24"/>
              </w:rPr>
              <w:t> </w:t>
            </w:r>
          </w:p>
        </w:tc>
        <w:tc>
          <w:tcPr>
            <w:tcW w:w="2903" w:type="dxa"/>
            <w:tcBorders>
              <w:top w:val="single" w:sz="4" w:space="0" w:color="000000"/>
              <w:left w:val="single" w:sz="4" w:space="0" w:color="000000"/>
              <w:bottom w:val="single" w:sz="4" w:space="0" w:color="000000"/>
              <w:right w:val="single" w:sz="4" w:space="0" w:color="000000"/>
            </w:tcBorders>
          </w:tcPr>
          <w:p w14:paraId="0000016C"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 Evaluation team leader (EMG and ERG feedback)</w:t>
            </w:r>
          </w:p>
        </w:tc>
      </w:tr>
      <w:tr w:rsidR="009A0EEC" w14:paraId="5ACC8214" w14:textId="77777777">
        <w:trPr>
          <w:trHeight w:val="169"/>
          <w:jc w:val="center"/>
        </w:trPr>
        <w:tc>
          <w:tcPr>
            <w:tcW w:w="3842" w:type="dxa"/>
            <w:tcBorders>
              <w:top w:val="single" w:sz="4" w:space="0" w:color="000000"/>
              <w:left w:val="single" w:sz="4" w:space="0" w:color="000000"/>
              <w:bottom w:val="single" w:sz="4" w:space="0" w:color="000000"/>
              <w:right w:val="single" w:sz="4" w:space="0" w:color="000000"/>
            </w:tcBorders>
          </w:tcPr>
          <w:p w14:paraId="0000016D" w14:textId="77777777" w:rsidR="009A0EEC" w:rsidRDefault="00BF0077">
            <w:pPr>
              <w:spacing w:after="120"/>
              <w:ind w:left="5"/>
              <w:jc w:val="left"/>
              <w:rPr>
                <w:rFonts w:ascii="Times New Roman" w:eastAsia="Times New Roman" w:hAnsi="Times New Roman" w:cs="Times New Roman"/>
                <w:sz w:val="24"/>
              </w:rPr>
            </w:pPr>
            <w:r>
              <w:rPr>
                <w:rFonts w:ascii="Times New Roman" w:eastAsia="Times New Roman" w:hAnsi="Times New Roman" w:cs="Times New Roman"/>
                <w:sz w:val="24"/>
              </w:rPr>
              <w:t>Preliminary findings presentation</w:t>
            </w:r>
          </w:p>
        </w:tc>
        <w:tc>
          <w:tcPr>
            <w:tcW w:w="2695" w:type="dxa"/>
            <w:tcBorders>
              <w:top w:val="single" w:sz="4" w:space="0" w:color="000000"/>
              <w:left w:val="single" w:sz="4" w:space="0" w:color="000000"/>
              <w:bottom w:val="single" w:sz="4" w:space="0" w:color="000000"/>
              <w:right w:val="single" w:sz="4" w:space="0" w:color="000000"/>
            </w:tcBorders>
            <w:vAlign w:val="center"/>
          </w:tcPr>
          <w:p w14:paraId="0000016E" w14:textId="5A30F0E5"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color w:val="000000"/>
                <w:sz w:val="24"/>
              </w:rPr>
              <w:t>2-3 weeks after final data collection</w:t>
            </w:r>
          </w:p>
        </w:tc>
        <w:tc>
          <w:tcPr>
            <w:tcW w:w="2903" w:type="dxa"/>
            <w:tcBorders>
              <w:top w:val="single" w:sz="4" w:space="0" w:color="000000"/>
              <w:left w:val="single" w:sz="4" w:space="0" w:color="000000"/>
              <w:bottom w:val="single" w:sz="4" w:space="0" w:color="000000"/>
              <w:right w:val="single" w:sz="4" w:space="0" w:color="000000"/>
            </w:tcBorders>
          </w:tcPr>
          <w:p w14:paraId="0000016F" w14:textId="77777777" w:rsidR="009A0EEC" w:rsidRDefault="009A0EEC">
            <w:pPr>
              <w:spacing w:after="120"/>
              <w:rPr>
                <w:rFonts w:ascii="Times New Roman" w:eastAsia="Times New Roman" w:hAnsi="Times New Roman" w:cs="Times New Roman"/>
                <w:sz w:val="24"/>
              </w:rPr>
            </w:pPr>
          </w:p>
        </w:tc>
      </w:tr>
      <w:tr w:rsidR="009A0EEC" w14:paraId="72A70F5B" w14:textId="77777777">
        <w:trPr>
          <w:trHeight w:val="91"/>
          <w:jc w:val="center"/>
        </w:trPr>
        <w:tc>
          <w:tcPr>
            <w:tcW w:w="3842" w:type="dxa"/>
            <w:tcBorders>
              <w:top w:val="single" w:sz="4" w:space="0" w:color="000000"/>
              <w:left w:val="single" w:sz="4" w:space="0" w:color="000000"/>
              <w:bottom w:val="single" w:sz="4" w:space="0" w:color="000000"/>
              <w:right w:val="single" w:sz="4" w:space="0" w:color="000000"/>
            </w:tcBorders>
          </w:tcPr>
          <w:p w14:paraId="00000170" w14:textId="77777777" w:rsidR="009A0EEC" w:rsidRDefault="00BF0077">
            <w:pPr>
              <w:spacing w:after="120"/>
              <w:ind w:left="5"/>
              <w:rPr>
                <w:rFonts w:ascii="Times New Roman" w:eastAsia="Times New Roman" w:hAnsi="Times New Roman" w:cs="Times New Roman"/>
                <w:sz w:val="24"/>
              </w:rPr>
            </w:pPr>
            <w:r>
              <w:rPr>
                <w:rFonts w:ascii="Times New Roman" w:eastAsia="Times New Roman" w:hAnsi="Times New Roman" w:cs="Times New Roman"/>
                <w:sz w:val="24"/>
              </w:rPr>
              <w:t>Draft report Word format (including rounds of revision)</w:t>
            </w:r>
          </w:p>
        </w:tc>
        <w:tc>
          <w:tcPr>
            <w:tcW w:w="2695" w:type="dxa"/>
            <w:tcBorders>
              <w:top w:val="single" w:sz="4" w:space="0" w:color="000000"/>
              <w:left w:val="single" w:sz="4" w:space="0" w:color="000000"/>
              <w:bottom w:val="single" w:sz="4" w:space="0" w:color="000000"/>
              <w:right w:val="single" w:sz="4" w:space="0" w:color="000000"/>
            </w:tcBorders>
            <w:vAlign w:val="center"/>
          </w:tcPr>
          <w:p w14:paraId="00000171" w14:textId="22965F2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4</w:t>
            </w:r>
            <w:r>
              <w:rPr>
                <w:rFonts w:ascii="Times New Roman" w:eastAsia="Times New Roman" w:hAnsi="Times New Roman" w:cs="Times New Roman"/>
                <w:color w:val="000000"/>
                <w:sz w:val="24"/>
              </w:rPr>
              <w:t xml:space="preserve"> weeks after final data collection</w:t>
            </w:r>
          </w:p>
        </w:tc>
        <w:tc>
          <w:tcPr>
            <w:tcW w:w="2903" w:type="dxa"/>
            <w:tcBorders>
              <w:top w:val="single" w:sz="4" w:space="0" w:color="000000"/>
              <w:left w:val="single" w:sz="4" w:space="0" w:color="000000"/>
              <w:bottom w:val="single" w:sz="4" w:space="0" w:color="000000"/>
              <w:right w:val="single" w:sz="4" w:space="0" w:color="000000"/>
            </w:tcBorders>
          </w:tcPr>
          <w:p w14:paraId="00000172"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 (Evaluation team leader EMG and ERG feedback)</w:t>
            </w:r>
          </w:p>
        </w:tc>
      </w:tr>
      <w:tr w:rsidR="009A0EEC" w14:paraId="0E050AF3" w14:textId="77777777">
        <w:trPr>
          <w:trHeight w:val="53"/>
          <w:jc w:val="center"/>
        </w:trPr>
        <w:tc>
          <w:tcPr>
            <w:tcW w:w="3842" w:type="dxa"/>
            <w:tcBorders>
              <w:top w:val="single" w:sz="4" w:space="0" w:color="000000"/>
              <w:left w:val="single" w:sz="4" w:space="0" w:color="000000"/>
              <w:bottom w:val="single" w:sz="4" w:space="0" w:color="000000"/>
              <w:right w:val="single" w:sz="4" w:space="0" w:color="000000"/>
            </w:tcBorders>
          </w:tcPr>
          <w:p w14:paraId="00000173" w14:textId="77777777" w:rsidR="009A0EEC" w:rsidRDefault="00BF0077">
            <w:pPr>
              <w:spacing w:after="120"/>
              <w:ind w:left="5"/>
              <w:rPr>
                <w:rFonts w:ascii="Times New Roman" w:eastAsia="Times New Roman" w:hAnsi="Times New Roman" w:cs="Times New Roman"/>
                <w:sz w:val="24"/>
              </w:rPr>
            </w:pPr>
            <w:r>
              <w:rPr>
                <w:rFonts w:ascii="Times New Roman" w:eastAsia="Times New Roman" w:hAnsi="Times New Roman" w:cs="Times New Roman"/>
                <w:sz w:val="24"/>
              </w:rPr>
              <w:t>Final report</w:t>
            </w:r>
          </w:p>
        </w:tc>
        <w:tc>
          <w:tcPr>
            <w:tcW w:w="2695" w:type="dxa"/>
            <w:tcBorders>
              <w:top w:val="single" w:sz="4" w:space="0" w:color="000000"/>
              <w:left w:val="single" w:sz="4" w:space="0" w:color="000000"/>
              <w:bottom w:val="single" w:sz="4" w:space="0" w:color="000000"/>
              <w:right w:val="single" w:sz="4" w:space="0" w:color="000000"/>
            </w:tcBorders>
            <w:vAlign w:val="center"/>
          </w:tcPr>
          <w:p w14:paraId="00000174" w14:textId="7DCD2C76"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4</w:t>
            </w:r>
            <w:r>
              <w:rPr>
                <w:rFonts w:ascii="Times New Roman" w:eastAsia="Times New Roman" w:hAnsi="Times New Roman" w:cs="Times New Roman"/>
                <w:color w:val="000000"/>
                <w:sz w:val="24"/>
              </w:rPr>
              <w:t xml:space="preserve"> weeks after submission of draft report</w:t>
            </w:r>
          </w:p>
        </w:tc>
        <w:tc>
          <w:tcPr>
            <w:tcW w:w="2903" w:type="dxa"/>
            <w:tcBorders>
              <w:top w:val="single" w:sz="4" w:space="0" w:color="000000"/>
              <w:left w:val="single" w:sz="4" w:space="0" w:color="000000"/>
              <w:bottom w:val="single" w:sz="4" w:space="0" w:color="000000"/>
              <w:right w:val="single" w:sz="4" w:space="0" w:color="000000"/>
            </w:tcBorders>
          </w:tcPr>
          <w:p w14:paraId="00000175"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 xml:space="preserve"> Evaluation team leader (EMG and ERG feedback)</w:t>
            </w:r>
          </w:p>
        </w:tc>
      </w:tr>
      <w:tr w:rsidR="009A0EEC" w14:paraId="7281CD8A" w14:textId="77777777">
        <w:trPr>
          <w:trHeight w:val="157"/>
          <w:jc w:val="center"/>
        </w:trPr>
        <w:tc>
          <w:tcPr>
            <w:tcW w:w="3842" w:type="dxa"/>
            <w:tcBorders>
              <w:top w:val="single" w:sz="4" w:space="0" w:color="000000"/>
              <w:left w:val="single" w:sz="4" w:space="0" w:color="000000"/>
              <w:bottom w:val="single" w:sz="4" w:space="0" w:color="000000"/>
              <w:right w:val="single" w:sz="4" w:space="0" w:color="000000"/>
            </w:tcBorders>
          </w:tcPr>
          <w:p w14:paraId="00000176" w14:textId="77777777" w:rsidR="009A0EEC" w:rsidRDefault="00BF0077">
            <w:pPr>
              <w:spacing w:after="120"/>
              <w:ind w:left="5"/>
              <w:rPr>
                <w:rFonts w:ascii="Times New Roman" w:eastAsia="Times New Roman" w:hAnsi="Times New Roman" w:cs="Times New Roman"/>
                <w:sz w:val="24"/>
              </w:rPr>
            </w:pPr>
            <w:r>
              <w:rPr>
                <w:rFonts w:ascii="Times New Roman" w:eastAsia="Times New Roman" w:hAnsi="Times New Roman" w:cs="Times New Roman"/>
                <w:sz w:val="24"/>
              </w:rPr>
              <w:t xml:space="preserve">Management Response </w:t>
            </w:r>
          </w:p>
        </w:tc>
        <w:tc>
          <w:tcPr>
            <w:tcW w:w="2695" w:type="dxa"/>
            <w:tcBorders>
              <w:top w:val="single" w:sz="4" w:space="0" w:color="000000"/>
              <w:left w:val="single" w:sz="4" w:space="0" w:color="000000"/>
              <w:bottom w:val="single" w:sz="4" w:space="0" w:color="000000"/>
              <w:right w:val="single" w:sz="4" w:space="0" w:color="000000"/>
            </w:tcBorders>
            <w:vAlign w:val="center"/>
          </w:tcPr>
          <w:p w14:paraId="00000177" w14:textId="432FAE24"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color w:val="000000"/>
                <w:sz w:val="24"/>
              </w:rPr>
              <w:t>2-3 weeks after final report</w:t>
            </w:r>
          </w:p>
        </w:tc>
        <w:tc>
          <w:tcPr>
            <w:tcW w:w="2903" w:type="dxa"/>
            <w:tcBorders>
              <w:top w:val="single" w:sz="4" w:space="0" w:color="000000"/>
              <w:left w:val="single" w:sz="4" w:space="0" w:color="000000"/>
              <w:bottom w:val="single" w:sz="4" w:space="0" w:color="000000"/>
              <w:right w:val="single" w:sz="4" w:space="0" w:color="000000"/>
            </w:tcBorders>
          </w:tcPr>
          <w:p w14:paraId="00000178" w14:textId="77777777" w:rsidR="009A0EEC" w:rsidRDefault="00BF0077">
            <w:pPr>
              <w:spacing w:after="120"/>
              <w:rPr>
                <w:rFonts w:ascii="Times New Roman" w:eastAsia="Times New Roman" w:hAnsi="Times New Roman" w:cs="Times New Roman"/>
                <w:sz w:val="24"/>
              </w:rPr>
            </w:pPr>
            <w:r>
              <w:rPr>
                <w:rFonts w:ascii="Times New Roman" w:eastAsia="Times New Roman" w:hAnsi="Times New Roman" w:cs="Times New Roman"/>
                <w:sz w:val="24"/>
              </w:rPr>
              <w:t>Malawi CO Representative</w:t>
            </w:r>
          </w:p>
        </w:tc>
      </w:tr>
    </w:tbl>
    <w:p w14:paraId="00000179" w14:textId="0114CA35"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 evaluation manager and the regional evaluation specialist will quality assure the evaluation report. The draft and final evaluation report will be shared with the evaluation reference group, and the evaluation management group for quality review. The final evaluation report will be independently assessed using quality standards outlined in the </w:t>
      </w:r>
      <w:hyperlink r:id="rId14">
        <w:r>
          <w:rPr>
            <w:rFonts w:ascii="Times New Roman" w:eastAsia="Times New Roman" w:hAnsi="Times New Roman" w:cs="Times New Roman"/>
            <w:color w:val="0000FF"/>
            <w:sz w:val="24"/>
            <w:u w:val="single"/>
          </w:rPr>
          <w:t>UNW Global Evaluation Reports Assessment and Analysis System</w:t>
        </w:r>
      </w:hyperlink>
      <w:r>
        <w:rPr>
          <w:rFonts w:ascii="Times New Roman" w:eastAsia="Times New Roman" w:hAnsi="Times New Roman" w:cs="Times New Roman"/>
          <w:sz w:val="24"/>
        </w:rPr>
        <w:t xml:space="preserve"> (GERAAS). The final evaluation report and evaluation management responses will be publicly disclosed in the </w:t>
      </w:r>
      <w:hyperlink r:id="rId15">
        <w:r>
          <w:rPr>
            <w:rFonts w:ascii="Times New Roman" w:eastAsia="Times New Roman" w:hAnsi="Times New Roman" w:cs="Times New Roman"/>
            <w:color w:val="0000FF"/>
            <w:sz w:val="24"/>
            <w:u w:val="single"/>
          </w:rPr>
          <w:t>UNW GATE system</w:t>
        </w:r>
      </w:hyperlink>
      <w:r>
        <w:rPr>
          <w:rFonts w:ascii="Times New Roman" w:eastAsia="Times New Roman" w:hAnsi="Times New Roman" w:cs="Times New Roman"/>
          <w:color w:val="0000FF"/>
          <w:sz w:val="24"/>
          <w:u w:val="single"/>
        </w:rPr>
        <w:t xml:space="preserve">. </w:t>
      </w:r>
      <w:r>
        <w:rPr>
          <w:rFonts w:ascii="Times New Roman" w:eastAsia="Times New Roman" w:hAnsi="Times New Roman" w:cs="Times New Roman"/>
          <w:sz w:val="24"/>
        </w:rPr>
        <w:t>The final report will be approved by the evaluation management committee.</w:t>
      </w:r>
    </w:p>
    <w:p w14:paraId="0000017A" w14:textId="77777777" w:rsidR="009A0EEC" w:rsidRDefault="00BF0077">
      <w:pPr>
        <w:pStyle w:val="Heading1"/>
        <w:numPr>
          <w:ilvl w:val="0"/>
          <w:numId w:val="6"/>
        </w:numPr>
        <w:spacing w:line="240" w:lineRule="auto"/>
        <w:ind w:left="709"/>
        <w:rPr>
          <w:rFonts w:ascii="Times New Roman" w:eastAsia="Times New Roman" w:hAnsi="Times New Roman" w:cs="Times New Roman"/>
        </w:rPr>
      </w:pPr>
      <w:r>
        <w:rPr>
          <w:rFonts w:ascii="Times New Roman" w:eastAsia="Times New Roman" w:hAnsi="Times New Roman" w:cs="Times New Roman"/>
        </w:rPr>
        <w:t xml:space="preserve">Management of the evaluation </w:t>
      </w:r>
    </w:p>
    <w:p w14:paraId="0000017B"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 management structure for this evaluation will include: </w:t>
      </w:r>
    </w:p>
    <w:p w14:paraId="0000017C" w14:textId="27149314" w:rsidR="009A0EEC" w:rsidRDefault="00BF0077">
      <w:pPr>
        <w:numPr>
          <w:ilvl w:val="0"/>
          <w:numId w:val="15"/>
        </w:numPr>
        <w:pBdr>
          <w:top w:val="nil"/>
          <w:left w:val="nil"/>
          <w:bottom w:val="nil"/>
          <w:right w:val="nil"/>
          <w:between w:val="nil"/>
        </w:pBdr>
        <w:spacing w:line="240" w:lineRule="auto"/>
        <w:ind w:left="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WCA Regional Evaluation Specialist (RES) will be the evaluation team leader for this evaluation and will be supported by the UN Women MWI CO M&amp;E </w:t>
      </w:r>
      <w:proofErr w:type="spellStart"/>
      <w:r w:rsidR="00411421">
        <w:rPr>
          <w:rFonts w:ascii="Times New Roman" w:eastAsia="Times New Roman" w:hAnsi="Times New Roman" w:cs="Times New Roman"/>
          <w:color w:val="000000"/>
          <w:sz w:val="24"/>
        </w:rPr>
        <w:t>Sp</w:t>
      </w:r>
      <w:proofErr w:type="spellEnd"/>
      <w:r w:rsidR="00D9490B">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xml:space="preserve">during the evaluation process. </w:t>
      </w:r>
    </w:p>
    <w:p w14:paraId="0000017D" w14:textId="621416E8" w:rsidR="009A0EEC" w:rsidRDefault="00BF0077">
      <w:pPr>
        <w:numPr>
          <w:ilvl w:val="0"/>
          <w:numId w:val="15"/>
        </w:numPr>
        <w:pBdr>
          <w:top w:val="nil"/>
          <w:left w:val="nil"/>
          <w:bottom w:val="nil"/>
          <w:right w:val="nil"/>
          <w:between w:val="nil"/>
        </w:pBdr>
        <w:spacing w:line="240" w:lineRule="auto"/>
        <w:ind w:left="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Evaluation Management Group for administrative support and accountability will include: </w:t>
      </w:r>
      <w:r w:rsidR="00411421">
        <w:rPr>
          <w:rFonts w:ascii="Times New Roman" w:eastAsia="Times New Roman" w:hAnsi="Times New Roman" w:cs="Times New Roman"/>
          <w:color w:val="000000"/>
          <w:sz w:val="24"/>
        </w:rPr>
        <w:t xml:space="preserve">the Regional Evaluation Specialist </w:t>
      </w:r>
      <w:r>
        <w:rPr>
          <w:rFonts w:ascii="Times New Roman" w:eastAsia="Times New Roman" w:hAnsi="Times New Roman" w:cs="Times New Roman"/>
          <w:color w:val="000000"/>
          <w:sz w:val="24"/>
        </w:rPr>
        <w:t xml:space="preserve">(IES), </w:t>
      </w:r>
      <w:r w:rsidR="00411421">
        <w:rPr>
          <w:rFonts w:ascii="Times New Roman" w:eastAsia="Times New Roman" w:hAnsi="Times New Roman" w:cs="Times New Roman"/>
          <w:color w:val="000000"/>
          <w:sz w:val="24"/>
        </w:rPr>
        <w:t xml:space="preserve">a </w:t>
      </w:r>
      <w:r>
        <w:rPr>
          <w:rFonts w:ascii="Times New Roman" w:eastAsia="Times New Roman" w:hAnsi="Times New Roman" w:cs="Times New Roman"/>
          <w:color w:val="000000"/>
          <w:sz w:val="24"/>
        </w:rPr>
        <w:t>Programme Manage</w:t>
      </w:r>
      <w:r w:rsidR="00411421">
        <w:rPr>
          <w:rFonts w:ascii="Times New Roman" w:eastAsia="Times New Roman" w:hAnsi="Times New Roman" w:cs="Times New Roman"/>
          <w:color w:val="000000"/>
          <w:sz w:val="24"/>
        </w:rPr>
        <w:t>r delegated by the CO</w:t>
      </w:r>
      <w:r>
        <w:rPr>
          <w:rFonts w:ascii="Times New Roman" w:eastAsia="Times New Roman" w:hAnsi="Times New Roman" w:cs="Times New Roman"/>
          <w:color w:val="000000"/>
          <w:sz w:val="24"/>
        </w:rPr>
        <w:t xml:space="preserve">, </w:t>
      </w:r>
      <w:r w:rsidR="00411421">
        <w:rPr>
          <w:rFonts w:ascii="Times New Roman" w:eastAsia="Times New Roman" w:hAnsi="Times New Roman" w:cs="Times New Roman"/>
          <w:color w:val="000000"/>
          <w:sz w:val="24"/>
        </w:rPr>
        <w:t xml:space="preserve">the </w:t>
      </w:r>
      <w:r>
        <w:rPr>
          <w:rFonts w:ascii="Times New Roman" w:eastAsia="Times New Roman" w:hAnsi="Times New Roman" w:cs="Times New Roman"/>
          <w:color w:val="000000"/>
          <w:sz w:val="24"/>
        </w:rPr>
        <w:t xml:space="preserve">M&amp;E </w:t>
      </w:r>
      <w:r w:rsidR="00411421">
        <w:rPr>
          <w:rFonts w:ascii="Times New Roman" w:eastAsia="Times New Roman" w:hAnsi="Times New Roman" w:cs="Times New Roman"/>
          <w:color w:val="000000"/>
          <w:sz w:val="24"/>
        </w:rPr>
        <w:t>Officer</w:t>
      </w:r>
      <w:r>
        <w:rPr>
          <w:rFonts w:ascii="Times New Roman" w:eastAsia="Times New Roman" w:hAnsi="Times New Roman" w:cs="Times New Roman"/>
          <w:color w:val="000000"/>
          <w:sz w:val="24"/>
        </w:rPr>
        <w:t>.</w:t>
      </w:r>
    </w:p>
    <w:p w14:paraId="0000017E" w14:textId="77777777" w:rsidR="009A0EEC" w:rsidRDefault="00BF0077">
      <w:pPr>
        <w:numPr>
          <w:ilvl w:val="0"/>
          <w:numId w:val="15"/>
        </w:numPr>
        <w:pBdr>
          <w:top w:val="nil"/>
          <w:left w:val="nil"/>
          <w:bottom w:val="nil"/>
          <w:right w:val="nil"/>
          <w:between w:val="nil"/>
        </w:pBdr>
        <w:spacing w:after="120" w:line="240" w:lineRule="auto"/>
        <w:ind w:left="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Evaluation Reference Group for substantive technical support: Representatives from Malawi Government – Ministry of Gender; Civil Society Advisory Group; Academia; representative of the UNCT, and from Civil Society Organizations implementing partners.</w:t>
      </w:r>
    </w:p>
    <w:p w14:paraId="0000017F"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main roles and responsibility for the management of the evaluation reports are:</w:t>
      </w:r>
    </w:p>
    <w:tbl>
      <w:tblPr>
        <w:tblStyle w:val="a6"/>
        <w:tblW w:w="9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5"/>
        <w:gridCol w:w="7015"/>
      </w:tblGrid>
      <w:tr w:rsidR="009A0EEC" w14:paraId="78B708FC" w14:textId="77777777">
        <w:tc>
          <w:tcPr>
            <w:tcW w:w="2425" w:type="dxa"/>
          </w:tcPr>
          <w:p w14:paraId="00000180"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Evaluation team leader (UN Women WCA RES)</w:t>
            </w:r>
          </w:p>
        </w:tc>
        <w:tc>
          <w:tcPr>
            <w:tcW w:w="7015" w:type="dxa"/>
          </w:tcPr>
          <w:p w14:paraId="00000181" w14:textId="77777777" w:rsidR="009A0EEC" w:rsidRDefault="00BF0077">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Leads the conceptual and methodological approach and other aspects of the evaluation design.</w:t>
            </w:r>
          </w:p>
          <w:p w14:paraId="00000182" w14:textId="77777777" w:rsidR="009A0EEC" w:rsidRDefault="00BF0077">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Leads the preparation of deliverables.</w:t>
            </w:r>
          </w:p>
          <w:p w14:paraId="00000183" w14:textId="77777777" w:rsidR="009A0EEC" w:rsidRDefault="00BF0077">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Ensures team members have the full freedom to conduct their evaluative work impartially and can express their opinion in a free manner.</w:t>
            </w:r>
          </w:p>
          <w:p w14:paraId="00000184" w14:textId="77777777" w:rsidR="009A0EEC" w:rsidRDefault="00BF0077">
            <w:pPr>
              <w:numPr>
                <w:ilvl w:val="0"/>
                <w:numId w:val="20"/>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Coordinates feedback on the draft and final report from the management and reference groups.</w:t>
            </w:r>
          </w:p>
          <w:p w14:paraId="00000185" w14:textId="77777777" w:rsidR="009A0EEC" w:rsidRDefault="00BF0077">
            <w:pPr>
              <w:numPr>
                <w:ilvl w:val="0"/>
                <w:numId w:val="20"/>
              </w:numPr>
              <w:pBdr>
                <w:top w:val="nil"/>
                <w:left w:val="nil"/>
                <w:bottom w:val="nil"/>
                <w:right w:val="nil"/>
                <w:between w:val="nil"/>
              </w:pBd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Maintains an audit trail of comments on the evaluation products so that there is transparency in how the evaluation team is responding to the comments.</w:t>
            </w:r>
          </w:p>
        </w:tc>
      </w:tr>
      <w:tr w:rsidR="009A0EEC" w14:paraId="20E0B471" w14:textId="77777777">
        <w:tc>
          <w:tcPr>
            <w:tcW w:w="2425" w:type="dxa"/>
          </w:tcPr>
          <w:p w14:paraId="00000186" w14:textId="70ABD45A" w:rsidR="009A0EEC" w:rsidRDefault="00BF0077">
            <w:pPr>
              <w:spacing w:after="120" w:line="240" w:lineRule="auto"/>
              <w:jc w:val="left"/>
              <w:rPr>
                <w:rFonts w:ascii="Times New Roman" w:eastAsia="Times New Roman" w:hAnsi="Times New Roman" w:cs="Times New Roman"/>
                <w:sz w:val="24"/>
              </w:rPr>
            </w:pPr>
            <w:r>
              <w:rPr>
                <w:rFonts w:ascii="Times New Roman" w:eastAsia="Times New Roman" w:hAnsi="Times New Roman" w:cs="Times New Roman"/>
                <w:sz w:val="24"/>
              </w:rPr>
              <w:t>Evaluation team (</w:t>
            </w:r>
            <w:r w:rsidR="00D9490B">
              <w:rPr>
                <w:rFonts w:ascii="Times New Roman" w:eastAsia="Times New Roman" w:hAnsi="Times New Roman" w:cs="Times New Roman"/>
                <w:sz w:val="24"/>
              </w:rPr>
              <w:t xml:space="preserve">senior evaluator </w:t>
            </w:r>
            <w:r>
              <w:rPr>
                <w:rFonts w:ascii="Times New Roman" w:eastAsia="Times New Roman" w:hAnsi="Times New Roman" w:cs="Times New Roman"/>
                <w:sz w:val="24"/>
              </w:rPr>
              <w:t xml:space="preserve">and </w:t>
            </w:r>
            <w:r w:rsidR="00D9490B">
              <w:rPr>
                <w:rFonts w:ascii="Times New Roman" w:eastAsia="Times New Roman" w:hAnsi="Times New Roman" w:cs="Times New Roman"/>
                <w:sz w:val="24"/>
              </w:rPr>
              <w:t>evaluator-team members</w:t>
            </w:r>
            <w:r>
              <w:rPr>
                <w:rFonts w:ascii="Times New Roman" w:eastAsia="Times New Roman" w:hAnsi="Times New Roman" w:cs="Times New Roman"/>
                <w:sz w:val="24"/>
              </w:rPr>
              <w:t xml:space="preserve">) </w:t>
            </w:r>
          </w:p>
        </w:tc>
        <w:tc>
          <w:tcPr>
            <w:tcW w:w="7015" w:type="dxa"/>
          </w:tcPr>
          <w:p w14:paraId="00000187" w14:textId="77777777" w:rsidR="009A0EEC" w:rsidRDefault="00BF0077">
            <w:pPr>
              <w:numPr>
                <w:ilvl w:val="0"/>
                <w:numId w:val="19"/>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To avoid conflict of interest and undue pressure, the members of the evaluation team need to be independent.</w:t>
            </w:r>
          </w:p>
          <w:p w14:paraId="00000188" w14:textId="77777777" w:rsidR="009A0EEC" w:rsidRDefault="00BF0077">
            <w:pPr>
              <w:numPr>
                <w:ilvl w:val="0"/>
                <w:numId w:val="19"/>
              </w:numPr>
              <w:pBdr>
                <w:top w:val="nil"/>
                <w:left w:val="nil"/>
                <w:bottom w:val="nil"/>
                <w:right w:val="nil"/>
                <w:between w:val="nil"/>
              </w:pBd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Under the guidance of the evaluation team leader, the evaluation team works together with the team leader in preparing all evaluation products, which should reflect an agreed- upon approach and design for the evaluation from the perspective of the evaluation team and the evaluation team leader. </w:t>
            </w:r>
          </w:p>
        </w:tc>
      </w:tr>
      <w:tr w:rsidR="009A0EEC" w14:paraId="6777277E" w14:textId="77777777">
        <w:tc>
          <w:tcPr>
            <w:tcW w:w="2425" w:type="dxa"/>
          </w:tcPr>
          <w:p w14:paraId="00000189"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The M&amp;E Specialist </w:t>
            </w:r>
          </w:p>
        </w:tc>
        <w:tc>
          <w:tcPr>
            <w:tcW w:w="7015" w:type="dxa"/>
          </w:tcPr>
          <w:p w14:paraId="0000018A" w14:textId="77777777" w:rsidR="009A0EEC" w:rsidRDefault="00BF0077">
            <w:pPr>
              <w:numPr>
                <w:ilvl w:val="0"/>
                <w:numId w:val="17"/>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will manage document retrievals and access.</w:t>
            </w:r>
          </w:p>
          <w:p w14:paraId="0000018B" w14:textId="77777777" w:rsidR="009A0EEC" w:rsidRDefault="00BF0077">
            <w:pPr>
              <w:numPr>
                <w:ilvl w:val="0"/>
                <w:numId w:val="17"/>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facilitate contacts with evaluation participants.</w:t>
            </w:r>
          </w:p>
          <w:p w14:paraId="0000018D" w14:textId="7F06C9B6" w:rsidR="009A0EEC" w:rsidRPr="006929A6" w:rsidRDefault="00BF0077" w:rsidP="006929A6">
            <w:pPr>
              <w:numPr>
                <w:ilvl w:val="0"/>
                <w:numId w:val="17"/>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organize logistics for the field mission.</w:t>
            </w:r>
          </w:p>
        </w:tc>
      </w:tr>
      <w:tr w:rsidR="009A0EEC" w14:paraId="613301CF" w14:textId="77777777">
        <w:tc>
          <w:tcPr>
            <w:tcW w:w="2425" w:type="dxa"/>
          </w:tcPr>
          <w:p w14:paraId="0000018E"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Evaluation Reference groups </w:t>
            </w:r>
          </w:p>
        </w:tc>
        <w:tc>
          <w:tcPr>
            <w:tcW w:w="7015" w:type="dxa"/>
          </w:tcPr>
          <w:p w14:paraId="0000018F" w14:textId="77777777" w:rsidR="009A0EEC" w:rsidRDefault="00BF0077">
            <w:pPr>
              <w:numPr>
                <w:ilvl w:val="0"/>
                <w:numId w:val="17"/>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Provide substantive comments and other operational assistance throughout the preparation of reports.</w:t>
            </w:r>
          </w:p>
          <w:p w14:paraId="00000190" w14:textId="77777777" w:rsidR="009A0EEC" w:rsidRDefault="00BF0077">
            <w:pPr>
              <w:numPr>
                <w:ilvl w:val="0"/>
                <w:numId w:val="17"/>
              </w:numPr>
              <w:pBdr>
                <w:top w:val="nil"/>
                <w:left w:val="nil"/>
                <w:bottom w:val="nil"/>
                <w:right w:val="nil"/>
                <w:between w:val="nil"/>
              </w:pBd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Where appropriate, participates in meetings and workshops with other key partners and stakeholders before finalization of reports.</w:t>
            </w:r>
          </w:p>
        </w:tc>
      </w:tr>
    </w:tbl>
    <w:p w14:paraId="00000191"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To maximize stakeholder participation and ensure a gender-responsive evaluation, the evaluation team leader will support the evaluator(s) during data collection in the following ways:</w:t>
      </w:r>
    </w:p>
    <w:p w14:paraId="00000192" w14:textId="77777777" w:rsidR="009A0EEC" w:rsidRDefault="00BF0077">
      <w:pPr>
        <w:numPr>
          <w:ilvl w:val="0"/>
          <w:numId w:val="21"/>
        </w:numPr>
        <w:pBdr>
          <w:top w:val="nil"/>
          <w:left w:val="nil"/>
          <w:bottom w:val="nil"/>
          <w:right w:val="nil"/>
          <w:between w:val="nil"/>
        </w:pBdr>
        <w:spacing w:line="240" w:lineRule="auto"/>
        <w:ind w:left="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Coordinate gathering and filing of documents related to the 5-year programme period for desk review.</w:t>
      </w:r>
    </w:p>
    <w:p w14:paraId="00000193" w14:textId="77777777" w:rsidR="009A0EEC" w:rsidRDefault="00BF0077">
      <w:pPr>
        <w:numPr>
          <w:ilvl w:val="0"/>
          <w:numId w:val="21"/>
        </w:numPr>
        <w:pBdr>
          <w:top w:val="nil"/>
          <w:left w:val="nil"/>
          <w:bottom w:val="nil"/>
          <w:right w:val="nil"/>
          <w:between w:val="nil"/>
        </w:pBdr>
        <w:spacing w:line="240" w:lineRule="auto"/>
        <w:ind w:left="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Consult partners regarding the evaluation and the proposed schedule for data collection.</w:t>
      </w:r>
    </w:p>
    <w:p w14:paraId="00000194" w14:textId="77777777" w:rsidR="009A0EEC" w:rsidRDefault="00BF0077">
      <w:pPr>
        <w:numPr>
          <w:ilvl w:val="0"/>
          <w:numId w:val="21"/>
        </w:numPr>
        <w:pBdr>
          <w:top w:val="nil"/>
          <w:left w:val="nil"/>
          <w:bottom w:val="nil"/>
          <w:right w:val="nil"/>
          <w:between w:val="nil"/>
        </w:pBdr>
        <w:spacing w:line="240" w:lineRule="auto"/>
        <w:ind w:left="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Arrange for a debriefing by the evaluator(s) prior to completion of data collection to present preliminary and emerging findings or gaps in information to the evaluation manager, evaluation management and reference groups.</w:t>
      </w:r>
    </w:p>
    <w:p w14:paraId="00000195" w14:textId="77777777" w:rsidR="009A0EEC" w:rsidRDefault="00BF0077">
      <w:pPr>
        <w:numPr>
          <w:ilvl w:val="0"/>
          <w:numId w:val="21"/>
        </w:numPr>
        <w:pBdr>
          <w:top w:val="nil"/>
          <w:left w:val="nil"/>
          <w:bottom w:val="nil"/>
          <w:right w:val="nil"/>
          <w:between w:val="nil"/>
        </w:pBdr>
        <w:spacing w:line="240" w:lineRule="auto"/>
        <w:ind w:left="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Ensure the stakeholders identified through the stakeholder analysis are being included, the most vulnerable or difficult to reach, and provide logistical support as necessary contacting stakeholders and arranging for transportation.</w:t>
      </w:r>
    </w:p>
    <w:p w14:paraId="00000196" w14:textId="7A5FF7B8" w:rsidR="009A0EEC" w:rsidRDefault="00BF0077">
      <w:pPr>
        <w:numPr>
          <w:ilvl w:val="0"/>
          <w:numId w:val="21"/>
        </w:numPr>
        <w:pBdr>
          <w:top w:val="nil"/>
          <w:left w:val="nil"/>
          <w:bottom w:val="nil"/>
          <w:right w:val="nil"/>
          <w:between w:val="nil"/>
        </w:pBdr>
        <w:spacing w:after="120" w:line="240" w:lineRule="auto"/>
        <w:ind w:left="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Ensure that a gender equality and human rights perspective is streamlined throughout the approach, and that the evaluator(s) is abiding by the ethical principles outlined below.</w:t>
      </w:r>
    </w:p>
    <w:p w14:paraId="2C4D6B79" w14:textId="77777777" w:rsidR="00D5293B" w:rsidRDefault="00D5293B" w:rsidP="00D5293B">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All payments are subject to the approval of deliverables by the evaluation management group. The approval of each deliverable will be based on assessment of deliverables against GERAAS evaluation parameters. Payments will be done upon approval of the following outputs: </w:t>
      </w:r>
    </w:p>
    <w:p w14:paraId="3120C5F8" w14:textId="77777777" w:rsidR="00D5293B" w:rsidRDefault="00D5293B" w:rsidP="00D5293B">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20%: upon approval of the inception report. The consultant will be accountable for the portion of deliverable assigned by the Team Leader.</w:t>
      </w:r>
    </w:p>
    <w:p w14:paraId="515779BC" w14:textId="77777777" w:rsidR="00D5293B" w:rsidRDefault="00D5293B" w:rsidP="00D5293B">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30%: upon appreciation that the draft reports / case studies </w:t>
      </w:r>
      <w:proofErr w:type="gramStart"/>
      <w:r>
        <w:rPr>
          <w:rFonts w:ascii="Times New Roman" w:eastAsia="Times New Roman" w:hAnsi="Times New Roman" w:cs="Times New Roman"/>
          <w:color w:val="000000"/>
          <w:sz w:val="24"/>
        </w:rPr>
        <w:t>meets</w:t>
      </w:r>
      <w:proofErr w:type="gramEnd"/>
      <w:r>
        <w:rPr>
          <w:rFonts w:ascii="Times New Roman" w:eastAsia="Times New Roman" w:hAnsi="Times New Roman" w:cs="Times New Roman"/>
          <w:color w:val="000000"/>
          <w:sz w:val="24"/>
        </w:rPr>
        <w:t xml:space="preserve"> minimum requirements </w:t>
      </w:r>
    </w:p>
    <w:p w14:paraId="23E5F572" w14:textId="77777777" w:rsidR="00D5293B" w:rsidRDefault="00D5293B" w:rsidP="00D5293B">
      <w:pPr>
        <w:numPr>
          <w:ilvl w:val="0"/>
          <w:numId w:val="2"/>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50%: upon approval of the evaluation report / case studies. </w:t>
      </w:r>
    </w:p>
    <w:p w14:paraId="12870C32" w14:textId="77777777" w:rsidR="00D5293B" w:rsidRDefault="00D5293B" w:rsidP="00D5293B">
      <w:pPr>
        <w:pBdr>
          <w:top w:val="nil"/>
          <w:left w:val="nil"/>
          <w:bottom w:val="nil"/>
          <w:right w:val="nil"/>
          <w:between w:val="nil"/>
        </w:pBdr>
        <w:spacing w:after="120" w:line="240" w:lineRule="auto"/>
        <w:rPr>
          <w:rFonts w:ascii="Times New Roman" w:eastAsia="Times New Roman" w:hAnsi="Times New Roman" w:cs="Times New Roman"/>
          <w:color w:val="000000"/>
          <w:sz w:val="24"/>
        </w:rPr>
      </w:pPr>
    </w:p>
    <w:p w14:paraId="00000197" w14:textId="77777777" w:rsidR="009A0EEC" w:rsidRDefault="00BF0077">
      <w:pPr>
        <w:pStyle w:val="Heading1"/>
        <w:numPr>
          <w:ilvl w:val="0"/>
          <w:numId w:val="6"/>
        </w:numPr>
        <w:spacing w:line="240" w:lineRule="auto"/>
        <w:ind w:left="709"/>
        <w:rPr>
          <w:rFonts w:ascii="Times New Roman" w:eastAsia="Times New Roman" w:hAnsi="Times New Roman" w:cs="Times New Roman"/>
        </w:rPr>
      </w:pPr>
      <w:r>
        <w:rPr>
          <w:rFonts w:ascii="Times New Roman" w:eastAsia="Times New Roman" w:hAnsi="Times New Roman" w:cs="Times New Roman"/>
        </w:rPr>
        <w:t xml:space="preserve">Evaluation team composition, skills, and experiences </w:t>
      </w:r>
    </w:p>
    <w:p w14:paraId="00000198" w14:textId="4548F36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A team of </w:t>
      </w:r>
      <w:r w:rsidR="00D205F6">
        <w:rPr>
          <w:rFonts w:ascii="Times New Roman" w:eastAsia="Times New Roman" w:hAnsi="Times New Roman" w:cs="Times New Roman"/>
          <w:sz w:val="24"/>
        </w:rPr>
        <w:t>four</w:t>
      </w:r>
      <w:r>
        <w:rPr>
          <w:rFonts w:ascii="Times New Roman" w:eastAsia="Times New Roman" w:hAnsi="Times New Roman" w:cs="Times New Roman"/>
          <w:sz w:val="24"/>
        </w:rPr>
        <w:t xml:space="preserve"> consultants one </w:t>
      </w:r>
      <w:r w:rsidR="00D9490B">
        <w:rPr>
          <w:rFonts w:ascii="Times New Roman" w:eastAsia="Times New Roman" w:hAnsi="Times New Roman" w:cs="Times New Roman"/>
          <w:sz w:val="24"/>
        </w:rPr>
        <w:t>Senior</w:t>
      </w:r>
      <w:r>
        <w:rPr>
          <w:rFonts w:ascii="Times New Roman" w:eastAsia="Times New Roman" w:hAnsi="Times New Roman" w:cs="Times New Roman"/>
          <w:sz w:val="24"/>
        </w:rPr>
        <w:t xml:space="preserve"> Evaluator,</w:t>
      </w:r>
      <w:r w:rsidR="00B96564">
        <w:rPr>
          <w:rFonts w:ascii="Times New Roman" w:eastAsia="Times New Roman" w:hAnsi="Times New Roman" w:cs="Times New Roman"/>
          <w:sz w:val="24"/>
        </w:rPr>
        <w:t xml:space="preserve"> and </w:t>
      </w:r>
      <w:r w:rsidR="000C0D59">
        <w:rPr>
          <w:rFonts w:ascii="Times New Roman" w:eastAsia="Times New Roman" w:hAnsi="Times New Roman" w:cs="Times New Roman"/>
          <w:sz w:val="24"/>
        </w:rPr>
        <w:t>three</w:t>
      </w:r>
      <w:r>
        <w:rPr>
          <w:rFonts w:ascii="Times New Roman" w:eastAsia="Times New Roman" w:hAnsi="Times New Roman" w:cs="Times New Roman"/>
          <w:sz w:val="24"/>
        </w:rPr>
        <w:t xml:space="preserve"> </w:t>
      </w:r>
      <w:r w:rsidR="00B96564">
        <w:rPr>
          <w:rFonts w:ascii="Times New Roman" w:eastAsia="Times New Roman" w:hAnsi="Times New Roman" w:cs="Times New Roman"/>
          <w:sz w:val="24"/>
        </w:rPr>
        <w:t>other</w:t>
      </w:r>
      <w:r w:rsidR="00844915">
        <w:rPr>
          <w:rFonts w:ascii="Times New Roman" w:eastAsia="Times New Roman" w:hAnsi="Times New Roman" w:cs="Times New Roman"/>
          <w:sz w:val="24"/>
        </w:rPr>
        <w:t xml:space="preserve"> National</w:t>
      </w:r>
      <w:r w:rsidR="00B96564">
        <w:rPr>
          <w:rFonts w:ascii="Times New Roman" w:eastAsia="Times New Roman" w:hAnsi="Times New Roman" w:cs="Times New Roman"/>
          <w:sz w:val="24"/>
        </w:rPr>
        <w:t xml:space="preserve"> </w:t>
      </w:r>
      <w:r>
        <w:rPr>
          <w:rFonts w:ascii="Times New Roman" w:eastAsia="Times New Roman" w:hAnsi="Times New Roman" w:cs="Times New Roman"/>
          <w:sz w:val="24"/>
        </w:rPr>
        <w:t>Evaluator</w:t>
      </w:r>
      <w:r w:rsidR="00B96564">
        <w:rPr>
          <w:rFonts w:ascii="Times New Roman" w:eastAsia="Times New Roman" w:hAnsi="Times New Roman" w:cs="Times New Roman"/>
          <w:sz w:val="24"/>
        </w:rPr>
        <w:t>s</w:t>
      </w:r>
      <w:r w:rsidR="000C0D59">
        <w:rPr>
          <w:rFonts w:ascii="Times New Roman" w:eastAsia="Times New Roman" w:hAnsi="Times New Roman" w:cs="Times New Roman"/>
          <w:sz w:val="24"/>
        </w:rPr>
        <w:t xml:space="preserve"> </w:t>
      </w:r>
      <w:r w:rsidR="00D9490B">
        <w:rPr>
          <w:rFonts w:ascii="Times New Roman" w:eastAsia="Times New Roman" w:hAnsi="Times New Roman" w:cs="Times New Roman"/>
          <w:sz w:val="24"/>
        </w:rPr>
        <w:t xml:space="preserve">and Experts </w:t>
      </w:r>
      <w:r w:rsidR="000C0D59">
        <w:rPr>
          <w:rFonts w:ascii="Times New Roman" w:eastAsia="Times New Roman" w:hAnsi="Times New Roman" w:cs="Times New Roman"/>
          <w:sz w:val="24"/>
        </w:rPr>
        <w:t>on</w:t>
      </w:r>
      <w:r w:rsidR="0061330D">
        <w:rPr>
          <w:rFonts w:ascii="Times New Roman" w:eastAsia="Times New Roman" w:hAnsi="Times New Roman" w:cs="Times New Roman"/>
          <w:sz w:val="24"/>
        </w:rPr>
        <w:t xml:space="preserve"> </w:t>
      </w:r>
      <w:r w:rsidR="00941951">
        <w:rPr>
          <w:rFonts w:ascii="Times New Roman" w:eastAsia="Times New Roman" w:hAnsi="Times New Roman" w:cs="Times New Roman"/>
          <w:sz w:val="24"/>
        </w:rPr>
        <w:t>(</w:t>
      </w:r>
      <w:r w:rsidR="000C0D59">
        <w:rPr>
          <w:rFonts w:ascii="Times New Roman" w:eastAsia="Times New Roman" w:hAnsi="Times New Roman" w:cs="Times New Roman"/>
          <w:sz w:val="24"/>
        </w:rPr>
        <w:t xml:space="preserve">1) </w:t>
      </w:r>
      <w:r w:rsidR="00941951">
        <w:rPr>
          <w:rFonts w:ascii="Times New Roman" w:eastAsia="Times New Roman" w:hAnsi="Times New Roman" w:cs="Times New Roman"/>
          <w:sz w:val="24"/>
        </w:rPr>
        <w:t>Gender</w:t>
      </w:r>
      <w:r w:rsidR="006A4FCF">
        <w:rPr>
          <w:rFonts w:ascii="Times New Roman" w:eastAsia="Times New Roman" w:hAnsi="Times New Roman" w:cs="Times New Roman"/>
          <w:sz w:val="24"/>
        </w:rPr>
        <w:t xml:space="preserve"> Based Governance</w:t>
      </w:r>
      <w:r w:rsidR="007C3155">
        <w:rPr>
          <w:rFonts w:ascii="Times New Roman" w:eastAsia="Times New Roman" w:hAnsi="Times New Roman" w:cs="Times New Roman"/>
          <w:sz w:val="24"/>
        </w:rPr>
        <w:t xml:space="preserve"> </w:t>
      </w:r>
      <w:r w:rsidR="000C0D59">
        <w:rPr>
          <w:rFonts w:ascii="Times New Roman" w:eastAsia="Times New Roman" w:hAnsi="Times New Roman" w:cs="Times New Roman"/>
          <w:sz w:val="24"/>
        </w:rPr>
        <w:t>and</w:t>
      </w:r>
      <w:r w:rsidR="007C3155">
        <w:rPr>
          <w:rFonts w:ascii="Times New Roman" w:eastAsia="Times New Roman" w:hAnsi="Times New Roman" w:cs="Times New Roman"/>
          <w:sz w:val="24"/>
        </w:rPr>
        <w:t xml:space="preserve"> Humanitarian</w:t>
      </w:r>
      <w:r w:rsidR="006A4FCF">
        <w:rPr>
          <w:rFonts w:ascii="Times New Roman" w:eastAsia="Times New Roman" w:hAnsi="Times New Roman" w:cs="Times New Roman"/>
          <w:sz w:val="24"/>
        </w:rPr>
        <w:t>) (</w:t>
      </w:r>
      <w:r w:rsidR="000C0D59">
        <w:rPr>
          <w:rFonts w:ascii="Times New Roman" w:eastAsia="Times New Roman" w:hAnsi="Times New Roman" w:cs="Times New Roman"/>
          <w:sz w:val="24"/>
        </w:rPr>
        <w:t xml:space="preserve">2) </w:t>
      </w:r>
      <w:r w:rsidR="006A4FCF">
        <w:rPr>
          <w:rFonts w:ascii="Times New Roman" w:eastAsia="Times New Roman" w:hAnsi="Times New Roman" w:cs="Times New Roman"/>
          <w:sz w:val="24"/>
        </w:rPr>
        <w:t xml:space="preserve">Violence Against </w:t>
      </w:r>
      <w:r w:rsidR="009346DE">
        <w:rPr>
          <w:rFonts w:ascii="Times New Roman" w:eastAsia="Times New Roman" w:hAnsi="Times New Roman" w:cs="Times New Roman"/>
          <w:sz w:val="24"/>
        </w:rPr>
        <w:t xml:space="preserve">Women and Girls </w:t>
      </w:r>
      <w:r w:rsidR="000C0D59">
        <w:rPr>
          <w:rFonts w:ascii="Times New Roman" w:eastAsia="Times New Roman" w:hAnsi="Times New Roman" w:cs="Times New Roman"/>
          <w:sz w:val="24"/>
        </w:rPr>
        <w:t>(3)</w:t>
      </w:r>
      <w:r w:rsidR="009346DE">
        <w:rPr>
          <w:rFonts w:ascii="Times New Roman" w:eastAsia="Times New Roman" w:hAnsi="Times New Roman" w:cs="Times New Roman"/>
          <w:sz w:val="24"/>
        </w:rPr>
        <w:t xml:space="preserve"> Women Economic</w:t>
      </w:r>
      <w:r w:rsidR="007C3155">
        <w:rPr>
          <w:rFonts w:ascii="Times New Roman" w:eastAsia="Times New Roman" w:hAnsi="Times New Roman" w:cs="Times New Roman"/>
          <w:sz w:val="24"/>
        </w:rPr>
        <w:t xml:space="preserve"> Empowerment</w:t>
      </w:r>
      <w:r w:rsidR="00D205F6">
        <w:rPr>
          <w:rFonts w:ascii="Times New Roman" w:eastAsia="Times New Roman" w:hAnsi="Times New Roman" w:cs="Times New Roman"/>
          <w:sz w:val="24"/>
        </w:rPr>
        <w:t xml:space="preserve"> </w:t>
      </w:r>
      <w:r w:rsidR="00D9490B">
        <w:rPr>
          <w:rFonts w:ascii="Times New Roman" w:eastAsia="Times New Roman" w:hAnsi="Times New Roman" w:cs="Times New Roman"/>
          <w:sz w:val="24"/>
        </w:rPr>
        <w:t xml:space="preserve">will work together and </w:t>
      </w:r>
      <w:r>
        <w:rPr>
          <w:rFonts w:ascii="Times New Roman" w:eastAsia="Times New Roman" w:hAnsi="Times New Roman" w:cs="Times New Roman"/>
          <w:sz w:val="24"/>
        </w:rPr>
        <w:t>undertake the evaluation. The estimated number of person-days required for the evaluation is</w:t>
      </w:r>
      <w:r w:rsidR="00D9490B">
        <w:rPr>
          <w:rFonts w:ascii="Times New Roman" w:eastAsia="Times New Roman" w:hAnsi="Times New Roman" w:cs="Times New Roman"/>
          <w:sz w:val="24"/>
        </w:rPr>
        <w:t xml:space="preserve"> 45</w:t>
      </w:r>
      <w:r>
        <w:rPr>
          <w:rFonts w:ascii="Times New Roman" w:eastAsia="Times New Roman" w:hAnsi="Times New Roman" w:cs="Times New Roman"/>
          <w:sz w:val="24"/>
        </w:rPr>
        <w:t xml:space="preserve"> days for the </w:t>
      </w:r>
      <w:r w:rsidR="00D9490B">
        <w:rPr>
          <w:rFonts w:ascii="Times New Roman" w:eastAsia="Times New Roman" w:hAnsi="Times New Roman" w:cs="Times New Roman"/>
          <w:sz w:val="24"/>
        </w:rPr>
        <w:t xml:space="preserve">Senior Evaluator </w:t>
      </w:r>
      <w:r>
        <w:rPr>
          <w:rFonts w:ascii="Times New Roman" w:eastAsia="Times New Roman" w:hAnsi="Times New Roman" w:cs="Times New Roman"/>
          <w:sz w:val="24"/>
        </w:rPr>
        <w:t xml:space="preserve">and </w:t>
      </w:r>
      <w:r w:rsidR="00D9490B">
        <w:rPr>
          <w:rFonts w:ascii="Times New Roman" w:eastAsia="Times New Roman" w:hAnsi="Times New Roman" w:cs="Times New Roman"/>
          <w:sz w:val="24"/>
        </w:rPr>
        <w:t>35</w:t>
      </w:r>
      <w:r>
        <w:rPr>
          <w:rFonts w:ascii="Times New Roman" w:eastAsia="Times New Roman" w:hAnsi="Times New Roman" w:cs="Times New Roman"/>
          <w:sz w:val="24"/>
        </w:rPr>
        <w:t xml:space="preserve"> days for the </w:t>
      </w:r>
      <w:r w:rsidR="00097AC7">
        <w:rPr>
          <w:rFonts w:ascii="Times New Roman" w:eastAsia="Times New Roman" w:hAnsi="Times New Roman" w:cs="Times New Roman"/>
          <w:sz w:val="24"/>
        </w:rPr>
        <w:t>Evaluators</w:t>
      </w:r>
      <w:r w:rsidR="00D9490B">
        <w:rPr>
          <w:rFonts w:ascii="Times New Roman" w:eastAsia="Times New Roman" w:hAnsi="Times New Roman" w:cs="Times New Roman"/>
          <w:sz w:val="24"/>
        </w:rPr>
        <w:t xml:space="preserve"> / Team Members</w:t>
      </w:r>
      <w:r>
        <w:rPr>
          <w:rFonts w:ascii="Times New Roman" w:eastAsia="Times New Roman" w:hAnsi="Times New Roman" w:cs="Times New Roman"/>
          <w:sz w:val="24"/>
        </w:rPr>
        <w:t xml:space="preserve">. </w:t>
      </w:r>
    </w:p>
    <w:p w14:paraId="00000199" w14:textId="77777777" w:rsidR="009A0EEC" w:rsidRDefault="009A0EEC">
      <w:pPr>
        <w:spacing w:after="120" w:line="240" w:lineRule="auto"/>
        <w:rPr>
          <w:rFonts w:ascii="Times New Roman" w:eastAsia="Times New Roman" w:hAnsi="Times New Roman" w:cs="Times New Roman"/>
          <w:b/>
          <w:sz w:val="24"/>
        </w:rPr>
      </w:pPr>
    </w:p>
    <w:p w14:paraId="0000019A" w14:textId="080C7534"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b/>
          <w:sz w:val="24"/>
        </w:rPr>
        <w:t xml:space="preserve">The </w:t>
      </w:r>
      <w:r w:rsidR="00D9490B">
        <w:rPr>
          <w:rFonts w:ascii="Times New Roman" w:eastAsia="Times New Roman" w:hAnsi="Times New Roman" w:cs="Times New Roman"/>
          <w:b/>
          <w:sz w:val="24"/>
        </w:rPr>
        <w:t>Senior</w:t>
      </w:r>
      <w:r>
        <w:rPr>
          <w:rFonts w:ascii="Times New Roman" w:eastAsia="Times New Roman" w:hAnsi="Times New Roman" w:cs="Times New Roman"/>
          <w:b/>
          <w:sz w:val="24"/>
        </w:rPr>
        <w:t xml:space="preserve"> </w:t>
      </w:r>
      <w:r w:rsidR="002C2993">
        <w:rPr>
          <w:rFonts w:ascii="Times New Roman" w:eastAsia="Times New Roman" w:hAnsi="Times New Roman" w:cs="Times New Roman"/>
          <w:b/>
          <w:sz w:val="24"/>
        </w:rPr>
        <w:t>Evaluator</w:t>
      </w:r>
      <w:r>
        <w:rPr>
          <w:rFonts w:ascii="Times New Roman" w:eastAsia="Times New Roman" w:hAnsi="Times New Roman" w:cs="Times New Roman"/>
          <w:b/>
          <w:sz w:val="24"/>
        </w:rPr>
        <w:t xml:space="preserve"> must possess the following qualifications:</w:t>
      </w:r>
    </w:p>
    <w:p w14:paraId="0000019B"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b/>
          <w:sz w:val="24"/>
        </w:rPr>
        <w:t>Education:</w:t>
      </w:r>
    </w:p>
    <w:p w14:paraId="0000019C" w14:textId="77777777" w:rsidR="009A0EEC" w:rsidRDefault="00BF0077">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At least a master’s degree in sociology, international development, gender/women studies, or related area</w:t>
      </w:r>
    </w:p>
    <w:p w14:paraId="0000019D"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b/>
          <w:sz w:val="24"/>
        </w:rPr>
        <w:t>Experience:</w:t>
      </w:r>
    </w:p>
    <w:p w14:paraId="0000019E" w14:textId="3FD3880D" w:rsidR="009A0EEC" w:rsidRDefault="00BF0077">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At least </w:t>
      </w:r>
      <w:r w:rsidR="00535BB3">
        <w:rPr>
          <w:rFonts w:ascii="Times New Roman" w:eastAsia="Times New Roman" w:hAnsi="Times New Roman" w:cs="Times New Roman"/>
          <w:sz w:val="24"/>
        </w:rPr>
        <w:t>15</w:t>
      </w:r>
      <w:r>
        <w:rPr>
          <w:rFonts w:ascii="Times New Roman" w:eastAsia="Times New Roman" w:hAnsi="Times New Roman" w:cs="Times New Roman"/>
          <w:sz w:val="24"/>
        </w:rPr>
        <w:t xml:space="preserve">-years practical experience in conducting gender-responsive evaluations of development strategies, </w:t>
      </w:r>
      <w:proofErr w:type="gramStart"/>
      <w:r>
        <w:rPr>
          <w:rFonts w:ascii="Times New Roman" w:eastAsia="Times New Roman" w:hAnsi="Times New Roman" w:cs="Times New Roman"/>
          <w:sz w:val="24"/>
        </w:rPr>
        <w:t>policies</w:t>
      </w:r>
      <w:proofErr w:type="gramEnd"/>
      <w:r>
        <w:rPr>
          <w:rFonts w:ascii="Times New Roman" w:eastAsia="Times New Roman" w:hAnsi="Times New Roman" w:cs="Times New Roman"/>
          <w:sz w:val="24"/>
        </w:rPr>
        <w:t xml:space="preserve"> and programs.</w:t>
      </w:r>
    </w:p>
    <w:p w14:paraId="0000019F" w14:textId="77777777" w:rsidR="009A0EEC" w:rsidRDefault="00BF0077">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Extensive knowledge of, and experience in applying, qualitative and quantitative evaluation methods.</w:t>
      </w:r>
    </w:p>
    <w:p w14:paraId="000001A0" w14:textId="77777777" w:rsidR="009A0EEC" w:rsidRDefault="00BF0077">
      <w:pPr>
        <w:numPr>
          <w:ilvl w:val="0"/>
          <w:numId w:val="12"/>
        </w:numPr>
        <w:spacing w:line="240" w:lineRule="auto"/>
        <w:rPr>
          <w:rFonts w:ascii="Times New Roman" w:eastAsia="Times New Roman" w:hAnsi="Times New Roman" w:cs="Times New Roman"/>
          <w:sz w:val="24"/>
        </w:rPr>
      </w:pPr>
      <w:r>
        <w:rPr>
          <w:rFonts w:ascii="Times New Roman" w:eastAsia="Times New Roman" w:hAnsi="Times New Roman" w:cs="Times New Roman"/>
          <w:sz w:val="24"/>
        </w:rPr>
        <w:t>A strong record in designing and leading evaluations.</w:t>
      </w:r>
    </w:p>
    <w:p w14:paraId="000001A1" w14:textId="77777777" w:rsidR="009A0EEC" w:rsidRDefault="00BF0077">
      <w:pPr>
        <w:numPr>
          <w:ilvl w:val="0"/>
          <w:numId w:val="12"/>
        </w:numPr>
        <w:spacing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Proven knowledge of the role of UN Women and its programming, coordination, and normative roles at the regional and country level </w:t>
      </w:r>
    </w:p>
    <w:p w14:paraId="000001A2" w14:textId="77777777" w:rsidR="009A0EEC" w:rsidRDefault="00BF0077">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Country or regional experience in the region.</w:t>
      </w:r>
    </w:p>
    <w:p w14:paraId="000001A3" w14:textId="77777777" w:rsidR="009A0EEC" w:rsidRDefault="00BF0077">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Excellent analytical, facilitation and communications skills and ability to interact with a wide range of stakeholders.</w:t>
      </w:r>
    </w:p>
    <w:p w14:paraId="000001A4" w14:textId="77777777" w:rsidR="009A0EEC" w:rsidRDefault="00BF0077">
      <w:pPr>
        <w:numPr>
          <w:ilvl w:val="0"/>
          <w:numId w:val="12"/>
        </w:numPr>
        <w:spacing w:line="240" w:lineRule="auto"/>
        <w:rPr>
          <w:rFonts w:ascii="Times New Roman" w:eastAsia="Times New Roman" w:hAnsi="Times New Roman" w:cs="Times New Roman"/>
          <w:sz w:val="24"/>
        </w:rPr>
      </w:pPr>
      <w:r>
        <w:rPr>
          <w:rFonts w:ascii="Times New Roman" w:eastAsia="Times New Roman" w:hAnsi="Times New Roman" w:cs="Times New Roman"/>
          <w:sz w:val="24"/>
        </w:rPr>
        <w:t>Process management skills, including facilitation presentations and communication skills.</w:t>
      </w:r>
    </w:p>
    <w:p w14:paraId="000001A5" w14:textId="77777777" w:rsidR="009A0EEC" w:rsidRDefault="00BF0077">
      <w:pPr>
        <w:numPr>
          <w:ilvl w:val="0"/>
          <w:numId w:val="12"/>
        </w:numPr>
        <w:spacing w:line="240" w:lineRule="auto"/>
        <w:rPr>
          <w:rFonts w:ascii="Times New Roman" w:eastAsia="Times New Roman" w:hAnsi="Times New Roman" w:cs="Times New Roman"/>
          <w:sz w:val="24"/>
        </w:rPr>
      </w:pPr>
      <w:r>
        <w:rPr>
          <w:rFonts w:ascii="Times New Roman" w:eastAsia="Times New Roman" w:hAnsi="Times New Roman" w:cs="Times New Roman"/>
          <w:sz w:val="24"/>
        </w:rPr>
        <w:t>Experience on women peace and security is considered a strong asset.</w:t>
      </w:r>
    </w:p>
    <w:p w14:paraId="000001A6" w14:textId="77777777" w:rsidR="009A0EEC" w:rsidRDefault="00BF0077">
      <w:pPr>
        <w:numPr>
          <w:ilvl w:val="0"/>
          <w:numId w:val="12"/>
        </w:numPr>
        <w:spacing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Experience in conflict and post conflict countries is considered a strong asset.  </w:t>
      </w:r>
    </w:p>
    <w:p w14:paraId="000001A7" w14:textId="77777777" w:rsidR="009A0EEC" w:rsidRDefault="009A0EEC">
      <w:pPr>
        <w:spacing w:after="120" w:line="240" w:lineRule="auto"/>
        <w:ind w:left="720"/>
        <w:rPr>
          <w:rFonts w:ascii="Times New Roman" w:eastAsia="Times New Roman" w:hAnsi="Times New Roman" w:cs="Times New Roman"/>
          <w:color w:val="666666"/>
          <w:sz w:val="24"/>
        </w:rPr>
      </w:pPr>
    </w:p>
    <w:p w14:paraId="000001A8" w14:textId="722D9870"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b/>
          <w:sz w:val="24"/>
        </w:rPr>
        <w:t xml:space="preserve">The </w:t>
      </w:r>
      <w:r w:rsidR="004D6675">
        <w:rPr>
          <w:rFonts w:ascii="Times New Roman" w:eastAsia="Times New Roman" w:hAnsi="Times New Roman" w:cs="Times New Roman"/>
          <w:b/>
          <w:sz w:val="24"/>
        </w:rPr>
        <w:t>T</w:t>
      </w:r>
      <w:r w:rsidR="00844915">
        <w:rPr>
          <w:rFonts w:ascii="Times New Roman" w:eastAsia="Times New Roman" w:hAnsi="Times New Roman" w:cs="Times New Roman"/>
          <w:b/>
          <w:sz w:val="24"/>
        </w:rPr>
        <w:t xml:space="preserve">hree </w:t>
      </w:r>
      <w:r w:rsidR="00D9490B">
        <w:rPr>
          <w:rFonts w:ascii="Times New Roman" w:eastAsia="Times New Roman" w:hAnsi="Times New Roman" w:cs="Times New Roman"/>
          <w:b/>
          <w:sz w:val="24"/>
        </w:rPr>
        <w:t xml:space="preserve">Evaluators/Team members </w:t>
      </w:r>
      <w:r>
        <w:rPr>
          <w:rFonts w:ascii="Times New Roman" w:eastAsia="Times New Roman" w:hAnsi="Times New Roman" w:cs="Times New Roman"/>
          <w:b/>
          <w:sz w:val="24"/>
        </w:rPr>
        <w:t>must possess the following qualifications:</w:t>
      </w:r>
    </w:p>
    <w:p w14:paraId="000001A9"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b/>
          <w:sz w:val="24"/>
        </w:rPr>
        <w:t>Education:</w:t>
      </w:r>
    </w:p>
    <w:p w14:paraId="000001AA" w14:textId="5167C3C3" w:rsidR="009A0EEC" w:rsidRDefault="00844915">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At least</w:t>
      </w:r>
      <w:r w:rsidR="0072283B">
        <w:rPr>
          <w:rFonts w:ascii="Times New Roman" w:eastAsia="Times New Roman" w:hAnsi="Times New Roman" w:cs="Times New Roman"/>
          <w:sz w:val="24"/>
        </w:rPr>
        <w:t xml:space="preserve"> a</w:t>
      </w:r>
      <w:r w:rsidR="00293754">
        <w:rPr>
          <w:rFonts w:ascii="Times New Roman" w:eastAsia="Times New Roman" w:hAnsi="Times New Roman" w:cs="Times New Roman"/>
          <w:sz w:val="24"/>
        </w:rPr>
        <w:t xml:space="preserve"> </w:t>
      </w:r>
      <w:proofErr w:type="gramStart"/>
      <w:r w:rsidR="00E56BD1">
        <w:rPr>
          <w:rFonts w:ascii="Times New Roman" w:eastAsia="Times New Roman" w:hAnsi="Times New Roman" w:cs="Times New Roman"/>
          <w:sz w:val="24"/>
        </w:rPr>
        <w:t>Master’s</w:t>
      </w:r>
      <w:proofErr w:type="gramEnd"/>
      <w:r w:rsidR="00293754">
        <w:rPr>
          <w:rFonts w:ascii="Times New Roman" w:eastAsia="Times New Roman" w:hAnsi="Times New Roman" w:cs="Times New Roman"/>
          <w:sz w:val="24"/>
        </w:rPr>
        <w:t xml:space="preserve"> degree</w:t>
      </w:r>
      <w:r w:rsidR="00BF0077">
        <w:rPr>
          <w:rFonts w:ascii="Times New Roman" w:eastAsia="Times New Roman" w:hAnsi="Times New Roman" w:cs="Times New Roman"/>
          <w:sz w:val="24"/>
        </w:rPr>
        <w:t xml:space="preserve"> in sociology, </w:t>
      </w:r>
      <w:r w:rsidR="00492917">
        <w:rPr>
          <w:rFonts w:ascii="Times New Roman" w:eastAsia="Times New Roman" w:hAnsi="Times New Roman" w:cs="Times New Roman"/>
          <w:sz w:val="24"/>
        </w:rPr>
        <w:t xml:space="preserve">gender, </w:t>
      </w:r>
      <w:r w:rsidR="00BF0077">
        <w:rPr>
          <w:rFonts w:ascii="Times New Roman" w:eastAsia="Times New Roman" w:hAnsi="Times New Roman" w:cs="Times New Roman"/>
          <w:sz w:val="24"/>
        </w:rPr>
        <w:t>international development, social sciences, or another related area</w:t>
      </w:r>
    </w:p>
    <w:p w14:paraId="000001AB"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b/>
          <w:sz w:val="24"/>
        </w:rPr>
        <w:lastRenderedPageBreak/>
        <w:t>Experience:</w:t>
      </w:r>
    </w:p>
    <w:p w14:paraId="000001AC" w14:textId="38A6C429" w:rsidR="009A0EEC" w:rsidRDefault="00BF0077">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Minimum </w:t>
      </w:r>
      <w:r w:rsidR="0072283B">
        <w:rPr>
          <w:rFonts w:ascii="Times New Roman" w:eastAsia="Times New Roman" w:hAnsi="Times New Roman" w:cs="Times New Roman"/>
          <w:sz w:val="24"/>
        </w:rPr>
        <w:t>7</w:t>
      </w:r>
      <w:r>
        <w:rPr>
          <w:rFonts w:ascii="Times New Roman" w:eastAsia="Times New Roman" w:hAnsi="Times New Roman" w:cs="Times New Roman"/>
          <w:sz w:val="24"/>
        </w:rPr>
        <w:t xml:space="preserve"> years of professional experience on relevant development GEWE related issues, including substantive support to several evaluation processes. </w:t>
      </w:r>
    </w:p>
    <w:p w14:paraId="000001AD" w14:textId="77777777" w:rsidR="009A0EEC" w:rsidRDefault="00BF0077">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Experience in evaluation any of the three thematic components namely, Gender and governance: Women and Youth empowerment through enterprise development and Elimination of Violence against women and girls.</w:t>
      </w:r>
    </w:p>
    <w:p w14:paraId="000001AE" w14:textId="77777777" w:rsidR="009A0EEC" w:rsidRDefault="00BF0077">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Technical knowledge in monitoring and evaluation</w:t>
      </w:r>
    </w:p>
    <w:p w14:paraId="000001AF" w14:textId="77777777" w:rsidR="009A0EEC" w:rsidRDefault="00BF0077">
      <w:pPr>
        <w:numPr>
          <w:ilvl w:val="0"/>
          <w:numId w:val="12"/>
        </w:numPr>
        <w:spacing w:line="240" w:lineRule="auto"/>
        <w:rPr>
          <w:rFonts w:ascii="Times New Roman" w:eastAsia="Times New Roman" w:hAnsi="Times New Roman" w:cs="Times New Roman"/>
          <w:sz w:val="24"/>
        </w:rPr>
      </w:pPr>
      <w:r>
        <w:rPr>
          <w:rFonts w:ascii="Times New Roman" w:eastAsia="Times New Roman" w:hAnsi="Times New Roman" w:cs="Times New Roman"/>
          <w:sz w:val="24"/>
        </w:rPr>
        <w:t>Experience of gender analysis and human rights-based approaches</w:t>
      </w:r>
    </w:p>
    <w:p w14:paraId="000001B0" w14:textId="77777777" w:rsidR="009A0EEC" w:rsidRDefault="009A0EEC">
      <w:pPr>
        <w:spacing w:line="240" w:lineRule="auto"/>
        <w:ind w:left="360"/>
        <w:rPr>
          <w:rFonts w:ascii="Times New Roman" w:eastAsia="Times New Roman" w:hAnsi="Times New Roman" w:cs="Times New Roman"/>
          <w:sz w:val="24"/>
        </w:rPr>
      </w:pPr>
    </w:p>
    <w:p w14:paraId="000001B1" w14:textId="77777777" w:rsidR="009A0EEC" w:rsidRDefault="00BF0077">
      <w:pPr>
        <w:numPr>
          <w:ilvl w:val="0"/>
          <w:numId w:val="12"/>
        </w:num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Process management skills, including facilitation and communication skills with stakeholders.</w:t>
      </w:r>
    </w:p>
    <w:p w14:paraId="000001B2" w14:textId="77777777" w:rsidR="009A0EEC" w:rsidRDefault="00BF0077">
      <w:pPr>
        <w:numPr>
          <w:ilvl w:val="0"/>
          <w:numId w:val="12"/>
        </w:numPr>
        <w:spacing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Data analysis skills </w:t>
      </w:r>
    </w:p>
    <w:p w14:paraId="000001B3" w14:textId="77777777" w:rsidR="009A0EEC" w:rsidRDefault="009A0EEC">
      <w:pPr>
        <w:spacing w:after="120" w:line="240" w:lineRule="auto"/>
        <w:ind w:left="720"/>
        <w:rPr>
          <w:rFonts w:ascii="Times New Roman" w:eastAsia="Times New Roman" w:hAnsi="Times New Roman" w:cs="Times New Roman"/>
          <w:sz w:val="24"/>
        </w:rPr>
      </w:pPr>
    </w:p>
    <w:p w14:paraId="000001B4" w14:textId="5A3DFBB8" w:rsidR="009A0EEC" w:rsidRDefault="00BF0077">
      <w:pPr>
        <w:spacing w:before="240" w:after="120" w:line="240" w:lineRule="auto"/>
        <w:rPr>
          <w:rFonts w:ascii="Times New Roman" w:eastAsia="Times New Roman" w:hAnsi="Times New Roman" w:cs="Times New Roman"/>
          <w:b/>
          <w:sz w:val="24"/>
          <w:u w:val="single"/>
        </w:rPr>
      </w:pPr>
      <w:r>
        <w:rPr>
          <w:rFonts w:ascii="Times New Roman" w:eastAsia="Times New Roman" w:hAnsi="Times New Roman" w:cs="Times New Roman"/>
          <w:sz w:val="24"/>
        </w:rPr>
        <w:t>Evaluators should have proven commitment to the core values of the United Nations, in particular respecting differences of gender, ethnicity, religion, culture, nationality, language, age, HIV status, disability, and sexual orientation, or other</w:t>
      </w:r>
      <w:r>
        <w:rPr>
          <w:rFonts w:ascii="Times New Roman" w:eastAsia="Times New Roman" w:hAnsi="Times New Roman" w:cs="Times New Roman"/>
          <w:b/>
          <w:sz w:val="24"/>
        </w:rPr>
        <w:t>.</w:t>
      </w:r>
    </w:p>
    <w:p w14:paraId="000001BB" w14:textId="77777777" w:rsidR="009A0EEC" w:rsidRDefault="009A0EEC">
      <w:pPr>
        <w:spacing w:before="120" w:after="120" w:line="240" w:lineRule="auto"/>
        <w:rPr>
          <w:rFonts w:ascii="Times New Roman" w:eastAsia="Times New Roman" w:hAnsi="Times New Roman" w:cs="Times New Roman"/>
          <w:b/>
          <w:sz w:val="24"/>
        </w:rPr>
      </w:pPr>
    </w:p>
    <w:p w14:paraId="000001BC" w14:textId="77777777" w:rsidR="009A0EEC" w:rsidRDefault="00BF0077">
      <w:pPr>
        <w:spacing w:before="240" w:after="120" w:line="240" w:lineRule="auto"/>
        <w:rPr>
          <w:rFonts w:ascii="Times New Roman" w:eastAsia="Times New Roman" w:hAnsi="Times New Roman" w:cs="Times New Roman"/>
          <w:b/>
          <w:sz w:val="24"/>
          <w:u w:val="single"/>
        </w:rPr>
      </w:pPr>
      <w:r>
        <w:rPr>
          <w:rFonts w:ascii="Times New Roman" w:eastAsia="Times New Roman" w:hAnsi="Times New Roman" w:cs="Times New Roman"/>
          <w:b/>
          <w:sz w:val="24"/>
          <w:u w:val="single"/>
        </w:rPr>
        <w:t>XII. Ethical code of conduct</w:t>
      </w:r>
    </w:p>
    <w:p w14:paraId="000001BD" w14:textId="77777777"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UN Women has developed a UN Women Evaluation Consultants Agreement Form for evaluators that must be signed as part of the contracting process, which is based on the UNEG Ethical Guidelines and Code of Conduct. These documents will be annexed to the contract. The UNEG guidelines note the importance of ethical conduct for the following reasons:</w:t>
      </w:r>
    </w:p>
    <w:p w14:paraId="000001BE" w14:textId="77777777" w:rsidR="009A0EEC" w:rsidRDefault="00BF0077">
      <w:pPr>
        <w:spacing w:before="240" w:after="120" w:line="240" w:lineRule="auto"/>
        <w:ind w:left="851" w:hanging="567"/>
        <w:rPr>
          <w:rFonts w:ascii="Times New Roman" w:eastAsia="Times New Roman" w:hAnsi="Times New Roman" w:cs="Times New Roman"/>
          <w:sz w:val="24"/>
        </w:rPr>
      </w:pPr>
      <w:r>
        <w:rPr>
          <w:rFonts w:ascii="Times New Roman" w:eastAsia="Times New Roman" w:hAnsi="Times New Roman" w:cs="Times New Roman"/>
          <w:sz w:val="24"/>
        </w:rPr>
        <w:t>1.</w:t>
      </w:r>
      <w:r>
        <w:rPr>
          <w:rFonts w:ascii="Times New Roman" w:eastAsia="Times New Roman" w:hAnsi="Times New Roman" w:cs="Times New Roman"/>
          <w:sz w:val="24"/>
        </w:rPr>
        <w:tab/>
        <w:t>Responsible use of power: All those engaged in evaluation processes are responsible for upholding the proper conduct of the evaluation.</w:t>
      </w:r>
    </w:p>
    <w:p w14:paraId="000001BF" w14:textId="77777777" w:rsidR="009A0EEC" w:rsidRDefault="00BF0077">
      <w:pPr>
        <w:spacing w:before="240" w:after="120" w:line="240" w:lineRule="auto"/>
        <w:ind w:left="851" w:hanging="567"/>
        <w:rPr>
          <w:rFonts w:ascii="Times New Roman" w:eastAsia="Times New Roman" w:hAnsi="Times New Roman" w:cs="Times New Roman"/>
          <w:sz w:val="24"/>
        </w:rPr>
      </w:pPr>
      <w:r>
        <w:rPr>
          <w:rFonts w:ascii="Times New Roman" w:eastAsia="Times New Roman" w:hAnsi="Times New Roman" w:cs="Times New Roman"/>
          <w:sz w:val="24"/>
        </w:rPr>
        <w:t>2.</w:t>
      </w:r>
      <w:r>
        <w:rPr>
          <w:rFonts w:ascii="Times New Roman" w:eastAsia="Times New Roman" w:hAnsi="Times New Roman" w:cs="Times New Roman"/>
          <w:sz w:val="24"/>
        </w:rPr>
        <w:tab/>
        <w:t>Ensuring credibility: With a fair, impartial, and complete assessment, stake- holders are more likely to have faith in the results of an evaluation and to take note of the recommendations.</w:t>
      </w:r>
    </w:p>
    <w:p w14:paraId="000001C0" w14:textId="77777777" w:rsidR="009A0EEC" w:rsidRDefault="00BF0077">
      <w:pPr>
        <w:spacing w:before="240" w:after="120" w:line="240" w:lineRule="auto"/>
        <w:ind w:left="851" w:hanging="567"/>
        <w:rPr>
          <w:rFonts w:ascii="Times New Roman" w:eastAsia="Times New Roman" w:hAnsi="Times New Roman" w:cs="Times New Roman"/>
          <w:sz w:val="24"/>
        </w:rPr>
      </w:pPr>
      <w:r>
        <w:rPr>
          <w:rFonts w:ascii="Times New Roman" w:eastAsia="Times New Roman" w:hAnsi="Times New Roman" w:cs="Times New Roman"/>
          <w:sz w:val="24"/>
        </w:rPr>
        <w:t>3.</w:t>
      </w:r>
      <w:r>
        <w:rPr>
          <w:rFonts w:ascii="Times New Roman" w:eastAsia="Times New Roman" w:hAnsi="Times New Roman" w:cs="Times New Roman"/>
          <w:sz w:val="24"/>
        </w:rPr>
        <w:tab/>
        <w:t>Responsible use of resources: Ethical conduct in evaluation increases the chances of acceptance by the parties to the evaluation and therefore the likelihood that the investment in the evaluation will result in improved outcomes.</w:t>
      </w:r>
    </w:p>
    <w:p w14:paraId="000001C1"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000001C2"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Specific safeguards must be put in place to protect the safety (both physical and psychological) of both respondents and those collecting the data. These should include:</w:t>
      </w:r>
    </w:p>
    <w:p w14:paraId="000001C3" w14:textId="77777777" w:rsidR="009A0EEC" w:rsidRDefault="00BF0077">
      <w:pPr>
        <w:numPr>
          <w:ilvl w:val="0"/>
          <w:numId w:val="18"/>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Ensuring that data collection and interviews abide by guidelines set by the Malawi Government on prevention of COVID.</w:t>
      </w:r>
    </w:p>
    <w:p w14:paraId="000001C4" w14:textId="77777777" w:rsidR="009A0EEC" w:rsidRDefault="00BF0077">
      <w:pPr>
        <w:numPr>
          <w:ilvl w:val="0"/>
          <w:numId w:val="18"/>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Ensuring excluded and marginalized groups are not further excluded from participating in the CPE.</w:t>
      </w:r>
    </w:p>
    <w:p w14:paraId="000001C5" w14:textId="77777777" w:rsidR="009A0EEC" w:rsidRDefault="00BF0077">
      <w:pPr>
        <w:numPr>
          <w:ilvl w:val="0"/>
          <w:numId w:val="18"/>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plan is in place to protect the rights of the respondent, including privacy and confidentiality.</w:t>
      </w:r>
    </w:p>
    <w:p w14:paraId="000001C6" w14:textId="77777777" w:rsidR="009A0EEC" w:rsidRDefault="00BF0077">
      <w:pPr>
        <w:numPr>
          <w:ilvl w:val="0"/>
          <w:numId w:val="18"/>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interviewer or data collector is trained in collecting sensitive information, and if the topic of the evaluation is focused on violence against women, they should have previous experience in this area.</w:t>
      </w:r>
    </w:p>
    <w:p w14:paraId="000001C7" w14:textId="77777777" w:rsidR="009A0EEC" w:rsidRDefault="00BF0077">
      <w:pPr>
        <w:numPr>
          <w:ilvl w:val="0"/>
          <w:numId w:val="18"/>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Data collection tools are designed in a way that are culturally appropriate and do not create distress for respondents.</w:t>
      </w:r>
    </w:p>
    <w:p w14:paraId="000001C8" w14:textId="77777777" w:rsidR="009A0EEC" w:rsidRDefault="00BF0077">
      <w:pPr>
        <w:numPr>
          <w:ilvl w:val="0"/>
          <w:numId w:val="18"/>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Data collection visits are organized at the appropriate time and place to minimize risk to respondents.</w:t>
      </w:r>
    </w:p>
    <w:p w14:paraId="000001C9" w14:textId="77777777" w:rsidR="009A0EEC" w:rsidRDefault="00BF0077">
      <w:pPr>
        <w:numPr>
          <w:ilvl w:val="0"/>
          <w:numId w:val="18"/>
        </w:numPr>
        <w:pBdr>
          <w:top w:val="nil"/>
          <w:left w:val="nil"/>
          <w:bottom w:val="nil"/>
          <w:right w:val="nil"/>
          <w:between w:val="nil"/>
        </w:pBdr>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interviewer or data collector can provide information on how individuals in situations of risk can seek support.</w:t>
      </w:r>
    </w:p>
    <w:p w14:paraId="000001CA" w14:textId="77777777" w:rsidR="009A0EEC" w:rsidRDefault="00BF0077">
      <w:pPr>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evaluation’s value added is its impartial and systematic assessment of the programme or intervention. As with the other stages of the evaluation, involvement of stakeholders should not interfere with the impartiality of the evaluation.</w:t>
      </w:r>
    </w:p>
    <w:p w14:paraId="000001CB" w14:textId="09251F43" w:rsidR="009A0EEC" w:rsidRDefault="00BF0077">
      <w:pPr>
        <w:spacing w:before="240" w:after="120" w:line="240" w:lineRule="auto"/>
        <w:rPr>
          <w:rFonts w:ascii="Times New Roman" w:eastAsia="Times New Roman" w:hAnsi="Times New Roman" w:cs="Times New Roman"/>
          <w:sz w:val="24"/>
        </w:rPr>
      </w:pPr>
      <w:r>
        <w:rPr>
          <w:rFonts w:ascii="Times New Roman" w:eastAsia="Times New Roman" w:hAnsi="Times New Roman" w:cs="Times New Roman"/>
          <w:sz w:val="24"/>
        </w:rPr>
        <w:t>The evaluator(s) have the final judgment on the findings, conclusions and recommendations of the evaluation report, and the evaluator(s) must be protected from pressures to change information in the report.</w:t>
      </w:r>
    </w:p>
    <w:p w14:paraId="6CE98760" w14:textId="77777777" w:rsidR="00241022" w:rsidRDefault="00241022">
      <w:pPr>
        <w:spacing w:before="240" w:after="120" w:line="240" w:lineRule="auto"/>
        <w:rPr>
          <w:rFonts w:ascii="Times New Roman" w:eastAsia="Times New Roman" w:hAnsi="Times New Roman" w:cs="Times New Roman"/>
          <w:sz w:val="24"/>
        </w:rPr>
      </w:pPr>
    </w:p>
    <w:p w14:paraId="000001CC" w14:textId="77777777" w:rsidR="009A0EEC" w:rsidRDefault="00BF0077">
      <w:pPr>
        <w:spacing w:before="240" w:after="120" w:line="240" w:lineRule="auto"/>
        <w:ind w:left="851" w:hanging="567"/>
        <w:rPr>
          <w:rFonts w:ascii="Times New Roman" w:eastAsia="Times New Roman" w:hAnsi="Times New Roman" w:cs="Times New Roman"/>
          <w:b/>
          <w:sz w:val="24"/>
          <w:u w:val="single"/>
        </w:rPr>
      </w:pPr>
      <w:r>
        <w:rPr>
          <w:rFonts w:ascii="Times New Roman" w:eastAsia="Times New Roman" w:hAnsi="Times New Roman" w:cs="Times New Roman"/>
          <w:b/>
          <w:sz w:val="24"/>
          <w:u w:val="single"/>
        </w:rPr>
        <w:t>Application process</w:t>
      </w:r>
    </w:p>
    <w:p w14:paraId="000001CD" w14:textId="77777777"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Interested candidates should apply online following relevant instructions and deadline indicated in the call for applications. Candidates should submit:</w:t>
      </w:r>
    </w:p>
    <w:p w14:paraId="000001CE" w14:textId="77777777" w:rsidR="009A0EEC" w:rsidRDefault="009A0EEC">
      <w:pPr>
        <w:spacing w:line="240" w:lineRule="auto"/>
        <w:rPr>
          <w:rFonts w:ascii="Times New Roman" w:eastAsia="Times New Roman" w:hAnsi="Times New Roman" w:cs="Times New Roman"/>
          <w:sz w:val="24"/>
        </w:rPr>
      </w:pPr>
    </w:p>
    <w:p w14:paraId="000001CF" w14:textId="77777777" w:rsidR="009A0EEC" w:rsidRDefault="00BF0077">
      <w:pPr>
        <w:numPr>
          <w:ilvl w:val="0"/>
          <w:numId w:val="3"/>
        </w:numPr>
        <w:pBdr>
          <w:top w:val="nil"/>
          <w:left w:val="nil"/>
          <w:bottom w:val="nil"/>
          <w:right w:val="nil"/>
          <w:between w:val="nil"/>
        </w:pBdr>
        <w:spacing w:line="240" w:lineRule="auto"/>
        <w:jc w:val="lef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 letter of interest with indication of availability during the period of four consecutive months May to August 2021.  The letter of intent should include a declaration of any involvement with any UN-Women work over the period, or potential partners, and that the candidate declare that there is no potential conflict of interest. </w:t>
      </w:r>
    </w:p>
    <w:p w14:paraId="000001D0" w14:textId="77777777" w:rsidR="009A0EEC" w:rsidRDefault="00BF0077">
      <w:pPr>
        <w:numPr>
          <w:ilvl w:val="0"/>
          <w:numId w:val="3"/>
        </w:numPr>
        <w:pBdr>
          <w:top w:val="nil"/>
          <w:left w:val="nil"/>
          <w:bottom w:val="nil"/>
          <w:right w:val="nil"/>
          <w:between w:val="nil"/>
        </w:pBdr>
        <w:spacing w:line="240" w:lineRule="auto"/>
        <w:jc w:val="lef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 personal CV, not exceeding three pages. The candidate is highly encouraged to provide information in relation to relevant experience to the evaluation in her/his CV. </w:t>
      </w:r>
    </w:p>
    <w:p w14:paraId="000001D1" w14:textId="0704CD7E" w:rsidR="009A0EEC" w:rsidRDefault="00BF0077">
      <w:pPr>
        <w:numPr>
          <w:ilvl w:val="0"/>
          <w:numId w:val="3"/>
        </w:numPr>
        <w:pBdr>
          <w:top w:val="nil"/>
          <w:left w:val="nil"/>
          <w:bottom w:val="nil"/>
          <w:right w:val="nil"/>
          <w:between w:val="nil"/>
        </w:pBdr>
        <w:spacing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 sample evaluation report </w:t>
      </w:r>
      <w:r w:rsidR="00D5293B">
        <w:rPr>
          <w:rFonts w:ascii="Times New Roman" w:eastAsia="Times New Roman" w:hAnsi="Times New Roman" w:cs="Times New Roman"/>
          <w:color w:val="000000"/>
          <w:sz w:val="24"/>
        </w:rPr>
        <w:t xml:space="preserve">authored recently by the applicant </w:t>
      </w:r>
      <w:r>
        <w:rPr>
          <w:rFonts w:ascii="Times New Roman" w:eastAsia="Times New Roman" w:hAnsi="Times New Roman" w:cs="Times New Roman"/>
          <w:color w:val="000000"/>
          <w:sz w:val="24"/>
        </w:rPr>
        <w:t xml:space="preserve">which will be assessed against UN Women’s GERAAS parameters. </w:t>
      </w:r>
    </w:p>
    <w:p w14:paraId="000001D2" w14:textId="77777777" w:rsidR="009A0EEC" w:rsidRDefault="009A0EEC">
      <w:pPr>
        <w:spacing w:line="240" w:lineRule="auto"/>
        <w:rPr>
          <w:rFonts w:ascii="Times New Roman" w:eastAsia="Times New Roman" w:hAnsi="Times New Roman" w:cs="Times New Roman"/>
          <w:sz w:val="24"/>
        </w:rPr>
      </w:pPr>
    </w:p>
    <w:p w14:paraId="000001D3" w14:textId="46C90BE2" w:rsidR="009A0EEC" w:rsidRDefault="00BF0077">
      <w:pPr>
        <w:spacing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Shortlisted candidates will be requested to take a short oral interview, </w:t>
      </w:r>
      <w:r w:rsidR="00D5293B">
        <w:rPr>
          <w:rFonts w:ascii="Times New Roman" w:eastAsia="Times New Roman" w:hAnsi="Times New Roman" w:cs="Times New Roman"/>
          <w:sz w:val="24"/>
        </w:rPr>
        <w:t xml:space="preserve">and share </w:t>
      </w:r>
      <w:r>
        <w:rPr>
          <w:rFonts w:ascii="Times New Roman" w:eastAsia="Times New Roman" w:hAnsi="Times New Roman" w:cs="Times New Roman"/>
          <w:sz w:val="24"/>
        </w:rPr>
        <w:t xml:space="preserve">references, </w:t>
      </w:r>
    </w:p>
    <w:p w14:paraId="000001D4" w14:textId="77777777" w:rsidR="009A0EEC" w:rsidRDefault="009A0EEC">
      <w:pPr>
        <w:spacing w:line="240" w:lineRule="auto"/>
        <w:rPr>
          <w:rFonts w:ascii="Times New Roman" w:eastAsia="Times New Roman" w:hAnsi="Times New Roman" w:cs="Times New Roman"/>
          <w:sz w:val="24"/>
        </w:rPr>
      </w:pPr>
    </w:p>
    <w:p w14:paraId="000001E5" w14:textId="07540849" w:rsidR="009A0EEC" w:rsidRDefault="009A0EEC">
      <w:pPr>
        <w:spacing w:line="240" w:lineRule="auto"/>
        <w:rPr>
          <w:rFonts w:ascii="Times New Roman" w:eastAsia="Times New Roman" w:hAnsi="Times New Roman" w:cs="Times New Roman"/>
          <w:sz w:val="24"/>
        </w:rPr>
      </w:pPr>
      <w:bookmarkStart w:id="0" w:name="_heading=h.gjdgxs" w:colFirst="0" w:colLast="0"/>
      <w:bookmarkEnd w:id="0"/>
    </w:p>
    <w:p w14:paraId="3DCE9FB4" w14:textId="3AD1854C" w:rsidR="00424AB2" w:rsidRDefault="00424AB2">
      <w:pPr>
        <w:spacing w:line="240" w:lineRule="auto"/>
        <w:rPr>
          <w:rFonts w:ascii="Times New Roman" w:eastAsia="Times New Roman" w:hAnsi="Times New Roman" w:cs="Times New Roman"/>
          <w:sz w:val="24"/>
        </w:rPr>
      </w:pPr>
    </w:p>
    <w:p w14:paraId="6790B099" w14:textId="34D3C895" w:rsidR="00424AB2" w:rsidRDefault="00424AB2">
      <w:pPr>
        <w:spacing w:line="240" w:lineRule="auto"/>
        <w:rPr>
          <w:rFonts w:ascii="Times New Roman" w:eastAsia="Times New Roman" w:hAnsi="Times New Roman" w:cs="Times New Roman"/>
          <w:sz w:val="24"/>
        </w:rPr>
      </w:pPr>
    </w:p>
    <w:p w14:paraId="3BC2BE4B" w14:textId="390B05A2" w:rsidR="00424AB2" w:rsidRDefault="00424AB2">
      <w:pPr>
        <w:spacing w:line="240" w:lineRule="auto"/>
        <w:rPr>
          <w:rFonts w:ascii="Times New Roman" w:eastAsia="Times New Roman" w:hAnsi="Times New Roman" w:cs="Times New Roman"/>
          <w:sz w:val="24"/>
        </w:rPr>
      </w:pPr>
    </w:p>
    <w:p w14:paraId="2BEE3CA8" w14:textId="77777777" w:rsidR="00424AB2" w:rsidRDefault="00424AB2">
      <w:pPr>
        <w:spacing w:line="240" w:lineRule="auto"/>
        <w:rPr>
          <w:rFonts w:ascii="Times New Roman" w:eastAsia="Times New Roman" w:hAnsi="Times New Roman" w:cs="Times New Roman"/>
          <w:sz w:val="24"/>
        </w:rPr>
      </w:pPr>
    </w:p>
    <w:p w14:paraId="000001E6" w14:textId="77777777" w:rsidR="009A0EEC" w:rsidRDefault="00BF0077">
      <w:pPr>
        <w:spacing w:before="240" w:after="120" w:line="240" w:lineRule="auto"/>
        <w:rPr>
          <w:rFonts w:ascii="Times New Roman" w:eastAsia="Times New Roman" w:hAnsi="Times New Roman" w:cs="Times New Roman"/>
          <w:b/>
          <w:sz w:val="24"/>
        </w:rPr>
      </w:pPr>
      <w:r>
        <w:rPr>
          <w:rFonts w:ascii="Times New Roman" w:eastAsia="Times New Roman" w:hAnsi="Times New Roman" w:cs="Times New Roman"/>
          <w:b/>
          <w:sz w:val="24"/>
        </w:rPr>
        <w:lastRenderedPageBreak/>
        <w:t>Annex 1 Key references</w:t>
      </w:r>
    </w:p>
    <w:p w14:paraId="000001E7" w14:textId="77777777" w:rsidR="009A0EEC" w:rsidRDefault="00BF0077">
      <w:pPr>
        <w:numPr>
          <w:ilvl w:val="0"/>
          <w:numId w:val="5"/>
        </w:numPr>
        <w:pBdr>
          <w:top w:val="nil"/>
          <w:left w:val="nil"/>
          <w:bottom w:val="nil"/>
          <w:right w:val="nil"/>
          <w:between w:val="nil"/>
        </w:pBdr>
        <w:spacing w:before="24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Guidance on Country Portfolio Evaluations in UN Women:  </w:t>
      </w:r>
    </w:p>
    <w:p w14:paraId="000001E8" w14:textId="77777777" w:rsidR="009A0EEC" w:rsidRDefault="00BF0077">
      <w:pPr>
        <w:pBdr>
          <w:top w:val="nil"/>
          <w:left w:val="nil"/>
          <w:bottom w:val="nil"/>
          <w:right w:val="nil"/>
          <w:between w:val="nil"/>
        </w:pBdr>
        <w:spacing w:line="240" w:lineRule="auto"/>
        <w:ind w:left="720"/>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At UN Women Independent Evaluation Office website: </w:t>
      </w:r>
    </w:p>
    <w:p w14:paraId="000001E9" w14:textId="77777777" w:rsidR="009A0EEC" w:rsidRDefault="00090005">
      <w:pPr>
        <w:pBdr>
          <w:top w:val="nil"/>
          <w:left w:val="nil"/>
          <w:bottom w:val="nil"/>
          <w:right w:val="nil"/>
          <w:between w:val="nil"/>
        </w:pBdr>
        <w:spacing w:line="240" w:lineRule="auto"/>
        <w:ind w:left="720"/>
        <w:rPr>
          <w:rFonts w:ascii="Times New Roman" w:eastAsia="Times New Roman" w:hAnsi="Times New Roman" w:cs="Times New Roman"/>
          <w:b/>
          <w:color w:val="000000"/>
          <w:sz w:val="24"/>
        </w:rPr>
      </w:pPr>
      <w:hyperlink r:id="rId16">
        <w:r w:rsidR="00BF0077">
          <w:rPr>
            <w:rFonts w:ascii="Times New Roman" w:eastAsia="Times New Roman" w:hAnsi="Times New Roman" w:cs="Times New Roman"/>
            <w:color w:val="0000FF"/>
            <w:sz w:val="24"/>
            <w:u w:val="single"/>
          </w:rPr>
          <w:t>https://www.unwomen.org/en/digital-library/publications/2016/3/guidance-on-country-portfolio-evaluations-in-un-women</w:t>
        </w:r>
      </w:hyperlink>
    </w:p>
    <w:p w14:paraId="000001EA" w14:textId="77777777" w:rsidR="009A0EEC" w:rsidRDefault="009A0EEC">
      <w:pPr>
        <w:pBdr>
          <w:top w:val="nil"/>
          <w:left w:val="nil"/>
          <w:bottom w:val="nil"/>
          <w:right w:val="nil"/>
          <w:between w:val="nil"/>
        </w:pBdr>
        <w:spacing w:line="240" w:lineRule="auto"/>
        <w:ind w:left="720"/>
        <w:rPr>
          <w:rFonts w:ascii="Times New Roman" w:eastAsia="Times New Roman" w:hAnsi="Times New Roman" w:cs="Times New Roman"/>
          <w:b/>
          <w:color w:val="000000"/>
          <w:sz w:val="24"/>
        </w:rPr>
      </w:pPr>
    </w:p>
    <w:p w14:paraId="000001EB" w14:textId="77777777" w:rsidR="009A0EEC" w:rsidRDefault="00BF0077">
      <w:pPr>
        <w:numPr>
          <w:ilvl w:val="0"/>
          <w:numId w:val="5"/>
        </w:numPr>
        <w:pBdr>
          <w:top w:val="nil"/>
          <w:left w:val="nil"/>
          <w:bottom w:val="nil"/>
          <w:right w:val="nil"/>
          <w:between w:val="nil"/>
        </w:pBdr>
        <w:spacing w:after="12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UN Women GERAAS evaluation quality assessment checklist.</w:t>
      </w:r>
    </w:p>
    <w:p w14:paraId="000001EC" w14:textId="77777777" w:rsidR="009A0EEC" w:rsidRDefault="00BF0077">
      <w:pPr>
        <w:spacing w:after="120" w:line="240" w:lineRule="auto"/>
        <w:ind w:firstLine="720"/>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UN Women Independent Evaluation Office website at</w:t>
      </w:r>
    </w:p>
    <w:p w14:paraId="000001ED" w14:textId="77777777" w:rsidR="009A0EEC" w:rsidRDefault="00090005">
      <w:pPr>
        <w:spacing w:after="120" w:line="240" w:lineRule="auto"/>
        <w:ind w:firstLine="720"/>
        <w:rPr>
          <w:rFonts w:ascii="Times New Roman" w:eastAsia="Times New Roman" w:hAnsi="Times New Roman" w:cs="Times New Roman"/>
          <w:color w:val="0000FF"/>
          <w:sz w:val="24"/>
        </w:rPr>
      </w:pPr>
      <w:hyperlink r:id="rId17">
        <w:r w:rsidR="00BF0077">
          <w:rPr>
            <w:rFonts w:ascii="Times New Roman" w:eastAsia="Times New Roman" w:hAnsi="Times New Roman" w:cs="Times New Roman"/>
            <w:color w:val="0000FF"/>
            <w:sz w:val="24"/>
            <w:u w:val="single"/>
          </w:rPr>
          <w:t>http://www.unwomen.org/en/about-us/evaluation/decentralized-evaluations</w:t>
        </w:r>
      </w:hyperlink>
    </w:p>
    <w:p w14:paraId="000001EE" w14:textId="77777777" w:rsidR="009A0EEC" w:rsidRDefault="00BF0077">
      <w:pPr>
        <w:numPr>
          <w:ilvl w:val="0"/>
          <w:numId w:val="7"/>
        </w:numPr>
        <w:pBdr>
          <w:top w:val="nil"/>
          <w:left w:val="nil"/>
          <w:bottom w:val="nil"/>
          <w:right w:val="nil"/>
          <w:between w:val="nil"/>
        </w:pBdr>
        <w:spacing w:before="240" w:after="12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UN Women Evaluation Consultants Agreement Form.</w:t>
      </w:r>
    </w:p>
    <w:p w14:paraId="000001EF" w14:textId="77777777" w:rsidR="009A0EEC" w:rsidRDefault="00BF0077">
      <w:pPr>
        <w:spacing w:after="120" w:line="240" w:lineRule="auto"/>
        <w:ind w:left="720"/>
        <w:rPr>
          <w:rFonts w:ascii="Times New Roman" w:eastAsia="Times New Roman" w:hAnsi="Times New Roman" w:cs="Times New Roman"/>
          <w:sz w:val="24"/>
        </w:rPr>
      </w:pPr>
      <w:r>
        <w:rPr>
          <w:rFonts w:ascii="Times New Roman" w:eastAsia="Times New Roman" w:hAnsi="Times New Roman" w:cs="Times New Roman"/>
          <w:sz w:val="24"/>
        </w:rPr>
        <w:t xml:space="preserve">UN Women Evaluation Consultants Agreement Form </w:t>
      </w:r>
      <w:hyperlink r:id="rId18">
        <w:r>
          <w:rPr>
            <w:rFonts w:ascii="Times New Roman" w:eastAsia="Times New Roman" w:hAnsi="Times New Roman" w:cs="Times New Roman"/>
            <w:color w:val="0000FF"/>
            <w:sz w:val="24"/>
            <w:u w:val="single"/>
          </w:rPr>
          <w:t>http://gate.unwomen.org/</w:t>
        </w:r>
      </w:hyperlink>
      <w:r>
        <w:rPr>
          <w:rFonts w:ascii="Times New Roman" w:eastAsia="Times New Roman" w:hAnsi="Times New Roman" w:cs="Times New Roman"/>
          <w:sz w:val="24"/>
        </w:rPr>
        <w:t xml:space="preserve"> , UNEG Ethical Guidelines and Code of Conduct for Evaluation in the UN system </w:t>
      </w:r>
      <w:r>
        <w:rPr>
          <w:rFonts w:ascii="Times New Roman" w:eastAsia="Times New Roman" w:hAnsi="Times New Roman" w:cs="Times New Roman"/>
          <w:color w:val="0000FF"/>
          <w:sz w:val="24"/>
        </w:rPr>
        <w:t>http://www.uneval.org/document/detail/100</w:t>
      </w:r>
    </w:p>
    <w:p w14:paraId="000001F0" w14:textId="77777777" w:rsidR="009A0EEC" w:rsidRDefault="00BF0077">
      <w:pPr>
        <w:numPr>
          <w:ilvl w:val="0"/>
          <w:numId w:val="7"/>
        </w:numPr>
        <w:pBdr>
          <w:top w:val="nil"/>
          <w:left w:val="nil"/>
          <w:bottom w:val="nil"/>
          <w:right w:val="nil"/>
          <w:between w:val="nil"/>
        </w:pBdr>
        <w:spacing w:before="240" w:after="12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UNEG Norms and Standards for evaluation. </w:t>
      </w:r>
    </w:p>
    <w:p w14:paraId="000001F1" w14:textId="77777777" w:rsidR="009A0EEC" w:rsidRDefault="00BF0077">
      <w:pPr>
        <w:spacing w:after="120" w:line="240" w:lineRule="auto"/>
        <w:ind w:firstLine="720"/>
        <w:rPr>
          <w:rFonts w:ascii="Times New Roman" w:eastAsia="Times New Roman" w:hAnsi="Times New Roman" w:cs="Times New Roman"/>
          <w:color w:val="0000FF"/>
          <w:sz w:val="24"/>
        </w:rPr>
      </w:pPr>
      <w:r>
        <w:rPr>
          <w:rFonts w:ascii="Times New Roman" w:eastAsia="Times New Roman" w:hAnsi="Times New Roman" w:cs="Times New Roman"/>
          <w:color w:val="000000"/>
          <w:sz w:val="24"/>
        </w:rPr>
        <w:t xml:space="preserve">At UNEG website </w:t>
      </w:r>
      <w:r>
        <w:rPr>
          <w:rFonts w:ascii="Times New Roman" w:eastAsia="Times New Roman" w:hAnsi="Times New Roman" w:cs="Times New Roman"/>
          <w:color w:val="0000FF"/>
          <w:sz w:val="24"/>
        </w:rPr>
        <w:t>http://www.unevaluation.org/document/detail/1914</w:t>
      </w:r>
    </w:p>
    <w:p w14:paraId="000001F2" w14:textId="77777777" w:rsidR="009A0EEC" w:rsidRDefault="00BF0077">
      <w:pPr>
        <w:numPr>
          <w:ilvl w:val="0"/>
          <w:numId w:val="7"/>
        </w:numPr>
        <w:pBdr>
          <w:top w:val="nil"/>
          <w:left w:val="nil"/>
          <w:bottom w:val="nil"/>
          <w:right w:val="nil"/>
          <w:between w:val="nil"/>
        </w:pBdr>
        <w:spacing w:before="240" w:after="12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UN Women Evaluation Handbook</w:t>
      </w:r>
    </w:p>
    <w:p w14:paraId="000001F3" w14:textId="77777777" w:rsidR="009A0EEC" w:rsidRDefault="00BF0077">
      <w:pPr>
        <w:spacing w:after="120" w:line="240" w:lineRule="auto"/>
        <w:ind w:left="720"/>
        <w:rPr>
          <w:rFonts w:ascii="Times New Roman" w:eastAsia="Times New Roman" w:hAnsi="Times New Roman" w:cs="Times New Roman"/>
          <w:color w:val="000000"/>
          <w:sz w:val="24"/>
        </w:rPr>
      </w:pPr>
      <w:bookmarkStart w:id="1" w:name="_heading=h.30j0zll" w:colFirst="0" w:colLast="0"/>
      <w:bookmarkEnd w:id="1"/>
      <w:r>
        <w:rPr>
          <w:rFonts w:ascii="Times New Roman" w:eastAsia="Times New Roman" w:hAnsi="Times New Roman" w:cs="Times New Roman"/>
          <w:color w:val="000000"/>
          <w:sz w:val="24"/>
        </w:rPr>
        <w:t xml:space="preserve">At UN Women Independent Evaluation Office website: </w:t>
      </w:r>
      <w:r>
        <w:rPr>
          <w:rFonts w:ascii="Times New Roman" w:eastAsia="Times New Roman" w:hAnsi="Times New Roman" w:cs="Times New Roman"/>
          <w:color w:val="0000FF"/>
          <w:sz w:val="24"/>
        </w:rPr>
        <w:t>http://genderevaluation.unwomen.org/en/evaluation--‐handbook</w:t>
      </w:r>
    </w:p>
    <w:p w14:paraId="000001F4" w14:textId="77777777" w:rsidR="009A0EEC" w:rsidRDefault="00BF0077">
      <w:pPr>
        <w:numPr>
          <w:ilvl w:val="0"/>
          <w:numId w:val="7"/>
        </w:numPr>
        <w:pBdr>
          <w:top w:val="nil"/>
          <w:left w:val="nil"/>
          <w:bottom w:val="nil"/>
          <w:right w:val="nil"/>
          <w:between w:val="nil"/>
        </w:pBdr>
        <w:spacing w:before="240" w:after="12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Resources for data on gender equality and human rights.</w:t>
      </w:r>
    </w:p>
    <w:p w14:paraId="000001F5" w14:textId="77777777" w:rsidR="009A0EEC" w:rsidRDefault="00BF0077">
      <w:pPr>
        <w:widowControl w:val="0"/>
        <w:spacing w:after="120" w:line="240" w:lineRule="auto"/>
        <w:ind w:left="720"/>
        <w:rPr>
          <w:rFonts w:ascii="Times New Roman" w:eastAsia="Times New Roman" w:hAnsi="Times New Roman" w:cs="Times New Roman"/>
          <w:sz w:val="24"/>
        </w:rPr>
      </w:pPr>
      <w:r>
        <w:rPr>
          <w:rFonts w:ascii="Times New Roman" w:eastAsia="Times New Roman" w:hAnsi="Times New Roman" w:cs="Times New Roman"/>
          <w:sz w:val="24"/>
        </w:rPr>
        <w:t xml:space="preserve">At UN Office of the High Commissioner for Human Rights (OHCHR) – Universal Human Rights Index: </w:t>
      </w:r>
      <w:hyperlink r:id="rId19">
        <w:r>
          <w:rPr>
            <w:rFonts w:ascii="Times New Roman" w:eastAsia="Times New Roman" w:hAnsi="Times New Roman" w:cs="Times New Roman"/>
            <w:color w:val="0000FF"/>
            <w:sz w:val="24"/>
            <w:u w:val="single"/>
          </w:rPr>
          <w:t>http://uhri.ohchr.org/en</w:t>
        </w:r>
      </w:hyperlink>
    </w:p>
    <w:p w14:paraId="000001F6" w14:textId="77777777" w:rsidR="009A0EEC" w:rsidRDefault="00BF0077">
      <w:pPr>
        <w:widowControl w:val="0"/>
        <w:pBdr>
          <w:top w:val="nil"/>
          <w:left w:val="nil"/>
          <w:bottom w:val="nil"/>
          <w:right w:val="nil"/>
          <w:between w:val="nil"/>
        </w:pBdr>
        <w:spacing w:line="240" w:lineRule="auto"/>
        <w:ind w:left="720"/>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At UN Statistics website– Gender Statistics: </w:t>
      </w:r>
      <w:hyperlink r:id="rId20">
        <w:r>
          <w:rPr>
            <w:rFonts w:ascii="Times New Roman" w:eastAsia="Times New Roman" w:hAnsi="Times New Roman" w:cs="Times New Roman"/>
            <w:color w:val="0000FF"/>
            <w:sz w:val="24"/>
            <w:u w:val="single"/>
          </w:rPr>
          <w:t>http://genderstats.org/</w:t>
        </w:r>
      </w:hyperlink>
      <w:r>
        <w:rPr>
          <w:rFonts w:ascii="Times New Roman" w:eastAsia="Times New Roman" w:hAnsi="Times New Roman" w:cs="Times New Roman"/>
          <w:color w:val="000000"/>
          <w:sz w:val="24"/>
        </w:rPr>
        <w:t xml:space="preserve"> </w:t>
      </w:r>
    </w:p>
    <w:p w14:paraId="000001F7" w14:textId="77777777" w:rsidR="009A0EEC" w:rsidRDefault="009A0EEC">
      <w:pPr>
        <w:widowControl w:val="0"/>
        <w:pBdr>
          <w:top w:val="nil"/>
          <w:left w:val="nil"/>
          <w:bottom w:val="nil"/>
          <w:right w:val="nil"/>
          <w:between w:val="nil"/>
        </w:pBdr>
        <w:spacing w:line="240" w:lineRule="auto"/>
        <w:ind w:left="720"/>
        <w:rPr>
          <w:rFonts w:ascii="Times New Roman" w:eastAsia="Times New Roman" w:hAnsi="Times New Roman" w:cs="Times New Roman"/>
          <w:color w:val="000000"/>
          <w:sz w:val="24"/>
        </w:rPr>
      </w:pPr>
    </w:p>
    <w:p w14:paraId="000001F8" w14:textId="77777777" w:rsidR="009A0EEC" w:rsidRDefault="00BF0077">
      <w:pPr>
        <w:widowControl w:val="0"/>
        <w:numPr>
          <w:ilvl w:val="0"/>
          <w:numId w:val="7"/>
        </w:numPr>
        <w:pBdr>
          <w:top w:val="nil"/>
          <w:left w:val="nil"/>
          <w:bottom w:val="nil"/>
          <w:right w:val="nil"/>
          <w:between w:val="nil"/>
        </w:pBdr>
        <w:tabs>
          <w:tab w:val="left" w:pos="220"/>
          <w:tab w:val="left" w:pos="720"/>
        </w:tabs>
        <w:spacing w:after="12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UNDP Human Development Report – Gender Inequality Index:  </w:t>
      </w:r>
    </w:p>
    <w:p w14:paraId="000001F9" w14:textId="77777777" w:rsidR="009A0EEC" w:rsidRDefault="00BF0077">
      <w:pPr>
        <w:widowControl w:val="0"/>
        <w:tabs>
          <w:tab w:val="left" w:pos="220"/>
          <w:tab w:val="left" w:pos="720"/>
        </w:tabs>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At UNDP website: </w:t>
      </w:r>
      <w:hyperlink r:id="rId21">
        <w:r>
          <w:rPr>
            <w:rFonts w:ascii="Times New Roman" w:eastAsia="Times New Roman" w:hAnsi="Times New Roman" w:cs="Times New Roman"/>
            <w:color w:val="0000FF"/>
            <w:sz w:val="24"/>
            <w:u w:val="single"/>
          </w:rPr>
          <w:t>http://hdr.undp.org/en/content/gender-inequality-index-gii</w:t>
        </w:r>
      </w:hyperlink>
      <w:r>
        <w:rPr>
          <w:rFonts w:ascii="Times New Roman" w:eastAsia="Times New Roman" w:hAnsi="Times New Roman" w:cs="Times New Roman"/>
          <w:sz w:val="24"/>
        </w:rPr>
        <w:t xml:space="preserve"> </w:t>
      </w:r>
    </w:p>
    <w:p w14:paraId="000001FA" w14:textId="77777777" w:rsidR="009A0EEC" w:rsidRDefault="009A0EEC">
      <w:pPr>
        <w:widowControl w:val="0"/>
        <w:tabs>
          <w:tab w:val="left" w:pos="220"/>
          <w:tab w:val="left" w:pos="720"/>
        </w:tabs>
        <w:spacing w:after="120" w:line="240" w:lineRule="auto"/>
        <w:rPr>
          <w:rFonts w:ascii="Times New Roman" w:eastAsia="Times New Roman" w:hAnsi="Times New Roman" w:cs="Times New Roman"/>
          <w:sz w:val="24"/>
        </w:rPr>
      </w:pPr>
    </w:p>
    <w:p w14:paraId="000001FB" w14:textId="77777777" w:rsidR="009A0EEC" w:rsidRDefault="00BF0077">
      <w:pPr>
        <w:widowControl w:val="0"/>
        <w:numPr>
          <w:ilvl w:val="0"/>
          <w:numId w:val="7"/>
        </w:numPr>
        <w:pBdr>
          <w:top w:val="nil"/>
          <w:left w:val="nil"/>
          <w:bottom w:val="nil"/>
          <w:right w:val="nil"/>
          <w:between w:val="nil"/>
        </w:pBdr>
        <w:tabs>
          <w:tab w:val="left" w:pos="220"/>
          <w:tab w:val="left" w:pos="720"/>
        </w:tabs>
        <w:spacing w:after="12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World Bank – Gender Equality Data and Statistics:</w:t>
      </w:r>
    </w:p>
    <w:p w14:paraId="000001FC" w14:textId="77777777" w:rsidR="009A0EEC" w:rsidRDefault="00BF0077">
      <w:pPr>
        <w:widowControl w:val="0"/>
        <w:tabs>
          <w:tab w:val="left" w:pos="220"/>
          <w:tab w:val="left" w:pos="720"/>
        </w:tabs>
        <w:spacing w:after="120" w:line="240" w:lineRule="auto"/>
        <w:rPr>
          <w:rFonts w:ascii="Times New Roman" w:eastAsia="Times New Roman" w:hAnsi="Times New Roman" w:cs="Times New Roman"/>
          <w:color w:val="0000FF"/>
          <w:sz w:val="24"/>
          <w:u w:val="single"/>
        </w:rPr>
      </w:pPr>
      <w:r>
        <w:rPr>
          <w:rFonts w:ascii="Times New Roman" w:eastAsia="Times New Roman" w:hAnsi="Times New Roman" w:cs="Times New Roman"/>
          <w:sz w:val="24"/>
        </w:rPr>
        <w:tab/>
      </w:r>
      <w:r>
        <w:rPr>
          <w:rFonts w:ascii="Times New Roman" w:eastAsia="Times New Roman" w:hAnsi="Times New Roman" w:cs="Times New Roman"/>
          <w:sz w:val="24"/>
        </w:rPr>
        <w:tab/>
        <w:t xml:space="preserve">At World Bank website: </w:t>
      </w:r>
      <w:hyperlink r:id="rId22">
        <w:r>
          <w:rPr>
            <w:rFonts w:ascii="Times New Roman" w:eastAsia="Times New Roman" w:hAnsi="Times New Roman" w:cs="Times New Roman"/>
            <w:color w:val="0000FF"/>
            <w:sz w:val="24"/>
            <w:u w:val="single"/>
          </w:rPr>
          <w:t>http://datatopics.worldbank.org/gender/</w:t>
        </w:r>
      </w:hyperlink>
    </w:p>
    <w:p w14:paraId="000001FD" w14:textId="77777777" w:rsidR="009A0EEC" w:rsidRDefault="009A0EEC">
      <w:pPr>
        <w:widowControl w:val="0"/>
        <w:tabs>
          <w:tab w:val="left" w:pos="220"/>
          <w:tab w:val="left" w:pos="720"/>
        </w:tabs>
        <w:spacing w:after="120" w:line="240" w:lineRule="auto"/>
        <w:rPr>
          <w:rFonts w:ascii="Times New Roman" w:eastAsia="Times New Roman" w:hAnsi="Times New Roman" w:cs="Times New Roman"/>
          <w:sz w:val="24"/>
        </w:rPr>
      </w:pPr>
    </w:p>
    <w:p w14:paraId="000001FE" w14:textId="77777777" w:rsidR="009A0EEC" w:rsidRDefault="00BF0077">
      <w:pPr>
        <w:widowControl w:val="0"/>
        <w:numPr>
          <w:ilvl w:val="0"/>
          <w:numId w:val="7"/>
        </w:numPr>
        <w:pBdr>
          <w:top w:val="nil"/>
          <w:left w:val="nil"/>
          <w:bottom w:val="nil"/>
          <w:right w:val="nil"/>
          <w:between w:val="nil"/>
        </w:pBdr>
        <w:tabs>
          <w:tab w:val="left" w:pos="220"/>
          <w:tab w:val="left" w:pos="720"/>
        </w:tabs>
        <w:spacing w:after="12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Organisation for Economic Co-operation and Development (OECD) Social Institutions and Gender Index</w:t>
      </w:r>
    </w:p>
    <w:p w14:paraId="000001FF" w14:textId="77777777" w:rsidR="009A0EEC" w:rsidRDefault="00BF0077">
      <w:pPr>
        <w:widowControl w:val="0"/>
        <w:tabs>
          <w:tab w:val="left" w:pos="220"/>
          <w:tab w:val="left" w:pos="720"/>
        </w:tabs>
        <w:spacing w:after="120" w:line="240" w:lineRule="auto"/>
        <w:ind w:left="220"/>
        <w:rPr>
          <w:rFonts w:ascii="Times New Roman" w:eastAsia="Times New Roman" w:hAnsi="Times New Roman" w:cs="Times New Roman"/>
          <w:sz w:val="24"/>
        </w:rPr>
      </w:pPr>
      <w:r>
        <w:rPr>
          <w:rFonts w:ascii="Times New Roman" w:eastAsia="Times New Roman" w:hAnsi="Times New Roman" w:cs="Times New Roman"/>
          <w:sz w:val="24"/>
        </w:rPr>
        <w:tab/>
        <w:t xml:space="preserve">At OECD website: </w:t>
      </w:r>
      <w:hyperlink r:id="rId23">
        <w:r>
          <w:rPr>
            <w:rFonts w:ascii="Times New Roman" w:eastAsia="Times New Roman" w:hAnsi="Times New Roman" w:cs="Times New Roman"/>
            <w:color w:val="0000FF"/>
            <w:sz w:val="24"/>
            <w:u w:val="single"/>
          </w:rPr>
          <w:t>http://genderindex.org/</w:t>
        </w:r>
      </w:hyperlink>
    </w:p>
    <w:p w14:paraId="00000200" w14:textId="77777777" w:rsidR="009A0EEC" w:rsidRDefault="009A0EEC">
      <w:pPr>
        <w:widowControl w:val="0"/>
        <w:tabs>
          <w:tab w:val="left" w:pos="220"/>
          <w:tab w:val="left" w:pos="720"/>
        </w:tabs>
        <w:spacing w:after="120" w:line="240" w:lineRule="auto"/>
        <w:rPr>
          <w:rFonts w:ascii="Times New Roman" w:eastAsia="Times New Roman" w:hAnsi="Times New Roman" w:cs="Times New Roman"/>
          <w:sz w:val="24"/>
        </w:rPr>
      </w:pPr>
    </w:p>
    <w:p w14:paraId="00000201" w14:textId="77777777" w:rsidR="009A0EEC" w:rsidRDefault="00BF0077">
      <w:pPr>
        <w:widowControl w:val="0"/>
        <w:numPr>
          <w:ilvl w:val="0"/>
          <w:numId w:val="7"/>
        </w:numPr>
        <w:pBdr>
          <w:top w:val="nil"/>
          <w:left w:val="nil"/>
          <w:bottom w:val="nil"/>
          <w:right w:val="nil"/>
          <w:between w:val="nil"/>
        </w:pBdr>
        <w:tabs>
          <w:tab w:val="left" w:pos="220"/>
          <w:tab w:val="left" w:pos="720"/>
        </w:tabs>
        <w:spacing w:after="120" w:line="240" w:lineRule="auto"/>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World Economic Forum – Global Gender Gap Report</w:t>
      </w:r>
    </w:p>
    <w:p w14:paraId="00000202" w14:textId="77777777" w:rsidR="009A0EEC" w:rsidRDefault="009A0EEC">
      <w:pPr>
        <w:widowControl w:val="0"/>
        <w:tabs>
          <w:tab w:val="left" w:pos="220"/>
          <w:tab w:val="left" w:pos="720"/>
        </w:tabs>
        <w:spacing w:after="120" w:line="240" w:lineRule="auto"/>
        <w:rPr>
          <w:rFonts w:ascii="Times New Roman" w:eastAsia="Times New Roman" w:hAnsi="Times New Roman" w:cs="Times New Roman"/>
          <w:sz w:val="24"/>
        </w:rPr>
      </w:pPr>
    </w:p>
    <w:p w14:paraId="00000203" w14:textId="77777777" w:rsidR="009A0EEC" w:rsidRDefault="00BF0077">
      <w:pPr>
        <w:widowControl w:val="0"/>
        <w:tabs>
          <w:tab w:val="left" w:pos="220"/>
          <w:tab w:val="left" w:pos="720"/>
        </w:tabs>
        <w:spacing w:after="12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ab/>
      </w:r>
      <w:r>
        <w:rPr>
          <w:rFonts w:ascii="Times New Roman" w:eastAsia="Times New Roman" w:hAnsi="Times New Roman" w:cs="Times New Roman"/>
          <w:sz w:val="24"/>
        </w:rPr>
        <w:tab/>
        <w:t xml:space="preserve">At world Economic Forum website:  </w:t>
      </w:r>
      <w:hyperlink r:id="rId24">
        <w:r>
          <w:rPr>
            <w:rFonts w:ascii="Times New Roman" w:eastAsia="Times New Roman" w:hAnsi="Times New Roman" w:cs="Times New Roman"/>
            <w:color w:val="0000FF"/>
            <w:sz w:val="24"/>
            <w:u w:val="single"/>
          </w:rPr>
          <w:t>http://www.weforum.org/issues/global-gender-gap</w:t>
        </w:r>
      </w:hyperlink>
      <w:r>
        <w:rPr>
          <w:rFonts w:ascii="Times New Roman" w:eastAsia="Times New Roman" w:hAnsi="Times New Roman" w:cs="Times New Roman"/>
          <w:sz w:val="24"/>
        </w:rPr>
        <w:t xml:space="preserve"> </w:t>
      </w:r>
    </w:p>
    <w:p w14:paraId="00000204" w14:textId="77777777" w:rsidR="009A0EEC" w:rsidRDefault="009A0EEC">
      <w:pPr>
        <w:widowControl w:val="0"/>
        <w:tabs>
          <w:tab w:val="left" w:pos="220"/>
          <w:tab w:val="left" w:pos="720"/>
        </w:tabs>
        <w:spacing w:after="120" w:line="240" w:lineRule="auto"/>
        <w:rPr>
          <w:rFonts w:ascii="Times New Roman" w:eastAsia="Times New Roman" w:hAnsi="Times New Roman" w:cs="Times New Roman"/>
          <w:sz w:val="24"/>
        </w:rPr>
      </w:pPr>
    </w:p>
    <w:p w14:paraId="00000205" w14:textId="77777777" w:rsidR="009A0EEC" w:rsidRDefault="00BF0077">
      <w:pPr>
        <w:widowControl w:val="0"/>
        <w:numPr>
          <w:ilvl w:val="0"/>
          <w:numId w:val="7"/>
        </w:numPr>
        <w:pBdr>
          <w:top w:val="nil"/>
          <w:left w:val="nil"/>
          <w:bottom w:val="nil"/>
          <w:right w:val="nil"/>
          <w:between w:val="nil"/>
        </w:pBdr>
        <w:tabs>
          <w:tab w:val="left" w:pos="220"/>
          <w:tab w:val="left" w:pos="720"/>
        </w:tabs>
        <w:spacing w:after="12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A listing of UN reports, databases and archives relating to gender equality and women’s human rights</w:t>
      </w:r>
      <w:r>
        <w:rPr>
          <w:rFonts w:ascii="Times New Roman" w:eastAsia="Times New Roman" w:hAnsi="Times New Roman" w:cs="Times New Roman"/>
          <w:color w:val="000000"/>
          <w:sz w:val="24"/>
        </w:rPr>
        <w:t xml:space="preserve"> can be found at: </w:t>
      </w:r>
      <w:hyperlink r:id="rId25">
        <w:r>
          <w:rPr>
            <w:rFonts w:ascii="Times New Roman" w:eastAsia="Times New Roman" w:hAnsi="Times New Roman" w:cs="Times New Roman"/>
            <w:color w:val="0000FF"/>
            <w:sz w:val="24"/>
            <w:u w:val="single"/>
          </w:rPr>
          <w:t>http://www.un.org/womenwatch/directory/statistics_and_indicators_60.htm</w:t>
        </w:r>
      </w:hyperlink>
      <w:r>
        <w:rPr>
          <w:rFonts w:ascii="Times New Roman" w:eastAsia="Times New Roman" w:hAnsi="Times New Roman" w:cs="Times New Roman"/>
          <w:color w:val="000000"/>
          <w:sz w:val="24"/>
        </w:rPr>
        <w:t xml:space="preserve"> </w:t>
      </w:r>
    </w:p>
    <w:p w14:paraId="00000206" w14:textId="77777777" w:rsidR="009A0EEC" w:rsidRDefault="009A0EEC">
      <w:pPr>
        <w:widowControl w:val="0"/>
        <w:tabs>
          <w:tab w:val="left" w:pos="220"/>
          <w:tab w:val="left" w:pos="720"/>
        </w:tabs>
        <w:spacing w:after="120" w:line="240" w:lineRule="auto"/>
        <w:rPr>
          <w:rFonts w:ascii="Times New Roman" w:eastAsia="Times New Roman" w:hAnsi="Times New Roman" w:cs="Times New Roman"/>
          <w:color w:val="FF0000"/>
          <w:sz w:val="24"/>
        </w:rPr>
      </w:pPr>
    </w:p>
    <w:sectPr w:rsidR="009A0EEC">
      <w:footerReference w:type="default" r:id="rId26"/>
      <w:pgSz w:w="12240" w:h="15840"/>
      <w:pgMar w:top="1440" w:right="135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53A5A" w14:textId="77777777" w:rsidR="00586EAC" w:rsidRDefault="00586EAC">
      <w:pPr>
        <w:spacing w:line="240" w:lineRule="auto"/>
      </w:pPr>
      <w:r>
        <w:separator/>
      </w:r>
    </w:p>
  </w:endnote>
  <w:endnote w:type="continuationSeparator" w:id="0">
    <w:p w14:paraId="4FD77AD9" w14:textId="77777777" w:rsidR="00586EAC" w:rsidRDefault="00586E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w:panose1 w:val="02020603050405020304"/>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TheSansLight-Plai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0F" w14:textId="52CA05B0" w:rsidR="00BF0077" w:rsidRDefault="00BF0077">
    <w:pPr>
      <w:pBdr>
        <w:top w:val="nil"/>
        <w:left w:val="nil"/>
        <w:bottom w:val="nil"/>
        <w:right w:val="nil"/>
        <w:between w:val="nil"/>
      </w:pBdr>
      <w:tabs>
        <w:tab w:val="center" w:pos="4703"/>
        <w:tab w:val="right" w:pos="9406"/>
      </w:tabs>
      <w:spacing w:line="240" w:lineRule="auto"/>
      <w:jc w:val="right"/>
      <w:rPr>
        <w:rFonts w:eastAsia="Arial"/>
        <w:color w:val="000000"/>
        <w:szCs w:val="21"/>
      </w:rPr>
    </w:pPr>
    <w:r>
      <w:rPr>
        <w:rFonts w:eastAsia="Arial"/>
        <w:color w:val="000000"/>
        <w:szCs w:val="21"/>
      </w:rPr>
      <w:fldChar w:fldCharType="begin"/>
    </w:r>
    <w:r>
      <w:rPr>
        <w:rFonts w:eastAsia="Arial"/>
        <w:color w:val="000000"/>
        <w:szCs w:val="21"/>
      </w:rPr>
      <w:instrText>PAGE</w:instrText>
    </w:r>
    <w:r>
      <w:rPr>
        <w:rFonts w:eastAsia="Arial"/>
        <w:color w:val="000000"/>
        <w:szCs w:val="21"/>
      </w:rPr>
      <w:fldChar w:fldCharType="separate"/>
    </w:r>
    <w:r>
      <w:rPr>
        <w:rFonts w:eastAsia="Arial"/>
        <w:noProof/>
        <w:color w:val="000000"/>
        <w:szCs w:val="21"/>
      </w:rPr>
      <w:t>1</w:t>
    </w:r>
    <w:r>
      <w:rPr>
        <w:rFonts w:eastAsia="Arial"/>
        <w:color w:val="000000"/>
        <w:szCs w:val="21"/>
      </w:rPr>
      <w:fldChar w:fldCharType="end"/>
    </w:r>
  </w:p>
  <w:p w14:paraId="00000210" w14:textId="77777777" w:rsidR="00BF0077" w:rsidRDefault="00BF0077">
    <w:pPr>
      <w:pBdr>
        <w:top w:val="nil"/>
        <w:left w:val="nil"/>
        <w:bottom w:val="nil"/>
        <w:right w:val="nil"/>
        <w:between w:val="nil"/>
      </w:pBdr>
      <w:tabs>
        <w:tab w:val="center" w:pos="4703"/>
        <w:tab w:val="right" w:pos="9406"/>
      </w:tabs>
      <w:spacing w:line="240" w:lineRule="auto"/>
      <w:rPr>
        <w:rFonts w:eastAsia="Arial"/>
        <w:color w:val="000000"/>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ABF1B" w14:textId="77777777" w:rsidR="00586EAC" w:rsidRDefault="00586EAC">
      <w:pPr>
        <w:spacing w:line="240" w:lineRule="auto"/>
      </w:pPr>
      <w:r>
        <w:separator/>
      </w:r>
    </w:p>
  </w:footnote>
  <w:footnote w:type="continuationSeparator" w:id="0">
    <w:p w14:paraId="1CA060E4" w14:textId="77777777" w:rsidR="00586EAC" w:rsidRDefault="00586EAC">
      <w:pPr>
        <w:spacing w:line="240" w:lineRule="auto"/>
      </w:pPr>
      <w:r>
        <w:continuationSeparator/>
      </w:r>
    </w:p>
  </w:footnote>
  <w:footnote w:id="1">
    <w:p w14:paraId="00000207" w14:textId="77777777" w:rsidR="00BF0077" w:rsidRDefault="00BF0077">
      <w:pPr>
        <w:spacing w:before="240" w:after="120" w:line="240" w:lineRule="auto"/>
        <w:rPr>
          <w:rFonts w:ascii="Times New Roman" w:eastAsia="Times New Roman" w:hAnsi="Times New Roman" w:cs="Times New Roman"/>
          <w:sz w:val="22"/>
          <w:szCs w:val="22"/>
        </w:rPr>
      </w:pPr>
      <w:r>
        <w:rPr>
          <w:rStyle w:val="FootnoteReference"/>
          <w:vertAlign w:val="superscript"/>
        </w:rPr>
        <w:footnoteRef/>
      </w:r>
      <w:r>
        <w:t xml:space="preserve"> </w:t>
      </w:r>
      <w:r>
        <w:rPr>
          <w:rFonts w:ascii="Times New Roman" w:eastAsia="Times New Roman" w:hAnsi="Times New Roman" w:cs="Times New Roman"/>
          <w:sz w:val="22"/>
          <w:szCs w:val="22"/>
        </w:rPr>
        <w:t>The key principles for gender-responsive evaluation at UN Women: 1) National ownership and leadership; 2) UN system coordination and coherence regarding gender equality and women empowerment; 3) Innovation; 4) Fair power relations and empowerment; 5) Participation and inclusion; 6) Independence and impartiality; 7) Transparency; 8) Quality and credibility; 9) Intentionality and use of evaluation; and 10) Ethics.</w:t>
      </w:r>
    </w:p>
    <w:p w14:paraId="00000208" w14:textId="77777777" w:rsidR="00BF0077" w:rsidRDefault="00BF0077">
      <w:pPr>
        <w:pBdr>
          <w:top w:val="nil"/>
          <w:left w:val="nil"/>
          <w:bottom w:val="nil"/>
          <w:right w:val="nil"/>
          <w:between w:val="nil"/>
        </w:pBdr>
        <w:spacing w:after="200"/>
        <w:jc w:val="left"/>
        <w:rPr>
          <w:rFonts w:ascii="Calibri" w:eastAsia="Calibri" w:hAnsi="Calibri" w:cs="Calibri"/>
          <w:color w:val="000000"/>
          <w:sz w:val="20"/>
          <w:szCs w:val="20"/>
        </w:rPr>
      </w:pPr>
    </w:p>
  </w:footnote>
  <w:footnote w:id="2">
    <w:p w14:paraId="00000209" w14:textId="77777777" w:rsidR="00BF0077" w:rsidRDefault="00BF0077">
      <w:pPr>
        <w:pBdr>
          <w:top w:val="nil"/>
          <w:left w:val="nil"/>
          <w:bottom w:val="nil"/>
          <w:right w:val="nil"/>
          <w:between w:val="nil"/>
        </w:pBdr>
        <w:spacing w:after="200"/>
        <w:jc w:val="left"/>
        <w:rPr>
          <w:rFonts w:ascii="Times" w:eastAsia="Times" w:hAnsi="Times" w:cs="Times"/>
          <w:color w:val="000000"/>
          <w:sz w:val="16"/>
          <w:szCs w:val="16"/>
        </w:rPr>
      </w:pPr>
      <w:r>
        <w:rPr>
          <w:rStyle w:val="FootnoteReference"/>
          <w:vertAlign w:val="superscript"/>
        </w:rPr>
        <w:footnoteRef/>
      </w:r>
      <w:r>
        <w:rPr>
          <w:rFonts w:ascii="Calibri" w:eastAsia="Calibri" w:hAnsi="Calibri" w:cs="Calibri"/>
          <w:color w:val="000000"/>
          <w:sz w:val="16"/>
          <w:szCs w:val="16"/>
        </w:rPr>
        <w:t xml:space="preserve"> UNEG, “Norms for evaluation in the UN system”, 2005, available online at: http://www.unevaluation. org/document/detail/21, and “Standards for evaluation in the UN system”, 2005, available online at: http://www.unevaluation.org/document/detail/22.</w:t>
      </w:r>
    </w:p>
  </w:footnote>
  <w:footnote w:id="3">
    <w:p w14:paraId="0000020A" w14:textId="77777777" w:rsidR="00BF0077" w:rsidRDefault="00BF0077">
      <w:pPr>
        <w:pBdr>
          <w:top w:val="nil"/>
          <w:left w:val="nil"/>
          <w:bottom w:val="nil"/>
          <w:right w:val="nil"/>
          <w:between w:val="nil"/>
        </w:pBdr>
        <w:spacing w:after="200"/>
        <w:jc w:val="left"/>
        <w:rPr>
          <w:rFonts w:ascii="Calibri" w:eastAsia="Calibri" w:hAnsi="Calibri" w:cs="Calibri"/>
          <w:color w:val="000000"/>
          <w:sz w:val="16"/>
          <w:szCs w:val="16"/>
        </w:rPr>
      </w:pPr>
      <w:r>
        <w:rPr>
          <w:rStyle w:val="FootnoteReference"/>
          <w:vertAlign w:val="superscript"/>
        </w:rPr>
        <w:footnoteRef/>
      </w:r>
      <w:r>
        <w:rPr>
          <w:rFonts w:ascii="Calibri" w:eastAsia="Calibri" w:hAnsi="Calibri" w:cs="Calibri"/>
          <w:color w:val="000000"/>
          <w:sz w:val="16"/>
          <w:szCs w:val="16"/>
        </w:rPr>
        <w:t xml:space="preserve"> UNEG, “Ethical guidelines”, 2008, available online at: http://www.unevaluation.org/document/detail/102.</w:t>
      </w:r>
    </w:p>
  </w:footnote>
  <w:footnote w:id="4">
    <w:p w14:paraId="0000020B" w14:textId="77777777" w:rsidR="00BF0077" w:rsidRDefault="00BF0077">
      <w:pPr>
        <w:pBdr>
          <w:top w:val="nil"/>
          <w:left w:val="nil"/>
          <w:bottom w:val="nil"/>
          <w:right w:val="nil"/>
          <w:between w:val="nil"/>
        </w:pBdr>
        <w:spacing w:after="200"/>
        <w:jc w:val="left"/>
        <w:rPr>
          <w:rFonts w:ascii="Tahoma" w:eastAsia="Tahoma" w:hAnsi="Tahoma" w:cs="Tahoma"/>
          <w:color w:val="000000"/>
          <w:sz w:val="16"/>
          <w:szCs w:val="16"/>
        </w:rPr>
      </w:pPr>
      <w:r>
        <w:rPr>
          <w:rStyle w:val="FootnoteReference"/>
          <w:vertAlign w:val="superscript"/>
        </w:rPr>
        <w:footnoteRef/>
      </w:r>
      <w:r>
        <w:rPr>
          <w:rFonts w:ascii="Tahoma" w:eastAsia="Tahoma" w:hAnsi="Tahoma" w:cs="Tahoma"/>
          <w:color w:val="000000"/>
          <w:sz w:val="16"/>
          <w:szCs w:val="16"/>
        </w:rPr>
        <w:t xml:space="preserve"> Three specific criteria will be used for the analysis of the strategic positioning: strategic alignment, responsiveness and added value.</w:t>
      </w:r>
    </w:p>
  </w:footnote>
  <w:footnote w:id="5">
    <w:p w14:paraId="0000020C" w14:textId="77777777" w:rsidR="00BF0077" w:rsidRDefault="00BF0077">
      <w:pPr>
        <w:pBdr>
          <w:top w:val="nil"/>
          <w:left w:val="nil"/>
          <w:bottom w:val="nil"/>
          <w:right w:val="nil"/>
          <w:between w:val="nil"/>
        </w:pBdr>
        <w:spacing w:after="200"/>
        <w:jc w:val="left"/>
        <w:rPr>
          <w:rFonts w:ascii="Calibri" w:eastAsia="Calibri" w:hAnsi="Calibri" w:cs="Calibri"/>
          <w:color w:val="000000"/>
          <w:sz w:val="20"/>
          <w:szCs w:val="20"/>
        </w:rPr>
      </w:pPr>
      <w:r>
        <w:rPr>
          <w:rStyle w:val="FootnoteReference"/>
          <w:vertAlign w:val="superscript"/>
        </w:rPr>
        <w:footnoteRef/>
      </w:r>
      <w:r>
        <w:rPr>
          <w:rFonts w:ascii="Calibri" w:eastAsia="Calibri" w:hAnsi="Calibri" w:cs="Calibri"/>
          <w:color w:val="000000"/>
          <w:sz w:val="20"/>
          <w:szCs w:val="20"/>
        </w:rPr>
        <w:t xml:space="preserve"> Guidance on a gender-and human rights responsive evaluation approach is available in the </w:t>
      </w:r>
      <w:hyperlink r:id="rId1">
        <w:r>
          <w:rPr>
            <w:rFonts w:ascii="Calibri" w:eastAsia="Calibri" w:hAnsi="Calibri" w:cs="Calibri"/>
            <w:color w:val="0000FF"/>
            <w:sz w:val="20"/>
            <w:szCs w:val="20"/>
            <w:u w:val="single"/>
          </w:rPr>
          <w:t>UN Women Evaluation Handbook</w:t>
        </w:r>
      </w:hyperlink>
      <w:r>
        <w:rPr>
          <w:rFonts w:ascii="Calibri" w:eastAsia="Calibri" w:hAnsi="Calibri" w:cs="Calibri"/>
          <w:color w:val="000000"/>
          <w:sz w:val="20"/>
          <w:szCs w:val="20"/>
        </w:rPr>
        <w:t xml:space="preserve"> and in the </w:t>
      </w:r>
      <w:hyperlink r:id="rId2">
        <w:r>
          <w:rPr>
            <w:rFonts w:ascii="Calibri" w:eastAsia="Calibri" w:hAnsi="Calibri" w:cs="Calibri"/>
            <w:color w:val="0000FF"/>
            <w:sz w:val="20"/>
            <w:szCs w:val="20"/>
            <w:u w:val="single"/>
          </w:rPr>
          <w:t>UNEG Guidance on Integrating Human Rights and Gender Equality in Evaluations</w:t>
        </w:r>
      </w:hyperlink>
    </w:p>
  </w:footnote>
  <w:footnote w:id="6">
    <w:p w14:paraId="0000020D" w14:textId="77777777" w:rsidR="00BF0077" w:rsidRDefault="00BF0077">
      <w:pPr>
        <w:pBdr>
          <w:top w:val="nil"/>
          <w:left w:val="nil"/>
          <w:bottom w:val="nil"/>
          <w:right w:val="nil"/>
          <w:between w:val="nil"/>
        </w:pBdr>
        <w:jc w:val="left"/>
        <w:rPr>
          <w:rFonts w:ascii="Calibri" w:eastAsia="Calibri" w:hAnsi="Calibri" w:cs="Calibri"/>
          <w:color w:val="000000"/>
          <w:sz w:val="16"/>
          <w:szCs w:val="16"/>
        </w:rPr>
      </w:pPr>
      <w:r>
        <w:rPr>
          <w:rStyle w:val="FootnoteReference"/>
          <w:vertAlign w:val="superscript"/>
        </w:rPr>
        <w:footnoteRef/>
      </w:r>
      <w:r>
        <w:rPr>
          <w:rFonts w:ascii="Calibri" w:eastAsia="Calibri" w:hAnsi="Calibri" w:cs="Calibri"/>
          <w:color w:val="000000"/>
          <w:sz w:val="20"/>
          <w:szCs w:val="20"/>
        </w:rPr>
        <w:t xml:space="preserve"> </w:t>
      </w:r>
      <w:r>
        <w:rPr>
          <w:rFonts w:ascii="Calibri" w:eastAsia="Calibri" w:hAnsi="Calibri" w:cs="Calibri"/>
          <w:color w:val="000000"/>
          <w:sz w:val="16"/>
          <w:szCs w:val="16"/>
        </w:rPr>
        <w:t xml:space="preserve">A theory </w:t>
      </w:r>
      <w:r>
        <w:rPr>
          <w:rFonts w:ascii="Calibri" w:eastAsia="Calibri" w:hAnsi="Calibri" w:cs="Calibri"/>
          <w:color w:val="000000"/>
          <w:sz w:val="16"/>
          <w:szCs w:val="16"/>
        </w:rPr>
        <w:t>based-design assesses the performance of the Strategic Note based upon its stated assumptions about how change happens. These assumptions can be challenged, validated or expanded upon by the evaluation.</w:t>
      </w:r>
    </w:p>
  </w:footnote>
  <w:footnote w:id="7">
    <w:p w14:paraId="0000020E" w14:textId="77777777" w:rsidR="00BF0077" w:rsidRDefault="00BF0077">
      <w:pPr>
        <w:pBdr>
          <w:top w:val="nil"/>
          <w:left w:val="nil"/>
          <w:bottom w:val="nil"/>
          <w:right w:val="nil"/>
          <w:between w:val="nil"/>
        </w:pBdr>
        <w:jc w:val="left"/>
        <w:rPr>
          <w:rFonts w:ascii="Calibri" w:eastAsia="Calibri" w:hAnsi="Calibri" w:cs="Calibri"/>
          <w:color w:val="000000"/>
          <w:sz w:val="20"/>
          <w:szCs w:val="20"/>
        </w:rPr>
      </w:pPr>
      <w:r>
        <w:rPr>
          <w:rStyle w:val="FootnoteReference"/>
          <w:vertAlign w:val="superscript"/>
        </w:rPr>
        <w:footnoteRef/>
      </w:r>
      <w:r>
        <w:rPr>
          <w:rFonts w:ascii="Calibri" w:eastAsia="Calibri" w:hAnsi="Calibri" w:cs="Calibri"/>
          <w:color w:val="000000"/>
          <w:sz w:val="16"/>
          <w:szCs w:val="16"/>
        </w:rPr>
        <w:t xml:space="preserve"> A cluster evaluation </w:t>
      </w:r>
      <w:r>
        <w:rPr>
          <w:rFonts w:ascii="Calibri" w:eastAsia="Calibri" w:hAnsi="Calibri" w:cs="Calibri"/>
          <w:color w:val="000000"/>
          <w:sz w:val="16"/>
          <w:szCs w:val="16"/>
        </w:rPr>
        <w:t>assess a large number of interventions by ‘grouping’ similar interventions together into ‘clusters’, and evaluating only a representative sample of these in depth</w:t>
      </w:r>
      <w:r>
        <w:rPr>
          <w:rFonts w:ascii="Calibri" w:eastAsia="Calibri" w:hAnsi="Calibri" w:cs="Calibri"/>
          <w:color w:val="000000"/>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5AED"/>
    <w:multiLevelType w:val="multilevel"/>
    <w:tmpl w:val="E72C11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64F1B"/>
    <w:multiLevelType w:val="multilevel"/>
    <w:tmpl w:val="17822B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F986AED"/>
    <w:multiLevelType w:val="multilevel"/>
    <w:tmpl w:val="C56093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D34C8C"/>
    <w:multiLevelType w:val="multilevel"/>
    <w:tmpl w:val="9DD446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D90969"/>
    <w:multiLevelType w:val="multilevel"/>
    <w:tmpl w:val="728289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5863AC0"/>
    <w:multiLevelType w:val="multilevel"/>
    <w:tmpl w:val="1728A4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D2C1FB8"/>
    <w:multiLevelType w:val="multilevel"/>
    <w:tmpl w:val="22EC12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F0176F3"/>
    <w:multiLevelType w:val="multilevel"/>
    <w:tmpl w:val="373443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36FB0696"/>
    <w:multiLevelType w:val="multilevel"/>
    <w:tmpl w:val="9F6434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3E36E30"/>
    <w:multiLevelType w:val="multilevel"/>
    <w:tmpl w:val="EE585B5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58852059"/>
    <w:multiLevelType w:val="multilevel"/>
    <w:tmpl w:val="54FA9000"/>
    <w:lvl w:ilvl="0">
      <w:start w:val="1"/>
      <w:numFmt w:val="lowerLetter"/>
      <w:lvlText w:val="%1."/>
      <w:lvlJc w:val="left"/>
      <w:pPr>
        <w:ind w:left="360" w:hanging="360"/>
      </w:pPr>
      <w:rPr>
        <w:rFonts w:ascii="Calibri" w:eastAsia="Calibri" w:hAnsi="Calibri" w:cs="Calibri"/>
        <w:b w:val="0"/>
        <w:i w:val="0"/>
        <w:strike w:val="0"/>
        <w:color w:val="000000"/>
        <w:sz w:val="22"/>
        <w:szCs w:val="22"/>
        <w:u w:val="none"/>
        <w:shd w:val="clear" w:color="auto" w:fill="auto"/>
        <w:vertAlign w:val="baseline"/>
      </w:rPr>
    </w:lvl>
    <w:lvl w:ilvl="1">
      <w:start w:val="1"/>
      <w:numFmt w:val="lowerLetter"/>
      <w:lvlText w:val="%2"/>
      <w:lvlJc w:val="left"/>
      <w:pPr>
        <w:ind w:left="1186" w:hanging="1186"/>
      </w:pPr>
      <w:rPr>
        <w:rFonts w:ascii="Cambria" w:eastAsia="Cambria" w:hAnsi="Cambria" w:cs="Cambria"/>
        <w:b w:val="0"/>
        <w:i w:val="0"/>
        <w:strike w:val="0"/>
        <w:color w:val="000000"/>
        <w:sz w:val="18"/>
        <w:szCs w:val="18"/>
        <w:u w:val="none"/>
        <w:shd w:val="clear" w:color="auto" w:fill="auto"/>
        <w:vertAlign w:val="baseline"/>
      </w:rPr>
    </w:lvl>
    <w:lvl w:ilvl="2">
      <w:start w:val="1"/>
      <w:numFmt w:val="lowerRoman"/>
      <w:lvlText w:val="%3"/>
      <w:lvlJc w:val="left"/>
      <w:pPr>
        <w:ind w:left="1906" w:hanging="1906"/>
      </w:pPr>
      <w:rPr>
        <w:rFonts w:ascii="Cambria" w:eastAsia="Cambria" w:hAnsi="Cambria" w:cs="Cambria"/>
        <w:b w:val="0"/>
        <w:i w:val="0"/>
        <w:strike w:val="0"/>
        <w:color w:val="000000"/>
        <w:sz w:val="18"/>
        <w:szCs w:val="18"/>
        <w:u w:val="none"/>
        <w:shd w:val="clear" w:color="auto" w:fill="auto"/>
        <w:vertAlign w:val="baseline"/>
      </w:rPr>
    </w:lvl>
    <w:lvl w:ilvl="3">
      <w:start w:val="1"/>
      <w:numFmt w:val="decimal"/>
      <w:lvlText w:val="%4"/>
      <w:lvlJc w:val="left"/>
      <w:pPr>
        <w:ind w:left="2626" w:hanging="2626"/>
      </w:pPr>
      <w:rPr>
        <w:rFonts w:ascii="Cambria" w:eastAsia="Cambria" w:hAnsi="Cambria" w:cs="Cambria"/>
        <w:b w:val="0"/>
        <w:i w:val="0"/>
        <w:strike w:val="0"/>
        <w:color w:val="000000"/>
        <w:sz w:val="18"/>
        <w:szCs w:val="18"/>
        <w:u w:val="none"/>
        <w:shd w:val="clear" w:color="auto" w:fill="auto"/>
        <w:vertAlign w:val="baseline"/>
      </w:rPr>
    </w:lvl>
    <w:lvl w:ilvl="4">
      <w:start w:val="1"/>
      <w:numFmt w:val="lowerLetter"/>
      <w:lvlText w:val="%5"/>
      <w:lvlJc w:val="left"/>
      <w:pPr>
        <w:ind w:left="3346" w:hanging="3346"/>
      </w:pPr>
      <w:rPr>
        <w:rFonts w:ascii="Cambria" w:eastAsia="Cambria" w:hAnsi="Cambria" w:cs="Cambria"/>
        <w:b w:val="0"/>
        <w:i w:val="0"/>
        <w:strike w:val="0"/>
        <w:color w:val="000000"/>
        <w:sz w:val="18"/>
        <w:szCs w:val="18"/>
        <w:u w:val="none"/>
        <w:shd w:val="clear" w:color="auto" w:fill="auto"/>
        <w:vertAlign w:val="baseline"/>
      </w:rPr>
    </w:lvl>
    <w:lvl w:ilvl="5">
      <w:start w:val="1"/>
      <w:numFmt w:val="lowerRoman"/>
      <w:lvlText w:val="%6"/>
      <w:lvlJc w:val="left"/>
      <w:pPr>
        <w:ind w:left="4066" w:hanging="4066"/>
      </w:pPr>
      <w:rPr>
        <w:rFonts w:ascii="Cambria" w:eastAsia="Cambria" w:hAnsi="Cambria" w:cs="Cambria"/>
        <w:b w:val="0"/>
        <w:i w:val="0"/>
        <w:strike w:val="0"/>
        <w:color w:val="000000"/>
        <w:sz w:val="18"/>
        <w:szCs w:val="18"/>
        <w:u w:val="none"/>
        <w:shd w:val="clear" w:color="auto" w:fill="auto"/>
        <w:vertAlign w:val="baseline"/>
      </w:rPr>
    </w:lvl>
    <w:lvl w:ilvl="6">
      <w:start w:val="1"/>
      <w:numFmt w:val="decimal"/>
      <w:lvlText w:val="%7"/>
      <w:lvlJc w:val="left"/>
      <w:pPr>
        <w:ind w:left="4786" w:hanging="4786"/>
      </w:pPr>
      <w:rPr>
        <w:rFonts w:ascii="Cambria" w:eastAsia="Cambria" w:hAnsi="Cambria" w:cs="Cambria"/>
        <w:b w:val="0"/>
        <w:i w:val="0"/>
        <w:strike w:val="0"/>
        <w:color w:val="000000"/>
        <w:sz w:val="18"/>
        <w:szCs w:val="18"/>
        <w:u w:val="none"/>
        <w:shd w:val="clear" w:color="auto" w:fill="auto"/>
        <w:vertAlign w:val="baseline"/>
      </w:rPr>
    </w:lvl>
    <w:lvl w:ilvl="7">
      <w:start w:val="1"/>
      <w:numFmt w:val="lowerLetter"/>
      <w:lvlText w:val="%8"/>
      <w:lvlJc w:val="left"/>
      <w:pPr>
        <w:ind w:left="5506" w:hanging="5506"/>
      </w:pPr>
      <w:rPr>
        <w:rFonts w:ascii="Cambria" w:eastAsia="Cambria" w:hAnsi="Cambria" w:cs="Cambria"/>
        <w:b w:val="0"/>
        <w:i w:val="0"/>
        <w:strike w:val="0"/>
        <w:color w:val="000000"/>
        <w:sz w:val="18"/>
        <w:szCs w:val="18"/>
        <w:u w:val="none"/>
        <w:shd w:val="clear" w:color="auto" w:fill="auto"/>
        <w:vertAlign w:val="baseline"/>
      </w:rPr>
    </w:lvl>
    <w:lvl w:ilvl="8">
      <w:start w:val="1"/>
      <w:numFmt w:val="lowerRoman"/>
      <w:lvlText w:val="%9"/>
      <w:lvlJc w:val="left"/>
      <w:pPr>
        <w:ind w:left="6226" w:hanging="6226"/>
      </w:pPr>
      <w:rPr>
        <w:rFonts w:ascii="Cambria" w:eastAsia="Cambria" w:hAnsi="Cambria" w:cs="Cambria"/>
        <w:b w:val="0"/>
        <w:i w:val="0"/>
        <w:strike w:val="0"/>
        <w:color w:val="000000"/>
        <w:sz w:val="18"/>
        <w:szCs w:val="18"/>
        <w:u w:val="none"/>
        <w:shd w:val="clear" w:color="auto" w:fill="auto"/>
        <w:vertAlign w:val="baseline"/>
      </w:rPr>
    </w:lvl>
  </w:abstractNum>
  <w:abstractNum w:abstractNumId="11" w15:restartNumberingAfterBreak="0">
    <w:nsid w:val="59A00F80"/>
    <w:multiLevelType w:val="multilevel"/>
    <w:tmpl w:val="9F64417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B965E49"/>
    <w:multiLevelType w:val="multilevel"/>
    <w:tmpl w:val="A482C0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0F01683"/>
    <w:multiLevelType w:val="multilevel"/>
    <w:tmpl w:val="99668D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4C35A5F"/>
    <w:multiLevelType w:val="multilevel"/>
    <w:tmpl w:val="8084B6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5604EE6"/>
    <w:multiLevelType w:val="multilevel"/>
    <w:tmpl w:val="1492A4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7980AB5"/>
    <w:multiLevelType w:val="multilevel"/>
    <w:tmpl w:val="FB56D2CE"/>
    <w:lvl w:ilvl="0">
      <w:start w:val="7"/>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313731D"/>
    <w:multiLevelType w:val="multilevel"/>
    <w:tmpl w:val="D1343D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78D13B20"/>
    <w:multiLevelType w:val="multilevel"/>
    <w:tmpl w:val="1506D9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DAB62E2"/>
    <w:multiLevelType w:val="multilevel"/>
    <w:tmpl w:val="842E78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E862BD8"/>
    <w:multiLevelType w:val="multilevel"/>
    <w:tmpl w:val="84D8C33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67195925">
    <w:abstractNumId w:val="14"/>
  </w:num>
  <w:num w:numId="2" w16cid:durableId="1469974195">
    <w:abstractNumId w:val="16"/>
  </w:num>
  <w:num w:numId="3" w16cid:durableId="432090960">
    <w:abstractNumId w:val="9"/>
  </w:num>
  <w:num w:numId="4" w16cid:durableId="516777923">
    <w:abstractNumId w:val="13"/>
  </w:num>
  <w:num w:numId="5" w16cid:durableId="510685250">
    <w:abstractNumId w:val="18"/>
  </w:num>
  <w:num w:numId="6" w16cid:durableId="421342293">
    <w:abstractNumId w:val="20"/>
  </w:num>
  <w:num w:numId="7" w16cid:durableId="1222063796">
    <w:abstractNumId w:val="8"/>
  </w:num>
  <w:num w:numId="8" w16cid:durableId="1352142816">
    <w:abstractNumId w:val="4"/>
  </w:num>
  <w:num w:numId="9" w16cid:durableId="2018606731">
    <w:abstractNumId w:val="12"/>
  </w:num>
  <w:num w:numId="10" w16cid:durableId="1818112427">
    <w:abstractNumId w:val="6"/>
  </w:num>
  <w:num w:numId="11" w16cid:durableId="1373388476">
    <w:abstractNumId w:val="15"/>
  </w:num>
  <w:num w:numId="12" w16cid:durableId="1999576494">
    <w:abstractNumId w:val="5"/>
  </w:num>
  <w:num w:numId="13" w16cid:durableId="1573732225">
    <w:abstractNumId w:val="3"/>
  </w:num>
  <w:num w:numId="14" w16cid:durableId="1908420776">
    <w:abstractNumId w:val="10"/>
  </w:num>
  <w:num w:numId="15" w16cid:durableId="2071996507">
    <w:abstractNumId w:val="17"/>
  </w:num>
  <w:num w:numId="16" w16cid:durableId="2025551503">
    <w:abstractNumId w:val="0"/>
  </w:num>
  <w:num w:numId="17" w16cid:durableId="1846088349">
    <w:abstractNumId w:val="11"/>
  </w:num>
  <w:num w:numId="18" w16cid:durableId="435835870">
    <w:abstractNumId w:val="2"/>
  </w:num>
  <w:num w:numId="19" w16cid:durableId="196507754">
    <w:abstractNumId w:val="19"/>
  </w:num>
  <w:num w:numId="20" w16cid:durableId="1316836670">
    <w:abstractNumId w:val="1"/>
  </w:num>
  <w:num w:numId="21" w16cid:durableId="1997860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EEC"/>
    <w:rsid w:val="00090005"/>
    <w:rsid w:val="00097AC7"/>
    <w:rsid w:val="000C0D59"/>
    <w:rsid w:val="00241022"/>
    <w:rsid w:val="00293754"/>
    <w:rsid w:val="002C2993"/>
    <w:rsid w:val="002C772E"/>
    <w:rsid w:val="00411421"/>
    <w:rsid w:val="00424AB2"/>
    <w:rsid w:val="00486DB6"/>
    <w:rsid w:val="00492917"/>
    <w:rsid w:val="004D6675"/>
    <w:rsid w:val="00535BB3"/>
    <w:rsid w:val="00586EAC"/>
    <w:rsid w:val="005F6EBC"/>
    <w:rsid w:val="0061330D"/>
    <w:rsid w:val="006929A6"/>
    <w:rsid w:val="006A4FCF"/>
    <w:rsid w:val="00714CB8"/>
    <w:rsid w:val="0072283B"/>
    <w:rsid w:val="007A650A"/>
    <w:rsid w:val="007C3155"/>
    <w:rsid w:val="00844915"/>
    <w:rsid w:val="00857224"/>
    <w:rsid w:val="008A2120"/>
    <w:rsid w:val="00910E78"/>
    <w:rsid w:val="009346DE"/>
    <w:rsid w:val="00941951"/>
    <w:rsid w:val="009A0EEC"/>
    <w:rsid w:val="00AD6EF7"/>
    <w:rsid w:val="00AF6A86"/>
    <w:rsid w:val="00B96564"/>
    <w:rsid w:val="00BF0077"/>
    <w:rsid w:val="00BF37D5"/>
    <w:rsid w:val="00C04991"/>
    <w:rsid w:val="00D205F6"/>
    <w:rsid w:val="00D5293B"/>
    <w:rsid w:val="00D774C4"/>
    <w:rsid w:val="00D9490B"/>
    <w:rsid w:val="00E40A0B"/>
    <w:rsid w:val="00E46110"/>
    <w:rsid w:val="00E56BD1"/>
    <w:rsid w:val="00F11DB6"/>
    <w:rsid w:val="00F422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97DE9"/>
  <w15:docId w15:val="{64D9FC78-7F06-4E6E-A563-98F817A54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1"/>
        <w:szCs w:val="21"/>
        <w:lang w:val="en-GB"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439"/>
    <w:rPr>
      <w:rFonts w:eastAsiaTheme="minorEastAsia"/>
      <w:szCs w:val="24"/>
    </w:rPr>
  </w:style>
  <w:style w:type="paragraph" w:styleId="Heading1">
    <w:name w:val="heading 1"/>
    <w:basedOn w:val="Normal"/>
    <w:next w:val="Normal"/>
    <w:link w:val="Heading1Char"/>
    <w:uiPriority w:val="9"/>
    <w:qFormat/>
    <w:rsid w:val="00186604"/>
    <w:pPr>
      <w:keepNext/>
      <w:keepLines/>
      <w:spacing w:before="240"/>
      <w:jc w:val="left"/>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196AA7"/>
    <w:pPr>
      <w:keepNext/>
      <w:keepLines/>
      <w:spacing w:before="40" w:line="259" w:lineRule="auto"/>
      <w:jc w:val="left"/>
      <w:outlineLvl w:val="1"/>
    </w:pPr>
    <w:rPr>
      <w:rFonts w:asciiTheme="majorHAnsi" w:eastAsiaTheme="majorEastAsia" w:hAnsiTheme="majorHAnsi" w:cstheme="majorBidi"/>
      <w:color w:val="2E74B5" w:themeColor="accent1" w:themeShade="BF"/>
      <w:sz w:val="26"/>
      <w:szCs w:val="26"/>
      <w:lang w:val="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List Paragraph (numbered (a)),WB Para,Bullets,References,List Paragraph2,normal,Header 2,Numbered list,Recommendation,List Paragraph1,List Paragraph11"/>
    <w:basedOn w:val="Normal"/>
    <w:link w:val="ListParagraphChar"/>
    <w:uiPriority w:val="34"/>
    <w:qFormat/>
    <w:rsid w:val="00573439"/>
    <w:pPr>
      <w:ind w:left="720"/>
      <w:contextualSpacing/>
    </w:pPr>
  </w:style>
  <w:style w:type="character" w:styleId="CommentReference">
    <w:name w:val="annotation reference"/>
    <w:basedOn w:val="DefaultParagraphFont"/>
    <w:uiPriority w:val="99"/>
    <w:semiHidden/>
    <w:unhideWhenUsed/>
    <w:rsid w:val="00573439"/>
    <w:rPr>
      <w:sz w:val="16"/>
      <w:szCs w:val="16"/>
    </w:rPr>
  </w:style>
  <w:style w:type="paragraph" w:styleId="CommentText">
    <w:name w:val="annotation text"/>
    <w:basedOn w:val="Normal"/>
    <w:link w:val="CommentTextChar"/>
    <w:uiPriority w:val="99"/>
    <w:unhideWhenUsed/>
    <w:rsid w:val="00573439"/>
    <w:pPr>
      <w:spacing w:line="240" w:lineRule="auto"/>
    </w:pPr>
    <w:rPr>
      <w:sz w:val="20"/>
      <w:szCs w:val="20"/>
    </w:rPr>
  </w:style>
  <w:style w:type="character" w:customStyle="1" w:styleId="CommentTextChar">
    <w:name w:val="Comment Text Char"/>
    <w:basedOn w:val="DefaultParagraphFont"/>
    <w:link w:val="CommentText"/>
    <w:uiPriority w:val="99"/>
    <w:rsid w:val="00573439"/>
    <w:rPr>
      <w:rFonts w:ascii="Arial" w:eastAsiaTheme="minorEastAsia" w:hAnsi="Arial"/>
      <w:sz w:val="20"/>
      <w:szCs w:val="20"/>
      <w:lang w:val="en-GB"/>
    </w:rPr>
  </w:style>
  <w:style w:type="paragraph" w:styleId="NormalWeb">
    <w:name w:val="Normal (Web)"/>
    <w:basedOn w:val="Normal"/>
    <w:uiPriority w:val="99"/>
    <w:unhideWhenUsed/>
    <w:rsid w:val="00573439"/>
    <w:pPr>
      <w:spacing w:before="100" w:beforeAutospacing="1" w:after="100" w:afterAutospacing="1" w:line="240" w:lineRule="auto"/>
      <w:jc w:val="left"/>
    </w:pPr>
    <w:rPr>
      <w:rFonts w:ascii="Times" w:hAnsi="Times" w:cs="Times New Roman"/>
      <w:sz w:val="20"/>
      <w:szCs w:val="20"/>
    </w:rPr>
  </w:style>
  <w:style w:type="paragraph" w:styleId="BalloonText">
    <w:name w:val="Balloon Text"/>
    <w:basedOn w:val="Normal"/>
    <w:link w:val="BalloonTextChar"/>
    <w:uiPriority w:val="99"/>
    <w:semiHidden/>
    <w:unhideWhenUsed/>
    <w:rsid w:val="0057343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439"/>
    <w:rPr>
      <w:rFonts w:ascii="Segoe UI" w:eastAsiaTheme="minorEastAsia" w:hAnsi="Segoe UI" w:cs="Segoe UI"/>
      <w:sz w:val="18"/>
      <w:szCs w:val="18"/>
      <w:lang w:val="en-GB"/>
    </w:rPr>
  </w:style>
  <w:style w:type="paragraph" w:styleId="FootnoteText">
    <w:name w:val="footnote text"/>
    <w:aliases w:val="Texto nota pie Car Car Car,FOOTNOTES,fn,single space,Footnote Text Char Char Char,Footnote Text1 Char,Footnote Text2,Footnote Text Char Char Char1 Char,Footnote Text Char Char Char1,ft,ADB,WB-Fußnotentext,f,Footnote,Fußnote,Geneva 9,f Char"/>
    <w:basedOn w:val="Normal"/>
    <w:link w:val="FootnoteTextChar"/>
    <w:uiPriority w:val="99"/>
    <w:qFormat/>
    <w:rsid w:val="00A92C78"/>
    <w:pPr>
      <w:spacing w:after="200"/>
      <w:jc w:val="left"/>
    </w:pPr>
    <w:rPr>
      <w:rFonts w:ascii="Calibri" w:eastAsia="Times New Roman" w:hAnsi="Calibri" w:cs="Times New Roman"/>
      <w:sz w:val="20"/>
      <w:szCs w:val="20"/>
      <w:lang w:val="x-none" w:eastAsia="x-none"/>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
    <w:basedOn w:val="DefaultParagraphFont"/>
    <w:link w:val="FootnoteText"/>
    <w:uiPriority w:val="99"/>
    <w:rsid w:val="00A92C78"/>
    <w:rPr>
      <w:rFonts w:ascii="Calibri" w:eastAsia="Times New Roman" w:hAnsi="Calibri" w:cs="Times New Roman"/>
      <w:sz w:val="20"/>
      <w:szCs w:val="20"/>
      <w:lang w:val="x-none" w:eastAsia="x-none"/>
    </w:rPr>
  </w:style>
  <w:style w:type="character" w:styleId="FootnoteReference">
    <w:name w:val="footnote reference"/>
    <w:aliases w:val="16 Point,Superscript 6 Point,Char Char,Carattere Char1,Carattere Char Char Carattere Carattere Char Char,ftref,fr,Footnote Reference Number,BVI fnr,Footnotes refss, Char Char,Texto de nota al pie,BVI fnr Car Car,BVI fnr Car,Ref,E F"/>
    <w:link w:val="BVIfnrCharCharCharCharChar"/>
    <w:uiPriority w:val="99"/>
    <w:qFormat/>
    <w:rsid w:val="00A92C78"/>
    <w:rPr>
      <w:position w:val="6"/>
      <w:sz w:val="16"/>
    </w:rPr>
  </w:style>
  <w:style w:type="character" w:styleId="Hyperlink">
    <w:name w:val="Hyperlink"/>
    <w:uiPriority w:val="99"/>
    <w:rsid w:val="00A92C78"/>
    <w:rPr>
      <w:color w:val="0000FF"/>
      <w:u w:val="single"/>
    </w:rPr>
  </w:style>
  <w:style w:type="character" w:customStyle="1" w:styleId="apple-converted-space">
    <w:name w:val="apple-converted-space"/>
    <w:basedOn w:val="DefaultParagraphFont"/>
    <w:rsid w:val="00A92C78"/>
  </w:style>
  <w:style w:type="paragraph" w:styleId="CommentSubject">
    <w:name w:val="annotation subject"/>
    <w:basedOn w:val="CommentText"/>
    <w:next w:val="CommentText"/>
    <w:link w:val="CommentSubjectChar"/>
    <w:uiPriority w:val="99"/>
    <w:semiHidden/>
    <w:unhideWhenUsed/>
    <w:rsid w:val="00D80CB7"/>
    <w:rPr>
      <w:b/>
      <w:bCs/>
    </w:rPr>
  </w:style>
  <w:style w:type="character" w:customStyle="1" w:styleId="CommentSubjectChar">
    <w:name w:val="Comment Subject Char"/>
    <w:basedOn w:val="CommentTextChar"/>
    <w:link w:val="CommentSubject"/>
    <w:uiPriority w:val="99"/>
    <w:semiHidden/>
    <w:rsid w:val="00D80CB7"/>
    <w:rPr>
      <w:rFonts w:ascii="Arial" w:eastAsiaTheme="minorEastAsia" w:hAnsi="Arial"/>
      <w:b/>
      <w:bCs/>
      <w:sz w:val="20"/>
      <w:szCs w:val="20"/>
      <w:lang w:val="en-GB"/>
    </w:rPr>
  </w:style>
  <w:style w:type="table" w:styleId="PlainTable4">
    <w:name w:val="Plain Table 4"/>
    <w:basedOn w:val="TableNormal"/>
    <w:uiPriority w:val="44"/>
    <w:rsid w:val="00916300"/>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1630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9774F"/>
    <w:pPr>
      <w:spacing w:line="240" w:lineRule="auto"/>
    </w:pPr>
    <w:rPr>
      <w:rFonts w:eastAsiaTheme="minorEastAsia"/>
    </w:rPr>
    <w:tblPr>
      <w:tblCellMar>
        <w:top w:w="0" w:type="dxa"/>
        <w:left w:w="0" w:type="dxa"/>
        <w:bottom w:w="0" w:type="dxa"/>
        <w:right w:w="0" w:type="dxa"/>
      </w:tblCellMar>
    </w:tblPr>
  </w:style>
  <w:style w:type="paragraph" w:styleId="Revision">
    <w:name w:val="Revision"/>
    <w:hidden/>
    <w:uiPriority w:val="99"/>
    <w:semiHidden/>
    <w:rsid w:val="005E4FFC"/>
    <w:pPr>
      <w:spacing w:line="240" w:lineRule="auto"/>
    </w:pPr>
    <w:rPr>
      <w:rFonts w:eastAsiaTheme="minorEastAsia"/>
      <w:szCs w:val="24"/>
    </w:rPr>
  </w:style>
  <w:style w:type="paragraph" w:styleId="Header">
    <w:name w:val="header"/>
    <w:basedOn w:val="Normal"/>
    <w:link w:val="HeaderChar"/>
    <w:uiPriority w:val="99"/>
    <w:unhideWhenUsed/>
    <w:qFormat/>
    <w:rsid w:val="005E4FFC"/>
    <w:pPr>
      <w:tabs>
        <w:tab w:val="center" w:pos="4703"/>
        <w:tab w:val="right" w:pos="9406"/>
      </w:tabs>
      <w:spacing w:line="240" w:lineRule="auto"/>
    </w:pPr>
  </w:style>
  <w:style w:type="character" w:customStyle="1" w:styleId="HeaderChar">
    <w:name w:val="Header Char"/>
    <w:basedOn w:val="DefaultParagraphFont"/>
    <w:link w:val="Header"/>
    <w:uiPriority w:val="99"/>
    <w:rsid w:val="005E4FFC"/>
    <w:rPr>
      <w:rFonts w:ascii="Arial" w:eastAsiaTheme="minorEastAsia" w:hAnsi="Arial"/>
      <w:sz w:val="21"/>
      <w:szCs w:val="24"/>
      <w:lang w:val="en-GB"/>
    </w:rPr>
  </w:style>
  <w:style w:type="paragraph" w:styleId="Footer">
    <w:name w:val="footer"/>
    <w:basedOn w:val="Normal"/>
    <w:link w:val="FooterChar"/>
    <w:uiPriority w:val="99"/>
    <w:unhideWhenUsed/>
    <w:rsid w:val="005E4FFC"/>
    <w:pPr>
      <w:tabs>
        <w:tab w:val="center" w:pos="4703"/>
        <w:tab w:val="right" w:pos="9406"/>
      </w:tabs>
      <w:spacing w:line="240" w:lineRule="auto"/>
    </w:pPr>
  </w:style>
  <w:style w:type="character" w:customStyle="1" w:styleId="FooterChar">
    <w:name w:val="Footer Char"/>
    <w:basedOn w:val="DefaultParagraphFont"/>
    <w:link w:val="Footer"/>
    <w:uiPriority w:val="99"/>
    <w:rsid w:val="005E4FFC"/>
    <w:rPr>
      <w:rFonts w:ascii="Arial" w:eastAsiaTheme="minorEastAsia" w:hAnsi="Arial"/>
      <w:sz w:val="21"/>
      <w:szCs w:val="24"/>
      <w:lang w:val="en-GB"/>
    </w:rPr>
  </w:style>
  <w:style w:type="character" w:customStyle="1" w:styleId="ListParagraphChar">
    <w:name w:val="List Paragraph Char"/>
    <w:aliases w:val="List Paragraph (numbered (a)) Char,WB Para Char,Bullets Char,References Char,List Paragraph2 Char,normal Char,Header 2 Char,Numbered list Char,Recommendation Char,List Paragraph1 Char,List Paragraph11 Char"/>
    <w:basedOn w:val="DefaultParagraphFont"/>
    <w:link w:val="ListParagraph"/>
    <w:uiPriority w:val="34"/>
    <w:qFormat/>
    <w:locked/>
    <w:rsid w:val="003165C5"/>
    <w:rPr>
      <w:rFonts w:ascii="Arial" w:eastAsiaTheme="minorEastAsia" w:hAnsi="Arial"/>
      <w:sz w:val="21"/>
      <w:szCs w:val="24"/>
      <w:lang w:val="en-GB"/>
    </w:rPr>
  </w:style>
  <w:style w:type="character" w:styleId="Strong">
    <w:name w:val="Strong"/>
    <w:basedOn w:val="DefaultParagraphFont"/>
    <w:uiPriority w:val="22"/>
    <w:qFormat/>
    <w:rsid w:val="00654FA9"/>
    <w:rPr>
      <w:b/>
      <w:bCs/>
    </w:rPr>
  </w:style>
  <w:style w:type="character" w:customStyle="1" w:styleId="Heading2Char">
    <w:name w:val="Heading 2 Char"/>
    <w:basedOn w:val="DefaultParagraphFont"/>
    <w:link w:val="Heading2"/>
    <w:uiPriority w:val="9"/>
    <w:rsid w:val="00196AA7"/>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6F721D"/>
    <w:rPr>
      <w:color w:val="605E5C"/>
      <w:shd w:val="clear" w:color="auto" w:fill="E1DFDD"/>
    </w:rPr>
  </w:style>
  <w:style w:type="character" w:styleId="FollowedHyperlink">
    <w:name w:val="FollowedHyperlink"/>
    <w:basedOn w:val="DefaultParagraphFont"/>
    <w:uiPriority w:val="99"/>
    <w:semiHidden/>
    <w:unhideWhenUsed/>
    <w:rsid w:val="009D6EF8"/>
    <w:rPr>
      <w:color w:val="954F72" w:themeColor="followedHyperlink"/>
      <w:u w:val="single"/>
    </w:rPr>
  </w:style>
  <w:style w:type="character" w:customStyle="1" w:styleId="Heading1Char">
    <w:name w:val="Heading 1 Char"/>
    <w:basedOn w:val="DefaultParagraphFont"/>
    <w:link w:val="Heading1"/>
    <w:uiPriority w:val="9"/>
    <w:rsid w:val="00186604"/>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186604"/>
    <w:pPr>
      <w:spacing w:line="240" w:lineRule="auto"/>
    </w:pPr>
    <w:rPr>
      <w:rFonts w:ascii="Calibri" w:eastAsia="Calibri" w:hAnsi="Calibri" w:cs="Times New Roman"/>
    </w:rPr>
  </w:style>
  <w:style w:type="character" w:customStyle="1" w:styleId="NoSpacingChar">
    <w:name w:val="No Spacing Char"/>
    <w:link w:val="NoSpacing"/>
    <w:uiPriority w:val="1"/>
    <w:rsid w:val="00186604"/>
    <w:rPr>
      <w:rFonts w:ascii="Calibri" w:eastAsia="Calibri" w:hAnsi="Calibri" w:cs="Times New Roman"/>
    </w:rPr>
  </w:style>
  <w:style w:type="paragraph" w:customStyle="1" w:styleId="BVIfnrCharCharCharCharChar">
    <w:name w:val="BVI fnr Char Char Char Char Char"/>
    <w:aliases w:val="BVI fnr Car Car Char Char Char Char Char,BVI fnr Car Char Char Char Char Char,BVI fnr Car Car Car Car Char Char Char1 Char Char Char,BVI fnr Char Char Char Char Char Char Char"/>
    <w:basedOn w:val="Normal"/>
    <w:link w:val="FootnoteReference"/>
    <w:uiPriority w:val="99"/>
    <w:rsid w:val="00186604"/>
    <w:pPr>
      <w:spacing w:after="160" w:line="240" w:lineRule="exact"/>
      <w:jc w:val="left"/>
    </w:pPr>
    <w:rPr>
      <w:rFonts w:asciiTheme="minorHAnsi" w:eastAsiaTheme="minorHAnsi" w:hAnsiTheme="minorHAnsi"/>
      <w:position w:val="6"/>
      <w:sz w:val="16"/>
      <w:szCs w:val="22"/>
      <w:lang w:val="en-US"/>
    </w:rPr>
  </w:style>
  <w:style w:type="paragraph" w:customStyle="1" w:styleId="MAIN">
    <w:name w:val="MAIN"/>
    <w:basedOn w:val="Normal"/>
    <w:uiPriority w:val="99"/>
    <w:rsid w:val="00527AD9"/>
    <w:pPr>
      <w:widowControl w:val="0"/>
      <w:autoSpaceDE w:val="0"/>
      <w:autoSpaceDN w:val="0"/>
      <w:adjustRightInd w:val="0"/>
      <w:spacing w:after="90" w:line="250" w:lineRule="atLeast"/>
      <w:textAlignment w:val="center"/>
    </w:pPr>
    <w:rPr>
      <w:rFonts w:ascii="TheSansLight-Plain" w:eastAsia="Times New Roman" w:hAnsi="TheSansLight-Plain" w:cs="TheSansLight-Plain"/>
      <w:color w:val="000000"/>
      <w:sz w:val="19"/>
      <w:szCs w:val="19"/>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CellMar>
        <w:top w:w="4" w:type="dxa"/>
        <w:left w:w="106" w:type="dxa"/>
        <w:right w:w="79" w:type="dxa"/>
      </w:tblCellMar>
    </w:tblPr>
  </w:style>
  <w:style w:type="table" w:customStyle="1" w:styleId="a5">
    <w:basedOn w:val="TableNormal"/>
    <w:pPr>
      <w:spacing w:line="240" w:lineRule="auto"/>
    </w:pPr>
    <w:tblPr>
      <w:tblStyleRowBandSize w:val="1"/>
      <w:tblStyleColBandSize w:val="1"/>
      <w:tblCellMar>
        <w:top w:w="4" w:type="dxa"/>
        <w:left w:w="106"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bout:blank" TargetMode="External"/><Relationship Id="rId18" Type="http://schemas.openxmlformats.org/officeDocument/2006/relationships/hyperlink" Target="http://gate.unwomen.org/"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hdr.undp.org/en/content/gender-inequality-index-gii" TargetMode="External"/><Relationship Id="rId7" Type="http://schemas.openxmlformats.org/officeDocument/2006/relationships/footnotes" Target="footnotes.xml"/><Relationship Id="rId12" Type="http://schemas.openxmlformats.org/officeDocument/2006/relationships/hyperlink" Target="https://www.unwomen.org/en/about-us/accountability/evaluation/decentralized-evaluations" TargetMode="External"/><Relationship Id="rId17" Type="http://schemas.openxmlformats.org/officeDocument/2006/relationships/hyperlink" Target="http://www.unwomen.org/en/about-us/evaluation/decentralized-evaluations" TargetMode="External"/><Relationship Id="rId25" Type="http://schemas.openxmlformats.org/officeDocument/2006/relationships/hyperlink" Target="http://www.un.org/womenwatch/directory/statistics_and_indicators_60.htm" TargetMode="External"/><Relationship Id="rId2" Type="http://schemas.openxmlformats.org/officeDocument/2006/relationships/customXml" Target="../customXml/item2.xml"/><Relationship Id="rId16" Type="http://schemas.openxmlformats.org/officeDocument/2006/relationships/hyperlink" Target="https://www.unwomen.org/en/digital-library/publications/2016/3/guidance-on-country-portfolio-evaluations-in-un-women" TargetMode="External"/><Relationship Id="rId20" Type="http://schemas.openxmlformats.org/officeDocument/2006/relationships/hyperlink" Target="http://genderstat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eval.org/document/detail/102" TargetMode="External"/><Relationship Id="rId24" Type="http://schemas.openxmlformats.org/officeDocument/2006/relationships/hyperlink" Target="http://www.weforum.org/issues/global-gender-gap" TargetMode="External"/><Relationship Id="rId5" Type="http://schemas.openxmlformats.org/officeDocument/2006/relationships/settings" Target="settings.xml"/><Relationship Id="rId15" Type="http://schemas.openxmlformats.org/officeDocument/2006/relationships/hyperlink" Target="http://gate.unwomen.org/" TargetMode="External"/><Relationship Id="rId23" Type="http://schemas.openxmlformats.org/officeDocument/2006/relationships/hyperlink" Target="http://genderindex.org/" TargetMode="External"/><Relationship Id="rId28" Type="http://schemas.openxmlformats.org/officeDocument/2006/relationships/theme" Target="theme/theme1.xml"/><Relationship Id="rId10" Type="http://schemas.openxmlformats.org/officeDocument/2006/relationships/hyperlink" Target="http://www.unevaluation.org/document/detail/1914" TargetMode="External"/><Relationship Id="rId19" Type="http://schemas.openxmlformats.org/officeDocument/2006/relationships/hyperlink" Target="http://uhri.ohchr.org/en"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www.unwomen.org/en/about-us/evaluation/decentralized-evaluations" TargetMode="External"/><Relationship Id="rId22" Type="http://schemas.openxmlformats.org/officeDocument/2006/relationships/hyperlink" Target="http://datatopics.worldbank.org/gender/"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uneval.org/document/detail/1616" TargetMode="External"/><Relationship Id="rId1" Type="http://schemas.openxmlformats.org/officeDocument/2006/relationships/hyperlink" Target="https://www.unwomen.org/en/digital-library/publications/2015/4/un-women-evaluation-handbook-how-to-manage-gender-responsive-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G6NN7g3RB96pvXmw3eTVXUDQ+ng==">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</go:docsCustomData>
</go:gDocsCustomXmlDataStorage>
</file>

<file path=customXml/itemProps1.xml><?xml version="1.0" encoding="utf-8"?>
<ds:datastoreItem xmlns:ds="http://schemas.openxmlformats.org/officeDocument/2006/customXml" ds:itemID="{84C54F09-602F-412D-A742-9EDE96064FB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6039</Words>
  <Characters>34424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Lucretia Ciurea</dc:creator>
  <cp:lastModifiedBy>Francis  Matita</cp:lastModifiedBy>
  <cp:revision>2</cp:revision>
  <dcterms:created xsi:type="dcterms:W3CDTF">2022-12-16T06:40:00Z</dcterms:created>
  <dcterms:modified xsi:type="dcterms:W3CDTF">2022-12-16T06:40:00Z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0x0101002B8FBC3085B3E44299AE2ADF404FB714</vt:lpwstr>
  </property>
</Properties>
</file>