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Ex1.xml" ContentType="application/vnd.ms-office.chartex+xml"/>
  <Override PartName="/word/charts/style3.xml" ContentType="application/vnd.ms-office.chartstyle+xml"/>
  <Override PartName="/word/charts/colors3.xml" ContentType="application/vnd.ms-office.chartcolorstyle+xml"/>
  <Override PartName="/word/charts/chart3.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Ex2.xml" ContentType="application/vnd.ms-office.chartex+xml"/>
  <Override PartName="/word/charts/style6.xml" ContentType="application/vnd.ms-office.chartstyle+xml"/>
  <Override PartName="/word/charts/colors6.xml" ContentType="application/vnd.ms-office.chartcolorstyle+xml"/>
  <Override PartName="/word/charts/chart5.xml" ContentType="application/vnd.openxmlformats-officedocument.drawingml.chart+xml"/>
  <Override PartName="/word/charts/style7.xml" ContentType="application/vnd.ms-office.chartstyle+xml"/>
  <Override PartName="/word/charts/colors7.xml" ContentType="application/vnd.ms-office.chartcolorstyle+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1DE70" w14:textId="77777777" w:rsidR="187325E8" w:rsidRDefault="187325E8" w:rsidP="187325E8">
      <w:pPr>
        <w:jc w:val="center"/>
        <w:rPr>
          <w:rFonts w:ascii="CubeOT" w:eastAsia="CubeOT" w:hAnsi="CubeOT" w:cs="CubeOT"/>
          <w:color w:val="E37230" w:themeColor="accent2"/>
          <w:sz w:val="36"/>
          <w:szCs w:val="36"/>
        </w:rPr>
      </w:pPr>
    </w:p>
    <w:p w14:paraId="2D7F5E09" w14:textId="77777777" w:rsidR="187325E8" w:rsidRDefault="187325E8" w:rsidP="187325E8">
      <w:pPr>
        <w:jc w:val="center"/>
        <w:rPr>
          <w:rFonts w:ascii="CubeOT" w:eastAsia="CubeOT" w:hAnsi="CubeOT" w:cs="CubeOT"/>
          <w:color w:val="E37230" w:themeColor="accent2"/>
          <w:sz w:val="36"/>
          <w:szCs w:val="36"/>
        </w:rPr>
      </w:pPr>
    </w:p>
    <w:p w14:paraId="0A47469B" w14:textId="77777777" w:rsidR="006F2F6D" w:rsidRPr="006A561F" w:rsidRDefault="7648C0C1" w:rsidP="187325E8">
      <w:pPr>
        <w:jc w:val="center"/>
        <w:rPr>
          <w:rFonts w:eastAsia="Calibri" w:cs="Calibri"/>
          <w:sz w:val="32"/>
          <w:szCs w:val="32"/>
        </w:rPr>
      </w:pPr>
      <w:r w:rsidRPr="187325E8">
        <w:rPr>
          <w:rFonts w:ascii="CubeOT" w:eastAsia="CubeOT" w:hAnsi="CubeOT" w:cs="CubeOT"/>
          <w:color w:val="E37230" w:themeColor="accent2"/>
          <w:sz w:val="36"/>
          <w:szCs w:val="36"/>
        </w:rPr>
        <w:t>Synthesis Report:</w:t>
      </w:r>
      <w:r w:rsidR="4701F8C3" w:rsidRPr="187325E8">
        <w:rPr>
          <w:rFonts w:eastAsia="Calibri" w:cs="Calibri"/>
          <w:sz w:val="32"/>
          <w:szCs w:val="32"/>
        </w:rPr>
        <w:t xml:space="preserve"> </w:t>
      </w:r>
    </w:p>
    <w:p w14:paraId="6B6C58C9" w14:textId="77777777" w:rsidR="006F2F6D" w:rsidRPr="006A561F" w:rsidRDefault="006F2F6D" w:rsidP="187325E8">
      <w:pPr>
        <w:jc w:val="center"/>
        <w:rPr>
          <w:rFonts w:eastAsia="Calibri" w:cs="Calibri"/>
          <w:sz w:val="32"/>
          <w:szCs w:val="32"/>
        </w:rPr>
      </w:pPr>
    </w:p>
    <w:p w14:paraId="369704DE" w14:textId="77777777" w:rsidR="006F2F6D" w:rsidRPr="006A561F" w:rsidRDefault="4701F8C3" w:rsidP="187325E8">
      <w:pPr>
        <w:jc w:val="center"/>
        <w:rPr>
          <w:rFonts w:eastAsia="Calibri" w:cs="Calibri"/>
          <w:sz w:val="32"/>
          <w:szCs w:val="32"/>
        </w:rPr>
      </w:pPr>
      <w:r w:rsidRPr="187325E8">
        <w:rPr>
          <w:rFonts w:eastAsia="Calibri" w:cs="Calibri"/>
          <w:sz w:val="32"/>
          <w:szCs w:val="32"/>
        </w:rPr>
        <w:t xml:space="preserve">Final Evaluation of the UN Women’s regional MENA programme: `Men and Women for Gender Equality’ </w:t>
      </w:r>
    </w:p>
    <w:p w14:paraId="5AA27736" w14:textId="77777777" w:rsidR="006F2F6D" w:rsidRPr="006A561F" w:rsidRDefault="4701F8C3" w:rsidP="187325E8">
      <w:r w:rsidRPr="187325E8">
        <w:rPr>
          <w:rFonts w:eastAsia="Calibri" w:cs="Calibri"/>
          <w:sz w:val="24"/>
          <w:szCs w:val="24"/>
        </w:rPr>
        <w:t xml:space="preserve"> </w:t>
      </w:r>
    </w:p>
    <w:p w14:paraId="25C44629" w14:textId="77777777" w:rsidR="006F2F6D" w:rsidRPr="006A561F" w:rsidRDefault="006F2F6D" w:rsidP="187325E8">
      <w:pPr>
        <w:rPr>
          <w:rFonts w:eastAsia="Calibri" w:cs="Calibri"/>
          <w:sz w:val="24"/>
          <w:szCs w:val="24"/>
        </w:rPr>
      </w:pPr>
    </w:p>
    <w:p w14:paraId="75C449D0" w14:textId="77777777" w:rsidR="006F2F6D" w:rsidRPr="006A561F" w:rsidRDefault="4701F8C3" w:rsidP="187325E8">
      <w:r w:rsidRPr="187325E8">
        <w:rPr>
          <w:rFonts w:eastAsia="Calibri" w:cs="Calibri"/>
          <w:sz w:val="24"/>
          <w:szCs w:val="24"/>
        </w:rPr>
        <w:t xml:space="preserve">Submitted by Henri </w:t>
      </w:r>
      <w:proofErr w:type="spellStart"/>
      <w:r w:rsidRPr="187325E8">
        <w:rPr>
          <w:rFonts w:eastAsia="Calibri" w:cs="Calibri"/>
          <w:sz w:val="24"/>
          <w:szCs w:val="24"/>
        </w:rPr>
        <w:t>Myrttinen</w:t>
      </w:r>
      <w:proofErr w:type="spellEnd"/>
      <w:r w:rsidRPr="187325E8">
        <w:rPr>
          <w:rFonts w:eastAsia="Calibri" w:cs="Calibri"/>
          <w:sz w:val="24"/>
          <w:szCs w:val="24"/>
        </w:rPr>
        <w:t xml:space="preserve">, David Walker, Philly Desai, Becky Sibson, </w:t>
      </w:r>
      <w:proofErr w:type="spellStart"/>
      <w:r w:rsidRPr="187325E8">
        <w:rPr>
          <w:rFonts w:eastAsia="Calibri" w:cs="Calibri"/>
          <w:sz w:val="24"/>
          <w:szCs w:val="24"/>
        </w:rPr>
        <w:t>Becka</w:t>
      </w:r>
      <w:proofErr w:type="spellEnd"/>
      <w:r w:rsidRPr="187325E8">
        <w:rPr>
          <w:rFonts w:eastAsia="Calibri" w:cs="Calibri"/>
          <w:sz w:val="24"/>
          <w:szCs w:val="24"/>
        </w:rPr>
        <w:t xml:space="preserve"> Kindler, Asma </w:t>
      </w:r>
      <w:proofErr w:type="spellStart"/>
      <w:r w:rsidRPr="187325E8">
        <w:rPr>
          <w:rFonts w:eastAsia="Calibri" w:cs="Calibri"/>
          <w:sz w:val="24"/>
          <w:szCs w:val="24"/>
        </w:rPr>
        <w:t>Ayari</w:t>
      </w:r>
      <w:proofErr w:type="spellEnd"/>
      <w:r w:rsidRPr="187325E8">
        <w:rPr>
          <w:rFonts w:eastAsia="Calibri" w:cs="Calibri"/>
          <w:sz w:val="24"/>
          <w:szCs w:val="24"/>
        </w:rPr>
        <w:t xml:space="preserve">, </w:t>
      </w:r>
      <w:proofErr w:type="spellStart"/>
      <w:r w:rsidRPr="187325E8">
        <w:rPr>
          <w:rFonts w:eastAsia="Calibri" w:cs="Calibri"/>
          <w:sz w:val="24"/>
          <w:szCs w:val="24"/>
        </w:rPr>
        <w:t>Douaa</w:t>
      </w:r>
      <w:proofErr w:type="spellEnd"/>
      <w:r w:rsidRPr="187325E8">
        <w:rPr>
          <w:rFonts w:eastAsia="Calibri" w:cs="Calibri"/>
          <w:sz w:val="24"/>
          <w:szCs w:val="24"/>
        </w:rPr>
        <w:t xml:space="preserve"> Hussein, Nadia Saad and Sarah-El </w:t>
      </w:r>
      <w:proofErr w:type="spellStart"/>
      <w:r w:rsidRPr="187325E8">
        <w:rPr>
          <w:rFonts w:eastAsia="Calibri" w:cs="Calibri"/>
          <w:sz w:val="24"/>
          <w:szCs w:val="24"/>
        </w:rPr>
        <w:t>Hassrouny</w:t>
      </w:r>
      <w:proofErr w:type="spellEnd"/>
    </w:p>
    <w:p w14:paraId="0650B63D" w14:textId="77777777" w:rsidR="006F2F6D" w:rsidRPr="006A561F" w:rsidRDefault="006F2F6D" w:rsidP="187325E8">
      <w:pPr>
        <w:spacing w:before="120" w:after="120"/>
        <w:rPr>
          <w:rFonts w:ascii="CubeOT" w:eastAsia="CubeOT" w:hAnsi="CubeOT" w:cs="CubeOT"/>
          <w:color w:val="E37230" w:themeColor="accent2"/>
          <w:sz w:val="36"/>
          <w:szCs w:val="36"/>
        </w:rPr>
      </w:pPr>
    </w:p>
    <w:p w14:paraId="616BF76F" w14:textId="77777777" w:rsidR="006F2F6D" w:rsidRPr="006A561F" w:rsidRDefault="7648C0C1" w:rsidP="187325E8">
      <w:pPr>
        <w:jc w:val="center"/>
      </w:pPr>
      <w:r w:rsidRPr="187325E8">
        <w:rPr>
          <w:rFonts w:eastAsia="Calibri" w:cs="Calibri"/>
          <w:sz w:val="24"/>
          <w:szCs w:val="24"/>
        </w:rPr>
        <w:t xml:space="preserve"> </w:t>
      </w:r>
      <w:r w:rsidR="006F2F6D" w:rsidRPr="006A561F">
        <w:rPr>
          <w:noProof/>
          <w:color w:val="2B579A"/>
          <w:shd w:val="clear" w:color="auto" w:fill="E6E6E6"/>
        </w:rPr>
        <w:drawing>
          <wp:anchor distT="0" distB="0" distL="114300" distR="114300" simplePos="0" relativeHeight="251658241" behindDoc="1" locked="0" layoutInCell="1" allowOverlap="1" wp14:anchorId="30BDE61E" wp14:editId="0031EC96">
            <wp:simplePos x="0" y="0"/>
            <wp:positionH relativeFrom="margin">
              <wp:align>center</wp:align>
            </wp:positionH>
            <wp:positionV relativeFrom="paragraph">
              <wp:posOffset>-389255</wp:posOffset>
            </wp:positionV>
            <wp:extent cx="7548535" cy="10677525"/>
            <wp:effectExtent l="0" t="0" r="0" b="0"/>
            <wp:wrapNone/>
            <wp:docPr id="15" name="Picture 15"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background patter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548535" cy="10677525"/>
                    </a:xfrm>
                    <a:prstGeom prst="rect">
                      <a:avLst/>
                    </a:prstGeom>
                    <a:noFill/>
                    <a:ln>
                      <a:noFill/>
                    </a:ln>
                  </pic:spPr>
                </pic:pic>
              </a:graphicData>
            </a:graphic>
            <wp14:sizeRelH relativeFrom="margin">
              <wp14:pctWidth>0</wp14:pctWidth>
            </wp14:sizeRelH>
            <wp14:sizeRelV relativeFrom="margin">
              <wp14:pctHeight>0</wp14:pctHeight>
            </wp14:sizeRelV>
          </wp:anchor>
        </w:drawing>
      </w:r>
    </w:p>
    <w:sdt>
      <w:sdtPr>
        <w:rPr>
          <w:color w:val="2B579A"/>
          <w:shd w:val="clear" w:color="auto" w:fill="E6E6E6"/>
        </w:rPr>
        <w:id w:val="1178162618"/>
        <w:docPartObj>
          <w:docPartGallery w:val="Cover Pages"/>
          <w:docPartUnique/>
        </w:docPartObj>
      </w:sdtPr>
      <w:sdtEndPr>
        <w:rPr>
          <w:color w:val="auto"/>
          <w:shd w:val="clear" w:color="auto" w:fill="auto"/>
        </w:rPr>
      </w:sdtEndPr>
      <w:sdtContent>
        <w:p w14:paraId="06003CC9" w14:textId="77777777" w:rsidR="006F2F6D" w:rsidRPr="006A561F" w:rsidRDefault="006F2F6D" w:rsidP="006F2F6D">
          <w:pPr>
            <w:tabs>
              <w:tab w:val="center" w:pos="4759"/>
            </w:tabs>
          </w:pPr>
          <w:r w:rsidRPr="006A561F">
            <w:tab/>
          </w:r>
        </w:p>
        <w:p w14:paraId="5228AE3B" w14:textId="77777777" w:rsidR="006F2F6D" w:rsidRPr="006A561F" w:rsidRDefault="006F2F6D" w:rsidP="006F2F6D">
          <w:pPr>
            <w:tabs>
              <w:tab w:val="left" w:pos="7566"/>
            </w:tabs>
            <w:rPr>
              <w:color w:val="000000"/>
            </w:rPr>
          </w:pPr>
          <w:r w:rsidRPr="006A561F">
            <w:br w:type="page"/>
          </w:r>
        </w:p>
      </w:sdtContent>
    </w:sdt>
    <w:p w14:paraId="7DB0E4A6" w14:textId="77777777" w:rsidR="006F2F6D" w:rsidRPr="006A561F" w:rsidRDefault="006F2F6D" w:rsidP="006F2F6D">
      <w:pPr>
        <w:rPr>
          <w:rFonts w:asciiTheme="minorHAnsi" w:hAnsiTheme="minorHAnsi" w:cstheme="minorHAnsi"/>
          <w:sz w:val="24"/>
          <w:szCs w:val="24"/>
        </w:rPr>
      </w:pPr>
    </w:p>
    <w:p w14:paraId="06409EA2" w14:textId="77777777" w:rsidR="006F2F6D" w:rsidRPr="006A561F" w:rsidRDefault="006F2F6D" w:rsidP="006F2F6D">
      <w:pPr>
        <w:rPr>
          <w:rFonts w:asciiTheme="minorHAnsi" w:hAnsiTheme="minorHAnsi" w:cstheme="minorHAnsi"/>
          <w:sz w:val="24"/>
          <w:szCs w:val="24"/>
        </w:rPr>
      </w:pPr>
    </w:p>
    <w:sdt>
      <w:sdtPr>
        <w:rPr>
          <w:rFonts w:ascii="Calibri" w:eastAsiaTheme="minorEastAsia" w:hAnsi="Calibri" w:cs="Arial"/>
          <w:b/>
          <w:noProof/>
          <w:color w:val="588B46" w:themeColor="text2"/>
          <w:sz w:val="22"/>
          <w:szCs w:val="22"/>
          <w:lang w:eastAsia="en-GB"/>
          <w14:scene3d>
            <w14:camera w14:prst="orthographicFront"/>
            <w14:lightRig w14:rig="threePt" w14:dir="t">
              <w14:rot w14:lat="0" w14:lon="0" w14:rev="0"/>
            </w14:lightRig>
          </w14:scene3d>
        </w:rPr>
        <w:id w:val="1346127750"/>
        <w:docPartObj>
          <w:docPartGallery w:val="Table of Contents"/>
          <w:docPartUnique/>
        </w:docPartObj>
      </w:sdtPr>
      <w:sdtContent>
        <w:p w14:paraId="781256BC" w14:textId="77777777" w:rsidR="006F2F6D" w:rsidRPr="006A561F" w:rsidRDefault="0CD162B1" w:rsidP="522E2469">
          <w:pPr>
            <w:pStyle w:val="TOCHeading"/>
            <w:rPr>
              <w:rFonts w:ascii="CubeOT" w:hAnsi="CubeOT" w:cs="CubeOT"/>
              <w:color w:val="588B46" w:themeColor="text2"/>
              <w:lang w:val="en-GB"/>
            </w:rPr>
          </w:pPr>
          <w:r w:rsidRPr="40E44CAF">
            <w:rPr>
              <w:rFonts w:ascii="CubeOT" w:hAnsi="CubeOT" w:cs="CubeOT"/>
              <w:color w:val="578A46"/>
              <w:lang w:val="en-GB"/>
            </w:rPr>
            <w:t>Contents</w:t>
          </w:r>
        </w:p>
        <w:p w14:paraId="7D999282" w14:textId="76ACF0B7" w:rsidR="0076005B" w:rsidRDefault="00977D27">
          <w:pPr>
            <w:pStyle w:val="TOC1"/>
            <w:rPr>
              <w:rFonts w:asciiTheme="minorHAnsi" w:hAnsiTheme="minorHAnsi" w:cstheme="minorBidi"/>
              <w:b w:val="0"/>
              <w:color w:val="auto"/>
              <w:sz w:val="24"/>
              <w:szCs w:val="24"/>
              <w:lang w:val="en-GB"/>
              <w14:scene3d>
                <w14:camera w14:prst="orthographicFront"/>
                <w14:lightRig w14:rig="threePt" w14:dir="t">
                  <w14:rot w14:lat="0" w14:lon="0" w14:rev="0"/>
                </w14:lightRig>
              </w14:scene3d>
            </w:rPr>
          </w:pPr>
          <w:r>
            <w:fldChar w:fldCharType="begin"/>
          </w:r>
          <w:r w:rsidR="006F2F6D">
            <w:instrText>TOC \o "1-1" \h \z \u</w:instrText>
          </w:r>
          <w:r>
            <w:fldChar w:fldCharType="separate"/>
          </w:r>
          <w:hyperlink w:anchor="_Toc123126193" w:history="1">
            <w:r w:rsidR="0076005B" w:rsidRPr="001F02A1">
              <w:rPr>
                <w:rStyle w:val="Hyperlink"/>
              </w:rPr>
              <w:t>Acknowledgements</w:t>
            </w:r>
            <w:r w:rsidR="0076005B">
              <w:rPr>
                <w:webHidden/>
              </w:rPr>
              <w:tab/>
            </w:r>
            <w:r w:rsidR="0076005B">
              <w:rPr>
                <w:webHidden/>
              </w:rPr>
              <w:fldChar w:fldCharType="begin"/>
            </w:r>
            <w:r w:rsidR="0076005B">
              <w:rPr>
                <w:webHidden/>
              </w:rPr>
              <w:instrText xml:space="preserve"> PAGEREF _Toc123126193 \h </w:instrText>
            </w:r>
            <w:r w:rsidR="0076005B">
              <w:rPr>
                <w:webHidden/>
              </w:rPr>
            </w:r>
            <w:r w:rsidR="0076005B">
              <w:rPr>
                <w:webHidden/>
              </w:rPr>
              <w:fldChar w:fldCharType="separate"/>
            </w:r>
            <w:r w:rsidR="0076005B">
              <w:rPr>
                <w:webHidden/>
              </w:rPr>
              <w:t xml:space="preserve"> </w:t>
            </w:r>
            <w:r w:rsidR="0076005B">
              <w:rPr>
                <w:webHidden/>
              </w:rPr>
              <w:fldChar w:fldCharType="end"/>
            </w:r>
          </w:hyperlink>
        </w:p>
        <w:p w14:paraId="07967C97" w14:textId="5B1B411C" w:rsidR="0076005B" w:rsidRDefault="0076005B">
          <w:pPr>
            <w:pStyle w:val="TOC1"/>
            <w:rPr>
              <w:rFonts w:asciiTheme="minorHAnsi" w:hAnsiTheme="minorHAnsi" w:cstheme="minorBidi"/>
              <w:b w:val="0"/>
              <w:color w:val="auto"/>
              <w:sz w:val="24"/>
              <w:szCs w:val="24"/>
              <w:lang w:val="en-GB"/>
              <w14:scene3d>
                <w14:camera w14:prst="orthographicFront"/>
                <w14:lightRig w14:rig="threePt" w14:dir="t">
                  <w14:rot w14:lat="0" w14:lon="0" w14:rev="0"/>
                </w14:lightRig>
              </w14:scene3d>
            </w:rPr>
          </w:pPr>
          <w:hyperlink w:anchor="_Toc123126194" w:history="1">
            <w:r w:rsidRPr="001F02A1">
              <w:rPr>
                <w:rStyle w:val="Hyperlink"/>
              </w:rPr>
              <w:t>Executive Summa</w:t>
            </w:r>
            <w:r w:rsidRPr="001F02A1">
              <w:rPr>
                <w:rStyle w:val="Hyperlink"/>
              </w:rPr>
              <w:t>r</w:t>
            </w:r>
            <w:r w:rsidRPr="001F02A1">
              <w:rPr>
                <w:rStyle w:val="Hyperlink"/>
              </w:rPr>
              <w:t>y</w:t>
            </w:r>
            <w:r>
              <w:rPr>
                <w:webHidden/>
              </w:rPr>
              <w:tab/>
            </w:r>
            <w:r>
              <w:rPr>
                <w:webHidden/>
              </w:rPr>
              <w:fldChar w:fldCharType="begin"/>
            </w:r>
            <w:r>
              <w:rPr>
                <w:webHidden/>
              </w:rPr>
              <w:instrText xml:space="preserve"> PAGEREF _Toc123126194 \h </w:instrText>
            </w:r>
            <w:r>
              <w:rPr>
                <w:webHidden/>
              </w:rPr>
            </w:r>
            <w:r>
              <w:rPr>
                <w:webHidden/>
              </w:rPr>
              <w:fldChar w:fldCharType="separate"/>
            </w:r>
            <w:r>
              <w:rPr>
                <w:webHidden/>
              </w:rPr>
              <w:t>1</w:t>
            </w:r>
            <w:r>
              <w:rPr>
                <w:webHidden/>
              </w:rPr>
              <w:fldChar w:fldCharType="end"/>
            </w:r>
          </w:hyperlink>
        </w:p>
        <w:p w14:paraId="33366DF8" w14:textId="05BD360D" w:rsidR="0076005B" w:rsidRDefault="0076005B">
          <w:pPr>
            <w:pStyle w:val="TOC1"/>
            <w:rPr>
              <w:rFonts w:asciiTheme="minorHAnsi" w:hAnsiTheme="minorHAnsi" w:cstheme="minorBidi"/>
              <w:b w:val="0"/>
              <w:color w:val="auto"/>
              <w:sz w:val="24"/>
              <w:szCs w:val="24"/>
              <w:lang w:val="en-GB"/>
              <w14:scene3d>
                <w14:camera w14:prst="orthographicFront"/>
                <w14:lightRig w14:rig="threePt" w14:dir="t">
                  <w14:rot w14:lat="0" w14:lon="0" w14:rev="0"/>
                </w14:lightRig>
              </w14:scene3d>
            </w:rPr>
          </w:pPr>
          <w:hyperlink w:anchor="_Toc123126195" w:history="1">
            <w:r w:rsidRPr="001F02A1">
              <w:rPr>
                <w:rStyle w:val="Hyperlink"/>
              </w:rPr>
              <w:t>1.</w:t>
            </w:r>
            <w:r>
              <w:rPr>
                <w:rFonts w:asciiTheme="minorHAnsi" w:hAnsiTheme="minorHAnsi" w:cstheme="minorBidi"/>
                <w:b w:val="0"/>
                <w:color w:val="auto"/>
                <w:sz w:val="24"/>
                <w:szCs w:val="24"/>
                <w:lang w:val="en-GB"/>
                <w14:scene3d>
                  <w14:camera w14:prst="orthographicFront"/>
                  <w14:lightRig w14:rig="threePt" w14:dir="t">
                    <w14:rot w14:lat="0" w14:lon="0" w14:rev="0"/>
                  </w14:lightRig>
                </w14:scene3d>
              </w:rPr>
              <w:tab/>
            </w:r>
            <w:r w:rsidRPr="001F02A1">
              <w:rPr>
                <w:rStyle w:val="Hyperlink"/>
              </w:rPr>
              <w:t>Background and Context of the evaluation</w:t>
            </w:r>
            <w:r>
              <w:rPr>
                <w:webHidden/>
              </w:rPr>
              <w:tab/>
            </w:r>
            <w:r>
              <w:rPr>
                <w:webHidden/>
              </w:rPr>
              <w:fldChar w:fldCharType="begin"/>
            </w:r>
            <w:r>
              <w:rPr>
                <w:webHidden/>
              </w:rPr>
              <w:instrText xml:space="preserve"> PAGEREF _Toc123126195 \h </w:instrText>
            </w:r>
            <w:r>
              <w:rPr>
                <w:webHidden/>
              </w:rPr>
            </w:r>
            <w:r>
              <w:rPr>
                <w:webHidden/>
              </w:rPr>
              <w:fldChar w:fldCharType="separate"/>
            </w:r>
            <w:r>
              <w:rPr>
                <w:webHidden/>
              </w:rPr>
              <w:t>7</w:t>
            </w:r>
            <w:r>
              <w:rPr>
                <w:webHidden/>
              </w:rPr>
              <w:fldChar w:fldCharType="end"/>
            </w:r>
          </w:hyperlink>
        </w:p>
        <w:p w14:paraId="4A259703" w14:textId="6F0794EC" w:rsidR="0076005B" w:rsidRDefault="0076005B">
          <w:pPr>
            <w:pStyle w:val="TOC1"/>
            <w:rPr>
              <w:rFonts w:asciiTheme="minorHAnsi" w:hAnsiTheme="minorHAnsi" w:cstheme="minorBidi"/>
              <w:b w:val="0"/>
              <w:color w:val="auto"/>
              <w:sz w:val="24"/>
              <w:szCs w:val="24"/>
              <w:lang w:val="en-GB"/>
              <w14:scene3d>
                <w14:camera w14:prst="orthographicFront"/>
                <w14:lightRig w14:rig="threePt" w14:dir="t">
                  <w14:rot w14:lat="0" w14:lon="0" w14:rev="0"/>
                </w14:lightRig>
              </w14:scene3d>
            </w:rPr>
          </w:pPr>
          <w:hyperlink w:anchor="_Toc123126196" w:history="1">
            <w:r w:rsidRPr="001F02A1">
              <w:rPr>
                <w:rStyle w:val="Hyperlink"/>
              </w:rPr>
              <w:t>2. The MWGE Programme</w:t>
            </w:r>
            <w:r>
              <w:rPr>
                <w:webHidden/>
              </w:rPr>
              <w:tab/>
            </w:r>
            <w:r>
              <w:rPr>
                <w:webHidden/>
              </w:rPr>
              <w:fldChar w:fldCharType="begin"/>
            </w:r>
            <w:r>
              <w:rPr>
                <w:webHidden/>
              </w:rPr>
              <w:instrText xml:space="preserve"> PAGEREF _Toc123126196 \h </w:instrText>
            </w:r>
            <w:r>
              <w:rPr>
                <w:webHidden/>
              </w:rPr>
            </w:r>
            <w:r>
              <w:rPr>
                <w:webHidden/>
              </w:rPr>
              <w:fldChar w:fldCharType="separate"/>
            </w:r>
            <w:r>
              <w:rPr>
                <w:webHidden/>
              </w:rPr>
              <w:t>13</w:t>
            </w:r>
            <w:r>
              <w:rPr>
                <w:webHidden/>
              </w:rPr>
              <w:fldChar w:fldCharType="end"/>
            </w:r>
          </w:hyperlink>
        </w:p>
        <w:p w14:paraId="1F1F38B7" w14:textId="1455DE34" w:rsidR="0076005B" w:rsidRDefault="0076005B">
          <w:pPr>
            <w:pStyle w:val="TOC1"/>
            <w:rPr>
              <w:rFonts w:asciiTheme="minorHAnsi" w:hAnsiTheme="minorHAnsi" w:cstheme="minorBidi"/>
              <w:b w:val="0"/>
              <w:color w:val="auto"/>
              <w:sz w:val="24"/>
              <w:szCs w:val="24"/>
              <w:lang w:val="en-GB"/>
              <w14:scene3d>
                <w14:camera w14:prst="orthographicFront"/>
                <w14:lightRig w14:rig="threePt" w14:dir="t">
                  <w14:rot w14:lat="0" w14:lon="0" w14:rev="0"/>
                </w14:lightRig>
              </w14:scene3d>
            </w:rPr>
          </w:pPr>
          <w:hyperlink w:anchor="_Toc123126197" w:history="1">
            <w:r w:rsidRPr="001F02A1">
              <w:rPr>
                <w:rStyle w:val="Hyperlink"/>
              </w:rPr>
              <w:t>4. Evaluation Methodology and Limitations</w:t>
            </w:r>
            <w:r>
              <w:rPr>
                <w:webHidden/>
              </w:rPr>
              <w:tab/>
            </w:r>
            <w:r>
              <w:rPr>
                <w:webHidden/>
              </w:rPr>
              <w:fldChar w:fldCharType="begin"/>
            </w:r>
            <w:r>
              <w:rPr>
                <w:webHidden/>
              </w:rPr>
              <w:instrText xml:space="preserve"> PAGEREF _Toc123126197 \h </w:instrText>
            </w:r>
            <w:r>
              <w:rPr>
                <w:webHidden/>
              </w:rPr>
            </w:r>
            <w:r>
              <w:rPr>
                <w:webHidden/>
              </w:rPr>
              <w:fldChar w:fldCharType="separate"/>
            </w:r>
            <w:r>
              <w:rPr>
                <w:webHidden/>
              </w:rPr>
              <w:t>21</w:t>
            </w:r>
            <w:r>
              <w:rPr>
                <w:webHidden/>
              </w:rPr>
              <w:fldChar w:fldCharType="end"/>
            </w:r>
          </w:hyperlink>
        </w:p>
        <w:p w14:paraId="0BCF8A2B" w14:textId="3FA9CFCE" w:rsidR="0076005B" w:rsidRDefault="0076005B">
          <w:pPr>
            <w:pStyle w:val="TOC1"/>
            <w:rPr>
              <w:rFonts w:asciiTheme="minorHAnsi" w:hAnsiTheme="minorHAnsi" w:cstheme="minorBidi"/>
              <w:b w:val="0"/>
              <w:color w:val="auto"/>
              <w:sz w:val="24"/>
              <w:szCs w:val="24"/>
              <w:lang w:val="en-GB"/>
              <w14:scene3d>
                <w14:camera w14:prst="orthographicFront"/>
                <w14:lightRig w14:rig="threePt" w14:dir="t">
                  <w14:rot w14:lat="0" w14:lon="0" w14:rev="0"/>
                </w14:lightRig>
              </w14:scene3d>
            </w:rPr>
          </w:pPr>
          <w:hyperlink w:anchor="_Toc123126198" w:history="1">
            <w:r w:rsidRPr="001F02A1">
              <w:rPr>
                <w:rStyle w:val="Hyperlink"/>
              </w:rPr>
              <w:t>5. Findings</w:t>
            </w:r>
            <w:r>
              <w:rPr>
                <w:webHidden/>
              </w:rPr>
              <w:tab/>
            </w:r>
            <w:r>
              <w:rPr>
                <w:webHidden/>
              </w:rPr>
              <w:fldChar w:fldCharType="begin"/>
            </w:r>
            <w:r>
              <w:rPr>
                <w:webHidden/>
              </w:rPr>
              <w:instrText xml:space="preserve"> PAGEREF _Toc123126198 \h </w:instrText>
            </w:r>
            <w:r>
              <w:rPr>
                <w:webHidden/>
              </w:rPr>
            </w:r>
            <w:r>
              <w:rPr>
                <w:webHidden/>
              </w:rPr>
              <w:fldChar w:fldCharType="separate"/>
            </w:r>
            <w:r>
              <w:rPr>
                <w:webHidden/>
              </w:rPr>
              <w:t>27</w:t>
            </w:r>
            <w:r>
              <w:rPr>
                <w:webHidden/>
              </w:rPr>
              <w:fldChar w:fldCharType="end"/>
            </w:r>
          </w:hyperlink>
        </w:p>
        <w:p w14:paraId="33F44440" w14:textId="0641292D" w:rsidR="0076005B" w:rsidRDefault="0076005B">
          <w:pPr>
            <w:pStyle w:val="TOC1"/>
            <w:rPr>
              <w:rFonts w:asciiTheme="minorHAnsi" w:hAnsiTheme="minorHAnsi" w:cstheme="minorBidi"/>
              <w:b w:val="0"/>
              <w:color w:val="auto"/>
              <w:sz w:val="24"/>
              <w:szCs w:val="24"/>
              <w:lang w:val="en-GB"/>
              <w14:scene3d>
                <w14:camera w14:prst="orthographicFront"/>
                <w14:lightRig w14:rig="threePt" w14:dir="t">
                  <w14:rot w14:lat="0" w14:lon="0" w14:rev="0"/>
                </w14:lightRig>
              </w14:scene3d>
            </w:rPr>
          </w:pPr>
          <w:hyperlink w:anchor="_Toc123126199" w:history="1">
            <w:r w:rsidRPr="001F02A1">
              <w:rPr>
                <w:rStyle w:val="Hyperlink"/>
              </w:rPr>
              <w:t>5.</w:t>
            </w:r>
            <w:r>
              <w:rPr>
                <w:rFonts w:asciiTheme="minorHAnsi" w:hAnsiTheme="minorHAnsi" w:cstheme="minorBidi"/>
                <w:b w:val="0"/>
                <w:color w:val="auto"/>
                <w:sz w:val="24"/>
                <w:szCs w:val="24"/>
                <w:lang w:val="en-GB"/>
                <w14:scene3d>
                  <w14:camera w14:prst="orthographicFront"/>
                  <w14:lightRig w14:rig="threePt" w14:dir="t">
                    <w14:rot w14:lat="0" w14:lon="0" w14:rev="0"/>
                  </w14:lightRig>
                </w14:scene3d>
              </w:rPr>
              <w:tab/>
            </w:r>
            <w:r w:rsidRPr="001F02A1">
              <w:rPr>
                <w:rStyle w:val="Hyperlink"/>
              </w:rPr>
              <w:t>Lessons Learned</w:t>
            </w:r>
            <w:r>
              <w:rPr>
                <w:webHidden/>
              </w:rPr>
              <w:tab/>
            </w:r>
            <w:r>
              <w:rPr>
                <w:webHidden/>
              </w:rPr>
              <w:fldChar w:fldCharType="begin"/>
            </w:r>
            <w:r>
              <w:rPr>
                <w:webHidden/>
              </w:rPr>
              <w:instrText xml:space="preserve"> PAGEREF _Toc123126199 \h </w:instrText>
            </w:r>
            <w:r>
              <w:rPr>
                <w:webHidden/>
              </w:rPr>
            </w:r>
            <w:r>
              <w:rPr>
                <w:webHidden/>
              </w:rPr>
              <w:fldChar w:fldCharType="separate"/>
            </w:r>
            <w:r>
              <w:rPr>
                <w:webHidden/>
              </w:rPr>
              <w:t>64</w:t>
            </w:r>
            <w:r>
              <w:rPr>
                <w:webHidden/>
              </w:rPr>
              <w:fldChar w:fldCharType="end"/>
            </w:r>
          </w:hyperlink>
        </w:p>
        <w:p w14:paraId="3CEB20AB" w14:textId="104664D5" w:rsidR="0076005B" w:rsidRDefault="0076005B">
          <w:pPr>
            <w:pStyle w:val="TOC1"/>
            <w:rPr>
              <w:rFonts w:asciiTheme="minorHAnsi" w:hAnsiTheme="minorHAnsi" w:cstheme="minorBidi"/>
              <w:b w:val="0"/>
              <w:color w:val="auto"/>
              <w:sz w:val="24"/>
              <w:szCs w:val="24"/>
              <w:lang w:val="en-GB"/>
              <w14:scene3d>
                <w14:camera w14:prst="orthographicFront"/>
                <w14:lightRig w14:rig="threePt" w14:dir="t">
                  <w14:rot w14:lat="0" w14:lon="0" w14:rev="0"/>
                </w14:lightRig>
              </w14:scene3d>
            </w:rPr>
          </w:pPr>
          <w:hyperlink w:anchor="_Toc123126200" w:history="1">
            <w:r w:rsidRPr="001F02A1">
              <w:rPr>
                <w:rStyle w:val="Hyperlink"/>
              </w:rPr>
              <w:t>6.</w:t>
            </w:r>
            <w:r>
              <w:rPr>
                <w:rFonts w:asciiTheme="minorHAnsi" w:hAnsiTheme="minorHAnsi" w:cstheme="minorBidi"/>
                <w:b w:val="0"/>
                <w:color w:val="auto"/>
                <w:sz w:val="24"/>
                <w:szCs w:val="24"/>
                <w:lang w:val="en-GB"/>
                <w14:scene3d>
                  <w14:camera w14:prst="orthographicFront"/>
                  <w14:lightRig w14:rig="threePt" w14:dir="t">
                    <w14:rot w14:lat="0" w14:lon="0" w14:rev="0"/>
                  </w14:lightRig>
                </w14:scene3d>
              </w:rPr>
              <w:tab/>
            </w:r>
            <w:r w:rsidRPr="001F02A1">
              <w:rPr>
                <w:rStyle w:val="Hyperlink"/>
              </w:rPr>
              <w:t>Conclusions</w:t>
            </w:r>
            <w:r>
              <w:rPr>
                <w:webHidden/>
              </w:rPr>
              <w:tab/>
            </w:r>
            <w:r>
              <w:rPr>
                <w:webHidden/>
              </w:rPr>
              <w:fldChar w:fldCharType="begin"/>
            </w:r>
            <w:r>
              <w:rPr>
                <w:webHidden/>
              </w:rPr>
              <w:instrText xml:space="preserve"> PAGEREF _Toc123126200 \h </w:instrText>
            </w:r>
            <w:r>
              <w:rPr>
                <w:webHidden/>
              </w:rPr>
            </w:r>
            <w:r>
              <w:rPr>
                <w:webHidden/>
              </w:rPr>
              <w:fldChar w:fldCharType="separate"/>
            </w:r>
            <w:r>
              <w:rPr>
                <w:webHidden/>
              </w:rPr>
              <w:t>66</w:t>
            </w:r>
            <w:r>
              <w:rPr>
                <w:webHidden/>
              </w:rPr>
              <w:fldChar w:fldCharType="end"/>
            </w:r>
          </w:hyperlink>
        </w:p>
        <w:p w14:paraId="23511CA9" w14:textId="43F49F6C" w:rsidR="0076005B" w:rsidRDefault="0076005B">
          <w:pPr>
            <w:pStyle w:val="TOC1"/>
            <w:rPr>
              <w:rFonts w:asciiTheme="minorHAnsi" w:hAnsiTheme="minorHAnsi" w:cstheme="minorBidi"/>
              <w:b w:val="0"/>
              <w:color w:val="auto"/>
              <w:sz w:val="24"/>
              <w:szCs w:val="24"/>
              <w:lang w:val="en-GB"/>
              <w14:scene3d>
                <w14:camera w14:prst="orthographicFront"/>
                <w14:lightRig w14:rig="threePt" w14:dir="t">
                  <w14:rot w14:lat="0" w14:lon="0" w14:rev="0"/>
                </w14:lightRig>
              </w14:scene3d>
            </w:rPr>
          </w:pPr>
          <w:hyperlink w:anchor="_Toc123126201" w:history="1">
            <w:r w:rsidRPr="001F02A1">
              <w:rPr>
                <w:rStyle w:val="Hyperlink"/>
                <w:rFonts w:eastAsia="Calibri"/>
              </w:rPr>
              <w:t>7.</w:t>
            </w:r>
            <w:r>
              <w:rPr>
                <w:rFonts w:asciiTheme="minorHAnsi" w:hAnsiTheme="minorHAnsi" w:cstheme="minorBidi"/>
                <w:b w:val="0"/>
                <w:color w:val="auto"/>
                <w:sz w:val="24"/>
                <w:szCs w:val="24"/>
                <w:lang w:val="en-GB"/>
                <w14:scene3d>
                  <w14:camera w14:prst="orthographicFront"/>
                  <w14:lightRig w14:rig="threePt" w14:dir="t">
                    <w14:rot w14:lat="0" w14:lon="0" w14:rev="0"/>
                  </w14:lightRig>
                </w14:scene3d>
              </w:rPr>
              <w:tab/>
            </w:r>
            <w:r w:rsidRPr="001F02A1">
              <w:rPr>
                <w:rStyle w:val="Hyperlink"/>
              </w:rPr>
              <w:t>Recommendations</w:t>
            </w:r>
            <w:r>
              <w:rPr>
                <w:webHidden/>
              </w:rPr>
              <w:tab/>
            </w:r>
            <w:r>
              <w:rPr>
                <w:webHidden/>
              </w:rPr>
              <w:fldChar w:fldCharType="begin"/>
            </w:r>
            <w:r>
              <w:rPr>
                <w:webHidden/>
              </w:rPr>
              <w:instrText xml:space="preserve"> PAGEREF _Toc123126201 \h </w:instrText>
            </w:r>
            <w:r>
              <w:rPr>
                <w:webHidden/>
              </w:rPr>
            </w:r>
            <w:r>
              <w:rPr>
                <w:webHidden/>
              </w:rPr>
              <w:fldChar w:fldCharType="separate"/>
            </w:r>
            <w:r>
              <w:rPr>
                <w:webHidden/>
              </w:rPr>
              <w:t>69</w:t>
            </w:r>
            <w:r>
              <w:rPr>
                <w:webHidden/>
              </w:rPr>
              <w:fldChar w:fldCharType="end"/>
            </w:r>
          </w:hyperlink>
        </w:p>
        <w:p w14:paraId="79C53F61" w14:textId="6D673E7B" w:rsidR="0076005B" w:rsidRDefault="0076005B">
          <w:pPr>
            <w:pStyle w:val="TOC1"/>
            <w:rPr>
              <w:rFonts w:asciiTheme="minorHAnsi" w:hAnsiTheme="minorHAnsi" w:cstheme="minorBidi"/>
              <w:b w:val="0"/>
              <w:color w:val="auto"/>
              <w:sz w:val="24"/>
              <w:szCs w:val="24"/>
              <w:lang w:val="en-GB"/>
              <w14:scene3d>
                <w14:camera w14:prst="orthographicFront"/>
                <w14:lightRig w14:rig="threePt" w14:dir="t">
                  <w14:rot w14:lat="0" w14:lon="0" w14:rev="0"/>
                </w14:lightRig>
              </w14:scene3d>
            </w:rPr>
          </w:pPr>
          <w:hyperlink w:anchor="_Toc123126202" w:history="1">
            <w:r w:rsidRPr="001F02A1">
              <w:rPr>
                <w:rStyle w:val="Hyperlink"/>
              </w:rPr>
              <w:t>References</w:t>
            </w:r>
            <w:r>
              <w:rPr>
                <w:webHidden/>
              </w:rPr>
              <w:tab/>
            </w:r>
            <w:r>
              <w:rPr>
                <w:webHidden/>
              </w:rPr>
              <w:fldChar w:fldCharType="begin"/>
            </w:r>
            <w:r>
              <w:rPr>
                <w:webHidden/>
              </w:rPr>
              <w:instrText xml:space="preserve"> PAGEREF _Toc123126202 \h </w:instrText>
            </w:r>
            <w:r>
              <w:rPr>
                <w:webHidden/>
              </w:rPr>
            </w:r>
            <w:r>
              <w:rPr>
                <w:webHidden/>
              </w:rPr>
              <w:fldChar w:fldCharType="separate"/>
            </w:r>
            <w:r>
              <w:rPr>
                <w:webHidden/>
              </w:rPr>
              <w:t>89</w:t>
            </w:r>
            <w:r>
              <w:rPr>
                <w:webHidden/>
              </w:rPr>
              <w:fldChar w:fldCharType="end"/>
            </w:r>
          </w:hyperlink>
        </w:p>
        <w:p w14:paraId="74F791A0" w14:textId="1F1D7117" w:rsidR="00917CBB" w:rsidRDefault="00977D27" w:rsidP="522E2469">
          <w:pPr>
            <w:pStyle w:val="TOC1"/>
            <w:tabs>
              <w:tab w:val="right" w:leader="dot" w:pos="9510"/>
            </w:tabs>
            <w:rPr>
              <w:rStyle w:val="Hyperlink"/>
              <w:lang w:val="en-GB"/>
            </w:rPr>
          </w:pPr>
          <w:r>
            <w:fldChar w:fldCharType="end"/>
          </w:r>
        </w:p>
      </w:sdtContent>
    </w:sdt>
    <w:p w14:paraId="589AAE25" w14:textId="77777777" w:rsidR="006F2F6D" w:rsidRPr="00967378" w:rsidRDefault="006F2F6D" w:rsidP="00967378"/>
    <w:p w14:paraId="4117A792" w14:textId="77777777" w:rsidR="00004A20" w:rsidRDefault="00004A20" w:rsidP="00004A20">
      <w:pPr>
        <w:pStyle w:val="ItadH2"/>
        <w:rPr>
          <w:shd w:val="clear" w:color="auto" w:fill="E6E6E6"/>
          <w:lang w:val="en-GB" w:eastAsia="en-GB"/>
        </w:rPr>
      </w:pPr>
      <w:r w:rsidRPr="006A561F">
        <w:rPr>
          <w:shd w:val="clear" w:color="auto" w:fill="E6E6E6"/>
          <w:lang w:val="en-GB" w:eastAsia="en-GB"/>
        </w:rPr>
        <w:t>List of Figures</w:t>
      </w:r>
    </w:p>
    <w:p w14:paraId="4384559E" w14:textId="77777777" w:rsidR="00004A20" w:rsidRDefault="00004A20">
      <w:pPr>
        <w:pStyle w:val="TableofFigures"/>
        <w:tabs>
          <w:tab w:val="left" w:pos="1278"/>
          <w:tab w:val="right" w:leader="dot" w:pos="9514"/>
        </w:tabs>
        <w:rPr>
          <w:shd w:val="clear" w:color="auto" w:fill="E6E6E6"/>
          <w:lang w:eastAsia="en-GB"/>
        </w:rPr>
      </w:pPr>
    </w:p>
    <w:p w14:paraId="3897DDB0" w14:textId="429B7C59" w:rsidR="0076005B" w:rsidRDefault="00EA23C4">
      <w:pPr>
        <w:pStyle w:val="TableofFigures"/>
        <w:tabs>
          <w:tab w:val="left" w:pos="1278"/>
          <w:tab w:val="right" w:leader="dot" w:pos="9514"/>
        </w:tabs>
        <w:rPr>
          <w:rFonts w:asciiTheme="minorHAnsi" w:eastAsiaTheme="minorEastAsia" w:hAnsiTheme="minorHAnsi" w:cstheme="minorBidi"/>
          <w:noProof/>
          <w:sz w:val="24"/>
          <w:szCs w:val="24"/>
          <w:lang w:eastAsia="en-GB"/>
        </w:rPr>
      </w:pPr>
      <w:r>
        <w:rPr>
          <w:shd w:val="clear" w:color="auto" w:fill="E6E6E6"/>
          <w:lang w:eastAsia="en-GB"/>
        </w:rPr>
        <w:fldChar w:fldCharType="begin"/>
      </w:r>
      <w:r>
        <w:rPr>
          <w:shd w:val="clear" w:color="auto" w:fill="E6E6E6"/>
          <w:lang w:eastAsia="en-GB"/>
        </w:rPr>
        <w:instrText xml:space="preserve"> TOC \h \z \t "Itad Figure Text" \c </w:instrText>
      </w:r>
      <w:r>
        <w:rPr>
          <w:shd w:val="clear" w:color="auto" w:fill="E6E6E6"/>
          <w:lang w:eastAsia="en-GB"/>
        </w:rPr>
        <w:fldChar w:fldCharType="separate"/>
      </w:r>
      <w:hyperlink w:anchor="_Toc123126145" w:history="1">
        <w:r w:rsidR="0076005B" w:rsidRPr="00BC7CBC">
          <w:rPr>
            <w:rStyle w:val="Hyperlink"/>
            <w:noProof/>
            <w14:scene3d>
              <w14:camera w14:prst="orthographicFront"/>
              <w14:lightRig w14:rig="threePt" w14:dir="t">
                <w14:rot w14:lat="0" w14:lon="0" w14:rev="0"/>
              </w14:lightRig>
            </w14:scene3d>
          </w:rPr>
          <w:t>Figure 1:</w:t>
        </w:r>
        <w:r w:rsidR="0076005B">
          <w:rPr>
            <w:rFonts w:asciiTheme="minorHAnsi" w:eastAsiaTheme="minorEastAsia" w:hAnsiTheme="minorHAnsi" w:cstheme="minorBidi"/>
            <w:noProof/>
            <w:sz w:val="24"/>
            <w:szCs w:val="24"/>
            <w:lang w:eastAsia="en-GB"/>
          </w:rPr>
          <w:tab/>
        </w:r>
        <w:r w:rsidR="0076005B" w:rsidRPr="00BC7CBC">
          <w:rPr>
            <w:rStyle w:val="Hyperlink"/>
            <w:noProof/>
          </w:rPr>
          <w:t>Organigram of MWGE</w:t>
        </w:r>
        <w:r w:rsidR="0076005B">
          <w:rPr>
            <w:noProof/>
            <w:webHidden/>
          </w:rPr>
          <w:tab/>
        </w:r>
        <w:r w:rsidR="0076005B">
          <w:rPr>
            <w:noProof/>
            <w:webHidden/>
          </w:rPr>
          <w:fldChar w:fldCharType="begin"/>
        </w:r>
        <w:r w:rsidR="0076005B">
          <w:rPr>
            <w:noProof/>
            <w:webHidden/>
          </w:rPr>
          <w:instrText xml:space="preserve"> PAGEREF _Toc123126145 \h </w:instrText>
        </w:r>
        <w:r w:rsidR="0076005B">
          <w:rPr>
            <w:noProof/>
            <w:webHidden/>
          </w:rPr>
        </w:r>
        <w:r w:rsidR="0076005B">
          <w:rPr>
            <w:noProof/>
            <w:webHidden/>
          </w:rPr>
          <w:fldChar w:fldCharType="separate"/>
        </w:r>
        <w:r w:rsidR="0076005B">
          <w:rPr>
            <w:noProof/>
            <w:webHidden/>
          </w:rPr>
          <w:t>18</w:t>
        </w:r>
        <w:r w:rsidR="0076005B">
          <w:rPr>
            <w:noProof/>
            <w:webHidden/>
          </w:rPr>
          <w:fldChar w:fldCharType="end"/>
        </w:r>
      </w:hyperlink>
    </w:p>
    <w:p w14:paraId="35207A63" w14:textId="51016C9D" w:rsidR="0076005B" w:rsidRDefault="0076005B">
      <w:pPr>
        <w:pStyle w:val="TableofFigures"/>
        <w:tabs>
          <w:tab w:val="left" w:pos="1278"/>
          <w:tab w:val="right" w:leader="dot" w:pos="9514"/>
        </w:tabs>
        <w:rPr>
          <w:rFonts w:asciiTheme="minorHAnsi" w:eastAsiaTheme="minorEastAsia" w:hAnsiTheme="minorHAnsi" w:cstheme="minorBidi"/>
          <w:noProof/>
          <w:sz w:val="24"/>
          <w:szCs w:val="24"/>
          <w:lang w:eastAsia="en-GB"/>
        </w:rPr>
      </w:pPr>
      <w:hyperlink w:anchor="_Toc123126146" w:history="1">
        <w:r w:rsidRPr="00BC7CBC">
          <w:rPr>
            <w:rStyle w:val="Hyperlink"/>
            <w:noProof/>
            <w14:scene3d>
              <w14:camera w14:prst="orthographicFront"/>
              <w14:lightRig w14:rig="threePt" w14:dir="t">
                <w14:rot w14:lat="0" w14:lon="0" w14:rev="0"/>
              </w14:lightRig>
            </w14:scene3d>
          </w:rPr>
          <w:t>Figure 2:</w:t>
        </w:r>
        <w:r>
          <w:rPr>
            <w:rFonts w:asciiTheme="minorHAnsi" w:eastAsiaTheme="minorEastAsia" w:hAnsiTheme="minorHAnsi" w:cstheme="minorBidi"/>
            <w:noProof/>
            <w:sz w:val="24"/>
            <w:szCs w:val="24"/>
            <w:lang w:eastAsia="en-GB"/>
          </w:rPr>
          <w:tab/>
        </w:r>
        <w:r w:rsidRPr="00BC7CBC">
          <w:rPr>
            <w:rStyle w:val="Hyperlink"/>
            <w:noProof/>
          </w:rPr>
          <w:t>KIIs per UN Office / location, in relation to total target</w:t>
        </w:r>
        <w:r>
          <w:rPr>
            <w:noProof/>
            <w:webHidden/>
          </w:rPr>
          <w:tab/>
        </w:r>
        <w:r>
          <w:rPr>
            <w:noProof/>
            <w:webHidden/>
          </w:rPr>
          <w:fldChar w:fldCharType="begin"/>
        </w:r>
        <w:r>
          <w:rPr>
            <w:noProof/>
            <w:webHidden/>
          </w:rPr>
          <w:instrText xml:space="preserve"> PAGEREF _Toc123126146 \h </w:instrText>
        </w:r>
        <w:r>
          <w:rPr>
            <w:noProof/>
            <w:webHidden/>
          </w:rPr>
        </w:r>
        <w:r>
          <w:rPr>
            <w:noProof/>
            <w:webHidden/>
          </w:rPr>
          <w:fldChar w:fldCharType="separate"/>
        </w:r>
        <w:r>
          <w:rPr>
            <w:noProof/>
            <w:webHidden/>
          </w:rPr>
          <w:t>24</w:t>
        </w:r>
        <w:r>
          <w:rPr>
            <w:noProof/>
            <w:webHidden/>
          </w:rPr>
          <w:fldChar w:fldCharType="end"/>
        </w:r>
      </w:hyperlink>
    </w:p>
    <w:p w14:paraId="3A03EC73" w14:textId="6ECD5789" w:rsidR="0076005B" w:rsidRDefault="0076005B">
      <w:pPr>
        <w:pStyle w:val="TableofFigures"/>
        <w:tabs>
          <w:tab w:val="left" w:pos="1278"/>
          <w:tab w:val="right" w:leader="dot" w:pos="9514"/>
        </w:tabs>
        <w:rPr>
          <w:rFonts w:asciiTheme="minorHAnsi" w:eastAsiaTheme="minorEastAsia" w:hAnsiTheme="minorHAnsi" w:cstheme="minorBidi"/>
          <w:noProof/>
          <w:sz w:val="24"/>
          <w:szCs w:val="24"/>
          <w:lang w:eastAsia="en-GB"/>
        </w:rPr>
      </w:pPr>
      <w:hyperlink w:anchor="_Toc123126147" w:history="1">
        <w:r w:rsidRPr="00BC7CBC">
          <w:rPr>
            <w:rStyle w:val="Hyperlink"/>
            <w:noProof/>
            <w14:scene3d>
              <w14:camera w14:prst="orthographicFront"/>
              <w14:lightRig w14:rig="threePt" w14:dir="t">
                <w14:rot w14:lat="0" w14:lon="0" w14:rev="0"/>
              </w14:lightRig>
            </w14:scene3d>
          </w:rPr>
          <w:t>Figure 3:</w:t>
        </w:r>
        <w:r>
          <w:rPr>
            <w:rFonts w:asciiTheme="minorHAnsi" w:eastAsiaTheme="minorEastAsia" w:hAnsiTheme="minorHAnsi" w:cstheme="minorBidi"/>
            <w:noProof/>
            <w:sz w:val="24"/>
            <w:szCs w:val="24"/>
            <w:lang w:eastAsia="en-GB"/>
          </w:rPr>
          <w:tab/>
        </w:r>
        <w:r w:rsidRPr="00BC7CBC">
          <w:rPr>
            <w:rStyle w:val="Hyperlink"/>
            <w:noProof/>
          </w:rPr>
          <w:t>Relative changes (percentage) in the GEMS score (baseline to endline) by country and sex</w:t>
        </w:r>
        <w:r>
          <w:rPr>
            <w:noProof/>
            <w:webHidden/>
          </w:rPr>
          <w:tab/>
        </w:r>
        <w:r>
          <w:rPr>
            <w:noProof/>
            <w:webHidden/>
          </w:rPr>
          <w:fldChar w:fldCharType="begin"/>
        </w:r>
        <w:r>
          <w:rPr>
            <w:noProof/>
            <w:webHidden/>
          </w:rPr>
          <w:instrText xml:space="preserve"> PAGEREF _Toc123126147 \h </w:instrText>
        </w:r>
        <w:r>
          <w:rPr>
            <w:noProof/>
            <w:webHidden/>
          </w:rPr>
        </w:r>
        <w:r>
          <w:rPr>
            <w:noProof/>
            <w:webHidden/>
          </w:rPr>
          <w:fldChar w:fldCharType="separate"/>
        </w:r>
        <w:r>
          <w:rPr>
            <w:noProof/>
            <w:webHidden/>
          </w:rPr>
          <w:t>37</w:t>
        </w:r>
        <w:r>
          <w:rPr>
            <w:noProof/>
            <w:webHidden/>
          </w:rPr>
          <w:fldChar w:fldCharType="end"/>
        </w:r>
      </w:hyperlink>
    </w:p>
    <w:p w14:paraId="4392D25E" w14:textId="77D623F8" w:rsidR="0076005B" w:rsidRDefault="0076005B">
      <w:pPr>
        <w:pStyle w:val="TableofFigures"/>
        <w:tabs>
          <w:tab w:val="left" w:pos="1278"/>
          <w:tab w:val="right" w:leader="dot" w:pos="9514"/>
        </w:tabs>
        <w:rPr>
          <w:rFonts w:asciiTheme="minorHAnsi" w:eastAsiaTheme="minorEastAsia" w:hAnsiTheme="minorHAnsi" w:cstheme="minorBidi"/>
          <w:noProof/>
          <w:sz w:val="24"/>
          <w:szCs w:val="24"/>
          <w:lang w:eastAsia="en-GB"/>
        </w:rPr>
      </w:pPr>
      <w:hyperlink w:anchor="_Toc123126148" w:history="1">
        <w:r w:rsidRPr="00BC7CBC">
          <w:rPr>
            <w:rStyle w:val="Hyperlink"/>
            <w:noProof/>
            <w14:scene3d>
              <w14:camera w14:prst="orthographicFront"/>
              <w14:lightRig w14:rig="threePt" w14:dir="t">
                <w14:rot w14:lat="0" w14:lon="0" w14:rev="0"/>
              </w14:lightRig>
            </w14:scene3d>
          </w:rPr>
          <w:t>Figure 4:</w:t>
        </w:r>
        <w:r>
          <w:rPr>
            <w:rFonts w:asciiTheme="minorHAnsi" w:eastAsiaTheme="minorEastAsia" w:hAnsiTheme="minorHAnsi" w:cstheme="minorBidi"/>
            <w:noProof/>
            <w:sz w:val="24"/>
            <w:szCs w:val="24"/>
            <w:lang w:eastAsia="en-GB"/>
          </w:rPr>
          <w:tab/>
        </w:r>
        <w:r w:rsidRPr="00BC7CBC">
          <w:rPr>
            <w:rStyle w:val="Hyperlink"/>
            <w:noProof/>
          </w:rPr>
          <w:t>Relative changes (percentage) in positive behaviours (baseline to endline) by country and sex</w:t>
        </w:r>
        <w:r>
          <w:rPr>
            <w:noProof/>
            <w:webHidden/>
          </w:rPr>
          <w:tab/>
        </w:r>
        <w:r>
          <w:rPr>
            <w:noProof/>
            <w:webHidden/>
          </w:rPr>
          <w:fldChar w:fldCharType="begin"/>
        </w:r>
        <w:r>
          <w:rPr>
            <w:noProof/>
            <w:webHidden/>
          </w:rPr>
          <w:instrText xml:space="preserve"> PAGEREF _Toc123126148 \h </w:instrText>
        </w:r>
        <w:r>
          <w:rPr>
            <w:noProof/>
            <w:webHidden/>
          </w:rPr>
        </w:r>
        <w:r>
          <w:rPr>
            <w:noProof/>
            <w:webHidden/>
          </w:rPr>
          <w:fldChar w:fldCharType="separate"/>
        </w:r>
        <w:r>
          <w:rPr>
            <w:noProof/>
            <w:webHidden/>
          </w:rPr>
          <w:t>39</w:t>
        </w:r>
        <w:r>
          <w:rPr>
            <w:noProof/>
            <w:webHidden/>
          </w:rPr>
          <w:fldChar w:fldCharType="end"/>
        </w:r>
      </w:hyperlink>
    </w:p>
    <w:p w14:paraId="729D2AC6" w14:textId="6991F48A" w:rsidR="0076005B" w:rsidRDefault="0076005B">
      <w:pPr>
        <w:pStyle w:val="TableofFigures"/>
        <w:tabs>
          <w:tab w:val="left" w:pos="1278"/>
          <w:tab w:val="right" w:leader="dot" w:pos="9514"/>
        </w:tabs>
        <w:rPr>
          <w:rFonts w:asciiTheme="minorHAnsi" w:eastAsiaTheme="minorEastAsia" w:hAnsiTheme="minorHAnsi" w:cstheme="minorBidi"/>
          <w:noProof/>
          <w:sz w:val="24"/>
          <w:szCs w:val="24"/>
          <w:lang w:eastAsia="en-GB"/>
        </w:rPr>
      </w:pPr>
      <w:hyperlink w:anchor="_Toc123126149" w:history="1">
        <w:r w:rsidRPr="00BC7CBC">
          <w:rPr>
            <w:rStyle w:val="Hyperlink"/>
            <w:noProof/>
            <w14:scene3d>
              <w14:camera w14:prst="orthographicFront"/>
              <w14:lightRig w14:rig="threePt" w14:dir="t">
                <w14:rot w14:lat="0" w14:lon="0" w14:rev="0"/>
              </w14:lightRig>
            </w14:scene3d>
          </w:rPr>
          <w:t>Figure 5:</w:t>
        </w:r>
        <w:r>
          <w:rPr>
            <w:rFonts w:asciiTheme="minorHAnsi" w:eastAsiaTheme="minorEastAsia" w:hAnsiTheme="minorHAnsi" w:cstheme="minorBidi"/>
            <w:noProof/>
            <w:sz w:val="24"/>
            <w:szCs w:val="24"/>
            <w:lang w:eastAsia="en-GB"/>
          </w:rPr>
          <w:tab/>
        </w:r>
        <w:r w:rsidRPr="00BC7CBC">
          <w:rPr>
            <w:rStyle w:val="Hyperlink"/>
            <w:noProof/>
          </w:rPr>
          <w:t>Advocacy capacity improvement by category</w:t>
        </w:r>
        <w:r>
          <w:rPr>
            <w:noProof/>
            <w:webHidden/>
          </w:rPr>
          <w:tab/>
        </w:r>
        <w:r>
          <w:rPr>
            <w:noProof/>
            <w:webHidden/>
          </w:rPr>
          <w:fldChar w:fldCharType="begin"/>
        </w:r>
        <w:r>
          <w:rPr>
            <w:noProof/>
            <w:webHidden/>
          </w:rPr>
          <w:instrText xml:space="preserve"> PAGEREF _Toc123126149 \h </w:instrText>
        </w:r>
        <w:r>
          <w:rPr>
            <w:noProof/>
            <w:webHidden/>
          </w:rPr>
        </w:r>
        <w:r>
          <w:rPr>
            <w:noProof/>
            <w:webHidden/>
          </w:rPr>
          <w:fldChar w:fldCharType="separate"/>
        </w:r>
        <w:r>
          <w:rPr>
            <w:noProof/>
            <w:webHidden/>
          </w:rPr>
          <w:t>44</w:t>
        </w:r>
        <w:r>
          <w:rPr>
            <w:noProof/>
            <w:webHidden/>
          </w:rPr>
          <w:fldChar w:fldCharType="end"/>
        </w:r>
      </w:hyperlink>
    </w:p>
    <w:p w14:paraId="127EEAD7" w14:textId="05594683" w:rsidR="0076005B" w:rsidRDefault="0076005B">
      <w:pPr>
        <w:pStyle w:val="TableofFigures"/>
        <w:tabs>
          <w:tab w:val="left" w:pos="1278"/>
          <w:tab w:val="right" w:leader="dot" w:pos="9514"/>
        </w:tabs>
        <w:rPr>
          <w:rFonts w:asciiTheme="minorHAnsi" w:eastAsiaTheme="minorEastAsia" w:hAnsiTheme="minorHAnsi" w:cstheme="minorBidi"/>
          <w:noProof/>
          <w:sz w:val="24"/>
          <w:szCs w:val="24"/>
          <w:lang w:eastAsia="en-GB"/>
        </w:rPr>
      </w:pPr>
      <w:hyperlink w:anchor="_Toc123126150" w:history="1">
        <w:r w:rsidRPr="00BC7CBC">
          <w:rPr>
            <w:rStyle w:val="Hyperlink"/>
            <w:noProof/>
            <w14:scene3d>
              <w14:camera w14:prst="orthographicFront"/>
              <w14:lightRig w14:rig="threePt" w14:dir="t">
                <w14:rot w14:lat="0" w14:lon="0" w14:rev="0"/>
              </w14:lightRig>
            </w14:scene3d>
          </w:rPr>
          <w:t>Figure 6:</w:t>
        </w:r>
        <w:r>
          <w:rPr>
            <w:rFonts w:asciiTheme="minorHAnsi" w:eastAsiaTheme="minorEastAsia" w:hAnsiTheme="minorHAnsi" w:cstheme="minorBidi"/>
            <w:noProof/>
            <w:sz w:val="24"/>
            <w:szCs w:val="24"/>
            <w:lang w:eastAsia="en-GB"/>
          </w:rPr>
          <w:tab/>
        </w:r>
        <w:r w:rsidRPr="00BC7CBC">
          <w:rPr>
            <w:rStyle w:val="Hyperlink"/>
            <w:noProof/>
          </w:rPr>
          <w:t>Average score increase for CBO advocacy capacity support – across Phase I and II, and average</w:t>
        </w:r>
        <w:r>
          <w:rPr>
            <w:noProof/>
            <w:webHidden/>
          </w:rPr>
          <w:tab/>
        </w:r>
        <w:r>
          <w:rPr>
            <w:noProof/>
            <w:webHidden/>
          </w:rPr>
          <w:fldChar w:fldCharType="begin"/>
        </w:r>
        <w:r>
          <w:rPr>
            <w:noProof/>
            <w:webHidden/>
          </w:rPr>
          <w:instrText xml:space="preserve"> PAGEREF _Toc123126150 \h </w:instrText>
        </w:r>
        <w:r>
          <w:rPr>
            <w:noProof/>
            <w:webHidden/>
          </w:rPr>
        </w:r>
        <w:r>
          <w:rPr>
            <w:noProof/>
            <w:webHidden/>
          </w:rPr>
          <w:fldChar w:fldCharType="separate"/>
        </w:r>
        <w:r>
          <w:rPr>
            <w:noProof/>
            <w:webHidden/>
          </w:rPr>
          <w:t>44</w:t>
        </w:r>
        <w:r>
          <w:rPr>
            <w:noProof/>
            <w:webHidden/>
          </w:rPr>
          <w:fldChar w:fldCharType="end"/>
        </w:r>
      </w:hyperlink>
    </w:p>
    <w:p w14:paraId="1DBEE4CD" w14:textId="2A03E5CA" w:rsidR="00596402" w:rsidRPr="001129AA" w:rsidRDefault="00EA23C4" w:rsidP="001129AA">
      <w:pPr>
        <w:pStyle w:val="ItadH2"/>
        <w:rPr>
          <w:lang w:val="en-GB" w:eastAsia="en-GB"/>
        </w:rPr>
      </w:pPr>
      <w:r>
        <w:rPr>
          <w:shd w:val="clear" w:color="auto" w:fill="E6E6E6"/>
          <w:lang w:val="en-GB" w:eastAsia="en-GB"/>
        </w:rPr>
        <w:fldChar w:fldCharType="end"/>
      </w:r>
      <w:r w:rsidR="00596402" w:rsidRPr="006A561F">
        <w:rPr>
          <w:lang w:val="en-GB" w:eastAsia="en-GB"/>
        </w:rPr>
        <w:t>List of Tables</w:t>
      </w:r>
    </w:p>
    <w:p w14:paraId="43FCD6E0" w14:textId="75F2A575" w:rsidR="0076005B" w:rsidRDefault="00FC5BF3">
      <w:pPr>
        <w:pStyle w:val="TableofFigures"/>
        <w:tabs>
          <w:tab w:val="left" w:pos="1278"/>
          <w:tab w:val="right" w:leader="dot" w:pos="9514"/>
        </w:tabs>
        <w:rPr>
          <w:rFonts w:asciiTheme="minorHAnsi" w:eastAsiaTheme="minorEastAsia" w:hAnsiTheme="minorHAnsi" w:cstheme="minorBidi"/>
          <w:noProof/>
          <w:sz w:val="24"/>
          <w:szCs w:val="24"/>
          <w:lang w:eastAsia="en-GB"/>
        </w:rPr>
      </w:pPr>
      <w:r>
        <w:rPr>
          <w:color w:val="2B579A"/>
          <w:shd w:val="clear" w:color="auto" w:fill="E6E6E6"/>
          <w:lang w:eastAsia="en-GB"/>
        </w:rPr>
        <w:fldChar w:fldCharType="begin"/>
      </w:r>
      <w:r>
        <w:rPr>
          <w:color w:val="2B579A"/>
          <w:shd w:val="clear" w:color="auto" w:fill="E6E6E6"/>
          <w:lang w:eastAsia="en-GB"/>
        </w:rPr>
        <w:instrText xml:space="preserve"> TOC \h \z \t "Itad table style" \c </w:instrText>
      </w:r>
      <w:r>
        <w:rPr>
          <w:color w:val="2B579A"/>
          <w:shd w:val="clear" w:color="auto" w:fill="E6E6E6"/>
          <w:lang w:eastAsia="en-GB"/>
        </w:rPr>
        <w:fldChar w:fldCharType="separate"/>
      </w:r>
      <w:hyperlink w:anchor="_Toc123126094" w:history="1">
        <w:r w:rsidR="0076005B" w:rsidRPr="00F9399B">
          <w:rPr>
            <w:rStyle w:val="Hyperlink"/>
            <w:noProof/>
          </w:rPr>
          <w:t>Table 1:</w:t>
        </w:r>
        <w:r w:rsidR="0076005B">
          <w:rPr>
            <w:rFonts w:asciiTheme="minorHAnsi" w:eastAsiaTheme="minorEastAsia" w:hAnsiTheme="minorHAnsi" w:cstheme="minorBidi"/>
            <w:noProof/>
            <w:sz w:val="24"/>
            <w:szCs w:val="24"/>
            <w:lang w:eastAsia="en-GB"/>
          </w:rPr>
          <w:tab/>
        </w:r>
        <w:r w:rsidR="0076005B" w:rsidRPr="00F9399B">
          <w:rPr>
            <w:rStyle w:val="Hyperlink"/>
            <w:noProof/>
          </w:rPr>
          <w:t>GDI for 2019 relative to selected countries and groups</w:t>
        </w:r>
        <w:r w:rsidR="0076005B">
          <w:rPr>
            <w:noProof/>
            <w:webHidden/>
          </w:rPr>
          <w:tab/>
        </w:r>
        <w:r w:rsidR="0076005B">
          <w:rPr>
            <w:noProof/>
            <w:webHidden/>
          </w:rPr>
          <w:fldChar w:fldCharType="begin"/>
        </w:r>
        <w:r w:rsidR="0076005B">
          <w:rPr>
            <w:noProof/>
            <w:webHidden/>
          </w:rPr>
          <w:instrText xml:space="preserve"> PAGEREF _Toc123126094 \h </w:instrText>
        </w:r>
        <w:r w:rsidR="0076005B">
          <w:rPr>
            <w:noProof/>
            <w:webHidden/>
          </w:rPr>
        </w:r>
        <w:r w:rsidR="0076005B">
          <w:rPr>
            <w:noProof/>
            <w:webHidden/>
          </w:rPr>
          <w:fldChar w:fldCharType="separate"/>
        </w:r>
        <w:r w:rsidR="0076005B">
          <w:rPr>
            <w:noProof/>
            <w:webHidden/>
          </w:rPr>
          <w:t>11</w:t>
        </w:r>
        <w:r w:rsidR="0076005B">
          <w:rPr>
            <w:noProof/>
            <w:webHidden/>
          </w:rPr>
          <w:fldChar w:fldCharType="end"/>
        </w:r>
      </w:hyperlink>
    </w:p>
    <w:p w14:paraId="55CC2CCF" w14:textId="09F509A9" w:rsidR="0076005B" w:rsidRDefault="0076005B">
      <w:pPr>
        <w:pStyle w:val="TableofFigures"/>
        <w:tabs>
          <w:tab w:val="left" w:pos="1278"/>
          <w:tab w:val="right" w:leader="dot" w:pos="9514"/>
        </w:tabs>
        <w:rPr>
          <w:rFonts w:asciiTheme="minorHAnsi" w:eastAsiaTheme="minorEastAsia" w:hAnsiTheme="minorHAnsi" w:cstheme="minorBidi"/>
          <w:noProof/>
          <w:sz w:val="24"/>
          <w:szCs w:val="24"/>
          <w:lang w:eastAsia="en-GB"/>
        </w:rPr>
      </w:pPr>
      <w:hyperlink w:anchor="_Toc123126095" w:history="1">
        <w:r w:rsidRPr="00F9399B">
          <w:rPr>
            <w:rStyle w:val="Hyperlink"/>
            <w:noProof/>
          </w:rPr>
          <w:t>Table 2:</w:t>
        </w:r>
        <w:r>
          <w:rPr>
            <w:rFonts w:asciiTheme="minorHAnsi" w:eastAsiaTheme="minorEastAsia" w:hAnsiTheme="minorHAnsi" w:cstheme="minorBidi"/>
            <w:noProof/>
            <w:sz w:val="24"/>
            <w:szCs w:val="24"/>
            <w:lang w:eastAsia="en-GB"/>
          </w:rPr>
          <w:tab/>
        </w:r>
        <w:r w:rsidRPr="00F9399B">
          <w:rPr>
            <w:rStyle w:val="Hyperlink"/>
            <w:noProof/>
          </w:rPr>
          <w:t>GII for 2019</w:t>
        </w:r>
        <w:r>
          <w:rPr>
            <w:noProof/>
            <w:webHidden/>
          </w:rPr>
          <w:tab/>
        </w:r>
        <w:r>
          <w:rPr>
            <w:noProof/>
            <w:webHidden/>
          </w:rPr>
          <w:fldChar w:fldCharType="begin"/>
        </w:r>
        <w:r>
          <w:rPr>
            <w:noProof/>
            <w:webHidden/>
          </w:rPr>
          <w:instrText xml:space="preserve"> PAGEREF _Toc123126095 \h </w:instrText>
        </w:r>
        <w:r>
          <w:rPr>
            <w:noProof/>
            <w:webHidden/>
          </w:rPr>
        </w:r>
        <w:r>
          <w:rPr>
            <w:noProof/>
            <w:webHidden/>
          </w:rPr>
          <w:fldChar w:fldCharType="separate"/>
        </w:r>
        <w:r>
          <w:rPr>
            <w:noProof/>
            <w:webHidden/>
          </w:rPr>
          <w:t>11</w:t>
        </w:r>
        <w:r>
          <w:rPr>
            <w:noProof/>
            <w:webHidden/>
          </w:rPr>
          <w:fldChar w:fldCharType="end"/>
        </w:r>
      </w:hyperlink>
    </w:p>
    <w:p w14:paraId="14DFEE73" w14:textId="1DDEED11" w:rsidR="0076005B" w:rsidRDefault="0076005B">
      <w:pPr>
        <w:pStyle w:val="TableofFigures"/>
        <w:tabs>
          <w:tab w:val="left" w:pos="1278"/>
          <w:tab w:val="right" w:leader="dot" w:pos="9514"/>
        </w:tabs>
        <w:rPr>
          <w:rFonts w:asciiTheme="minorHAnsi" w:eastAsiaTheme="minorEastAsia" w:hAnsiTheme="minorHAnsi" w:cstheme="minorBidi"/>
          <w:noProof/>
          <w:sz w:val="24"/>
          <w:szCs w:val="24"/>
          <w:lang w:eastAsia="en-GB"/>
        </w:rPr>
      </w:pPr>
      <w:hyperlink w:anchor="_Toc123126096" w:history="1">
        <w:r w:rsidRPr="00F9399B">
          <w:rPr>
            <w:rStyle w:val="Hyperlink"/>
            <w:noProof/>
          </w:rPr>
          <w:t>Table 3:</w:t>
        </w:r>
        <w:r>
          <w:rPr>
            <w:rFonts w:asciiTheme="minorHAnsi" w:eastAsiaTheme="minorEastAsia" w:hAnsiTheme="minorHAnsi" w:cstheme="minorBidi"/>
            <w:noProof/>
            <w:sz w:val="24"/>
            <w:szCs w:val="24"/>
            <w:lang w:eastAsia="en-GB"/>
          </w:rPr>
          <w:tab/>
        </w:r>
        <w:r w:rsidRPr="00F9399B">
          <w:rPr>
            <w:rStyle w:val="Hyperlink"/>
            <w:noProof/>
          </w:rPr>
          <w:t>MWGE programme outcomes (Phases I and II)</w:t>
        </w:r>
        <w:r>
          <w:rPr>
            <w:noProof/>
            <w:webHidden/>
          </w:rPr>
          <w:tab/>
        </w:r>
        <w:r>
          <w:rPr>
            <w:noProof/>
            <w:webHidden/>
          </w:rPr>
          <w:fldChar w:fldCharType="begin"/>
        </w:r>
        <w:r>
          <w:rPr>
            <w:noProof/>
            <w:webHidden/>
          </w:rPr>
          <w:instrText xml:space="preserve"> PAGEREF _Toc123126096 \h </w:instrText>
        </w:r>
        <w:r>
          <w:rPr>
            <w:noProof/>
            <w:webHidden/>
          </w:rPr>
        </w:r>
        <w:r>
          <w:rPr>
            <w:noProof/>
            <w:webHidden/>
          </w:rPr>
          <w:fldChar w:fldCharType="separate"/>
        </w:r>
        <w:r>
          <w:rPr>
            <w:noProof/>
            <w:webHidden/>
          </w:rPr>
          <w:t>14</w:t>
        </w:r>
        <w:r>
          <w:rPr>
            <w:noProof/>
            <w:webHidden/>
          </w:rPr>
          <w:fldChar w:fldCharType="end"/>
        </w:r>
      </w:hyperlink>
    </w:p>
    <w:p w14:paraId="6DCB5ECF" w14:textId="5F538582" w:rsidR="0076005B" w:rsidRDefault="0076005B">
      <w:pPr>
        <w:pStyle w:val="TableofFigures"/>
        <w:tabs>
          <w:tab w:val="left" w:pos="1278"/>
          <w:tab w:val="right" w:leader="dot" w:pos="9514"/>
        </w:tabs>
        <w:rPr>
          <w:rFonts w:asciiTheme="minorHAnsi" w:eastAsiaTheme="minorEastAsia" w:hAnsiTheme="minorHAnsi" w:cstheme="minorBidi"/>
          <w:noProof/>
          <w:sz w:val="24"/>
          <w:szCs w:val="24"/>
          <w:lang w:eastAsia="en-GB"/>
        </w:rPr>
      </w:pPr>
      <w:hyperlink w:anchor="_Toc123126097" w:history="1">
        <w:r w:rsidRPr="00F9399B">
          <w:rPr>
            <w:rStyle w:val="Hyperlink"/>
            <w:noProof/>
          </w:rPr>
          <w:t>Table 4:</w:t>
        </w:r>
        <w:r>
          <w:rPr>
            <w:rFonts w:asciiTheme="minorHAnsi" w:eastAsiaTheme="minorEastAsia" w:hAnsiTheme="minorHAnsi" w:cstheme="minorBidi"/>
            <w:noProof/>
            <w:sz w:val="24"/>
            <w:szCs w:val="24"/>
            <w:lang w:eastAsia="en-GB"/>
          </w:rPr>
          <w:tab/>
        </w:r>
        <w:r w:rsidRPr="00F9399B">
          <w:rPr>
            <w:rStyle w:val="Hyperlink"/>
            <w:noProof/>
          </w:rPr>
          <w:t>Budget allocation per outcomes - Phase I and Phase II</w:t>
        </w:r>
        <w:r>
          <w:rPr>
            <w:noProof/>
            <w:webHidden/>
          </w:rPr>
          <w:tab/>
        </w:r>
        <w:r>
          <w:rPr>
            <w:noProof/>
            <w:webHidden/>
          </w:rPr>
          <w:fldChar w:fldCharType="begin"/>
        </w:r>
        <w:r>
          <w:rPr>
            <w:noProof/>
            <w:webHidden/>
          </w:rPr>
          <w:instrText xml:space="preserve"> PAGEREF _Toc123126097 \h </w:instrText>
        </w:r>
        <w:r>
          <w:rPr>
            <w:noProof/>
            <w:webHidden/>
          </w:rPr>
        </w:r>
        <w:r>
          <w:rPr>
            <w:noProof/>
            <w:webHidden/>
          </w:rPr>
          <w:fldChar w:fldCharType="separate"/>
        </w:r>
        <w:r>
          <w:rPr>
            <w:noProof/>
            <w:webHidden/>
          </w:rPr>
          <w:t>16</w:t>
        </w:r>
        <w:r>
          <w:rPr>
            <w:noProof/>
            <w:webHidden/>
          </w:rPr>
          <w:fldChar w:fldCharType="end"/>
        </w:r>
      </w:hyperlink>
    </w:p>
    <w:p w14:paraId="2E010B69" w14:textId="1A3C64B1" w:rsidR="0076005B" w:rsidRDefault="0076005B">
      <w:pPr>
        <w:pStyle w:val="TableofFigures"/>
        <w:tabs>
          <w:tab w:val="left" w:pos="1278"/>
          <w:tab w:val="right" w:leader="dot" w:pos="9514"/>
        </w:tabs>
        <w:rPr>
          <w:rFonts w:asciiTheme="minorHAnsi" w:eastAsiaTheme="minorEastAsia" w:hAnsiTheme="minorHAnsi" w:cstheme="minorBidi"/>
          <w:noProof/>
          <w:sz w:val="24"/>
          <w:szCs w:val="24"/>
          <w:lang w:eastAsia="en-GB"/>
        </w:rPr>
      </w:pPr>
      <w:hyperlink w:anchor="_Toc123126098" w:history="1">
        <w:r w:rsidRPr="00F9399B">
          <w:rPr>
            <w:rStyle w:val="Hyperlink"/>
            <w:noProof/>
          </w:rPr>
          <w:t>Table 5:</w:t>
        </w:r>
        <w:r>
          <w:rPr>
            <w:rFonts w:asciiTheme="minorHAnsi" w:eastAsiaTheme="minorEastAsia" w:hAnsiTheme="minorHAnsi" w:cstheme="minorBidi"/>
            <w:noProof/>
            <w:sz w:val="24"/>
            <w:szCs w:val="24"/>
            <w:lang w:eastAsia="en-GB"/>
          </w:rPr>
          <w:tab/>
        </w:r>
        <w:r w:rsidRPr="00F9399B">
          <w:rPr>
            <w:rStyle w:val="Hyperlink"/>
            <w:noProof/>
          </w:rPr>
          <w:t>Proportion of budget for countries per phase</w:t>
        </w:r>
        <w:r>
          <w:rPr>
            <w:noProof/>
            <w:webHidden/>
          </w:rPr>
          <w:tab/>
        </w:r>
        <w:r>
          <w:rPr>
            <w:noProof/>
            <w:webHidden/>
          </w:rPr>
          <w:fldChar w:fldCharType="begin"/>
        </w:r>
        <w:r>
          <w:rPr>
            <w:noProof/>
            <w:webHidden/>
          </w:rPr>
          <w:instrText xml:space="preserve"> PAGEREF _Toc123126098 \h </w:instrText>
        </w:r>
        <w:r>
          <w:rPr>
            <w:noProof/>
            <w:webHidden/>
          </w:rPr>
        </w:r>
        <w:r>
          <w:rPr>
            <w:noProof/>
            <w:webHidden/>
          </w:rPr>
          <w:fldChar w:fldCharType="separate"/>
        </w:r>
        <w:r>
          <w:rPr>
            <w:noProof/>
            <w:webHidden/>
          </w:rPr>
          <w:t>17</w:t>
        </w:r>
        <w:r>
          <w:rPr>
            <w:noProof/>
            <w:webHidden/>
          </w:rPr>
          <w:fldChar w:fldCharType="end"/>
        </w:r>
      </w:hyperlink>
    </w:p>
    <w:p w14:paraId="791F774F" w14:textId="22ECD95A" w:rsidR="0076005B" w:rsidRDefault="0076005B">
      <w:pPr>
        <w:pStyle w:val="TableofFigures"/>
        <w:tabs>
          <w:tab w:val="left" w:pos="1278"/>
          <w:tab w:val="right" w:leader="dot" w:pos="9514"/>
        </w:tabs>
        <w:rPr>
          <w:rFonts w:asciiTheme="minorHAnsi" w:eastAsiaTheme="minorEastAsia" w:hAnsiTheme="minorHAnsi" w:cstheme="minorBidi"/>
          <w:noProof/>
          <w:sz w:val="24"/>
          <w:szCs w:val="24"/>
          <w:lang w:eastAsia="en-GB"/>
        </w:rPr>
      </w:pPr>
      <w:hyperlink w:anchor="_Toc123126099" w:history="1">
        <w:r w:rsidRPr="00F9399B">
          <w:rPr>
            <w:rStyle w:val="Hyperlink"/>
            <w:noProof/>
          </w:rPr>
          <w:t>Table 6:</w:t>
        </w:r>
        <w:r>
          <w:rPr>
            <w:rFonts w:asciiTheme="minorHAnsi" w:eastAsiaTheme="minorEastAsia" w:hAnsiTheme="minorHAnsi" w:cstheme="minorBidi"/>
            <w:noProof/>
            <w:sz w:val="24"/>
            <w:szCs w:val="24"/>
            <w:lang w:eastAsia="en-GB"/>
          </w:rPr>
          <w:tab/>
        </w:r>
        <w:r w:rsidRPr="00F9399B">
          <w:rPr>
            <w:rStyle w:val="Hyperlink"/>
            <w:noProof/>
          </w:rPr>
          <w:t>Stakeholder categories and use</w:t>
        </w:r>
        <w:r>
          <w:rPr>
            <w:noProof/>
            <w:webHidden/>
          </w:rPr>
          <w:tab/>
        </w:r>
        <w:r>
          <w:rPr>
            <w:noProof/>
            <w:webHidden/>
          </w:rPr>
          <w:fldChar w:fldCharType="begin"/>
        </w:r>
        <w:r>
          <w:rPr>
            <w:noProof/>
            <w:webHidden/>
          </w:rPr>
          <w:instrText xml:space="preserve"> PAGEREF _Toc123126099 \h </w:instrText>
        </w:r>
        <w:r>
          <w:rPr>
            <w:noProof/>
            <w:webHidden/>
          </w:rPr>
        </w:r>
        <w:r>
          <w:rPr>
            <w:noProof/>
            <w:webHidden/>
          </w:rPr>
          <w:fldChar w:fldCharType="separate"/>
        </w:r>
        <w:r>
          <w:rPr>
            <w:noProof/>
            <w:webHidden/>
          </w:rPr>
          <w:t>20</w:t>
        </w:r>
        <w:r>
          <w:rPr>
            <w:noProof/>
            <w:webHidden/>
          </w:rPr>
          <w:fldChar w:fldCharType="end"/>
        </w:r>
      </w:hyperlink>
    </w:p>
    <w:p w14:paraId="47310C6F" w14:textId="05F8BC8D" w:rsidR="0076005B" w:rsidRDefault="0076005B">
      <w:pPr>
        <w:pStyle w:val="TableofFigures"/>
        <w:tabs>
          <w:tab w:val="left" w:pos="1278"/>
          <w:tab w:val="right" w:leader="dot" w:pos="9514"/>
        </w:tabs>
        <w:rPr>
          <w:rFonts w:asciiTheme="minorHAnsi" w:eastAsiaTheme="minorEastAsia" w:hAnsiTheme="minorHAnsi" w:cstheme="minorBidi"/>
          <w:noProof/>
          <w:sz w:val="24"/>
          <w:szCs w:val="24"/>
          <w:lang w:eastAsia="en-GB"/>
        </w:rPr>
      </w:pPr>
      <w:hyperlink w:anchor="_Toc123126100" w:history="1">
        <w:r w:rsidRPr="00F9399B">
          <w:rPr>
            <w:rStyle w:val="Hyperlink"/>
            <w:noProof/>
          </w:rPr>
          <w:t>Table 7:</w:t>
        </w:r>
        <w:r>
          <w:rPr>
            <w:rFonts w:asciiTheme="minorHAnsi" w:eastAsiaTheme="minorEastAsia" w:hAnsiTheme="minorHAnsi" w:cstheme="minorBidi"/>
            <w:noProof/>
            <w:sz w:val="24"/>
            <w:szCs w:val="24"/>
            <w:lang w:eastAsia="en-GB"/>
          </w:rPr>
          <w:tab/>
        </w:r>
        <w:r w:rsidRPr="00F9399B">
          <w:rPr>
            <w:rStyle w:val="Hyperlink"/>
            <w:noProof/>
          </w:rPr>
          <w:t>Streamlined EQs</w:t>
        </w:r>
        <w:r>
          <w:rPr>
            <w:noProof/>
            <w:webHidden/>
          </w:rPr>
          <w:tab/>
        </w:r>
        <w:r>
          <w:rPr>
            <w:noProof/>
            <w:webHidden/>
          </w:rPr>
          <w:fldChar w:fldCharType="begin"/>
        </w:r>
        <w:r>
          <w:rPr>
            <w:noProof/>
            <w:webHidden/>
          </w:rPr>
          <w:instrText xml:space="preserve"> PAGEREF _Toc123126100 \h </w:instrText>
        </w:r>
        <w:r>
          <w:rPr>
            <w:noProof/>
            <w:webHidden/>
          </w:rPr>
        </w:r>
        <w:r>
          <w:rPr>
            <w:noProof/>
            <w:webHidden/>
          </w:rPr>
          <w:fldChar w:fldCharType="separate"/>
        </w:r>
        <w:r>
          <w:rPr>
            <w:noProof/>
            <w:webHidden/>
          </w:rPr>
          <w:t>22</w:t>
        </w:r>
        <w:r>
          <w:rPr>
            <w:noProof/>
            <w:webHidden/>
          </w:rPr>
          <w:fldChar w:fldCharType="end"/>
        </w:r>
      </w:hyperlink>
    </w:p>
    <w:p w14:paraId="3FB6C62E" w14:textId="6FFA276D" w:rsidR="0076005B" w:rsidRDefault="0076005B">
      <w:pPr>
        <w:pStyle w:val="TableofFigures"/>
        <w:tabs>
          <w:tab w:val="left" w:pos="1278"/>
          <w:tab w:val="right" w:leader="dot" w:pos="9514"/>
        </w:tabs>
        <w:rPr>
          <w:rFonts w:asciiTheme="minorHAnsi" w:eastAsiaTheme="minorEastAsia" w:hAnsiTheme="minorHAnsi" w:cstheme="minorBidi"/>
          <w:noProof/>
          <w:sz w:val="24"/>
          <w:szCs w:val="24"/>
          <w:lang w:eastAsia="en-GB"/>
        </w:rPr>
      </w:pPr>
      <w:hyperlink w:anchor="_Toc123126101" w:history="1">
        <w:r w:rsidRPr="00F9399B">
          <w:rPr>
            <w:rStyle w:val="Hyperlink"/>
            <w:noProof/>
          </w:rPr>
          <w:t>Table 8:</w:t>
        </w:r>
        <w:r>
          <w:rPr>
            <w:rFonts w:asciiTheme="minorHAnsi" w:eastAsiaTheme="minorEastAsia" w:hAnsiTheme="minorHAnsi" w:cstheme="minorBidi"/>
            <w:noProof/>
            <w:sz w:val="24"/>
            <w:szCs w:val="24"/>
            <w:lang w:eastAsia="en-GB"/>
          </w:rPr>
          <w:tab/>
        </w:r>
        <w:r w:rsidRPr="00F9399B">
          <w:rPr>
            <w:rStyle w:val="Hyperlink"/>
            <w:noProof/>
          </w:rPr>
          <w:t>Sex and age disaggregation of FGD participants</w:t>
        </w:r>
        <w:r>
          <w:rPr>
            <w:noProof/>
            <w:webHidden/>
          </w:rPr>
          <w:tab/>
        </w:r>
        <w:r>
          <w:rPr>
            <w:noProof/>
            <w:webHidden/>
          </w:rPr>
          <w:fldChar w:fldCharType="begin"/>
        </w:r>
        <w:r>
          <w:rPr>
            <w:noProof/>
            <w:webHidden/>
          </w:rPr>
          <w:instrText xml:space="preserve"> PAGEREF _Toc123126101 \h </w:instrText>
        </w:r>
        <w:r>
          <w:rPr>
            <w:noProof/>
            <w:webHidden/>
          </w:rPr>
        </w:r>
        <w:r>
          <w:rPr>
            <w:noProof/>
            <w:webHidden/>
          </w:rPr>
          <w:fldChar w:fldCharType="separate"/>
        </w:r>
        <w:r>
          <w:rPr>
            <w:noProof/>
            <w:webHidden/>
          </w:rPr>
          <w:t>24</w:t>
        </w:r>
        <w:r>
          <w:rPr>
            <w:noProof/>
            <w:webHidden/>
          </w:rPr>
          <w:fldChar w:fldCharType="end"/>
        </w:r>
      </w:hyperlink>
    </w:p>
    <w:p w14:paraId="61DDB3F7" w14:textId="0B0F74CD" w:rsidR="0076005B" w:rsidRDefault="0076005B">
      <w:pPr>
        <w:pStyle w:val="TableofFigures"/>
        <w:tabs>
          <w:tab w:val="left" w:pos="1278"/>
          <w:tab w:val="right" w:leader="dot" w:pos="9514"/>
        </w:tabs>
        <w:rPr>
          <w:rFonts w:asciiTheme="minorHAnsi" w:eastAsiaTheme="minorEastAsia" w:hAnsiTheme="minorHAnsi" w:cstheme="minorBidi"/>
          <w:noProof/>
          <w:sz w:val="24"/>
          <w:szCs w:val="24"/>
          <w:lang w:eastAsia="en-GB"/>
        </w:rPr>
      </w:pPr>
      <w:hyperlink w:anchor="_Toc123126102" w:history="1">
        <w:r w:rsidRPr="00F9399B">
          <w:rPr>
            <w:rStyle w:val="Hyperlink"/>
            <w:noProof/>
          </w:rPr>
          <w:t>Table 9:</w:t>
        </w:r>
        <w:r>
          <w:rPr>
            <w:rFonts w:asciiTheme="minorHAnsi" w:eastAsiaTheme="minorEastAsia" w:hAnsiTheme="minorHAnsi" w:cstheme="minorBidi"/>
            <w:noProof/>
            <w:sz w:val="24"/>
            <w:szCs w:val="24"/>
            <w:lang w:eastAsia="en-GB"/>
          </w:rPr>
          <w:tab/>
        </w:r>
        <w:r w:rsidRPr="00F9399B">
          <w:rPr>
            <w:rStyle w:val="Hyperlink"/>
            <w:noProof/>
          </w:rPr>
          <w:t>Percentage of young men and young women who report positive change in attitudes toward gender equality</w:t>
        </w:r>
        <w:r>
          <w:rPr>
            <w:noProof/>
            <w:webHidden/>
          </w:rPr>
          <w:tab/>
        </w:r>
        <w:r>
          <w:rPr>
            <w:noProof/>
            <w:webHidden/>
          </w:rPr>
          <w:fldChar w:fldCharType="begin"/>
        </w:r>
        <w:r>
          <w:rPr>
            <w:noProof/>
            <w:webHidden/>
          </w:rPr>
          <w:instrText xml:space="preserve"> PAGEREF _Toc123126102 \h </w:instrText>
        </w:r>
        <w:r>
          <w:rPr>
            <w:noProof/>
            <w:webHidden/>
          </w:rPr>
        </w:r>
        <w:r>
          <w:rPr>
            <w:noProof/>
            <w:webHidden/>
          </w:rPr>
          <w:fldChar w:fldCharType="separate"/>
        </w:r>
        <w:r>
          <w:rPr>
            <w:noProof/>
            <w:webHidden/>
          </w:rPr>
          <w:t>38</w:t>
        </w:r>
        <w:r>
          <w:rPr>
            <w:noProof/>
            <w:webHidden/>
          </w:rPr>
          <w:fldChar w:fldCharType="end"/>
        </w:r>
      </w:hyperlink>
    </w:p>
    <w:p w14:paraId="655A10D4" w14:textId="114E0218" w:rsidR="006832F4" w:rsidRPr="006A561F" w:rsidRDefault="00FC5BF3" w:rsidP="006F2F6D">
      <w:pPr>
        <w:pStyle w:val="ItadNormalText"/>
        <w:rPr>
          <w:lang w:eastAsia="en-GB"/>
        </w:rPr>
      </w:pPr>
      <w:r>
        <w:rPr>
          <w:color w:val="2B579A"/>
          <w:shd w:val="clear" w:color="auto" w:fill="E6E6E6"/>
          <w:lang w:eastAsia="en-GB"/>
        </w:rPr>
        <w:fldChar w:fldCharType="end"/>
      </w:r>
    </w:p>
    <w:p w14:paraId="4B448927" w14:textId="77777777" w:rsidR="006F2F6D" w:rsidRPr="006A561F" w:rsidRDefault="006F2F6D" w:rsidP="006F2F6D">
      <w:pPr>
        <w:pStyle w:val="ItadH2"/>
        <w:rPr>
          <w:lang w:val="en-GB" w:eastAsia="en-GB"/>
        </w:rPr>
      </w:pPr>
      <w:r w:rsidRPr="006A561F">
        <w:rPr>
          <w:lang w:val="en-GB" w:eastAsia="en-GB"/>
        </w:rPr>
        <w:t>List of Boxes</w:t>
      </w:r>
    </w:p>
    <w:p w14:paraId="60C8C9D9" w14:textId="31539B20" w:rsidR="0076005B" w:rsidRDefault="006F2F6D">
      <w:pPr>
        <w:pStyle w:val="TableofFigures"/>
        <w:tabs>
          <w:tab w:val="left" w:pos="1278"/>
          <w:tab w:val="right" w:leader="dot" w:pos="9514"/>
        </w:tabs>
        <w:rPr>
          <w:rFonts w:asciiTheme="minorHAnsi" w:eastAsiaTheme="minorEastAsia" w:hAnsiTheme="minorHAnsi" w:cstheme="minorBidi"/>
          <w:noProof/>
          <w:sz w:val="24"/>
          <w:szCs w:val="24"/>
          <w:lang w:eastAsia="en-GB"/>
        </w:rPr>
      </w:pPr>
      <w:r w:rsidRPr="006A561F">
        <w:rPr>
          <w:color w:val="2B579A"/>
          <w:shd w:val="clear" w:color="auto" w:fill="E6E6E6"/>
          <w:lang w:eastAsia="en-GB"/>
        </w:rPr>
        <w:fldChar w:fldCharType="begin"/>
      </w:r>
      <w:r w:rsidRPr="006A561F">
        <w:rPr>
          <w:lang w:eastAsia="en-GB"/>
        </w:rPr>
        <w:instrText xml:space="preserve"> TOC \h \z \t "Itad box numbers" \c </w:instrText>
      </w:r>
      <w:r w:rsidRPr="006A561F">
        <w:rPr>
          <w:color w:val="2B579A"/>
          <w:shd w:val="clear" w:color="auto" w:fill="E6E6E6"/>
          <w:lang w:eastAsia="en-GB"/>
        </w:rPr>
        <w:fldChar w:fldCharType="separate"/>
      </w:r>
      <w:hyperlink r:id="rId12" w:anchor="_Toc123126133" w:history="1">
        <w:r w:rsidR="0076005B" w:rsidRPr="001B5D7E">
          <w:rPr>
            <w:rStyle w:val="Hyperlink"/>
            <w:noProof/>
          </w:rPr>
          <w:t>Box 1.</w:t>
        </w:r>
        <w:r w:rsidR="0076005B">
          <w:rPr>
            <w:rFonts w:asciiTheme="minorHAnsi" w:eastAsiaTheme="minorEastAsia" w:hAnsiTheme="minorHAnsi" w:cstheme="minorBidi"/>
            <w:noProof/>
            <w:sz w:val="24"/>
            <w:szCs w:val="24"/>
            <w:lang w:eastAsia="en-GB"/>
          </w:rPr>
          <w:tab/>
        </w:r>
        <w:r w:rsidR="0076005B" w:rsidRPr="001B5D7E">
          <w:rPr>
            <w:rStyle w:val="Hyperlink"/>
            <w:noProof/>
          </w:rPr>
          <w:t>Affecting policy change – two examples</w:t>
        </w:r>
        <w:r w:rsidR="0076005B">
          <w:rPr>
            <w:noProof/>
            <w:webHidden/>
          </w:rPr>
          <w:tab/>
        </w:r>
        <w:r w:rsidR="0076005B">
          <w:rPr>
            <w:noProof/>
            <w:webHidden/>
          </w:rPr>
          <w:fldChar w:fldCharType="begin"/>
        </w:r>
        <w:r w:rsidR="0076005B">
          <w:rPr>
            <w:noProof/>
            <w:webHidden/>
          </w:rPr>
          <w:instrText xml:space="preserve"> PAGEREF _Toc123126133 \h </w:instrText>
        </w:r>
        <w:r w:rsidR="0076005B">
          <w:rPr>
            <w:noProof/>
            <w:webHidden/>
          </w:rPr>
        </w:r>
        <w:r w:rsidR="0076005B">
          <w:rPr>
            <w:noProof/>
            <w:webHidden/>
          </w:rPr>
          <w:fldChar w:fldCharType="separate"/>
        </w:r>
        <w:r w:rsidR="0076005B">
          <w:rPr>
            <w:noProof/>
            <w:webHidden/>
          </w:rPr>
          <w:t>43</w:t>
        </w:r>
        <w:r w:rsidR="0076005B">
          <w:rPr>
            <w:noProof/>
            <w:webHidden/>
          </w:rPr>
          <w:fldChar w:fldCharType="end"/>
        </w:r>
      </w:hyperlink>
    </w:p>
    <w:p w14:paraId="11F47462" w14:textId="0CBFC45C" w:rsidR="0076005B" w:rsidRDefault="0076005B">
      <w:pPr>
        <w:pStyle w:val="TableofFigures"/>
        <w:tabs>
          <w:tab w:val="left" w:pos="1278"/>
          <w:tab w:val="right" w:leader="dot" w:pos="9514"/>
        </w:tabs>
        <w:rPr>
          <w:rFonts w:asciiTheme="minorHAnsi" w:eastAsiaTheme="minorEastAsia" w:hAnsiTheme="minorHAnsi" w:cstheme="minorBidi"/>
          <w:noProof/>
          <w:sz w:val="24"/>
          <w:szCs w:val="24"/>
          <w:lang w:eastAsia="en-GB"/>
        </w:rPr>
      </w:pPr>
      <w:hyperlink r:id="rId13" w:anchor="_Toc123126134" w:history="1">
        <w:r w:rsidRPr="001B5D7E">
          <w:rPr>
            <w:rStyle w:val="Hyperlink"/>
            <w:noProof/>
          </w:rPr>
          <w:t>Box 2.</w:t>
        </w:r>
        <w:r>
          <w:rPr>
            <w:rFonts w:asciiTheme="minorHAnsi" w:eastAsiaTheme="minorEastAsia" w:hAnsiTheme="minorHAnsi" w:cstheme="minorBidi"/>
            <w:noProof/>
            <w:sz w:val="24"/>
            <w:szCs w:val="24"/>
            <w:lang w:eastAsia="en-GB"/>
          </w:rPr>
          <w:tab/>
        </w:r>
        <w:r w:rsidRPr="001B5D7E">
          <w:rPr>
            <w:rStyle w:val="Hyperlink"/>
            <w:noProof/>
          </w:rPr>
          <w:t>Learning mechanisms</w:t>
        </w:r>
        <w:r>
          <w:rPr>
            <w:noProof/>
            <w:webHidden/>
          </w:rPr>
          <w:tab/>
        </w:r>
        <w:r>
          <w:rPr>
            <w:noProof/>
            <w:webHidden/>
          </w:rPr>
          <w:fldChar w:fldCharType="begin"/>
        </w:r>
        <w:r>
          <w:rPr>
            <w:noProof/>
            <w:webHidden/>
          </w:rPr>
          <w:instrText xml:space="preserve"> PAGEREF _Toc123126134 \h </w:instrText>
        </w:r>
        <w:r>
          <w:rPr>
            <w:noProof/>
            <w:webHidden/>
          </w:rPr>
        </w:r>
        <w:r>
          <w:rPr>
            <w:noProof/>
            <w:webHidden/>
          </w:rPr>
          <w:fldChar w:fldCharType="separate"/>
        </w:r>
        <w:r>
          <w:rPr>
            <w:noProof/>
            <w:webHidden/>
          </w:rPr>
          <w:t>59</w:t>
        </w:r>
        <w:r>
          <w:rPr>
            <w:noProof/>
            <w:webHidden/>
          </w:rPr>
          <w:fldChar w:fldCharType="end"/>
        </w:r>
      </w:hyperlink>
    </w:p>
    <w:p w14:paraId="03343703" w14:textId="6A219250" w:rsidR="006F2F6D" w:rsidRPr="006A561F" w:rsidRDefault="006F2F6D" w:rsidP="006F2F6D">
      <w:pPr>
        <w:pStyle w:val="ItadNormalText"/>
        <w:rPr>
          <w:lang w:eastAsia="en-GB"/>
        </w:rPr>
      </w:pPr>
      <w:r w:rsidRPr="006A561F">
        <w:rPr>
          <w:color w:val="2B579A"/>
          <w:shd w:val="clear" w:color="auto" w:fill="E6E6E6"/>
          <w:lang w:eastAsia="en-GB"/>
        </w:rPr>
        <w:fldChar w:fldCharType="end"/>
      </w:r>
    </w:p>
    <w:p w14:paraId="052F2611" w14:textId="77777777" w:rsidR="006F2F6D" w:rsidRPr="006A561F" w:rsidRDefault="006F2F6D" w:rsidP="006F2F6D">
      <w:pPr>
        <w:pStyle w:val="ItadNormalText"/>
      </w:pPr>
      <w:r w:rsidRPr="006A561F">
        <w:br w:type="page"/>
      </w:r>
    </w:p>
    <w:p w14:paraId="7CD40196" w14:textId="77777777" w:rsidR="006F2F6D" w:rsidRPr="006A561F" w:rsidRDefault="006F2F6D" w:rsidP="006F2F6D">
      <w:pPr>
        <w:pStyle w:val="ItadH2"/>
        <w:rPr>
          <w:lang w:val="en-GB"/>
        </w:rPr>
      </w:pPr>
      <w:r w:rsidRPr="006A561F">
        <w:rPr>
          <w:lang w:val="en-GB"/>
        </w:rPr>
        <w:lastRenderedPageBreak/>
        <w:t>Acronyms</w:t>
      </w:r>
    </w:p>
    <w:p w14:paraId="6C4DDD27" w14:textId="77777777" w:rsidR="009807F1" w:rsidRPr="006A561F" w:rsidRDefault="009807F1" w:rsidP="006F2F6D">
      <w:pPr>
        <w:pStyle w:val="ItadNormalText"/>
      </w:pPr>
      <w:r w:rsidRPr="006A561F">
        <w:t>BBC</w:t>
      </w:r>
      <w:r w:rsidRPr="006A561F">
        <w:tab/>
      </w:r>
      <w:r w:rsidRPr="006A561F">
        <w:tab/>
      </w:r>
      <w:r w:rsidRPr="006A561F">
        <w:tab/>
        <w:t>British Broadcasting Corporation</w:t>
      </w:r>
    </w:p>
    <w:p w14:paraId="022A140A" w14:textId="77777777" w:rsidR="006F2F6D" w:rsidRPr="006A561F" w:rsidRDefault="006F2F6D" w:rsidP="006F2F6D">
      <w:pPr>
        <w:pStyle w:val="ItadNormalText"/>
      </w:pPr>
      <w:r>
        <w:t>BIAM</w:t>
      </w:r>
      <w:r>
        <w:tab/>
      </w:r>
      <w:r>
        <w:tab/>
      </w:r>
      <w:r>
        <w:tab/>
        <w:t xml:space="preserve">Because I Am </w:t>
      </w:r>
      <w:proofErr w:type="gramStart"/>
      <w:r>
        <w:t>A</w:t>
      </w:r>
      <w:proofErr w:type="gramEnd"/>
      <w:r>
        <w:t xml:space="preserve"> Man</w:t>
      </w:r>
    </w:p>
    <w:p w14:paraId="234F6248" w14:textId="77777777" w:rsidR="006F2F6D" w:rsidRPr="006A561F" w:rsidRDefault="006F2F6D" w:rsidP="006F2F6D">
      <w:pPr>
        <w:pStyle w:val="ItadNormalText"/>
      </w:pPr>
      <w:r w:rsidRPr="006A561F">
        <w:t>CAB</w:t>
      </w:r>
      <w:r w:rsidRPr="006A561F">
        <w:tab/>
      </w:r>
      <w:r w:rsidR="009807F1" w:rsidRPr="006A561F">
        <w:tab/>
      </w:r>
      <w:r w:rsidR="009807F1" w:rsidRPr="006A561F">
        <w:tab/>
      </w:r>
      <w:r w:rsidRPr="006A561F">
        <w:t>Country Advisory Board</w:t>
      </w:r>
    </w:p>
    <w:p w14:paraId="377A22CD" w14:textId="77777777" w:rsidR="006F2F6D" w:rsidRPr="006A561F" w:rsidRDefault="006F2F6D" w:rsidP="006F2F6D">
      <w:pPr>
        <w:pStyle w:val="ItadNormalText"/>
      </w:pPr>
      <w:r w:rsidRPr="006A561F">
        <w:t>CBO</w:t>
      </w:r>
      <w:r w:rsidRPr="006A561F">
        <w:tab/>
      </w:r>
      <w:r w:rsidR="009807F1" w:rsidRPr="006A561F">
        <w:tab/>
      </w:r>
      <w:r w:rsidRPr="006A561F">
        <w:tab/>
        <w:t>Community</w:t>
      </w:r>
      <w:r w:rsidR="009807F1" w:rsidRPr="006A561F">
        <w:t>-</w:t>
      </w:r>
      <w:r w:rsidRPr="006A561F">
        <w:t>Based Organisation</w:t>
      </w:r>
    </w:p>
    <w:p w14:paraId="6395D741" w14:textId="77777777" w:rsidR="006F2F6D" w:rsidRPr="006A561F" w:rsidRDefault="006F2F6D" w:rsidP="006F2F6D">
      <w:pPr>
        <w:pStyle w:val="ItadNormalText"/>
      </w:pPr>
      <w:r w:rsidRPr="006A561F">
        <w:t>CEDAW</w:t>
      </w:r>
      <w:r w:rsidRPr="006A561F">
        <w:tab/>
      </w:r>
      <w:r w:rsidR="009807F1" w:rsidRPr="006A561F">
        <w:tab/>
      </w:r>
      <w:r w:rsidR="009807F1" w:rsidRPr="006A561F">
        <w:tab/>
      </w:r>
      <w:r w:rsidRPr="006A561F">
        <w:t>Convention on the Elimination of all Forms of Discrimination Against Women</w:t>
      </w:r>
    </w:p>
    <w:p w14:paraId="066FCF14" w14:textId="77777777" w:rsidR="009807F1" w:rsidRPr="006A561F" w:rsidRDefault="009807F1" w:rsidP="009807F1">
      <w:pPr>
        <w:pStyle w:val="ItadNormalText"/>
      </w:pPr>
      <w:proofErr w:type="spellStart"/>
      <w:r w:rsidRPr="006A561F">
        <w:t>CfP</w:t>
      </w:r>
      <w:proofErr w:type="spellEnd"/>
      <w:r w:rsidRPr="006A561F">
        <w:tab/>
      </w:r>
      <w:r w:rsidRPr="006A561F">
        <w:tab/>
      </w:r>
      <w:r w:rsidRPr="006A561F">
        <w:tab/>
        <w:t>Call for Proposals</w:t>
      </w:r>
    </w:p>
    <w:p w14:paraId="0A67EC6A" w14:textId="77777777" w:rsidR="009807F1" w:rsidRPr="006A561F" w:rsidRDefault="009807F1" w:rsidP="009807F1">
      <w:pPr>
        <w:pStyle w:val="ItadNormalText"/>
      </w:pPr>
      <w:r w:rsidRPr="006A561F">
        <w:t>CIBL for Women</w:t>
      </w:r>
      <w:r w:rsidRPr="006A561F">
        <w:tab/>
      </w:r>
      <w:proofErr w:type="spellStart"/>
      <w:r w:rsidRPr="006A561F">
        <w:t>Center</w:t>
      </w:r>
      <w:proofErr w:type="spellEnd"/>
      <w:r w:rsidRPr="006A561F">
        <w:t xml:space="preserve"> for Inclusive Business and Leadership for Women</w:t>
      </w:r>
    </w:p>
    <w:p w14:paraId="4FE5502F" w14:textId="77777777" w:rsidR="009807F1" w:rsidRPr="006A561F" w:rsidRDefault="009807F1" w:rsidP="009807F1">
      <w:pPr>
        <w:pStyle w:val="ItadNormalText"/>
      </w:pPr>
      <w:r w:rsidRPr="006A561F">
        <w:t>CNN</w:t>
      </w:r>
      <w:r w:rsidRPr="006A561F">
        <w:tab/>
      </w:r>
      <w:r w:rsidRPr="006A561F">
        <w:tab/>
      </w:r>
      <w:r w:rsidRPr="006A561F">
        <w:tab/>
        <w:t>Cable News Network</w:t>
      </w:r>
    </w:p>
    <w:p w14:paraId="2B420553" w14:textId="77777777" w:rsidR="006F2F6D" w:rsidRPr="006A561F" w:rsidRDefault="006F2F6D" w:rsidP="006F2F6D">
      <w:pPr>
        <w:pStyle w:val="ItadNormalText"/>
      </w:pPr>
      <w:r w:rsidRPr="006A561F">
        <w:t>CO</w:t>
      </w:r>
      <w:r w:rsidRPr="006A561F">
        <w:tab/>
      </w:r>
      <w:r w:rsidRPr="006A561F">
        <w:tab/>
      </w:r>
      <w:r w:rsidR="009807F1" w:rsidRPr="006A561F">
        <w:tab/>
      </w:r>
      <w:r w:rsidRPr="006A561F">
        <w:t>Country Office</w:t>
      </w:r>
    </w:p>
    <w:p w14:paraId="1ED30A5C" w14:textId="77777777" w:rsidR="006F2F6D" w:rsidRPr="006A561F" w:rsidRDefault="006F2F6D" w:rsidP="006F2F6D">
      <w:pPr>
        <w:pStyle w:val="ItadNormalText"/>
      </w:pPr>
      <w:r w:rsidRPr="006A561F">
        <w:t>CSO</w:t>
      </w:r>
      <w:r w:rsidRPr="006A561F">
        <w:tab/>
      </w:r>
      <w:r w:rsidRPr="006A561F">
        <w:tab/>
      </w:r>
      <w:r w:rsidR="009807F1" w:rsidRPr="006A561F">
        <w:tab/>
      </w:r>
      <w:r w:rsidRPr="006A561F">
        <w:t>Civil Society Organisation</w:t>
      </w:r>
    </w:p>
    <w:p w14:paraId="214130A8" w14:textId="77777777" w:rsidR="006F2F6D" w:rsidRPr="006A561F" w:rsidRDefault="006F2F6D" w:rsidP="006F2F6D">
      <w:pPr>
        <w:pStyle w:val="ItadNormalText"/>
      </w:pPr>
      <w:r w:rsidRPr="006A561F">
        <w:t>CSW</w:t>
      </w:r>
      <w:r w:rsidRPr="006A561F">
        <w:tab/>
      </w:r>
      <w:r w:rsidR="009807F1" w:rsidRPr="006A561F">
        <w:tab/>
      </w:r>
      <w:r w:rsidR="009807F1" w:rsidRPr="006A561F">
        <w:tab/>
      </w:r>
      <w:r w:rsidRPr="006A561F">
        <w:t>Commission on the Status of Women</w:t>
      </w:r>
    </w:p>
    <w:p w14:paraId="5CF47093" w14:textId="77777777" w:rsidR="00180BD3" w:rsidRPr="006A561F" w:rsidRDefault="00180BD3" w:rsidP="006F2F6D">
      <w:pPr>
        <w:pStyle w:val="ItadNormalText"/>
      </w:pPr>
      <w:r w:rsidRPr="006A561F">
        <w:t>DMEL</w:t>
      </w:r>
      <w:r w:rsidRPr="006A561F">
        <w:tab/>
      </w:r>
      <w:r w:rsidRPr="006A561F">
        <w:tab/>
      </w:r>
      <w:r w:rsidRPr="006A561F">
        <w:tab/>
      </w:r>
      <w:r w:rsidRPr="006A561F">
        <w:rPr>
          <w:bCs/>
        </w:rPr>
        <w:t>Design, Monitoring, Evaluation and Learning</w:t>
      </w:r>
    </w:p>
    <w:p w14:paraId="288FA58C" w14:textId="77777777" w:rsidR="006F2F6D" w:rsidRPr="006A561F" w:rsidRDefault="006F2F6D" w:rsidP="006F2F6D">
      <w:pPr>
        <w:pStyle w:val="ItadNormalText"/>
      </w:pPr>
      <w:r w:rsidRPr="006A561F">
        <w:t>EQ</w:t>
      </w:r>
      <w:r w:rsidRPr="006A561F">
        <w:tab/>
      </w:r>
      <w:r w:rsidR="009807F1" w:rsidRPr="006A561F">
        <w:tab/>
      </w:r>
      <w:r w:rsidR="009807F1" w:rsidRPr="006A561F">
        <w:tab/>
      </w:r>
      <w:r w:rsidRPr="006A561F">
        <w:t>Evaluation Question</w:t>
      </w:r>
    </w:p>
    <w:p w14:paraId="29CEC626" w14:textId="77777777" w:rsidR="009807F1" w:rsidRPr="006A561F" w:rsidRDefault="009807F1" w:rsidP="006F2F6D">
      <w:pPr>
        <w:pStyle w:val="ItadNormalText"/>
      </w:pPr>
      <w:r w:rsidRPr="006A561F">
        <w:t>EVAW</w:t>
      </w:r>
      <w:r w:rsidRPr="006A561F">
        <w:tab/>
      </w:r>
      <w:r w:rsidRPr="006A561F">
        <w:tab/>
      </w:r>
      <w:r w:rsidRPr="006A561F">
        <w:tab/>
        <w:t>Ending Violence Against Women</w:t>
      </w:r>
    </w:p>
    <w:p w14:paraId="7C9474EB" w14:textId="77777777" w:rsidR="006F2F6D" w:rsidRPr="006A561F" w:rsidRDefault="006F2F6D" w:rsidP="006F2F6D">
      <w:pPr>
        <w:pStyle w:val="ItadNormalText"/>
      </w:pPr>
      <w:r w:rsidRPr="006A561F">
        <w:t>FGD</w:t>
      </w:r>
      <w:r w:rsidRPr="006A561F">
        <w:tab/>
      </w:r>
      <w:r w:rsidR="009807F1" w:rsidRPr="006A561F">
        <w:tab/>
      </w:r>
      <w:r w:rsidR="009807F1" w:rsidRPr="006A561F">
        <w:tab/>
      </w:r>
      <w:r w:rsidRPr="006A561F">
        <w:t>Focus Group Discussion</w:t>
      </w:r>
    </w:p>
    <w:p w14:paraId="665668C2" w14:textId="77777777" w:rsidR="001D7850" w:rsidRPr="006A561F" w:rsidRDefault="001D7850" w:rsidP="006F2F6D">
      <w:pPr>
        <w:pStyle w:val="ItadNormalText"/>
      </w:pPr>
      <w:r w:rsidRPr="006A561F">
        <w:t>FGM</w:t>
      </w:r>
      <w:r w:rsidRPr="006A561F">
        <w:tab/>
      </w:r>
      <w:r w:rsidRPr="006A561F">
        <w:tab/>
      </w:r>
      <w:r w:rsidRPr="006A561F">
        <w:tab/>
        <w:t>Female Genital Mutilation</w:t>
      </w:r>
    </w:p>
    <w:p w14:paraId="1BFDD164" w14:textId="77777777" w:rsidR="006F2F6D" w:rsidRPr="006A561F" w:rsidRDefault="006F2F6D" w:rsidP="006F2F6D">
      <w:pPr>
        <w:pStyle w:val="ItadNormalText"/>
      </w:pPr>
      <w:r w:rsidRPr="006A561F">
        <w:t>GBV</w:t>
      </w:r>
      <w:r w:rsidRPr="006A561F">
        <w:tab/>
      </w:r>
      <w:r w:rsidR="001D7850" w:rsidRPr="006A561F">
        <w:tab/>
      </w:r>
      <w:r w:rsidRPr="006A561F">
        <w:tab/>
        <w:t>Gender-Based Violence</w:t>
      </w:r>
    </w:p>
    <w:p w14:paraId="7356A6EB" w14:textId="77777777" w:rsidR="006F2F6D" w:rsidRPr="006A561F" w:rsidRDefault="006F2F6D" w:rsidP="006F2F6D">
      <w:pPr>
        <w:pStyle w:val="ItadNormalText"/>
      </w:pPr>
      <w:r w:rsidRPr="006A561F">
        <w:t>GDI</w:t>
      </w:r>
      <w:r w:rsidRPr="006A561F">
        <w:tab/>
      </w:r>
      <w:r w:rsidRPr="006A561F">
        <w:tab/>
      </w:r>
      <w:r w:rsidR="001D7850" w:rsidRPr="006A561F">
        <w:tab/>
      </w:r>
      <w:r w:rsidRPr="006A561F">
        <w:t>Gender Development Index</w:t>
      </w:r>
    </w:p>
    <w:p w14:paraId="5E4E6B0C" w14:textId="77777777" w:rsidR="001D7850" w:rsidRPr="006A561F" w:rsidRDefault="001D7850" w:rsidP="006F2F6D">
      <w:pPr>
        <w:pStyle w:val="ItadNormalText"/>
      </w:pPr>
      <w:r w:rsidRPr="006A561F">
        <w:t>GEMS</w:t>
      </w:r>
      <w:r w:rsidRPr="006A561F">
        <w:tab/>
      </w:r>
      <w:r w:rsidRPr="006A561F">
        <w:tab/>
      </w:r>
      <w:r w:rsidRPr="006A561F">
        <w:tab/>
        <w:t>Gender-Equitable Men Scale</w:t>
      </w:r>
    </w:p>
    <w:p w14:paraId="016D97EF" w14:textId="77777777" w:rsidR="006F2F6D" w:rsidRPr="006A561F" w:rsidRDefault="006F2F6D" w:rsidP="006F2F6D">
      <w:pPr>
        <w:pStyle w:val="ItadNormalText"/>
      </w:pPr>
      <w:r w:rsidRPr="006A561F">
        <w:t>GEWE</w:t>
      </w:r>
      <w:r w:rsidRPr="006A561F">
        <w:tab/>
      </w:r>
      <w:r w:rsidRPr="006A561F">
        <w:tab/>
      </w:r>
      <w:r w:rsidR="001D7850" w:rsidRPr="006A561F">
        <w:tab/>
      </w:r>
      <w:r w:rsidRPr="006A561F">
        <w:t>Gender Equality and Women’s Empowerment</w:t>
      </w:r>
    </w:p>
    <w:p w14:paraId="646A66DE" w14:textId="77777777" w:rsidR="006F2F6D" w:rsidRPr="006A561F" w:rsidRDefault="006F2F6D" w:rsidP="006F2F6D">
      <w:pPr>
        <w:pStyle w:val="ItadNormalText"/>
      </w:pPr>
      <w:r w:rsidRPr="006A561F">
        <w:t>GGGR</w:t>
      </w:r>
      <w:r w:rsidRPr="006A561F">
        <w:tab/>
      </w:r>
      <w:r w:rsidR="001D7850" w:rsidRPr="006A561F">
        <w:tab/>
      </w:r>
      <w:r w:rsidR="001D7850" w:rsidRPr="006A561F">
        <w:tab/>
      </w:r>
      <w:r w:rsidRPr="006A561F">
        <w:t>Global Gender Gap Report</w:t>
      </w:r>
    </w:p>
    <w:p w14:paraId="60F93195" w14:textId="77777777" w:rsidR="006F2F6D" w:rsidRPr="006A561F" w:rsidRDefault="006F2F6D" w:rsidP="006F2F6D">
      <w:pPr>
        <w:pStyle w:val="ItadNormalText"/>
      </w:pPr>
      <w:r w:rsidRPr="006A561F">
        <w:t>GII</w:t>
      </w:r>
      <w:r w:rsidRPr="006A561F">
        <w:tab/>
      </w:r>
      <w:r w:rsidRPr="006A561F">
        <w:tab/>
      </w:r>
      <w:r w:rsidR="001D7850" w:rsidRPr="006A561F">
        <w:tab/>
      </w:r>
      <w:r w:rsidRPr="006A561F">
        <w:t>Gender Inequality Index</w:t>
      </w:r>
    </w:p>
    <w:p w14:paraId="52F00BC0" w14:textId="77777777" w:rsidR="003D294F" w:rsidRDefault="003D294F" w:rsidP="006F2F6D">
      <w:pPr>
        <w:pStyle w:val="ItadNormalText"/>
      </w:pPr>
      <w:r>
        <w:t>GS</w:t>
      </w:r>
      <w:r w:rsidR="003F05C8">
        <w:tab/>
      </w:r>
      <w:r w:rsidR="003F05C8">
        <w:tab/>
      </w:r>
      <w:r w:rsidR="003F05C8">
        <w:tab/>
        <w:t>General Security (Border Control, Lebanon)</w:t>
      </w:r>
    </w:p>
    <w:p w14:paraId="5DFFB0CC" w14:textId="77777777" w:rsidR="006F2F6D" w:rsidRPr="006A561F" w:rsidRDefault="006F2F6D" w:rsidP="006F2F6D">
      <w:pPr>
        <w:pStyle w:val="ItadNormalText"/>
      </w:pPr>
      <w:r w:rsidRPr="006A561F">
        <w:t>GTP</w:t>
      </w:r>
      <w:r w:rsidRPr="006A561F">
        <w:tab/>
      </w:r>
      <w:r w:rsidR="001D7850" w:rsidRPr="006A561F">
        <w:tab/>
      </w:r>
      <w:r w:rsidR="001D7850" w:rsidRPr="006A561F">
        <w:tab/>
      </w:r>
      <w:r w:rsidRPr="006A561F">
        <w:t>Gender Transformative Parenting</w:t>
      </w:r>
    </w:p>
    <w:p w14:paraId="352E591A" w14:textId="77777777" w:rsidR="006F2F6D" w:rsidRPr="006A561F" w:rsidRDefault="006F2F6D" w:rsidP="006F2F6D">
      <w:pPr>
        <w:pStyle w:val="ItadNormalText"/>
      </w:pPr>
      <w:r w:rsidRPr="006A561F">
        <w:t>HDI</w:t>
      </w:r>
      <w:r w:rsidRPr="006A561F">
        <w:tab/>
      </w:r>
      <w:r w:rsidRPr="006A561F">
        <w:tab/>
      </w:r>
      <w:r w:rsidR="001D7850" w:rsidRPr="006A561F">
        <w:tab/>
      </w:r>
      <w:r w:rsidRPr="006A561F">
        <w:t>Human Development Index</w:t>
      </w:r>
    </w:p>
    <w:p w14:paraId="4E1D0FDD" w14:textId="77777777" w:rsidR="001D7850" w:rsidRPr="006A561F" w:rsidRDefault="001D7850" w:rsidP="006F2F6D">
      <w:pPr>
        <w:pStyle w:val="ItadNormalText"/>
      </w:pPr>
      <w:r w:rsidRPr="006A561F">
        <w:t>HQ</w:t>
      </w:r>
      <w:r w:rsidRPr="006A561F">
        <w:tab/>
      </w:r>
      <w:r w:rsidRPr="006A561F">
        <w:tab/>
      </w:r>
      <w:r w:rsidRPr="006A561F">
        <w:tab/>
        <w:t>Headquarters</w:t>
      </w:r>
    </w:p>
    <w:p w14:paraId="4BF66DD2" w14:textId="77777777" w:rsidR="006F2F6D" w:rsidRPr="006A561F" w:rsidRDefault="006F2F6D" w:rsidP="006F2F6D">
      <w:pPr>
        <w:pStyle w:val="ItadNormalText"/>
        <w:rPr>
          <w:szCs w:val="24"/>
        </w:rPr>
      </w:pPr>
      <w:r w:rsidRPr="006A561F">
        <w:t>ICPD</w:t>
      </w:r>
      <w:r w:rsidRPr="006A561F">
        <w:tab/>
      </w:r>
      <w:r w:rsidR="001D7850" w:rsidRPr="006A561F">
        <w:tab/>
      </w:r>
      <w:r w:rsidR="001D7850" w:rsidRPr="006A561F">
        <w:tab/>
      </w:r>
      <w:r w:rsidRPr="006A561F">
        <w:rPr>
          <w:szCs w:val="24"/>
        </w:rPr>
        <w:t>International Conference on Population and Development</w:t>
      </w:r>
    </w:p>
    <w:p w14:paraId="47DFF7A4" w14:textId="77777777" w:rsidR="001D7850" w:rsidRPr="00C80D78" w:rsidRDefault="001D7850" w:rsidP="006F2F6D">
      <w:pPr>
        <w:pStyle w:val="ItadNormalText"/>
        <w:rPr>
          <w:lang w:val="fr-FR"/>
        </w:rPr>
      </w:pPr>
      <w:r w:rsidRPr="00C80D78">
        <w:rPr>
          <w:lang w:val="fr-FR"/>
        </w:rPr>
        <w:t>ICRAM</w:t>
      </w:r>
      <w:r w:rsidRPr="00C80D78">
        <w:rPr>
          <w:lang w:val="fr-FR"/>
        </w:rPr>
        <w:tab/>
      </w:r>
      <w:r w:rsidRPr="00C80D78">
        <w:rPr>
          <w:lang w:val="fr-FR"/>
        </w:rPr>
        <w:tab/>
      </w:r>
      <w:r w:rsidRPr="00C80D78">
        <w:rPr>
          <w:lang w:val="fr-FR"/>
        </w:rPr>
        <w:tab/>
        <w:t>Initiative Concertée pour le Renforcement des Acquis des Marocaines</w:t>
      </w:r>
    </w:p>
    <w:p w14:paraId="762C2D0F" w14:textId="77777777" w:rsidR="006F2F6D" w:rsidRPr="006A561F" w:rsidRDefault="006F2F6D" w:rsidP="006F2F6D">
      <w:pPr>
        <w:pStyle w:val="ItadNormalText"/>
      </w:pPr>
      <w:r w:rsidRPr="006A561F">
        <w:t>ILO</w:t>
      </w:r>
      <w:r w:rsidRPr="006A561F">
        <w:tab/>
      </w:r>
      <w:r w:rsidR="001D7850" w:rsidRPr="006A561F">
        <w:tab/>
      </w:r>
      <w:r w:rsidR="001D7850" w:rsidRPr="006A561F">
        <w:tab/>
      </w:r>
      <w:r w:rsidRPr="006A561F">
        <w:t>International Labour Organi</w:t>
      </w:r>
      <w:r w:rsidR="001D7850" w:rsidRPr="006A561F">
        <w:t>z</w:t>
      </w:r>
      <w:r w:rsidRPr="006A561F">
        <w:t>ation</w:t>
      </w:r>
    </w:p>
    <w:p w14:paraId="17C99A87" w14:textId="77777777" w:rsidR="006F2F6D" w:rsidRPr="006A561F" w:rsidRDefault="006F2F6D" w:rsidP="006F2F6D">
      <w:pPr>
        <w:pStyle w:val="ItadNormalText"/>
      </w:pPr>
      <w:r w:rsidRPr="006A561F">
        <w:t>IMAGES</w:t>
      </w:r>
      <w:r w:rsidRPr="006A561F">
        <w:tab/>
      </w:r>
      <w:r w:rsidR="001D7850" w:rsidRPr="006A561F">
        <w:tab/>
      </w:r>
      <w:r w:rsidR="001D7850" w:rsidRPr="006A561F">
        <w:tab/>
      </w:r>
      <w:r w:rsidRPr="006A561F">
        <w:t>International Men and Gender Equality Survey</w:t>
      </w:r>
    </w:p>
    <w:p w14:paraId="2C39ED1C" w14:textId="77777777" w:rsidR="001D7850" w:rsidRPr="006A561F" w:rsidRDefault="001D7850" w:rsidP="001D7850">
      <w:pPr>
        <w:pStyle w:val="ItadNormalText"/>
      </w:pPr>
      <w:r w:rsidRPr="006A561F">
        <w:t>INGO</w:t>
      </w:r>
      <w:r w:rsidRPr="006A561F">
        <w:tab/>
      </w:r>
      <w:r w:rsidRPr="006A561F">
        <w:tab/>
      </w:r>
      <w:r w:rsidRPr="006A561F">
        <w:tab/>
        <w:t>International Non-Governmental Organisation</w:t>
      </w:r>
    </w:p>
    <w:p w14:paraId="454A0A43" w14:textId="77777777" w:rsidR="001D7850" w:rsidRPr="006A561F" w:rsidRDefault="001D7850" w:rsidP="001D7850">
      <w:pPr>
        <w:pStyle w:val="ItadNormalText"/>
      </w:pPr>
      <w:r w:rsidRPr="006A561F">
        <w:t>IPV</w:t>
      </w:r>
      <w:r w:rsidRPr="006A561F">
        <w:tab/>
      </w:r>
      <w:r w:rsidRPr="006A561F">
        <w:tab/>
      </w:r>
      <w:r w:rsidRPr="006A561F">
        <w:tab/>
        <w:t>Intimate Partner Violence</w:t>
      </w:r>
    </w:p>
    <w:p w14:paraId="447883EE" w14:textId="77777777" w:rsidR="001D7850" w:rsidRPr="006A561F" w:rsidRDefault="001D7850" w:rsidP="001D7850">
      <w:pPr>
        <w:pStyle w:val="ItadNormalText"/>
      </w:pPr>
      <w:r w:rsidRPr="006A561F">
        <w:t>IRCKHF</w:t>
      </w:r>
      <w:r w:rsidRPr="006A561F">
        <w:tab/>
      </w:r>
      <w:r w:rsidRPr="006A561F">
        <w:tab/>
      </w:r>
      <w:r w:rsidRPr="006A561F">
        <w:tab/>
        <w:t xml:space="preserve">Information and Research </w:t>
      </w:r>
      <w:proofErr w:type="spellStart"/>
      <w:r w:rsidRPr="006A561F">
        <w:t>Center</w:t>
      </w:r>
      <w:proofErr w:type="spellEnd"/>
      <w:r w:rsidRPr="006A561F">
        <w:t xml:space="preserve"> – King Hussein Foundation</w:t>
      </w:r>
    </w:p>
    <w:p w14:paraId="5E6A2843" w14:textId="77777777" w:rsidR="001D7850" w:rsidRPr="006A561F" w:rsidRDefault="001D7850" w:rsidP="001D7850">
      <w:pPr>
        <w:pStyle w:val="ItadNormalText"/>
      </w:pPr>
      <w:r w:rsidRPr="006A561F">
        <w:t>ISIC</w:t>
      </w:r>
      <w:r w:rsidRPr="006A561F">
        <w:tab/>
      </w:r>
      <w:r w:rsidRPr="006A561F">
        <w:tab/>
      </w:r>
      <w:r w:rsidRPr="006A561F">
        <w:tab/>
        <w:t>Higher Institute of Information and Communication</w:t>
      </w:r>
    </w:p>
    <w:p w14:paraId="29977446" w14:textId="77777777" w:rsidR="006F2F6D" w:rsidRPr="006A561F" w:rsidRDefault="006F2F6D" w:rsidP="006F2F6D">
      <w:pPr>
        <w:pStyle w:val="ItadNormalText"/>
      </w:pPr>
      <w:r w:rsidRPr="006A561F">
        <w:t>ISF</w:t>
      </w:r>
      <w:r w:rsidRPr="006A561F">
        <w:tab/>
      </w:r>
      <w:r w:rsidR="001D7850" w:rsidRPr="006A561F">
        <w:tab/>
      </w:r>
      <w:r w:rsidR="001D7850" w:rsidRPr="006A561F">
        <w:tab/>
      </w:r>
      <w:r w:rsidRPr="006A561F">
        <w:t>Internal Security Forces (Lebanon)</w:t>
      </w:r>
    </w:p>
    <w:p w14:paraId="3254646B" w14:textId="77777777" w:rsidR="006F2F6D" w:rsidRPr="006A561F" w:rsidRDefault="006F2F6D" w:rsidP="006F2F6D">
      <w:pPr>
        <w:pStyle w:val="ItadNormalText"/>
      </w:pPr>
      <w:r w:rsidRPr="006A561F">
        <w:t>KAP</w:t>
      </w:r>
      <w:r w:rsidRPr="006A561F">
        <w:tab/>
      </w:r>
      <w:r w:rsidR="001D7850" w:rsidRPr="006A561F">
        <w:tab/>
      </w:r>
      <w:r w:rsidR="001D7850" w:rsidRPr="006A561F">
        <w:tab/>
      </w:r>
      <w:r w:rsidRPr="006A561F">
        <w:t>Knowledge, Attitudes and Practices</w:t>
      </w:r>
    </w:p>
    <w:p w14:paraId="6A9D1F2E" w14:textId="77777777" w:rsidR="006F2F6D" w:rsidRPr="006A561F" w:rsidRDefault="006F2F6D" w:rsidP="006F2F6D">
      <w:pPr>
        <w:pStyle w:val="ItadNormalText"/>
      </w:pPr>
      <w:r w:rsidRPr="006A561F">
        <w:lastRenderedPageBreak/>
        <w:t>KII</w:t>
      </w:r>
      <w:r w:rsidRPr="006A561F">
        <w:tab/>
      </w:r>
      <w:r w:rsidR="001D7850" w:rsidRPr="006A561F">
        <w:tab/>
      </w:r>
      <w:r w:rsidR="001D7850" w:rsidRPr="006A561F">
        <w:tab/>
      </w:r>
      <w:r w:rsidRPr="006A561F">
        <w:t xml:space="preserve">Key </w:t>
      </w:r>
      <w:r w:rsidR="001D7850" w:rsidRPr="006A561F">
        <w:t>I</w:t>
      </w:r>
      <w:r w:rsidRPr="006A561F">
        <w:t xml:space="preserve">nformant </w:t>
      </w:r>
      <w:r w:rsidR="001D7850" w:rsidRPr="006A561F">
        <w:t>I</w:t>
      </w:r>
      <w:r w:rsidRPr="006A561F">
        <w:t>nterview</w:t>
      </w:r>
    </w:p>
    <w:p w14:paraId="28C21E66" w14:textId="77777777" w:rsidR="006F2F6D" w:rsidRPr="006A561F" w:rsidRDefault="006F2F6D" w:rsidP="006F2F6D">
      <w:pPr>
        <w:pStyle w:val="ItadNormalText"/>
      </w:pPr>
      <w:r w:rsidRPr="006A561F">
        <w:t>LAF</w:t>
      </w:r>
      <w:r w:rsidRPr="006A561F">
        <w:tab/>
      </w:r>
      <w:r w:rsidR="001D7850" w:rsidRPr="006A561F">
        <w:tab/>
      </w:r>
      <w:r w:rsidR="001D7850" w:rsidRPr="006A561F">
        <w:tab/>
      </w:r>
      <w:r w:rsidRPr="006A561F">
        <w:t>Lebanese Armed Forces</w:t>
      </w:r>
    </w:p>
    <w:p w14:paraId="3A14FE1B" w14:textId="77777777" w:rsidR="006F2F6D" w:rsidRPr="006A561F" w:rsidRDefault="006F2F6D" w:rsidP="006F2F6D">
      <w:pPr>
        <w:pStyle w:val="ItadNormalText"/>
      </w:pPr>
      <w:r w:rsidRPr="006A561F">
        <w:t>LGBTIQ+</w:t>
      </w:r>
      <w:r w:rsidRPr="006A561F">
        <w:tab/>
      </w:r>
      <w:r w:rsidR="001D7850" w:rsidRPr="006A561F">
        <w:tab/>
      </w:r>
      <w:r w:rsidR="001D7850" w:rsidRPr="006A561F">
        <w:tab/>
      </w:r>
      <w:r w:rsidRPr="006A561F">
        <w:t xml:space="preserve">Lesbian, Gay, Bisexual, Trans, Intersex, </w:t>
      </w:r>
      <w:proofErr w:type="gramStart"/>
      <w:r w:rsidRPr="006A561F">
        <w:t>Queer</w:t>
      </w:r>
      <w:proofErr w:type="gramEnd"/>
      <w:r w:rsidRPr="006A561F">
        <w:t xml:space="preserve"> and other identities</w:t>
      </w:r>
    </w:p>
    <w:p w14:paraId="52651D7C" w14:textId="77777777" w:rsidR="006F2F6D" w:rsidRPr="006A561F" w:rsidRDefault="006F2F6D" w:rsidP="006F2F6D">
      <w:pPr>
        <w:pStyle w:val="ItadNormalText"/>
      </w:pPr>
      <w:r w:rsidRPr="006A561F">
        <w:t>LNOB</w:t>
      </w:r>
      <w:r w:rsidRPr="006A561F">
        <w:tab/>
      </w:r>
      <w:r w:rsidR="001D7850" w:rsidRPr="006A561F">
        <w:tab/>
      </w:r>
      <w:r w:rsidR="001D7850" w:rsidRPr="006A561F">
        <w:tab/>
      </w:r>
      <w:r w:rsidRPr="006A561F">
        <w:t>Leave No One Behind</w:t>
      </w:r>
    </w:p>
    <w:p w14:paraId="0C29096C" w14:textId="77777777" w:rsidR="006F2F6D" w:rsidRPr="006A561F" w:rsidRDefault="006F2F6D" w:rsidP="006F2F6D">
      <w:pPr>
        <w:pStyle w:val="ItadNormalText"/>
      </w:pPr>
      <w:r w:rsidRPr="006A561F">
        <w:t>MEL</w:t>
      </w:r>
      <w:r w:rsidRPr="006A561F">
        <w:tab/>
      </w:r>
      <w:r w:rsidR="001D7850" w:rsidRPr="006A561F">
        <w:tab/>
      </w:r>
      <w:r w:rsidR="001D7850" w:rsidRPr="006A561F">
        <w:tab/>
      </w:r>
      <w:r w:rsidRPr="006A561F">
        <w:t xml:space="preserve">Monitoring, Evaluation and Learning </w:t>
      </w:r>
    </w:p>
    <w:p w14:paraId="1D5B32E0" w14:textId="77777777" w:rsidR="006F2F6D" w:rsidRPr="006A561F" w:rsidRDefault="006F2F6D" w:rsidP="006F2F6D">
      <w:pPr>
        <w:pStyle w:val="ItadNormalText"/>
      </w:pPr>
      <w:r w:rsidRPr="006A561F">
        <w:t>MENA</w:t>
      </w:r>
      <w:r w:rsidRPr="006A561F">
        <w:tab/>
      </w:r>
      <w:r w:rsidRPr="006A561F">
        <w:tab/>
      </w:r>
      <w:r w:rsidR="001D7850" w:rsidRPr="006A561F">
        <w:tab/>
      </w:r>
      <w:r w:rsidRPr="006A561F">
        <w:t>Middle East and North Africa</w:t>
      </w:r>
    </w:p>
    <w:p w14:paraId="4EBB8F85" w14:textId="77777777" w:rsidR="006F2F6D" w:rsidRPr="006A561F" w:rsidRDefault="006F2F6D" w:rsidP="006F2F6D">
      <w:pPr>
        <w:pStyle w:val="ItadNormalText"/>
        <w:rPr>
          <w:rFonts w:cstheme="minorHAnsi"/>
        </w:rPr>
      </w:pPr>
      <w:r w:rsidRPr="006A561F">
        <w:t>MOSS</w:t>
      </w:r>
      <w:r w:rsidRPr="006A561F">
        <w:tab/>
      </w:r>
      <w:r w:rsidR="001D7850" w:rsidRPr="006A561F">
        <w:tab/>
      </w:r>
      <w:r w:rsidR="001D7850" w:rsidRPr="006A561F">
        <w:tab/>
      </w:r>
      <w:r w:rsidRPr="006A561F">
        <w:rPr>
          <w:rFonts w:cstheme="minorHAnsi"/>
        </w:rPr>
        <w:t>Ministry of Social Solidarity (Egypt)</w:t>
      </w:r>
    </w:p>
    <w:p w14:paraId="0C7DBA7C" w14:textId="77777777" w:rsidR="001D7850" w:rsidRPr="006A561F" w:rsidRDefault="001D7850" w:rsidP="006F2F6D">
      <w:pPr>
        <w:pStyle w:val="ItadNormalText"/>
        <w:rPr>
          <w:rFonts w:cstheme="minorHAnsi"/>
        </w:rPr>
      </w:pPr>
      <w:r w:rsidRPr="006A561F">
        <w:rPr>
          <w:rFonts w:cstheme="minorHAnsi"/>
        </w:rPr>
        <w:t>MoU</w:t>
      </w:r>
      <w:r w:rsidRPr="006A561F">
        <w:rPr>
          <w:rFonts w:cstheme="minorHAnsi"/>
        </w:rPr>
        <w:tab/>
      </w:r>
      <w:r w:rsidRPr="006A561F">
        <w:rPr>
          <w:rFonts w:cstheme="minorHAnsi"/>
        </w:rPr>
        <w:tab/>
      </w:r>
      <w:r w:rsidRPr="006A561F">
        <w:rPr>
          <w:rFonts w:cstheme="minorHAnsi"/>
        </w:rPr>
        <w:tab/>
        <w:t>Memorandum of Understanding</w:t>
      </w:r>
    </w:p>
    <w:p w14:paraId="4E67E05E" w14:textId="77777777" w:rsidR="006F2F6D" w:rsidRPr="006A561F" w:rsidRDefault="006F2F6D" w:rsidP="006F2F6D">
      <w:pPr>
        <w:pStyle w:val="ItadNormalText"/>
        <w:rPr>
          <w:rFonts w:cstheme="minorHAnsi"/>
        </w:rPr>
      </w:pPr>
      <w:proofErr w:type="spellStart"/>
      <w:r w:rsidRPr="006A561F">
        <w:rPr>
          <w:rFonts w:cstheme="minorHAnsi"/>
        </w:rPr>
        <w:t>MoWA</w:t>
      </w:r>
      <w:proofErr w:type="spellEnd"/>
      <w:r w:rsidRPr="006A561F">
        <w:rPr>
          <w:rFonts w:cstheme="minorHAnsi"/>
        </w:rPr>
        <w:tab/>
      </w:r>
      <w:r w:rsidR="001D7850" w:rsidRPr="006A561F">
        <w:rPr>
          <w:rFonts w:cstheme="minorHAnsi"/>
        </w:rPr>
        <w:tab/>
      </w:r>
      <w:r w:rsidR="001D7850" w:rsidRPr="006A561F">
        <w:rPr>
          <w:rFonts w:cstheme="minorHAnsi"/>
        </w:rPr>
        <w:tab/>
      </w:r>
      <w:r w:rsidRPr="006A561F">
        <w:rPr>
          <w:rFonts w:cstheme="minorHAnsi"/>
        </w:rPr>
        <w:t>Ministry of Women’s Affairs (Palestine and Tunisia)</w:t>
      </w:r>
    </w:p>
    <w:p w14:paraId="02174E45" w14:textId="77777777" w:rsidR="001D7850" w:rsidRPr="006A561F" w:rsidRDefault="001D7850" w:rsidP="006F2F6D">
      <w:pPr>
        <w:pStyle w:val="ItadNormalText"/>
      </w:pPr>
      <w:r w:rsidRPr="006A561F">
        <w:t>MSC</w:t>
      </w:r>
      <w:r w:rsidRPr="006A561F">
        <w:tab/>
      </w:r>
      <w:r w:rsidRPr="006A561F">
        <w:tab/>
      </w:r>
      <w:r w:rsidRPr="006A561F">
        <w:tab/>
        <w:t>Most Significant Change</w:t>
      </w:r>
    </w:p>
    <w:p w14:paraId="5322518E" w14:textId="77777777" w:rsidR="006F2F6D" w:rsidRPr="006A561F" w:rsidRDefault="006F2F6D" w:rsidP="006F2F6D">
      <w:pPr>
        <w:pStyle w:val="ItadNormalText"/>
      </w:pPr>
      <w:r w:rsidRPr="006A561F">
        <w:t>MTR</w:t>
      </w:r>
      <w:r w:rsidRPr="006A561F">
        <w:tab/>
      </w:r>
      <w:r w:rsidRPr="006A561F">
        <w:tab/>
      </w:r>
      <w:r w:rsidR="001D7850" w:rsidRPr="006A561F">
        <w:tab/>
      </w:r>
      <w:r w:rsidRPr="006A561F">
        <w:t>Mid</w:t>
      </w:r>
      <w:r w:rsidR="002B7815" w:rsidRPr="006A561F">
        <w:t>t</w:t>
      </w:r>
      <w:r w:rsidRPr="006A561F">
        <w:t>erm Review</w:t>
      </w:r>
    </w:p>
    <w:p w14:paraId="669FA009" w14:textId="77777777" w:rsidR="006F2F6D" w:rsidRPr="006A561F" w:rsidRDefault="006F2F6D" w:rsidP="006F2F6D">
      <w:pPr>
        <w:pStyle w:val="ItadNormalText"/>
      </w:pPr>
      <w:r w:rsidRPr="006A561F">
        <w:t>MWGE</w:t>
      </w:r>
      <w:r w:rsidRPr="006A561F">
        <w:tab/>
      </w:r>
      <w:r w:rsidR="001D7850" w:rsidRPr="006A561F">
        <w:tab/>
      </w:r>
      <w:r w:rsidRPr="006A561F">
        <w:tab/>
        <w:t>Men and Women for Gender Equality</w:t>
      </w:r>
    </w:p>
    <w:p w14:paraId="14CB55E2" w14:textId="77777777" w:rsidR="006F2F6D" w:rsidRPr="006A561F" w:rsidRDefault="006F2F6D" w:rsidP="006F2F6D">
      <w:pPr>
        <w:pStyle w:val="ItadNormalText"/>
      </w:pPr>
      <w:r w:rsidRPr="006A561F">
        <w:t>NCLW</w:t>
      </w:r>
      <w:r w:rsidRPr="006A561F">
        <w:tab/>
      </w:r>
      <w:r w:rsidRPr="006A561F">
        <w:tab/>
      </w:r>
      <w:r w:rsidR="00166C9D" w:rsidRPr="006A561F">
        <w:tab/>
      </w:r>
      <w:r w:rsidRPr="006A561F">
        <w:t>National Commission for Lebanese Women</w:t>
      </w:r>
    </w:p>
    <w:p w14:paraId="57AA860F" w14:textId="77777777" w:rsidR="006F2F6D" w:rsidRPr="006A561F" w:rsidRDefault="006F2F6D" w:rsidP="006F2F6D">
      <w:pPr>
        <w:pStyle w:val="ItadNormalText"/>
      </w:pPr>
      <w:r w:rsidRPr="006A561F">
        <w:t>NCW</w:t>
      </w:r>
      <w:r w:rsidRPr="006A561F">
        <w:tab/>
      </w:r>
      <w:r w:rsidRPr="006A561F">
        <w:tab/>
      </w:r>
      <w:r w:rsidR="00166C9D" w:rsidRPr="006A561F">
        <w:tab/>
      </w:r>
      <w:r w:rsidRPr="006A561F">
        <w:t>National Council for Women (Egypt)</w:t>
      </w:r>
    </w:p>
    <w:p w14:paraId="43E5C7D0" w14:textId="77777777" w:rsidR="004A06CF" w:rsidRPr="006A561F" w:rsidRDefault="004A06CF" w:rsidP="006F2F6D">
      <w:pPr>
        <w:pStyle w:val="ItadNormalText"/>
      </w:pPr>
      <w:r w:rsidRPr="006A561F">
        <w:t>NDC</w:t>
      </w:r>
      <w:r w:rsidRPr="006A561F">
        <w:tab/>
      </w:r>
      <w:r w:rsidRPr="006A561F">
        <w:tab/>
      </w:r>
      <w:r w:rsidRPr="006A561F">
        <w:tab/>
        <w:t>NGO Development Centre</w:t>
      </w:r>
    </w:p>
    <w:p w14:paraId="612F52A6" w14:textId="77777777" w:rsidR="006F2F6D" w:rsidRPr="006A561F" w:rsidRDefault="006F2F6D" w:rsidP="006F2F6D">
      <w:pPr>
        <w:pStyle w:val="ItadNormalText"/>
      </w:pPr>
      <w:r w:rsidRPr="006A561F">
        <w:t>NGO</w:t>
      </w:r>
      <w:r w:rsidRPr="006A561F">
        <w:tab/>
      </w:r>
      <w:r w:rsidRPr="006A561F">
        <w:tab/>
      </w:r>
      <w:r w:rsidR="00166C9D" w:rsidRPr="006A561F">
        <w:tab/>
      </w:r>
      <w:r w:rsidRPr="006A561F">
        <w:t>Non-Governmental Organi</w:t>
      </w:r>
      <w:r w:rsidR="0028679F" w:rsidRPr="006A561F">
        <w:t>s</w:t>
      </w:r>
      <w:r w:rsidRPr="006A561F">
        <w:t>ation</w:t>
      </w:r>
    </w:p>
    <w:p w14:paraId="6F828D35" w14:textId="77777777" w:rsidR="00166C9D" w:rsidRPr="006A561F" w:rsidRDefault="00166C9D" w:rsidP="00DD6CEB">
      <w:pPr>
        <w:pStyle w:val="ItadNormalText"/>
        <w:ind w:left="2160" w:hanging="2160"/>
      </w:pPr>
      <w:r w:rsidRPr="006A561F">
        <w:t>OECD-DAC</w:t>
      </w:r>
      <w:r w:rsidRPr="006A561F">
        <w:tab/>
      </w:r>
      <w:r w:rsidRPr="006A561F">
        <w:tab/>
        <w:t>Organisation for Economic Co-operation and Development’s Development Assistance Committee</w:t>
      </w:r>
    </w:p>
    <w:p w14:paraId="7E702176" w14:textId="77777777" w:rsidR="00166C9D" w:rsidRPr="00C80D78" w:rsidRDefault="00166C9D" w:rsidP="00166C9D">
      <w:pPr>
        <w:pStyle w:val="ItadNormalText"/>
        <w:rPr>
          <w:lang w:val="fr-FR"/>
        </w:rPr>
      </w:pPr>
      <w:r w:rsidRPr="00C80D78">
        <w:rPr>
          <w:lang w:val="fr-FR"/>
        </w:rPr>
        <w:t>PANIG</w:t>
      </w:r>
      <w:r w:rsidRPr="00C80D78">
        <w:rPr>
          <w:lang w:val="fr-FR"/>
        </w:rPr>
        <w:tab/>
      </w:r>
      <w:r w:rsidRPr="00C80D78">
        <w:rPr>
          <w:lang w:val="fr-FR"/>
        </w:rPr>
        <w:tab/>
      </w:r>
      <w:r w:rsidRPr="00C80D78">
        <w:rPr>
          <w:lang w:val="fr-FR"/>
        </w:rPr>
        <w:tab/>
        <w:t>Plan d’Action National pour l’Intégration du Genre</w:t>
      </w:r>
    </w:p>
    <w:p w14:paraId="2EC0ABC5" w14:textId="77777777" w:rsidR="006F2F6D" w:rsidRDefault="006F2F6D" w:rsidP="006F2F6D">
      <w:pPr>
        <w:pStyle w:val="ItadNormalText"/>
      </w:pPr>
      <w:r w:rsidRPr="006A561F">
        <w:t>PPE</w:t>
      </w:r>
      <w:r w:rsidRPr="006A561F">
        <w:tab/>
      </w:r>
      <w:r w:rsidR="00166C9D" w:rsidRPr="006A561F">
        <w:tab/>
      </w:r>
      <w:r w:rsidR="00166C9D" w:rsidRPr="006A561F">
        <w:tab/>
      </w:r>
      <w:r w:rsidRPr="006A561F">
        <w:t>Personal Protective Equipment</w:t>
      </w:r>
    </w:p>
    <w:p w14:paraId="308A80CE" w14:textId="77777777" w:rsidR="002043DF" w:rsidRPr="006A561F" w:rsidRDefault="002043DF" w:rsidP="006F2F6D">
      <w:pPr>
        <w:pStyle w:val="ItadNormalText"/>
      </w:pPr>
      <w:r>
        <w:t>RAF</w:t>
      </w:r>
      <w:r>
        <w:tab/>
      </w:r>
      <w:r>
        <w:tab/>
      </w:r>
      <w:r>
        <w:tab/>
        <w:t>Regional Accountability Framework</w:t>
      </w:r>
    </w:p>
    <w:p w14:paraId="4C7C2950" w14:textId="77777777" w:rsidR="006F2F6D" w:rsidRPr="006A561F" w:rsidRDefault="006F2F6D" w:rsidP="006F2F6D">
      <w:pPr>
        <w:pStyle w:val="ItadNormalText"/>
      </w:pPr>
      <w:r w:rsidRPr="006A561F">
        <w:t>ROAS</w:t>
      </w:r>
      <w:r w:rsidRPr="006A561F">
        <w:tab/>
      </w:r>
      <w:r w:rsidRPr="006A561F">
        <w:tab/>
      </w:r>
      <w:r w:rsidR="00166C9D" w:rsidRPr="006A561F">
        <w:tab/>
      </w:r>
      <w:r w:rsidRPr="006A561F">
        <w:t xml:space="preserve">Regional Office for </w:t>
      </w:r>
      <w:r w:rsidR="00166C9D" w:rsidRPr="006A561F">
        <w:t xml:space="preserve">the </w:t>
      </w:r>
      <w:r w:rsidRPr="006A561F">
        <w:t>Arab States (UN Women)</w:t>
      </w:r>
    </w:p>
    <w:p w14:paraId="5249D108" w14:textId="77777777" w:rsidR="006F2F6D" w:rsidRPr="006A561F" w:rsidRDefault="006F2F6D" w:rsidP="006F2F6D">
      <w:pPr>
        <w:pStyle w:val="ItadNormalText"/>
      </w:pPr>
      <w:r w:rsidRPr="006A561F">
        <w:t xml:space="preserve">RWAMREC </w:t>
      </w:r>
      <w:r w:rsidRPr="006A561F">
        <w:tab/>
      </w:r>
      <w:r w:rsidR="00166C9D" w:rsidRPr="006A561F">
        <w:tab/>
      </w:r>
      <w:r w:rsidR="00166C9D" w:rsidRPr="006A561F">
        <w:tab/>
      </w:r>
      <w:r w:rsidRPr="006A561F">
        <w:t>Rwanda Men’s Resource Centre</w:t>
      </w:r>
    </w:p>
    <w:p w14:paraId="74E4FA1E" w14:textId="77777777" w:rsidR="006F2F6D" w:rsidRDefault="006F2F6D" w:rsidP="006F2F6D">
      <w:pPr>
        <w:pStyle w:val="ItadNormalText"/>
      </w:pPr>
      <w:r w:rsidRPr="006A561F">
        <w:t>SCG</w:t>
      </w:r>
      <w:r w:rsidRPr="006A561F">
        <w:tab/>
      </w:r>
      <w:r w:rsidRPr="006A561F">
        <w:tab/>
      </w:r>
      <w:r w:rsidR="00166C9D" w:rsidRPr="006A561F">
        <w:tab/>
      </w:r>
      <w:r w:rsidRPr="006A561F">
        <w:t>Strategic Consultative Group</w:t>
      </w:r>
    </w:p>
    <w:p w14:paraId="0F5C456A" w14:textId="77777777" w:rsidR="00570A85" w:rsidRPr="006A561F" w:rsidRDefault="00570A85" w:rsidP="006F2F6D">
      <w:pPr>
        <w:pStyle w:val="ItadNormalText"/>
      </w:pPr>
      <w:r>
        <w:t>SEED</w:t>
      </w:r>
      <w:r>
        <w:tab/>
      </w:r>
      <w:r>
        <w:tab/>
      </w:r>
      <w:r>
        <w:tab/>
        <w:t>Socio-Economic Enhancement and Development</w:t>
      </w:r>
    </w:p>
    <w:p w14:paraId="61DFB85D" w14:textId="77777777" w:rsidR="006F2F6D" w:rsidRPr="006A561F" w:rsidRDefault="006F2F6D" w:rsidP="006F2F6D">
      <w:pPr>
        <w:pStyle w:val="ItadNormalText"/>
      </w:pPr>
      <w:proofErr w:type="spellStart"/>
      <w:r w:rsidRPr="006A561F">
        <w:t>Sida</w:t>
      </w:r>
      <w:proofErr w:type="spellEnd"/>
      <w:r w:rsidRPr="006A561F">
        <w:tab/>
      </w:r>
      <w:r w:rsidRPr="006A561F">
        <w:tab/>
      </w:r>
      <w:r w:rsidR="00166C9D" w:rsidRPr="006A561F">
        <w:tab/>
      </w:r>
      <w:r w:rsidRPr="006A561F">
        <w:t xml:space="preserve">Swedish International Development Cooperation Agency </w:t>
      </w:r>
    </w:p>
    <w:p w14:paraId="5EB0C537" w14:textId="77777777" w:rsidR="006F2F6D" w:rsidRPr="006A561F" w:rsidRDefault="006F2F6D" w:rsidP="006F2F6D">
      <w:pPr>
        <w:pStyle w:val="ItadNormalText"/>
      </w:pPr>
      <w:proofErr w:type="spellStart"/>
      <w:r w:rsidRPr="006A561F">
        <w:t>ToC</w:t>
      </w:r>
      <w:proofErr w:type="spellEnd"/>
      <w:r w:rsidRPr="006A561F">
        <w:tab/>
      </w:r>
      <w:r w:rsidRPr="006A561F">
        <w:tab/>
      </w:r>
      <w:r w:rsidR="00166C9D" w:rsidRPr="006A561F">
        <w:tab/>
      </w:r>
      <w:r w:rsidRPr="006A561F">
        <w:t>Theory of Change</w:t>
      </w:r>
    </w:p>
    <w:p w14:paraId="3E8AAB5E" w14:textId="77777777" w:rsidR="00166C9D" w:rsidRPr="006A561F" w:rsidRDefault="00166C9D" w:rsidP="006F2F6D">
      <w:pPr>
        <w:pStyle w:val="ItadNormalText"/>
      </w:pPr>
      <w:proofErr w:type="spellStart"/>
      <w:r w:rsidRPr="006A561F">
        <w:t>ToR</w:t>
      </w:r>
      <w:proofErr w:type="spellEnd"/>
      <w:r w:rsidRPr="006A561F">
        <w:tab/>
      </w:r>
      <w:r w:rsidRPr="006A561F">
        <w:tab/>
      </w:r>
      <w:r w:rsidRPr="006A561F">
        <w:tab/>
        <w:t>Terms of Reference</w:t>
      </w:r>
    </w:p>
    <w:p w14:paraId="68DD0D90" w14:textId="77777777" w:rsidR="00166C9D" w:rsidRPr="006A561F" w:rsidRDefault="00166C9D" w:rsidP="006F2F6D">
      <w:pPr>
        <w:pStyle w:val="ItadNormalText"/>
      </w:pPr>
      <w:r w:rsidRPr="006A561F">
        <w:t>UN</w:t>
      </w:r>
      <w:r w:rsidRPr="006A561F">
        <w:tab/>
      </w:r>
      <w:r w:rsidRPr="006A561F">
        <w:tab/>
      </w:r>
      <w:r w:rsidRPr="006A561F">
        <w:tab/>
        <w:t>United Nations</w:t>
      </w:r>
    </w:p>
    <w:p w14:paraId="035E340B" w14:textId="77777777" w:rsidR="006F2F6D" w:rsidRPr="006A561F" w:rsidRDefault="006F2F6D" w:rsidP="006F2F6D">
      <w:pPr>
        <w:pStyle w:val="ItadNormalText"/>
      </w:pPr>
      <w:r w:rsidRPr="006A561F">
        <w:t>UNDAF</w:t>
      </w:r>
      <w:r w:rsidRPr="006A561F">
        <w:tab/>
      </w:r>
      <w:r w:rsidR="00166C9D" w:rsidRPr="006A561F">
        <w:tab/>
      </w:r>
      <w:r w:rsidR="00166C9D" w:rsidRPr="006A561F">
        <w:tab/>
      </w:r>
      <w:r w:rsidRPr="006A561F">
        <w:t>United Nations Development Assistance Framework</w:t>
      </w:r>
    </w:p>
    <w:p w14:paraId="4FFF3E98" w14:textId="77777777" w:rsidR="006F2F6D" w:rsidRPr="006A561F" w:rsidRDefault="006F2F6D" w:rsidP="006F2F6D">
      <w:pPr>
        <w:pStyle w:val="ItadNormalText"/>
      </w:pPr>
      <w:r w:rsidRPr="006A561F">
        <w:t>UNDP</w:t>
      </w:r>
      <w:r w:rsidRPr="006A561F">
        <w:tab/>
      </w:r>
      <w:r w:rsidR="00166C9D" w:rsidRPr="006A561F">
        <w:tab/>
      </w:r>
      <w:r w:rsidR="00166C9D" w:rsidRPr="006A561F">
        <w:tab/>
      </w:r>
      <w:r w:rsidRPr="006A561F">
        <w:t>United Nations Development Program</w:t>
      </w:r>
      <w:r w:rsidR="00166C9D" w:rsidRPr="006A561F">
        <w:t>me</w:t>
      </w:r>
    </w:p>
    <w:p w14:paraId="0E113AB1" w14:textId="77777777" w:rsidR="006F2F6D" w:rsidRPr="006A561F" w:rsidRDefault="006F2F6D" w:rsidP="006F2F6D">
      <w:pPr>
        <w:pStyle w:val="ItadNormalText"/>
      </w:pPr>
      <w:r w:rsidRPr="006A561F">
        <w:t>UNEG</w:t>
      </w:r>
      <w:r w:rsidRPr="006A561F">
        <w:tab/>
      </w:r>
      <w:r w:rsidR="00166C9D" w:rsidRPr="006A561F">
        <w:tab/>
      </w:r>
      <w:r w:rsidR="00166C9D" w:rsidRPr="006A561F">
        <w:tab/>
      </w:r>
      <w:r w:rsidRPr="006A561F">
        <w:t>United Nations Evaluation Group</w:t>
      </w:r>
    </w:p>
    <w:p w14:paraId="46055A3D" w14:textId="77777777" w:rsidR="006F2F6D" w:rsidRPr="006A561F" w:rsidRDefault="006F2F6D" w:rsidP="006F2F6D">
      <w:pPr>
        <w:pStyle w:val="ItadNormalText"/>
      </w:pPr>
      <w:r w:rsidRPr="006A561F">
        <w:t>UNFPA</w:t>
      </w:r>
      <w:r w:rsidRPr="006A561F">
        <w:tab/>
      </w:r>
      <w:r w:rsidR="00166C9D" w:rsidRPr="006A561F">
        <w:tab/>
      </w:r>
      <w:r w:rsidR="00166C9D" w:rsidRPr="006A561F">
        <w:tab/>
      </w:r>
      <w:r w:rsidRPr="006A561F">
        <w:t xml:space="preserve">United Nations Population Fund </w:t>
      </w:r>
    </w:p>
    <w:p w14:paraId="5663AA01" w14:textId="77777777" w:rsidR="006F2F6D" w:rsidRPr="006A561F" w:rsidRDefault="006F2F6D" w:rsidP="006F2F6D">
      <w:pPr>
        <w:pStyle w:val="ItadNormalText"/>
      </w:pPr>
      <w:r w:rsidRPr="006A561F">
        <w:t>UNICEF</w:t>
      </w:r>
      <w:r w:rsidRPr="006A561F">
        <w:tab/>
      </w:r>
      <w:r w:rsidR="00166C9D" w:rsidRPr="006A561F">
        <w:tab/>
      </w:r>
      <w:r w:rsidR="00166C9D" w:rsidRPr="006A561F">
        <w:tab/>
      </w:r>
      <w:r w:rsidRPr="006A561F">
        <w:t>United Nations Children</w:t>
      </w:r>
      <w:r w:rsidR="00166C9D" w:rsidRPr="006A561F">
        <w:t>’</w:t>
      </w:r>
      <w:r w:rsidRPr="006A561F">
        <w:t>s Fund</w:t>
      </w:r>
    </w:p>
    <w:p w14:paraId="487DCC05" w14:textId="77777777" w:rsidR="00166C9D" w:rsidRPr="006A561F" w:rsidRDefault="00166C9D" w:rsidP="006F2F6D">
      <w:pPr>
        <w:pStyle w:val="ItadNormalText"/>
      </w:pPr>
      <w:r w:rsidRPr="006A561F">
        <w:t>UNSF</w:t>
      </w:r>
      <w:r w:rsidRPr="006A561F">
        <w:tab/>
      </w:r>
      <w:r w:rsidRPr="006A561F">
        <w:tab/>
      </w:r>
      <w:r w:rsidRPr="006A561F">
        <w:tab/>
        <w:t>United Nations Strategic Framework</w:t>
      </w:r>
    </w:p>
    <w:p w14:paraId="1D08A5A0" w14:textId="77777777" w:rsidR="006F2F6D" w:rsidRPr="006A561F" w:rsidRDefault="006F2F6D" w:rsidP="006F2F6D">
      <w:pPr>
        <w:pStyle w:val="ItadNormalText"/>
      </w:pPr>
      <w:r w:rsidRPr="006A561F">
        <w:t>UN Women</w:t>
      </w:r>
      <w:r w:rsidRPr="006A561F">
        <w:tab/>
      </w:r>
      <w:r w:rsidR="00166C9D" w:rsidRPr="006A561F">
        <w:tab/>
      </w:r>
      <w:r w:rsidR="00166C9D" w:rsidRPr="006A561F">
        <w:tab/>
      </w:r>
      <w:r w:rsidRPr="006A561F">
        <w:t>United Nations Entity for Gender Equality and Empowerment of Women</w:t>
      </w:r>
    </w:p>
    <w:p w14:paraId="6FC69B60" w14:textId="77777777" w:rsidR="00166C9D" w:rsidRPr="006A561F" w:rsidRDefault="00166C9D" w:rsidP="006F2F6D">
      <w:pPr>
        <w:pStyle w:val="ItadNormalText"/>
      </w:pPr>
      <w:r w:rsidRPr="006A561F">
        <w:t>US</w:t>
      </w:r>
      <w:r w:rsidRPr="006A561F">
        <w:tab/>
      </w:r>
      <w:r w:rsidRPr="006A561F">
        <w:tab/>
      </w:r>
      <w:r w:rsidRPr="006A561F">
        <w:tab/>
        <w:t>United States</w:t>
      </w:r>
    </w:p>
    <w:p w14:paraId="3143B12E" w14:textId="77777777" w:rsidR="006F2F6D" w:rsidRPr="006A561F" w:rsidRDefault="006F2F6D" w:rsidP="006F2F6D">
      <w:pPr>
        <w:pStyle w:val="ItadNormalText"/>
      </w:pPr>
      <w:r w:rsidRPr="006A561F">
        <w:lastRenderedPageBreak/>
        <w:t>USD</w:t>
      </w:r>
      <w:r w:rsidRPr="006A561F">
        <w:tab/>
      </w:r>
      <w:r w:rsidRPr="006A561F">
        <w:tab/>
      </w:r>
      <w:r w:rsidR="00166C9D" w:rsidRPr="006A561F">
        <w:tab/>
      </w:r>
      <w:r w:rsidRPr="006A561F">
        <w:t>United States Dollar</w:t>
      </w:r>
    </w:p>
    <w:p w14:paraId="0CF0FC91" w14:textId="77777777" w:rsidR="00166C9D" w:rsidRPr="006A561F" w:rsidRDefault="00166C9D" w:rsidP="006F2F6D">
      <w:pPr>
        <w:pStyle w:val="ItadNormalText"/>
      </w:pPr>
      <w:r w:rsidRPr="006A561F">
        <w:t>VAW</w:t>
      </w:r>
      <w:r w:rsidRPr="006A561F">
        <w:tab/>
      </w:r>
      <w:r w:rsidRPr="006A561F">
        <w:tab/>
      </w:r>
      <w:r w:rsidRPr="006A561F">
        <w:tab/>
        <w:t>Violence Against Women</w:t>
      </w:r>
    </w:p>
    <w:p w14:paraId="14160BC3" w14:textId="77777777" w:rsidR="006F2F6D" w:rsidRPr="006A561F" w:rsidRDefault="006F2F6D" w:rsidP="006F2F6D">
      <w:pPr>
        <w:pStyle w:val="ItadNormalText"/>
      </w:pPr>
      <w:r w:rsidRPr="006A561F">
        <w:t xml:space="preserve">VAWG </w:t>
      </w:r>
      <w:r w:rsidRPr="006A561F">
        <w:tab/>
      </w:r>
      <w:r w:rsidRPr="006A561F">
        <w:tab/>
      </w:r>
      <w:r w:rsidR="00166C9D" w:rsidRPr="006A561F">
        <w:tab/>
      </w:r>
      <w:r w:rsidRPr="006A561F">
        <w:t>Violence against women and girls</w:t>
      </w:r>
    </w:p>
    <w:p w14:paraId="2CCDFD73" w14:textId="77777777" w:rsidR="004A06CF" w:rsidRPr="006A561F" w:rsidRDefault="004A06CF" w:rsidP="006F2F6D">
      <w:pPr>
        <w:pStyle w:val="ItadNormalText"/>
      </w:pPr>
      <w:r w:rsidRPr="006A561F">
        <w:t xml:space="preserve">WATC </w:t>
      </w:r>
      <w:r w:rsidRPr="006A561F">
        <w:tab/>
      </w:r>
      <w:r w:rsidRPr="006A561F">
        <w:tab/>
      </w:r>
      <w:r w:rsidRPr="006A561F">
        <w:tab/>
        <w:t>Women’s Affairs Technical Committee</w:t>
      </w:r>
    </w:p>
    <w:p w14:paraId="7580F4CC" w14:textId="77777777" w:rsidR="006F2F6D" w:rsidRPr="006A561F" w:rsidRDefault="006F2F6D" w:rsidP="006F2F6D">
      <w:pPr>
        <w:pStyle w:val="ItadNormalText"/>
      </w:pPr>
      <w:r w:rsidRPr="006A561F">
        <w:t>WEE</w:t>
      </w:r>
      <w:r w:rsidRPr="006A561F">
        <w:tab/>
      </w:r>
      <w:r w:rsidR="00166C9D" w:rsidRPr="006A561F">
        <w:tab/>
      </w:r>
      <w:r w:rsidR="00166C9D" w:rsidRPr="006A561F">
        <w:tab/>
      </w:r>
      <w:r w:rsidRPr="006A561F">
        <w:t>Women’s Economic Empowerment</w:t>
      </w:r>
    </w:p>
    <w:p w14:paraId="6F3C3602" w14:textId="77777777" w:rsidR="006F2F6D" w:rsidRPr="006A561F" w:rsidRDefault="006F2F6D" w:rsidP="006F2F6D">
      <w:pPr>
        <w:pStyle w:val="ItadNormalText"/>
      </w:pPr>
      <w:r w:rsidRPr="006A561F">
        <w:t>WPS</w:t>
      </w:r>
      <w:r w:rsidRPr="006A561F">
        <w:tab/>
      </w:r>
      <w:r w:rsidR="00166C9D" w:rsidRPr="006A561F">
        <w:tab/>
      </w:r>
      <w:r w:rsidR="00166C9D" w:rsidRPr="006A561F">
        <w:tab/>
      </w:r>
      <w:r w:rsidRPr="006A561F">
        <w:t xml:space="preserve">Women, </w:t>
      </w:r>
      <w:proofErr w:type="gramStart"/>
      <w:r w:rsidRPr="006A561F">
        <w:t>Peace</w:t>
      </w:r>
      <w:proofErr w:type="gramEnd"/>
      <w:r w:rsidRPr="006A561F">
        <w:t xml:space="preserve"> and Security</w:t>
      </w:r>
    </w:p>
    <w:p w14:paraId="73F0ED53" w14:textId="77777777" w:rsidR="006F2F6D" w:rsidRPr="006A561F" w:rsidRDefault="006F2F6D" w:rsidP="006F2F6D">
      <w:pPr>
        <w:pStyle w:val="ItadNormalText"/>
      </w:pPr>
    </w:p>
    <w:p w14:paraId="7CCD7A11" w14:textId="77777777" w:rsidR="006F2F6D" w:rsidRPr="006A561F" w:rsidRDefault="006F2F6D" w:rsidP="006F2F6D">
      <w:pPr>
        <w:rPr>
          <w:rFonts w:asciiTheme="minorHAnsi" w:hAnsiTheme="minorHAnsi" w:cstheme="minorHAnsi"/>
          <w:sz w:val="24"/>
          <w:szCs w:val="24"/>
        </w:rPr>
      </w:pPr>
    </w:p>
    <w:p w14:paraId="71D0D42F" w14:textId="77777777" w:rsidR="006F2F6D" w:rsidRPr="006A561F" w:rsidRDefault="006F2F6D" w:rsidP="006F2F6D">
      <w:pPr>
        <w:rPr>
          <w:rFonts w:asciiTheme="minorHAnsi" w:hAnsiTheme="minorHAnsi" w:cstheme="minorHAnsi"/>
          <w:sz w:val="24"/>
          <w:szCs w:val="24"/>
        </w:rPr>
        <w:sectPr w:rsidR="006F2F6D" w:rsidRPr="006A561F" w:rsidSect="00CD2FF1">
          <w:headerReference w:type="default" r:id="rId14"/>
          <w:footerReference w:type="default" r:id="rId15"/>
          <w:pgSz w:w="11906" w:h="16838" w:code="9"/>
          <w:pgMar w:top="1134" w:right="1191" w:bottom="1134" w:left="1191" w:header="720" w:footer="680" w:gutter="0"/>
          <w:pgNumType w:fmt="lowerRoman" w:start="0"/>
          <w:cols w:space="720"/>
          <w:docGrid w:linePitch="360"/>
        </w:sectPr>
      </w:pPr>
    </w:p>
    <w:p w14:paraId="73691292" w14:textId="77777777" w:rsidR="00BE7741" w:rsidRDefault="0CD162B1" w:rsidP="002D34CA">
      <w:pPr>
        <w:pStyle w:val="ItadH1"/>
      </w:pPr>
      <w:bookmarkStart w:id="0" w:name="_Toc123126193"/>
      <w:r>
        <w:lastRenderedPageBreak/>
        <w:t>Acknowledgements</w:t>
      </w:r>
      <w:bookmarkEnd w:id="0"/>
    </w:p>
    <w:p w14:paraId="20FA62DA" w14:textId="77777777" w:rsidR="00A20BDB" w:rsidRDefault="00A20BDB" w:rsidP="00BE7741">
      <w:pPr>
        <w:pStyle w:val="ItadNormalText"/>
      </w:pPr>
    </w:p>
    <w:p w14:paraId="40AF09C1" w14:textId="2A28E6F1" w:rsidR="00A20BDB" w:rsidRDefault="36F66AAD" w:rsidP="0D4BD307">
      <w:pPr>
        <w:pStyle w:val="ItadNormalText"/>
        <w:jc w:val="both"/>
        <w:rPr>
          <w:rFonts w:asciiTheme="minorHAnsi" w:eastAsiaTheme="minorEastAsia" w:hAnsiTheme="minorHAnsi" w:cstheme="minorBidi"/>
          <w:color w:val="auto"/>
        </w:rPr>
      </w:pPr>
      <w:r w:rsidRPr="0D4BD307">
        <w:rPr>
          <w:rFonts w:asciiTheme="minorHAnsi" w:eastAsiaTheme="minorEastAsia" w:hAnsiTheme="minorHAnsi" w:cstheme="minorBidi"/>
          <w:color w:val="auto"/>
        </w:rPr>
        <w:t>We appreciate the inputs and guidance from UN Women R</w:t>
      </w:r>
      <w:r w:rsidR="59B6479B" w:rsidRPr="0D4BD307">
        <w:rPr>
          <w:rFonts w:asciiTheme="minorHAnsi" w:eastAsiaTheme="minorEastAsia" w:hAnsiTheme="minorHAnsi" w:cstheme="minorBidi"/>
          <w:color w:val="auto"/>
        </w:rPr>
        <w:t>egional Office for the Arab States, R</w:t>
      </w:r>
      <w:r w:rsidRPr="0D4BD307">
        <w:rPr>
          <w:rFonts w:asciiTheme="minorHAnsi" w:eastAsiaTheme="minorEastAsia" w:hAnsiTheme="minorHAnsi" w:cstheme="minorBidi"/>
          <w:color w:val="auto"/>
        </w:rPr>
        <w:t>OAS</w:t>
      </w:r>
      <w:r w:rsidR="6753A3ED" w:rsidRPr="0D4BD307">
        <w:rPr>
          <w:rFonts w:asciiTheme="minorHAnsi" w:eastAsiaTheme="minorEastAsia" w:hAnsiTheme="minorHAnsi" w:cstheme="minorBidi"/>
          <w:color w:val="auto"/>
        </w:rPr>
        <w:t>,</w:t>
      </w:r>
      <w:r w:rsidR="58639E06" w:rsidRPr="0D4BD307">
        <w:rPr>
          <w:rFonts w:asciiTheme="minorHAnsi" w:eastAsiaTheme="minorEastAsia" w:hAnsiTheme="minorHAnsi" w:cstheme="minorBidi"/>
          <w:color w:val="auto"/>
        </w:rPr>
        <w:t xml:space="preserve"> and accompanying implementation offices (Egypt, Lebanon, Palestine, Morocco, </w:t>
      </w:r>
      <w:proofErr w:type="gramStart"/>
      <w:r w:rsidR="58639E06" w:rsidRPr="0D4BD307">
        <w:rPr>
          <w:rFonts w:asciiTheme="minorHAnsi" w:eastAsiaTheme="minorEastAsia" w:hAnsiTheme="minorHAnsi" w:cstheme="minorBidi"/>
          <w:color w:val="auto"/>
        </w:rPr>
        <w:t>Jordan</w:t>
      </w:r>
      <w:proofErr w:type="gramEnd"/>
      <w:r w:rsidR="58639E06" w:rsidRPr="0D4BD307">
        <w:rPr>
          <w:rFonts w:asciiTheme="minorHAnsi" w:eastAsiaTheme="minorEastAsia" w:hAnsiTheme="minorHAnsi" w:cstheme="minorBidi"/>
          <w:color w:val="auto"/>
        </w:rPr>
        <w:t xml:space="preserve"> and </w:t>
      </w:r>
      <w:r w:rsidR="6C0232F3" w:rsidRPr="0D4BD307">
        <w:rPr>
          <w:rFonts w:asciiTheme="minorHAnsi" w:eastAsiaTheme="minorEastAsia" w:hAnsiTheme="minorHAnsi" w:cstheme="minorBidi"/>
          <w:color w:val="auto"/>
        </w:rPr>
        <w:t xml:space="preserve">Tunisia), as was all associated implementation partners </w:t>
      </w:r>
      <w:r w:rsidR="4AEE3D96" w:rsidRPr="0D4BD307">
        <w:rPr>
          <w:rFonts w:asciiTheme="minorHAnsi" w:eastAsiaTheme="minorEastAsia" w:hAnsiTheme="minorHAnsi" w:cstheme="minorBidi"/>
          <w:color w:val="auto"/>
        </w:rPr>
        <w:t xml:space="preserve">and programme participants at community level. A special thanks is afforded to the UN Women </w:t>
      </w:r>
      <w:r w:rsidR="19D04D67" w:rsidRPr="0D4BD307">
        <w:rPr>
          <w:rFonts w:asciiTheme="minorHAnsi" w:eastAsiaTheme="minorEastAsia" w:hAnsiTheme="minorHAnsi" w:cstheme="minorBidi"/>
          <w:color w:val="auto"/>
        </w:rPr>
        <w:t>evaluation and programme management team members</w:t>
      </w:r>
      <w:r w:rsidR="112FFB2A" w:rsidRPr="0D4BD307">
        <w:rPr>
          <w:rFonts w:asciiTheme="minorHAnsi" w:eastAsiaTheme="minorEastAsia" w:hAnsiTheme="minorHAnsi" w:cstheme="minorBidi"/>
          <w:color w:val="auto"/>
        </w:rPr>
        <w:t xml:space="preserve"> for their </w:t>
      </w:r>
      <w:r w:rsidR="76C25206" w:rsidRPr="0D4BD307">
        <w:rPr>
          <w:rFonts w:asciiTheme="minorHAnsi" w:eastAsiaTheme="minorEastAsia" w:hAnsiTheme="minorHAnsi" w:cstheme="minorBidi"/>
          <w:color w:val="auto"/>
        </w:rPr>
        <w:t>in-depth and timely support throughout the evaluation</w:t>
      </w:r>
      <w:r w:rsidR="19D04D67" w:rsidRPr="0D4BD307">
        <w:rPr>
          <w:rFonts w:asciiTheme="minorHAnsi" w:eastAsiaTheme="minorEastAsia" w:hAnsiTheme="minorHAnsi" w:cstheme="minorBidi"/>
          <w:color w:val="auto"/>
        </w:rPr>
        <w:t xml:space="preserve">: </w:t>
      </w:r>
      <w:proofErr w:type="spellStart"/>
      <w:r w:rsidR="19D04D67" w:rsidRPr="0D4BD307">
        <w:rPr>
          <w:rFonts w:asciiTheme="minorHAnsi" w:eastAsiaTheme="minorEastAsia" w:hAnsiTheme="minorHAnsi" w:cstheme="minorBidi"/>
          <w:color w:val="auto"/>
        </w:rPr>
        <w:t>Chaitali</w:t>
      </w:r>
      <w:proofErr w:type="spellEnd"/>
      <w:r w:rsidR="19D04D67" w:rsidRPr="0D4BD307">
        <w:rPr>
          <w:rFonts w:asciiTheme="minorHAnsi" w:eastAsiaTheme="minorEastAsia" w:hAnsiTheme="minorHAnsi" w:cstheme="minorBidi"/>
          <w:color w:val="auto"/>
        </w:rPr>
        <w:t xml:space="preserve"> </w:t>
      </w:r>
      <w:r w:rsidR="112FFB2A" w:rsidRPr="0D4BD307">
        <w:rPr>
          <w:rFonts w:asciiTheme="minorHAnsi" w:eastAsiaTheme="minorEastAsia" w:hAnsiTheme="minorHAnsi" w:cstheme="minorBidi"/>
          <w:color w:val="auto"/>
        </w:rPr>
        <w:t>Chattopadhyay</w:t>
      </w:r>
      <w:r w:rsidR="2823EF64" w:rsidRPr="0D4BD307">
        <w:rPr>
          <w:rFonts w:asciiTheme="minorHAnsi" w:eastAsiaTheme="minorEastAsia" w:hAnsiTheme="minorHAnsi" w:cstheme="minorBidi"/>
          <w:color w:val="auto"/>
        </w:rPr>
        <w:t xml:space="preserve">, Regional Evaluation </w:t>
      </w:r>
      <w:r w:rsidR="00B21858" w:rsidRPr="0D4BD307">
        <w:rPr>
          <w:rFonts w:asciiTheme="minorHAnsi" w:eastAsiaTheme="minorEastAsia" w:hAnsiTheme="minorHAnsi" w:cstheme="minorBidi"/>
          <w:color w:val="auto"/>
        </w:rPr>
        <w:t>Specialist</w:t>
      </w:r>
      <w:r w:rsidR="2823EF64" w:rsidRPr="0D4BD307">
        <w:rPr>
          <w:rFonts w:asciiTheme="minorHAnsi" w:eastAsiaTheme="minorEastAsia" w:hAnsiTheme="minorHAnsi" w:cstheme="minorBidi"/>
          <w:color w:val="auto"/>
        </w:rPr>
        <w:t xml:space="preserve"> for the Arab states</w:t>
      </w:r>
      <w:r w:rsidR="112FFB2A" w:rsidRPr="0D4BD307">
        <w:rPr>
          <w:rFonts w:asciiTheme="minorHAnsi" w:eastAsiaTheme="minorEastAsia" w:hAnsiTheme="minorHAnsi" w:cstheme="minorBidi"/>
          <w:color w:val="auto"/>
        </w:rPr>
        <w:t>, Rodrigo Montero Cano</w:t>
      </w:r>
      <w:r w:rsidR="72F64A2D" w:rsidRPr="0D4BD307">
        <w:rPr>
          <w:rFonts w:asciiTheme="minorHAnsi" w:eastAsiaTheme="minorEastAsia" w:hAnsiTheme="minorHAnsi" w:cstheme="minorBidi"/>
          <w:color w:val="auto"/>
        </w:rPr>
        <w:t>, Programme Manager, Men and Women for Gender Equality</w:t>
      </w:r>
      <w:r w:rsidR="111EAA8B" w:rsidRPr="0D4BD307">
        <w:rPr>
          <w:rFonts w:asciiTheme="minorHAnsi" w:eastAsiaTheme="minorEastAsia" w:hAnsiTheme="minorHAnsi" w:cstheme="minorBidi"/>
          <w:color w:val="auto"/>
        </w:rPr>
        <w:t xml:space="preserve"> Programme</w:t>
      </w:r>
      <w:r w:rsidR="72F64A2D" w:rsidRPr="0D4BD307">
        <w:rPr>
          <w:rFonts w:asciiTheme="minorHAnsi" w:eastAsiaTheme="minorEastAsia" w:hAnsiTheme="minorHAnsi" w:cstheme="minorBidi"/>
          <w:color w:val="auto"/>
        </w:rPr>
        <w:t xml:space="preserve">, </w:t>
      </w:r>
      <w:r w:rsidR="112FFB2A" w:rsidRPr="0D4BD307">
        <w:rPr>
          <w:rFonts w:asciiTheme="minorHAnsi" w:eastAsiaTheme="minorEastAsia" w:hAnsiTheme="minorHAnsi" w:cstheme="minorBidi"/>
          <w:color w:val="auto"/>
        </w:rPr>
        <w:t>and Nicola Musa</w:t>
      </w:r>
      <w:r w:rsidR="46B032C7" w:rsidRPr="0D4BD307">
        <w:rPr>
          <w:rFonts w:asciiTheme="minorHAnsi" w:eastAsiaTheme="minorEastAsia" w:hAnsiTheme="minorHAnsi" w:cstheme="minorBidi"/>
          <w:color w:val="auto"/>
        </w:rPr>
        <w:t>, Monitoring specialist for the Men and Women for Gender Equality Programme</w:t>
      </w:r>
      <w:r w:rsidR="03D9CE7F" w:rsidRPr="0D4BD307">
        <w:rPr>
          <w:rFonts w:asciiTheme="minorHAnsi" w:eastAsiaTheme="minorEastAsia" w:hAnsiTheme="minorHAnsi" w:cstheme="minorBidi"/>
          <w:color w:val="auto"/>
        </w:rPr>
        <w:t>.</w:t>
      </w:r>
    </w:p>
    <w:p w14:paraId="161612AC" w14:textId="77777777" w:rsidR="00A20BDB" w:rsidRDefault="00A20BDB" w:rsidP="0D4BD307">
      <w:pPr>
        <w:pStyle w:val="ItadNormalText"/>
        <w:rPr>
          <w:rFonts w:asciiTheme="minorHAnsi" w:eastAsiaTheme="minorEastAsia" w:hAnsiTheme="minorHAnsi" w:cstheme="minorBidi"/>
        </w:rPr>
      </w:pPr>
    </w:p>
    <w:p w14:paraId="67D716FD" w14:textId="77777777" w:rsidR="00A20BDB" w:rsidRDefault="00A20BDB" w:rsidP="00A20BDB">
      <w:pPr>
        <w:pStyle w:val="ItadNormalText"/>
      </w:pPr>
    </w:p>
    <w:p w14:paraId="4199E531" w14:textId="77777777" w:rsidR="00A20BDB" w:rsidRDefault="00A20BDB" w:rsidP="00A20BDB">
      <w:pPr>
        <w:pStyle w:val="ItadNormalText"/>
      </w:pPr>
    </w:p>
    <w:p w14:paraId="47FA5740" w14:textId="77777777" w:rsidR="00A20BDB" w:rsidRPr="00BE7741" w:rsidRDefault="00A20BDB" w:rsidP="00A20BDB">
      <w:pPr>
        <w:pStyle w:val="ItadNormalText"/>
        <w:sectPr w:rsidR="00A20BDB" w:rsidRPr="00BE7741" w:rsidSect="00DD6CEB">
          <w:pgSz w:w="11906" w:h="16838" w:code="9"/>
          <w:pgMar w:top="1134" w:right="1191" w:bottom="1134" w:left="1191" w:header="720" w:footer="680" w:gutter="0"/>
          <w:pgNumType w:fmt="lowerRoman" w:start="0"/>
          <w:cols w:space="720"/>
          <w:docGrid w:linePitch="360"/>
        </w:sectPr>
      </w:pPr>
    </w:p>
    <w:p w14:paraId="69F212E8" w14:textId="77777777" w:rsidR="006F2F6D" w:rsidRDefault="0CD162B1" w:rsidP="007F6DFD">
      <w:pPr>
        <w:pStyle w:val="ItadH1"/>
        <w:ind w:left="360"/>
      </w:pPr>
      <w:bookmarkStart w:id="1" w:name="_Toc123126194"/>
      <w:r>
        <w:lastRenderedPageBreak/>
        <w:t>Executive Summary</w:t>
      </w:r>
      <w:bookmarkEnd w:id="1"/>
    </w:p>
    <w:p w14:paraId="06CC3443" w14:textId="77777777" w:rsidR="005B67B6" w:rsidRPr="00C80D78" w:rsidRDefault="005B67B6" w:rsidP="00C76AF9">
      <w:pPr>
        <w:pStyle w:val="ItadH3"/>
        <w:jc w:val="both"/>
        <w:rPr>
          <w:lang w:val="en-GB"/>
        </w:rPr>
      </w:pPr>
      <w:r w:rsidRPr="00C80D78">
        <w:rPr>
          <w:lang w:val="en-GB"/>
        </w:rPr>
        <w:t>Programme in brief</w:t>
      </w:r>
    </w:p>
    <w:p w14:paraId="62FDA9FB" w14:textId="77777777" w:rsidR="00BD0C2E" w:rsidRDefault="3B849D44" w:rsidP="00C76AF9">
      <w:pPr>
        <w:pStyle w:val="ItadNormalText"/>
        <w:jc w:val="both"/>
      </w:pPr>
      <w:r>
        <w:t>The</w:t>
      </w:r>
      <w:r w:rsidR="4BF5C50B">
        <w:t xml:space="preserve"> MWGE programme has been implemented across six countries (Egypt, Jordan, Lebanon, Morocco, </w:t>
      </w:r>
      <w:proofErr w:type="gramStart"/>
      <w:r w:rsidR="4BF5C50B">
        <w:t>Palestine</w:t>
      </w:r>
      <w:proofErr w:type="gramEnd"/>
      <w:r w:rsidR="4BF5C50B">
        <w:t xml:space="preserve"> and Tunisia) in two phases between 2015 and 2022, with the aim of better understanding dominant social norms in the MENA region and transforming these to become more gender equitable. The programme deliberately targeted both men and women of different ages and social backgrounds for this purpose. The programme has been funded by </w:t>
      </w:r>
      <w:r w:rsidR="43EAFEF7">
        <w:t xml:space="preserve">the </w:t>
      </w:r>
      <w:proofErr w:type="spellStart"/>
      <w:r w:rsidR="375352F7">
        <w:t>Sida</w:t>
      </w:r>
      <w:proofErr w:type="spellEnd"/>
      <w:r w:rsidR="375352F7">
        <w:t xml:space="preserve"> and</w:t>
      </w:r>
      <w:r w:rsidR="33C7467F">
        <w:t xml:space="preserve"> has consisted of four main </w:t>
      </w:r>
      <w:r w:rsidR="79B6B493">
        <w:t xml:space="preserve">intervention areas: 1. </w:t>
      </w:r>
      <w:r w:rsidR="16C9AB44">
        <w:t>Research and data generation</w:t>
      </w:r>
      <w:r w:rsidR="79B6B493">
        <w:t xml:space="preserve">, 2. </w:t>
      </w:r>
      <w:r w:rsidR="16C9AB44">
        <w:t>Evidence-based advocacy</w:t>
      </w:r>
      <w:r w:rsidR="79B6B493">
        <w:t xml:space="preserve">, 3. </w:t>
      </w:r>
      <w:r w:rsidR="16C9AB44">
        <w:t>Community engagement, capacity development and youth networks</w:t>
      </w:r>
      <w:r w:rsidR="79B6B493">
        <w:t>, and 4. a</w:t>
      </w:r>
      <w:r w:rsidR="16C9AB44">
        <w:t xml:space="preserve">t regional/global level, establishment of networks: creation of communities of practices to </w:t>
      </w:r>
      <w:r w:rsidR="1538C40A">
        <w:t>maintain knowledge exchange and learning.</w:t>
      </w:r>
      <w:r w:rsidR="0EC8BE38">
        <w:t xml:space="preserve"> </w:t>
      </w:r>
    </w:p>
    <w:p w14:paraId="386EF280" w14:textId="642874A2" w:rsidR="00CD4F85" w:rsidRPr="00AA439E" w:rsidRDefault="261E9A9A" w:rsidP="070BD7F0">
      <w:pPr>
        <w:pStyle w:val="ItadNormalText"/>
        <w:jc w:val="both"/>
        <w:rPr>
          <w:highlight w:val="yellow"/>
        </w:rPr>
      </w:pPr>
      <w:r>
        <w:t xml:space="preserve">Over its two phases, the programme </w:t>
      </w:r>
      <w:r w:rsidR="06919FA1">
        <w:t xml:space="preserve">has, amongst other achievements, conducted and published ground-breaking research on </w:t>
      </w:r>
      <w:r w:rsidR="23334338">
        <w:t xml:space="preserve">men’s and women’s attitudes to </w:t>
      </w:r>
      <w:r w:rsidR="2F580084">
        <w:t xml:space="preserve">gender equality using the </w:t>
      </w:r>
      <w:r w:rsidR="6030DEBF">
        <w:t>International Men and Gender Equality Survey (</w:t>
      </w:r>
      <w:r w:rsidR="2F580084">
        <w:t>IMAGES</w:t>
      </w:r>
      <w:r w:rsidR="6030DEBF">
        <w:t>) methodology</w:t>
      </w:r>
      <w:r w:rsidR="3C7EF464">
        <w:t xml:space="preserve"> both at the national and regional levels;</w:t>
      </w:r>
      <w:r w:rsidR="6030DEBF">
        <w:t xml:space="preserve"> </w:t>
      </w:r>
      <w:r w:rsidR="54FA9F2B">
        <w:t>develop</w:t>
      </w:r>
      <w:r w:rsidR="3C7EF464">
        <w:t>ed</w:t>
      </w:r>
      <w:r w:rsidR="54FA9F2B">
        <w:t xml:space="preserve"> and implement</w:t>
      </w:r>
      <w:r w:rsidR="3C7EF464">
        <w:t>ed</w:t>
      </w:r>
      <w:r w:rsidR="54FA9F2B">
        <w:t xml:space="preserve"> programming </w:t>
      </w:r>
      <w:r w:rsidR="72EF60DC">
        <w:t>aiming to transform gendered power dynamics, social norms and behaviours</w:t>
      </w:r>
      <w:r w:rsidR="3F0942A1">
        <w:t xml:space="preserve"> based on the findings</w:t>
      </w:r>
      <w:r w:rsidR="3C7EF464">
        <w:t xml:space="preserve"> of t</w:t>
      </w:r>
      <w:r w:rsidR="385DA2AF">
        <w:t>h</w:t>
      </w:r>
      <w:r w:rsidR="3C7EF464">
        <w:t>is research;</w:t>
      </w:r>
      <w:r w:rsidR="3F0942A1">
        <w:t xml:space="preserve"> affect</w:t>
      </w:r>
      <w:r w:rsidR="3C7EF464">
        <w:t>ed</w:t>
      </w:r>
      <w:r w:rsidR="3F0942A1">
        <w:t xml:space="preserve"> policy change at the national level</w:t>
      </w:r>
      <w:r w:rsidR="65F2E982">
        <w:t xml:space="preserve"> as well as established capacity at the community and national level with local partners to take the work forward</w:t>
      </w:r>
      <w:r w:rsidR="3D6ED765">
        <w:t xml:space="preserve">. </w:t>
      </w:r>
    </w:p>
    <w:p w14:paraId="7E4DD2C8" w14:textId="661CCDA3" w:rsidR="008370F0" w:rsidRDefault="6E728C17" w:rsidP="00C76AF9">
      <w:pPr>
        <w:pStyle w:val="ItadNormalText"/>
        <w:jc w:val="both"/>
      </w:pPr>
      <w:r w:rsidRPr="00EC4FBD">
        <w:t xml:space="preserve">The </w:t>
      </w:r>
      <w:r w:rsidR="6DF711CB" w:rsidRPr="00EC4FBD">
        <w:t>regional nature of the programme allowed for cross-learning between countries as well as</w:t>
      </w:r>
      <w:r w:rsidR="084A0851" w:rsidRPr="00EC4FBD">
        <w:t xml:space="preserve">, in some </w:t>
      </w:r>
      <w:proofErr w:type="gramStart"/>
      <w:r w:rsidR="084A0851" w:rsidRPr="00EC4FBD">
        <w:t>aspects</w:t>
      </w:r>
      <w:proofErr w:type="gramEnd"/>
      <w:r w:rsidR="084A0851" w:rsidRPr="00EC4FBD">
        <w:t xml:space="preserve">, using </w:t>
      </w:r>
      <w:r w:rsidR="14F49F0E" w:rsidRPr="00EC4FBD">
        <w:t xml:space="preserve">economies of scale while </w:t>
      </w:r>
      <w:r w:rsidR="4FFABCEA">
        <w:t>still</w:t>
      </w:r>
      <w:r w:rsidR="14F49F0E" w:rsidRPr="00EC4FBD">
        <w:t xml:space="preserve"> allowing for national-level adaptation. </w:t>
      </w:r>
      <w:r w:rsidR="00EC4FBD">
        <w:t xml:space="preserve">At the national and regional level, MWGE </w:t>
      </w:r>
      <w:r w:rsidR="002A35AA">
        <w:t xml:space="preserve">informed the work of UN Women more broadly as well as the work of other UN agencies. </w:t>
      </w:r>
      <w:r w:rsidR="00D837D5" w:rsidRPr="00EC4FBD">
        <w:t xml:space="preserve">The </w:t>
      </w:r>
      <w:r w:rsidR="00F050F3" w:rsidRPr="00EC4FBD">
        <w:t xml:space="preserve">experiences and findings from the </w:t>
      </w:r>
      <w:r w:rsidR="00D837D5" w:rsidRPr="00EC4FBD">
        <w:t>programme ha</w:t>
      </w:r>
      <w:r w:rsidR="00F050F3" w:rsidRPr="00EC4FBD">
        <w:t>ve</w:t>
      </w:r>
      <w:r w:rsidR="00D837D5" w:rsidRPr="00EC4FBD">
        <w:t xml:space="preserve"> </w:t>
      </w:r>
      <w:r w:rsidR="00D837D5">
        <w:t xml:space="preserve">also </w:t>
      </w:r>
      <w:r w:rsidR="00D837D5" w:rsidRPr="00EC4FBD">
        <w:t xml:space="preserve">been </w:t>
      </w:r>
      <w:r w:rsidR="00F050F3" w:rsidRPr="00EC4FBD">
        <w:t xml:space="preserve">highly influential within UN Women </w:t>
      </w:r>
      <w:r w:rsidR="00854F11" w:rsidRPr="00EC4FBD">
        <w:t xml:space="preserve">globally </w:t>
      </w:r>
      <w:r w:rsidR="00F050F3" w:rsidRPr="00EC4FBD">
        <w:t xml:space="preserve">in </w:t>
      </w:r>
      <w:r w:rsidR="00D35D29" w:rsidRPr="00EC4FBD">
        <w:t xml:space="preserve">terms of establishing a knowledge base for future work on </w:t>
      </w:r>
      <w:r w:rsidR="00731921" w:rsidRPr="00EC4FBD">
        <w:t>engaging with men and boys for gender equality and women’s empowerment.</w:t>
      </w:r>
      <w:r w:rsidR="00F050F3">
        <w:t xml:space="preserve">  </w:t>
      </w:r>
    </w:p>
    <w:p w14:paraId="754F209F" w14:textId="77777777" w:rsidR="00BA0B27" w:rsidRDefault="00BA0B27" w:rsidP="40E44CAF">
      <w:pPr>
        <w:pStyle w:val="ItadH3"/>
        <w:rPr>
          <w:lang w:val="en-GB"/>
        </w:rPr>
      </w:pPr>
    </w:p>
    <w:p w14:paraId="2598BC4C" w14:textId="0C5D6096" w:rsidR="5704ACFC" w:rsidRDefault="00BA0B27" w:rsidP="40E44CAF">
      <w:pPr>
        <w:pStyle w:val="ItadH3"/>
        <w:rPr>
          <w:lang w:val="en-GB"/>
        </w:rPr>
      </w:pPr>
      <w:r>
        <w:rPr>
          <w:lang w:val="en-GB"/>
        </w:rPr>
        <w:t xml:space="preserve">Evaluation </w:t>
      </w:r>
      <w:r w:rsidR="5704ACFC" w:rsidRPr="40E44CAF">
        <w:rPr>
          <w:lang w:val="en-GB"/>
        </w:rPr>
        <w:t xml:space="preserve">Purpose </w:t>
      </w:r>
      <w:r w:rsidR="7FCDD27E" w:rsidRPr="40E44CAF">
        <w:rPr>
          <w:lang w:val="en-GB"/>
        </w:rPr>
        <w:t xml:space="preserve">and objectives </w:t>
      </w:r>
    </w:p>
    <w:p w14:paraId="6F7C767D" w14:textId="701F7E7D" w:rsidR="38D74108" w:rsidRDefault="38D74108" w:rsidP="007E1E63">
      <w:pPr>
        <w:pStyle w:val="ItadNormalText"/>
        <w:jc w:val="both"/>
        <w:rPr>
          <w:rFonts w:eastAsia="Calibri" w:cs="Calibri"/>
        </w:rPr>
      </w:pPr>
      <w:r w:rsidRPr="40E44CAF">
        <w:rPr>
          <w:rFonts w:eastAsia="Calibri" w:cs="Calibri"/>
        </w:rPr>
        <w:t>The purpose of th</w:t>
      </w:r>
      <w:r w:rsidR="007E1E63">
        <w:rPr>
          <w:rFonts w:eastAsia="Calibri" w:cs="Calibri"/>
        </w:rPr>
        <w:t>e</w:t>
      </w:r>
      <w:r w:rsidRPr="40E44CAF">
        <w:rPr>
          <w:rFonts w:eastAsia="Calibri" w:cs="Calibri"/>
        </w:rPr>
        <w:t xml:space="preserve"> final evaluation </w:t>
      </w:r>
      <w:r w:rsidR="007E1E63">
        <w:rPr>
          <w:rFonts w:eastAsia="Calibri" w:cs="Calibri"/>
        </w:rPr>
        <w:t xml:space="preserve">was </w:t>
      </w:r>
      <w:r w:rsidRPr="40E44CAF">
        <w:rPr>
          <w:rFonts w:eastAsia="Calibri" w:cs="Calibri"/>
        </w:rPr>
        <w:t xml:space="preserve">twofold; (a) accountability, to assess the overall performance of the programme and achievement against the planned results; (b) learning, by studying the nature and processes of interventions to determine which strategies and elements worked well, in which context and why, and potential for replicating or scaling up the successful innovations. At the same time, it </w:t>
      </w:r>
      <w:r w:rsidR="007E1E63">
        <w:rPr>
          <w:rFonts w:eastAsia="Calibri" w:cs="Calibri"/>
        </w:rPr>
        <w:t xml:space="preserve">was expected to </w:t>
      </w:r>
      <w:r w:rsidRPr="40E44CAF">
        <w:rPr>
          <w:rFonts w:eastAsia="Calibri" w:cs="Calibri"/>
        </w:rPr>
        <w:t>contribute towards building a body of evidence around engaging men and women for GEWE for other UN Women partners and sector players.</w:t>
      </w:r>
    </w:p>
    <w:p w14:paraId="14DA932C" w14:textId="3E6BB5C6" w:rsidR="38D74108" w:rsidRDefault="007E1E63" w:rsidP="40E44CAF">
      <w:pPr>
        <w:pStyle w:val="ItadNormalText"/>
        <w:rPr>
          <w:rFonts w:eastAsia="Calibri" w:cs="Calibri"/>
        </w:rPr>
      </w:pPr>
      <w:r w:rsidRPr="40E44CAF">
        <w:rPr>
          <w:rFonts w:eastAsia="Calibri" w:cs="Calibri"/>
        </w:rPr>
        <w:t>Therefore,</w:t>
      </w:r>
      <w:r w:rsidR="38D74108" w:rsidRPr="40E44CAF">
        <w:rPr>
          <w:rFonts w:eastAsia="Calibri" w:cs="Calibri"/>
        </w:rPr>
        <w:t xml:space="preserve"> the evaluation </w:t>
      </w:r>
      <w:r>
        <w:rPr>
          <w:rFonts w:eastAsia="Calibri" w:cs="Calibri"/>
        </w:rPr>
        <w:t>was</w:t>
      </w:r>
      <w:r w:rsidR="38D74108" w:rsidRPr="40E44CAF">
        <w:rPr>
          <w:rFonts w:eastAsia="Calibri" w:cs="Calibri"/>
        </w:rPr>
        <w:t xml:space="preserve"> both summative and formative in nature.</w:t>
      </w:r>
    </w:p>
    <w:p w14:paraId="204CB8E8" w14:textId="77777777" w:rsidR="38D74108" w:rsidRPr="00EB440A" w:rsidRDefault="38D74108" w:rsidP="40E44CAF">
      <w:pPr>
        <w:pStyle w:val="ItadNormalText"/>
        <w:rPr>
          <w:rFonts w:eastAsia="Calibri" w:cs="Calibri"/>
        </w:rPr>
      </w:pPr>
      <w:r w:rsidRPr="00EB440A">
        <w:rPr>
          <w:rFonts w:eastAsia="Calibri" w:cs="Calibri"/>
          <w:lang w:val="en-US"/>
        </w:rPr>
        <w:t xml:space="preserve">Specifically, the objectives of this evaluation </w:t>
      </w:r>
      <w:r w:rsidR="4C00CD32" w:rsidRPr="00EB440A">
        <w:rPr>
          <w:rFonts w:eastAsia="Calibri" w:cs="Calibri"/>
          <w:lang w:val="en-US"/>
        </w:rPr>
        <w:t xml:space="preserve">were </w:t>
      </w:r>
      <w:r w:rsidRPr="00EB440A">
        <w:rPr>
          <w:rFonts w:eastAsia="Calibri" w:cs="Calibri"/>
          <w:lang w:val="en-US"/>
        </w:rPr>
        <w:t>to:</w:t>
      </w:r>
    </w:p>
    <w:p w14:paraId="3A5E5F6B" w14:textId="77777777" w:rsidR="38D74108" w:rsidRPr="00EB440A" w:rsidRDefault="15BE952A" w:rsidP="001F7344">
      <w:pPr>
        <w:pStyle w:val="ItadBullets"/>
        <w:numPr>
          <w:ilvl w:val="0"/>
          <w:numId w:val="37"/>
        </w:numPr>
        <w:rPr>
          <w:rFonts w:eastAsia="Calibri" w:cs="Calibri"/>
        </w:rPr>
      </w:pPr>
      <w:proofErr w:type="spellStart"/>
      <w:r w:rsidRPr="00EB440A">
        <w:rPr>
          <w:rFonts w:eastAsia="Calibri" w:cs="Calibri"/>
          <w:lang w:val="en-US"/>
        </w:rPr>
        <w:t>analyse</w:t>
      </w:r>
      <w:proofErr w:type="spellEnd"/>
      <w:r w:rsidRPr="00EB440A">
        <w:rPr>
          <w:rFonts w:eastAsia="Calibri" w:cs="Calibri"/>
          <w:lang w:val="en-US"/>
        </w:rPr>
        <w:t xml:space="preserve"> the relevance of the </w:t>
      </w:r>
      <w:proofErr w:type="spellStart"/>
      <w:r w:rsidRPr="00EB440A">
        <w:rPr>
          <w:rFonts w:eastAsia="Calibri" w:cs="Calibri"/>
          <w:lang w:val="en-US"/>
        </w:rPr>
        <w:t>programme</w:t>
      </w:r>
      <w:proofErr w:type="spellEnd"/>
      <w:r w:rsidRPr="00EB440A">
        <w:rPr>
          <w:rFonts w:eastAsia="Calibri" w:cs="Calibri"/>
          <w:lang w:val="en-US"/>
        </w:rPr>
        <w:t xml:space="preserve"> objectives, intervention logic, </w:t>
      </w:r>
      <w:proofErr w:type="gramStart"/>
      <w:r w:rsidRPr="00EB440A">
        <w:rPr>
          <w:rFonts w:eastAsia="Calibri" w:cs="Calibri"/>
          <w:lang w:val="en-US"/>
        </w:rPr>
        <w:t>strategy</w:t>
      </w:r>
      <w:proofErr w:type="gramEnd"/>
      <w:r w:rsidRPr="00EB440A">
        <w:rPr>
          <w:rFonts w:eastAsia="Calibri" w:cs="Calibri"/>
          <w:lang w:val="en-US"/>
        </w:rPr>
        <w:t xml:space="preserve"> and approach at national and regional levels, as well as UN Women’s comparative advantage/added value in this area as compared with key partners. </w:t>
      </w:r>
    </w:p>
    <w:p w14:paraId="517F5C1E" w14:textId="77777777" w:rsidR="38D74108" w:rsidRPr="00EB440A" w:rsidRDefault="15BE952A" w:rsidP="001F7344">
      <w:pPr>
        <w:pStyle w:val="ItadBullets"/>
        <w:numPr>
          <w:ilvl w:val="0"/>
          <w:numId w:val="37"/>
        </w:numPr>
        <w:rPr>
          <w:rFonts w:eastAsia="Calibri" w:cs="Calibri"/>
        </w:rPr>
      </w:pPr>
      <w:r w:rsidRPr="00EB440A">
        <w:rPr>
          <w:rFonts w:eastAsia="Calibri" w:cs="Calibri"/>
          <w:lang w:val="en-US"/>
        </w:rPr>
        <w:t xml:space="preserve">assess </w:t>
      </w:r>
      <w:proofErr w:type="spellStart"/>
      <w:r w:rsidRPr="00EB440A">
        <w:rPr>
          <w:rFonts w:eastAsia="Calibri" w:cs="Calibri"/>
          <w:lang w:val="en-US"/>
        </w:rPr>
        <w:t>organisational</w:t>
      </w:r>
      <w:proofErr w:type="spellEnd"/>
      <w:r w:rsidRPr="00EB440A">
        <w:rPr>
          <w:rFonts w:eastAsia="Calibri" w:cs="Calibri"/>
          <w:lang w:val="en-US"/>
        </w:rPr>
        <w:t xml:space="preserve"> efficiency, </w:t>
      </w:r>
      <w:proofErr w:type="gramStart"/>
      <w:r w:rsidRPr="00EB440A">
        <w:rPr>
          <w:rFonts w:eastAsia="Calibri" w:cs="Calibri"/>
          <w:lang w:val="en-US"/>
        </w:rPr>
        <w:t>partnerships</w:t>
      </w:r>
      <w:proofErr w:type="gramEnd"/>
      <w:r w:rsidRPr="00EB440A">
        <w:rPr>
          <w:rFonts w:eastAsia="Calibri" w:cs="Calibri"/>
          <w:lang w:val="en-US"/>
        </w:rPr>
        <w:t xml:space="preserve"> and coordination mechanisms in progressing towards the achievement of the </w:t>
      </w:r>
      <w:proofErr w:type="spellStart"/>
      <w:r w:rsidRPr="00EB440A">
        <w:rPr>
          <w:rFonts w:eastAsia="Calibri" w:cs="Calibri"/>
          <w:lang w:val="en-US"/>
        </w:rPr>
        <w:t>programme</w:t>
      </w:r>
      <w:proofErr w:type="spellEnd"/>
      <w:r w:rsidRPr="00EB440A">
        <w:rPr>
          <w:rFonts w:eastAsia="Calibri" w:cs="Calibri"/>
          <w:lang w:val="en-US"/>
        </w:rPr>
        <w:t xml:space="preserve"> results.</w:t>
      </w:r>
    </w:p>
    <w:p w14:paraId="1DFDD958" w14:textId="77777777" w:rsidR="38D74108" w:rsidRPr="00EB440A" w:rsidRDefault="15BE952A" w:rsidP="001F7344">
      <w:pPr>
        <w:pStyle w:val="ItadBullets"/>
        <w:numPr>
          <w:ilvl w:val="0"/>
          <w:numId w:val="37"/>
        </w:numPr>
        <w:rPr>
          <w:rFonts w:eastAsia="Calibri" w:cs="Calibri"/>
        </w:rPr>
      </w:pPr>
      <w:r w:rsidRPr="00EB440A">
        <w:rPr>
          <w:rFonts w:eastAsia="Calibri" w:cs="Calibri"/>
          <w:lang w:val="en-US"/>
        </w:rPr>
        <w:t>assess the connectedness and sustainability of the results and the intervention in advancing gender equality in the target countries.</w:t>
      </w:r>
    </w:p>
    <w:p w14:paraId="2E87D4C5" w14:textId="77777777" w:rsidR="38D74108" w:rsidRPr="00EB440A" w:rsidRDefault="15BE952A" w:rsidP="001F7344">
      <w:pPr>
        <w:pStyle w:val="ItadBullets"/>
        <w:numPr>
          <w:ilvl w:val="0"/>
          <w:numId w:val="37"/>
        </w:numPr>
        <w:rPr>
          <w:rFonts w:eastAsia="Calibri" w:cs="Calibri"/>
        </w:rPr>
      </w:pPr>
      <w:r w:rsidRPr="00EB440A">
        <w:rPr>
          <w:rFonts w:eastAsia="Calibri" w:cs="Calibri"/>
          <w:lang w:val="en-US"/>
        </w:rPr>
        <w:t xml:space="preserve">assess effectiveness and the likelihood of impact of the </w:t>
      </w:r>
      <w:proofErr w:type="spellStart"/>
      <w:r w:rsidRPr="00EB440A">
        <w:rPr>
          <w:rFonts w:eastAsia="Calibri" w:cs="Calibri"/>
          <w:lang w:val="en-US"/>
        </w:rPr>
        <w:t>programme</w:t>
      </w:r>
      <w:proofErr w:type="spellEnd"/>
      <w:r w:rsidRPr="00EB440A">
        <w:rPr>
          <w:rFonts w:eastAsia="Calibri" w:cs="Calibri"/>
          <w:lang w:val="en-US"/>
        </w:rPr>
        <w:t xml:space="preserve"> intervention on the target individuals, groups, </w:t>
      </w:r>
      <w:proofErr w:type="gramStart"/>
      <w:r w:rsidRPr="00EB440A">
        <w:rPr>
          <w:rFonts w:eastAsia="Calibri" w:cs="Calibri"/>
          <w:lang w:val="en-US"/>
        </w:rPr>
        <w:t>communities</w:t>
      </w:r>
      <w:proofErr w:type="gramEnd"/>
      <w:r w:rsidRPr="00EB440A">
        <w:rPr>
          <w:rFonts w:eastAsia="Calibri" w:cs="Calibri"/>
          <w:lang w:val="en-US"/>
        </w:rPr>
        <w:t xml:space="preserve"> and institutions. </w:t>
      </w:r>
    </w:p>
    <w:p w14:paraId="2BFA4E34" w14:textId="77777777" w:rsidR="38D74108" w:rsidRPr="00EB440A" w:rsidRDefault="15BE952A" w:rsidP="001F7344">
      <w:pPr>
        <w:pStyle w:val="ItadBullets"/>
        <w:numPr>
          <w:ilvl w:val="0"/>
          <w:numId w:val="37"/>
        </w:numPr>
        <w:rPr>
          <w:rFonts w:eastAsia="Calibri" w:cs="Calibri"/>
        </w:rPr>
      </w:pPr>
      <w:r w:rsidRPr="00EB440A">
        <w:rPr>
          <w:rFonts w:eastAsia="Calibri" w:cs="Calibri"/>
          <w:lang w:val="en-US"/>
        </w:rPr>
        <w:lastRenderedPageBreak/>
        <w:t xml:space="preserve">identify and document lessons learned, good practices and innovations, success stories and challenges within the </w:t>
      </w:r>
      <w:proofErr w:type="spellStart"/>
      <w:r w:rsidRPr="00EB440A">
        <w:rPr>
          <w:rFonts w:eastAsia="Calibri" w:cs="Calibri"/>
          <w:lang w:val="en-US"/>
        </w:rPr>
        <w:t>programme</w:t>
      </w:r>
      <w:proofErr w:type="spellEnd"/>
      <w:r w:rsidRPr="00EB440A">
        <w:rPr>
          <w:rFonts w:eastAsia="Calibri" w:cs="Calibri"/>
          <w:lang w:val="en-US"/>
        </w:rPr>
        <w:t xml:space="preserve">, to inform future work of UN Women to transform negative </w:t>
      </w:r>
      <w:proofErr w:type="spellStart"/>
      <w:r w:rsidRPr="00EB440A">
        <w:rPr>
          <w:rFonts w:eastAsia="Calibri" w:cs="Calibri"/>
          <w:lang w:val="en-US"/>
        </w:rPr>
        <w:t>behaviours</w:t>
      </w:r>
      <w:proofErr w:type="spellEnd"/>
      <w:r w:rsidRPr="00EB440A">
        <w:rPr>
          <w:rFonts w:eastAsia="Calibri" w:cs="Calibri"/>
          <w:lang w:val="en-US"/>
        </w:rPr>
        <w:t xml:space="preserve"> and challenge prevalent gender social norms, including by engaging men and boys.</w:t>
      </w:r>
    </w:p>
    <w:p w14:paraId="64807AC8" w14:textId="3605440D" w:rsidR="00E04C56" w:rsidRPr="006A561F" w:rsidRDefault="00E04C56" w:rsidP="00E04C56">
      <w:pPr>
        <w:pStyle w:val="ItadH3"/>
        <w:jc w:val="both"/>
        <w:rPr>
          <w:lang w:val="en-GB"/>
        </w:rPr>
      </w:pPr>
      <w:r w:rsidRPr="40E44CAF">
        <w:rPr>
          <w:lang w:val="en-GB"/>
        </w:rPr>
        <w:t>E</w:t>
      </w:r>
      <w:r w:rsidRPr="40E44CAF">
        <w:rPr>
          <w:lang w:val="en-GB"/>
        </w:rPr>
        <w:t>valuation</w:t>
      </w:r>
      <w:r>
        <w:rPr>
          <w:lang w:val="en-GB"/>
        </w:rPr>
        <w:t xml:space="preserve"> </w:t>
      </w:r>
      <w:r w:rsidRPr="40E44CAF">
        <w:rPr>
          <w:lang w:val="en-GB"/>
        </w:rPr>
        <w:t>Scope</w:t>
      </w:r>
    </w:p>
    <w:p w14:paraId="2FF32625" w14:textId="77777777" w:rsidR="00E04C56" w:rsidRPr="00EB440A" w:rsidRDefault="00E04C56" w:rsidP="00E04C56">
      <w:pPr>
        <w:pStyle w:val="ItadNormalText"/>
        <w:jc w:val="both"/>
      </w:pPr>
      <w:r w:rsidRPr="00EB440A">
        <w:t>The evaluation – conducted between September 2021 and April 2022 – covered interventions across both Phase I (January 2015–February 2019) and Phase II (March 2019–June 2022) of the programme but emphasised a deeper dive on Phase II interventions.</w:t>
      </w:r>
      <w:r w:rsidRPr="00EB440A">
        <w:rPr>
          <w:vertAlign w:val="superscript"/>
        </w:rPr>
        <w:t xml:space="preserve"> </w:t>
      </w:r>
      <w:r w:rsidRPr="00EB440A">
        <w:t>The evaluation team primarily considered data/info/documents till December 2021 with a few exceptions.</w:t>
      </w:r>
    </w:p>
    <w:p w14:paraId="1E0B2AF7" w14:textId="77777777" w:rsidR="00E04C56" w:rsidRPr="00EB440A" w:rsidRDefault="00E04C56" w:rsidP="00E04C56">
      <w:pPr>
        <w:pStyle w:val="ItadNormalText"/>
        <w:jc w:val="both"/>
      </w:pPr>
      <w:r w:rsidRPr="00EB440A">
        <w:t xml:space="preserve">The evaluation covered six UN Women country offices (COs) of the MENA region – Egypt, Jordan, Lebanon, Morocco, </w:t>
      </w:r>
      <w:proofErr w:type="gramStart"/>
      <w:r w:rsidRPr="00EB440A">
        <w:t>Palestine</w:t>
      </w:r>
      <w:proofErr w:type="gramEnd"/>
      <w:r w:rsidRPr="00EB440A">
        <w:t xml:space="preserve"> and Tunisia – as well as the interventions at the UN Women Regional Office for the Arab States (ROAS). A stand-alone case study was developed for each country, and the evaluation also undertook stand-alone thematic studies on knowledge management and uptake, social and gender norms, and a comparison of emergent best practices relating to programming on men and boys for gender equality.</w:t>
      </w:r>
    </w:p>
    <w:p w14:paraId="62B6B57F" w14:textId="77777777" w:rsidR="00E04C56" w:rsidRPr="006A561F" w:rsidRDefault="00E04C56" w:rsidP="00E04C56">
      <w:pPr>
        <w:pStyle w:val="ItadH3"/>
        <w:rPr>
          <w:lang w:val="en-GB"/>
        </w:rPr>
      </w:pPr>
      <w:r w:rsidRPr="40E44CAF">
        <w:rPr>
          <w:lang w:val="en-GB"/>
        </w:rPr>
        <w:t>Use and users of the evaluation</w:t>
      </w:r>
    </w:p>
    <w:p w14:paraId="165DC286" w14:textId="77777777" w:rsidR="00E04C56" w:rsidRDefault="00E04C56" w:rsidP="00E04C56">
      <w:pPr>
        <w:pStyle w:val="ItadNormalText"/>
        <w:jc w:val="both"/>
      </w:pPr>
      <w:r w:rsidRPr="00EB440A">
        <w:t xml:space="preserve">The primary stakeholders of the evaluation were UN Women ROAS and respective UN Women COs, alongside the donor agency, </w:t>
      </w:r>
      <w:proofErr w:type="spellStart"/>
      <w:r w:rsidRPr="00EB440A">
        <w:t>Sida</w:t>
      </w:r>
      <w:proofErr w:type="spellEnd"/>
      <w:r w:rsidRPr="00EB440A">
        <w:t>. The secondary stakeholders consisted of the accompanying implementing partners as well as key regional and global players working on GEWE, particularly those that are interested in programming that purposefully integrates a focus on men and boys with the aim of furthering GEWE. The evaluation was also expected to inform UN Women corporately, at Headquarters (HQ) and across other regions and countries, for programmatic and policy work in the areas of focus of the programme</w:t>
      </w:r>
      <w:r>
        <w:t>.</w:t>
      </w:r>
    </w:p>
    <w:p w14:paraId="34D69E5A" w14:textId="77A3748F" w:rsidR="00E04C56" w:rsidRDefault="00E04C56" w:rsidP="00E04C56">
      <w:pPr>
        <w:pStyle w:val="ItadH3"/>
        <w:rPr>
          <w:lang w:val="en-GB"/>
        </w:rPr>
      </w:pPr>
      <w:r w:rsidRPr="40E44CAF">
        <w:rPr>
          <w:lang w:val="en-GB"/>
        </w:rPr>
        <w:t>E</w:t>
      </w:r>
      <w:r w:rsidRPr="40E44CAF">
        <w:rPr>
          <w:lang w:val="en-GB"/>
        </w:rPr>
        <w:t>valuation</w:t>
      </w:r>
      <w:r>
        <w:rPr>
          <w:lang w:val="en-GB"/>
        </w:rPr>
        <w:t xml:space="preserve"> methodology </w:t>
      </w:r>
    </w:p>
    <w:p w14:paraId="4AAEE915" w14:textId="40D0CDB8" w:rsidR="002F0888" w:rsidRPr="00882D74" w:rsidRDefault="002F0888" w:rsidP="002F0888">
      <w:pPr>
        <w:rPr>
          <w:color w:val="3B3B3C" w:themeColor="text1"/>
        </w:rPr>
      </w:pPr>
      <w:r w:rsidRPr="00882D74">
        <w:rPr>
          <w:color w:val="3B3B3C" w:themeColor="text1"/>
        </w:rPr>
        <w:t xml:space="preserve">The evaluation design was </w:t>
      </w:r>
      <w:r w:rsidRPr="00882D74">
        <w:rPr>
          <w:color w:val="3B3B3C" w:themeColor="text1"/>
        </w:rPr>
        <w:t>gender</w:t>
      </w:r>
      <w:r w:rsidR="00BA0B27" w:rsidRPr="00882D74">
        <w:rPr>
          <w:color w:val="3B3B3C" w:themeColor="text1"/>
        </w:rPr>
        <w:t>-</w:t>
      </w:r>
      <w:r w:rsidRPr="00882D74">
        <w:rPr>
          <w:color w:val="3B3B3C" w:themeColor="text1"/>
        </w:rPr>
        <w:t xml:space="preserve">responsive and </w:t>
      </w:r>
      <w:r w:rsidRPr="00882D74">
        <w:rPr>
          <w:color w:val="3B3B3C" w:themeColor="text1"/>
        </w:rPr>
        <w:t>utilisation-focused</w:t>
      </w:r>
      <w:r w:rsidRPr="00882D74">
        <w:rPr>
          <w:color w:val="3B3B3C" w:themeColor="text1"/>
        </w:rPr>
        <w:t xml:space="preserve">. It used </w:t>
      </w:r>
      <w:r w:rsidRPr="00882D74">
        <w:rPr>
          <w:color w:val="3B3B3C" w:themeColor="text1"/>
        </w:rPr>
        <w:t>a mixed-method approach in triangulating findings framed around an evaluation matrix</w:t>
      </w:r>
      <w:r w:rsidRPr="00882D74">
        <w:rPr>
          <w:color w:val="3B3B3C" w:themeColor="text1"/>
        </w:rPr>
        <w:t xml:space="preserve">. It </w:t>
      </w:r>
      <w:r w:rsidRPr="00882D74">
        <w:rPr>
          <w:color w:val="3B3B3C" w:themeColor="text1"/>
        </w:rPr>
        <w:t>covered all dimensions of the Organisation for Economic Co-operation and Development’s Development Assistance Committee (OECD-DAC) criteria across nine evaluation questions (EQs).</w:t>
      </w:r>
    </w:p>
    <w:p w14:paraId="55BDF695" w14:textId="6235FC4F" w:rsidR="002F0888" w:rsidRPr="00882D74" w:rsidRDefault="7CE59AAA" w:rsidP="40E44CAF">
      <w:pPr>
        <w:pStyle w:val="ItadNormalText"/>
        <w:jc w:val="both"/>
        <w:rPr>
          <w:rFonts w:eastAsia="Calibri" w:cs="Times New Roman"/>
        </w:rPr>
      </w:pPr>
      <w:r w:rsidRPr="00882D74">
        <w:rPr>
          <w:rFonts w:eastAsia="Calibri" w:cs="Times New Roman"/>
        </w:rPr>
        <w:t>The evaluation team undertook a desk review and content analysis</w:t>
      </w:r>
      <w:r w:rsidR="00882D74" w:rsidRPr="00882D74">
        <w:rPr>
          <w:rFonts w:eastAsia="Calibri" w:cs="Times New Roman"/>
        </w:rPr>
        <w:t xml:space="preserve"> of 183 documents</w:t>
      </w:r>
      <w:r w:rsidRPr="00882D74">
        <w:rPr>
          <w:rFonts w:eastAsia="Calibri" w:cs="Times New Roman"/>
        </w:rPr>
        <w:t xml:space="preserve">, 104 key informant interviews (KIIs), </w:t>
      </w:r>
      <w:r w:rsidR="00EB440A" w:rsidRPr="00882D74">
        <w:rPr>
          <w:rFonts w:eastAsia="Calibri" w:cs="Times New Roman"/>
        </w:rPr>
        <w:t>18 focus</w:t>
      </w:r>
      <w:r w:rsidRPr="00882D74">
        <w:rPr>
          <w:rFonts w:eastAsia="Calibri" w:cs="Times New Roman"/>
        </w:rPr>
        <w:t xml:space="preserve"> group discussions (FGDs) (in a sub-selection of countries) and a remote survey with </w:t>
      </w:r>
      <w:proofErr w:type="gramStart"/>
      <w:r w:rsidRPr="00882D74">
        <w:rPr>
          <w:rFonts w:eastAsia="Calibri" w:cs="Times New Roman"/>
        </w:rPr>
        <w:t>CBOs, and</w:t>
      </w:r>
      <w:proofErr w:type="gramEnd"/>
      <w:r w:rsidRPr="00882D74">
        <w:rPr>
          <w:rFonts w:eastAsia="Calibri" w:cs="Times New Roman"/>
        </w:rPr>
        <w:t xml:space="preserve"> undertook preliminary validation presentations at the country and at the regional level. </w:t>
      </w:r>
    </w:p>
    <w:p w14:paraId="52F0392D" w14:textId="0CD80C13" w:rsidR="40E44CAF" w:rsidRPr="00882D74" w:rsidRDefault="00E04C56" w:rsidP="40E44CAF">
      <w:pPr>
        <w:pStyle w:val="ItadNormalText"/>
      </w:pPr>
      <w:r w:rsidRPr="00882D74">
        <w:t xml:space="preserve">The independent evaluation team consisted of five </w:t>
      </w:r>
      <w:proofErr w:type="spellStart"/>
      <w:r w:rsidRPr="00882D74">
        <w:t>Itad</w:t>
      </w:r>
      <w:proofErr w:type="spellEnd"/>
      <w:r w:rsidRPr="00882D74">
        <w:t xml:space="preserve"> staff and Europe-based consultants as well as four </w:t>
      </w:r>
      <w:r w:rsidR="00882D74" w:rsidRPr="00882D74">
        <w:t>regionally based</w:t>
      </w:r>
      <w:r w:rsidRPr="00882D74">
        <w:t xml:space="preserve"> consultants.</w:t>
      </w:r>
    </w:p>
    <w:p w14:paraId="64CE65C3" w14:textId="77777777" w:rsidR="00E926D1" w:rsidRPr="00C80D78" w:rsidRDefault="00E926D1" w:rsidP="00C76AF9">
      <w:pPr>
        <w:pStyle w:val="ItadH3"/>
        <w:jc w:val="both"/>
        <w:rPr>
          <w:lang w:val="en-GB"/>
        </w:rPr>
      </w:pPr>
      <w:r w:rsidRPr="00C80D78">
        <w:rPr>
          <w:lang w:val="en-GB" w:eastAsia="en-GB"/>
        </w:rPr>
        <w:t xml:space="preserve">Conclusions </w:t>
      </w:r>
    </w:p>
    <w:p w14:paraId="314E7E8E" w14:textId="77777777" w:rsidR="00BA0B27" w:rsidRPr="00536638" w:rsidRDefault="00BA0B27" w:rsidP="00BA0B27">
      <w:pPr>
        <w:pStyle w:val="ItadNormalText"/>
        <w:jc w:val="both"/>
        <w:rPr>
          <w:color w:val="588B46" w:themeColor="text2"/>
        </w:rPr>
      </w:pPr>
      <w:r w:rsidRPr="00536638">
        <w:rPr>
          <w:color w:val="588B46" w:themeColor="text2"/>
        </w:rPr>
        <w:t xml:space="preserve">Overall, the MWGE programme succeeded in addressing highly sensitive issues in an extremely challenging and diverse operational context. The programme </w:t>
      </w:r>
      <w:r>
        <w:rPr>
          <w:color w:val="588B46" w:themeColor="text2"/>
        </w:rPr>
        <w:t>was</w:t>
      </w:r>
      <w:r w:rsidRPr="00536638">
        <w:rPr>
          <w:color w:val="588B46" w:themeColor="text2"/>
        </w:rPr>
        <w:t xml:space="preserve"> highly relevant, with tangible results and aligned with regional and national environments</w:t>
      </w:r>
      <w:r>
        <w:rPr>
          <w:color w:val="588B46" w:themeColor="text2"/>
        </w:rPr>
        <w:t xml:space="preserve">. Its </w:t>
      </w:r>
      <w:r w:rsidRPr="00536638">
        <w:rPr>
          <w:color w:val="588B46" w:themeColor="text2"/>
        </w:rPr>
        <w:t xml:space="preserve">major successes </w:t>
      </w:r>
      <w:r>
        <w:rPr>
          <w:color w:val="588B46" w:themeColor="text2"/>
        </w:rPr>
        <w:t>were</w:t>
      </w:r>
      <w:r w:rsidRPr="00536638">
        <w:rPr>
          <w:color w:val="588B46" w:themeColor="text2"/>
        </w:rPr>
        <w:t xml:space="preserve"> demonstrated in design and delivery of technical components, while observed shortfalls </w:t>
      </w:r>
      <w:r>
        <w:rPr>
          <w:color w:val="588B46" w:themeColor="text2"/>
        </w:rPr>
        <w:t>were</w:t>
      </w:r>
      <w:r w:rsidRPr="00536638">
        <w:rPr>
          <w:color w:val="588B46" w:themeColor="text2"/>
        </w:rPr>
        <w:t xml:space="preserve"> mainly process-oriented. As a result, the MWGE c</w:t>
      </w:r>
      <w:r>
        <w:rPr>
          <w:color w:val="588B46" w:themeColor="text2"/>
        </w:rPr>
        <w:t>ould</w:t>
      </w:r>
      <w:r w:rsidRPr="00536638">
        <w:rPr>
          <w:color w:val="588B46" w:themeColor="text2"/>
        </w:rPr>
        <w:t xml:space="preserve"> arguably be given mostly a ‘gender-responsive’ status on the GRES scale, though for many individual beneficiaries, the impacts undoubtedly were ‘gender transformative.’ Individual activities, such as relatively basic awareness raising on gender would however need to be ranked as ‘gender targeted.’</w:t>
      </w:r>
    </w:p>
    <w:p w14:paraId="2B59CDF3" w14:textId="77777777" w:rsidR="00BA0B27" w:rsidRPr="006A561F" w:rsidRDefault="00BA0B27" w:rsidP="00BA0B27">
      <w:pPr>
        <w:pStyle w:val="ItadNormalText"/>
        <w:jc w:val="both"/>
      </w:pPr>
      <w:r w:rsidRPr="006A561F">
        <w:t>The above statement is supported by twelve conclusions, synthesised from across the nine EQs.</w:t>
      </w:r>
    </w:p>
    <w:p w14:paraId="2F3EBE3E" w14:textId="25E247BE" w:rsidR="00BA0B27" w:rsidRPr="00EB440A" w:rsidRDefault="00BA0B27" w:rsidP="00BA0B27">
      <w:pPr>
        <w:pStyle w:val="ItadNormalText"/>
        <w:jc w:val="both"/>
        <w:rPr>
          <w:b/>
          <w:bCs/>
          <w:color w:val="588B46" w:themeColor="text2"/>
        </w:rPr>
      </w:pPr>
      <w:r w:rsidRPr="00EB440A">
        <w:rPr>
          <w:b/>
          <w:bCs/>
          <w:color w:val="416734" w:themeColor="text2" w:themeShade="BF"/>
        </w:rPr>
        <w:t>Conclusion 1:</w:t>
      </w:r>
      <w:r w:rsidRPr="00EB440A">
        <w:rPr>
          <w:color w:val="416734" w:themeColor="text2" w:themeShade="BF"/>
        </w:rPr>
        <w:t xml:space="preserve"> </w:t>
      </w:r>
      <w:r w:rsidRPr="00EB440A">
        <w:t xml:space="preserve">The MWGE programme was very well aligned with national GEWE and EVAW policy, normative </w:t>
      </w:r>
      <w:proofErr w:type="gramStart"/>
      <w:r w:rsidRPr="00EB440A">
        <w:t>frameworks</w:t>
      </w:r>
      <w:proofErr w:type="gramEnd"/>
      <w:r w:rsidRPr="00EB440A">
        <w:t xml:space="preserve"> and strategies; supported the respective UNDAFs in all six countries; and addressed key concerns identified by civil society, government and other stakeholders, both regionally and at national level. It was in line with UN Women’s strategic goals, and the lessons learned from implementing the programme were influential in shaping UN Women’s global thinking on and approach to work on changing social norms. The MWGE programme was for the most part aligned with UN Women’s guidance on engaging </w:t>
      </w:r>
      <w:r w:rsidRPr="00EB440A">
        <w:lastRenderedPageBreak/>
        <w:t>men and boys, but strategies for engagement with feminist groups, transforming patriarchal masculinities, and developing linkages of individual change with wider social and legal change were not yet fully articulated</w:t>
      </w:r>
      <w:r w:rsidR="00EB440A">
        <w:t>.</w:t>
      </w:r>
    </w:p>
    <w:p w14:paraId="151517A2" w14:textId="6C2D5A53" w:rsidR="00BA0B27" w:rsidRPr="00EB440A" w:rsidRDefault="00BA0B27" w:rsidP="00BA0B27">
      <w:pPr>
        <w:pStyle w:val="ItadNormalText"/>
        <w:jc w:val="both"/>
      </w:pPr>
      <w:r w:rsidRPr="00EB440A">
        <w:rPr>
          <w:b/>
          <w:bCs/>
          <w:color w:val="416734" w:themeColor="text2" w:themeShade="BF"/>
        </w:rPr>
        <w:t xml:space="preserve">Conclusion 2: </w:t>
      </w:r>
      <w:r w:rsidRPr="00EB440A">
        <w:t>The adaptivity</w:t>
      </w:r>
      <w:r w:rsidRPr="00EB440A">
        <w:rPr>
          <w:color w:val="E37230" w:themeColor="accent2"/>
        </w:rPr>
        <w:t xml:space="preserve"> </w:t>
      </w:r>
      <w:r w:rsidRPr="00EB440A">
        <w:t xml:space="preserve">of the MWGE programme was appropriate to the changing contexts in all countries, and it managed to remain so throughout both implementation phases. The programme responded to a variety of socio-political and economic crises in the implementing </w:t>
      </w:r>
      <w:proofErr w:type="gramStart"/>
      <w:r w:rsidRPr="00EB440A">
        <w:t>countries, and</w:t>
      </w:r>
      <w:proofErr w:type="gramEnd"/>
      <w:r w:rsidRPr="00EB440A">
        <w:t xml:space="preserve"> was also able to capitalise on favourable political developments. The COVID-19 pandemic forced the programme to quickly adapt its ways of working, which it did successfully. The ‘shadow pandemic’ of increased VAWG </w:t>
      </w:r>
      <w:proofErr w:type="gramStart"/>
      <w:r w:rsidRPr="00EB440A">
        <w:t>as a consequence of</w:t>
      </w:r>
      <w:proofErr w:type="gramEnd"/>
      <w:r w:rsidRPr="00EB440A">
        <w:t xml:space="preserve"> COVID-19 and higher levels of socioeconomic stress underscored the importance of the programme and also led to it adapting its messaging. While the degree of flexibility and adaptability was essential to the work at the local and national levels, it did in some cases lead to a degree of divergence – particularly in relation to communications - that risked challenging the overall regional coherence of the programme. </w:t>
      </w:r>
    </w:p>
    <w:p w14:paraId="653863C9" w14:textId="041071C0" w:rsidR="00BA0B27" w:rsidRDefault="00BA0B27" w:rsidP="00BA0B27">
      <w:pPr>
        <w:pStyle w:val="ItadNormalText"/>
        <w:jc w:val="both"/>
        <w:rPr>
          <w:b/>
          <w:bCs/>
          <w:color w:val="588B46" w:themeColor="text2"/>
        </w:rPr>
      </w:pPr>
      <w:r w:rsidRPr="00BA0B27">
        <w:rPr>
          <w:b/>
          <w:bCs/>
          <w:color w:val="416734" w:themeColor="text2" w:themeShade="BF"/>
        </w:rPr>
        <w:t xml:space="preserve">Conclusion 3: </w:t>
      </w:r>
      <w:r w:rsidRPr="006A561F">
        <w:t xml:space="preserve">UN Women demonstrated several strategic and practical </w:t>
      </w:r>
      <w:r w:rsidRPr="007A36B3">
        <w:t>comparative advantages</w:t>
      </w:r>
      <w:r w:rsidRPr="007A36B3">
        <w:rPr>
          <w:color w:val="E37230" w:themeColor="accent2"/>
        </w:rPr>
        <w:t xml:space="preserve"> </w:t>
      </w:r>
      <w:r w:rsidRPr="007A36B3">
        <w:t>over</w:t>
      </w:r>
      <w:r w:rsidRPr="006A561F">
        <w:t xml:space="preserve"> other UN agencies as well as compared to national agencies or INGOs. These </w:t>
      </w:r>
      <w:proofErr w:type="gramStart"/>
      <w:r w:rsidRPr="006A561F">
        <w:t>include:</w:t>
      </w:r>
      <w:proofErr w:type="gramEnd"/>
      <w:r w:rsidRPr="006A561F">
        <w:t xml:space="preserve"> having the necessary political mandate for working on gender norm</w:t>
      </w:r>
      <w:r>
        <w:t>s</w:t>
      </w:r>
      <w:r w:rsidRPr="006A561F">
        <w:t xml:space="preserve"> change; technical expertise; its positioning and standing as an intermediary across national gender equality machineries, UN agencies and civil society, as well as its links to academia; and having the necessary infrastructure in place to implement such a programme at both regional and the respective national level. However, while UN Women </w:t>
      </w:r>
      <w:r>
        <w:t>was</w:t>
      </w:r>
      <w:r w:rsidRPr="006A561F">
        <w:t xml:space="preserve"> able to use its added value to the benefit of the programme, including in terms of influencing other areas of work within UN Women itself</w:t>
      </w:r>
      <w:r>
        <w:t>, building on synergies,</w:t>
      </w:r>
      <w:r w:rsidRPr="006A561F">
        <w:t xml:space="preserve"> as well as </w:t>
      </w:r>
      <w:r>
        <w:t xml:space="preserve">influencing and cooperating </w:t>
      </w:r>
      <w:r w:rsidRPr="006A561F">
        <w:t xml:space="preserve">with other UN agencies, engagements under a ‘One UN’ </w:t>
      </w:r>
      <w:r>
        <w:t>approach</w:t>
      </w:r>
      <w:r w:rsidRPr="006A561F">
        <w:t xml:space="preserve"> could </w:t>
      </w:r>
      <w:r>
        <w:t>have been stronger</w:t>
      </w:r>
      <w:r w:rsidRPr="006A561F">
        <w:t>, planned for and undertaken</w:t>
      </w:r>
      <w:r w:rsidR="00EB440A">
        <w:t>.</w:t>
      </w:r>
    </w:p>
    <w:p w14:paraId="3F59103A" w14:textId="3C420FF9" w:rsidR="00BA0B27" w:rsidRPr="006A561F" w:rsidRDefault="00BA0B27" w:rsidP="00BA0B27">
      <w:pPr>
        <w:pStyle w:val="ItadNormalText"/>
        <w:jc w:val="both"/>
      </w:pPr>
      <w:r w:rsidRPr="00BA0B27">
        <w:rPr>
          <w:b/>
          <w:bCs/>
          <w:color w:val="416734" w:themeColor="text2" w:themeShade="BF"/>
        </w:rPr>
        <w:t xml:space="preserve">Conclusion 4: </w:t>
      </w:r>
      <w:r w:rsidRPr="006A561F">
        <w:t xml:space="preserve">The </w:t>
      </w:r>
      <w:r>
        <w:t xml:space="preserve">programme </w:t>
      </w:r>
      <w:proofErr w:type="spellStart"/>
      <w:r w:rsidRPr="00D330D9">
        <w:t>ToC</w:t>
      </w:r>
      <w:proofErr w:type="spellEnd"/>
      <w:r w:rsidRPr="00D330D9">
        <w:rPr>
          <w:color w:val="E37230" w:themeColor="accent2"/>
        </w:rPr>
        <w:t xml:space="preserve"> </w:t>
      </w:r>
      <w:r>
        <w:t xml:space="preserve">was </w:t>
      </w:r>
      <w:r w:rsidRPr="006A561F">
        <w:t>relevant to the extent that it broadly capture</w:t>
      </w:r>
      <w:r>
        <w:t>d</w:t>
      </w:r>
      <w:r w:rsidRPr="006A561F">
        <w:t xml:space="preserve"> the programme thematic areas and the change it </w:t>
      </w:r>
      <w:r>
        <w:t>planned</w:t>
      </w:r>
      <w:r w:rsidRPr="006A561F">
        <w:t xml:space="preserve"> to achieve in the impact and outcome statements. It outline</w:t>
      </w:r>
      <w:r>
        <w:t>d</w:t>
      </w:r>
      <w:r w:rsidRPr="006A561F">
        <w:t xml:space="preserve"> information about what activities could contribute to these changes and some intermediary outputs which would suggest that the programme is on the right path to reaching them. It therefore provide</w:t>
      </w:r>
      <w:r>
        <w:t>d</w:t>
      </w:r>
      <w:r w:rsidRPr="006A561F">
        <w:t xml:space="preserve"> a useful overview of the programme and a broad framework for the country programmes to follow for implementation. That said, the broadness of the </w:t>
      </w:r>
      <w:proofErr w:type="spellStart"/>
      <w:r w:rsidRPr="006A561F">
        <w:t>ToC</w:t>
      </w:r>
      <w:proofErr w:type="spellEnd"/>
      <w:r w:rsidRPr="006A561F">
        <w:t xml:space="preserve"> mean</w:t>
      </w:r>
      <w:r>
        <w:t>t</w:t>
      </w:r>
      <w:r w:rsidRPr="006A561F">
        <w:t xml:space="preserve"> that logic chains </w:t>
      </w:r>
      <w:r>
        <w:t>were</w:t>
      </w:r>
      <w:r w:rsidRPr="006A561F">
        <w:t xml:space="preserve"> not interrogated, the ways in which the different levels of the </w:t>
      </w:r>
      <w:proofErr w:type="spellStart"/>
      <w:r w:rsidRPr="006A561F">
        <w:t>ToC</w:t>
      </w:r>
      <w:proofErr w:type="spellEnd"/>
      <w:r w:rsidRPr="006A561F">
        <w:t xml:space="preserve"> (micro, </w:t>
      </w:r>
      <w:proofErr w:type="spellStart"/>
      <w:r w:rsidRPr="006A561F">
        <w:t>meso</w:t>
      </w:r>
      <w:proofErr w:type="spellEnd"/>
      <w:r w:rsidRPr="006A561F">
        <w:t xml:space="preserve"> and macro levels) interact</w:t>
      </w:r>
      <w:r>
        <w:t>ed</w:t>
      </w:r>
      <w:r w:rsidRPr="006A561F">
        <w:t xml:space="preserve"> and reinforce</w:t>
      </w:r>
      <w:r>
        <w:t>d</w:t>
      </w:r>
      <w:r w:rsidRPr="006A561F">
        <w:t xml:space="preserve"> each other </w:t>
      </w:r>
      <w:r>
        <w:t xml:space="preserve">was </w:t>
      </w:r>
      <w:r w:rsidRPr="006A561F">
        <w:t xml:space="preserve">not </w:t>
      </w:r>
      <w:r>
        <w:t xml:space="preserve">systematically </w:t>
      </w:r>
      <w:r w:rsidRPr="006A561F">
        <w:t>explored</w:t>
      </w:r>
      <w:r>
        <w:t xml:space="preserve">. Furthermore, </w:t>
      </w:r>
      <w:r w:rsidRPr="006A561F">
        <w:t>assumptions remain</w:t>
      </w:r>
      <w:r>
        <w:t>ed</w:t>
      </w:r>
      <w:r w:rsidRPr="006A561F">
        <w:t xml:space="preserve"> at a very high level whereby they c</w:t>
      </w:r>
      <w:r>
        <w:t>ould not</w:t>
      </w:r>
      <w:r w:rsidRPr="006A561F">
        <w:t xml:space="preserve"> feed tangibly into a specific risk and mitigation plan. ROAS and COs </w:t>
      </w:r>
      <w:r>
        <w:t>did</w:t>
      </w:r>
      <w:r w:rsidRPr="006A561F">
        <w:t xml:space="preserve"> not work</w:t>
      </w:r>
      <w:r>
        <w:t xml:space="preserve"> </w:t>
      </w:r>
      <w:r w:rsidRPr="006A561F">
        <w:t xml:space="preserve">systematically together to interpret the </w:t>
      </w:r>
      <w:proofErr w:type="spellStart"/>
      <w:r w:rsidRPr="006A561F">
        <w:t>ToC</w:t>
      </w:r>
      <w:proofErr w:type="spellEnd"/>
      <w:r w:rsidRPr="006A561F">
        <w:t xml:space="preserve"> at country level and contextualise</w:t>
      </w:r>
      <w:r>
        <w:t>d</w:t>
      </w:r>
      <w:r w:rsidRPr="006A561F">
        <w:t xml:space="preserve"> the change pathways in terms of reporting, course correction and consensus building</w:t>
      </w:r>
      <w:r w:rsidR="00EB440A">
        <w:t>.</w:t>
      </w:r>
    </w:p>
    <w:p w14:paraId="13B4FD61" w14:textId="4F59E245" w:rsidR="00BA0B27" w:rsidRPr="00BC5F1C" w:rsidRDefault="00BA0B27" w:rsidP="00BA0B27">
      <w:pPr>
        <w:pStyle w:val="ItadNormalText"/>
        <w:jc w:val="both"/>
      </w:pPr>
      <w:r w:rsidRPr="00BA0B27">
        <w:rPr>
          <w:b/>
          <w:bCs/>
          <w:color w:val="416734" w:themeColor="text2" w:themeShade="BF"/>
        </w:rPr>
        <w:t xml:space="preserve">Conclusion 5: </w:t>
      </w:r>
      <w:r>
        <w:t>With respect to approaches relating to programming</w:t>
      </w:r>
      <w:r w:rsidRPr="103DA8AC">
        <w:rPr>
          <w:b/>
          <w:bCs/>
        </w:rPr>
        <w:t xml:space="preserve"> </w:t>
      </w:r>
      <w:r>
        <w:t>for</w:t>
      </w:r>
      <w:r w:rsidRPr="103DA8AC">
        <w:rPr>
          <w:b/>
          <w:bCs/>
        </w:rPr>
        <w:t xml:space="preserve"> </w:t>
      </w:r>
      <w:r w:rsidRPr="007A36B3">
        <w:t>behaviour change and norms</w:t>
      </w:r>
      <w:r w:rsidRPr="103DA8AC">
        <w:rPr>
          <w:b/>
          <w:bCs/>
          <w:color w:val="E37230" w:themeColor="accent2"/>
        </w:rPr>
        <w:t xml:space="preserve"> </w:t>
      </w:r>
      <w:r w:rsidRPr="103DA8AC">
        <w:rPr>
          <w:color w:val="auto"/>
        </w:rPr>
        <w:t>at community level, MWGE demonstrated good effectiveness in a broad range of interventions</w:t>
      </w:r>
      <w:r>
        <w:t xml:space="preserve">. </w:t>
      </w:r>
      <w:r w:rsidRPr="103DA8AC">
        <w:rPr>
          <w:color w:val="auto"/>
        </w:rPr>
        <w:t xml:space="preserve">There </w:t>
      </w:r>
      <w:r>
        <w:rPr>
          <w:color w:val="auto"/>
        </w:rPr>
        <w:t xml:space="preserve">was </w:t>
      </w:r>
      <w:r w:rsidRPr="103DA8AC">
        <w:rPr>
          <w:color w:val="auto"/>
        </w:rPr>
        <w:t>also strong evidence that the MWGE programme increased beneficiaries’ knowledge, attitudes and practices concerning gender equality and discrimination.</w:t>
      </w:r>
      <w:r w:rsidRPr="103DA8AC">
        <w:rPr>
          <w:b/>
          <w:bCs/>
        </w:rPr>
        <w:t xml:space="preserve"> </w:t>
      </w:r>
      <w:r>
        <w:t>Despite multiple indications that beneficiaries were sharing newly gained knowledge concerning positive attitudes toward GEWE in their households and communitie</w:t>
      </w:r>
      <w:r w:rsidRPr="103DA8AC">
        <w:rPr>
          <w:color w:val="auto"/>
        </w:rPr>
        <w:t>s</w:t>
      </w:r>
      <w:r>
        <w:rPr>
          <w:color w:val="auto"/>
        </w:rPr>
        <w:t xml:space="preserve">, </w:t>
      </w:r>
      <w:r w:rsidRPr="103DA8AC">
        <w:rPr>
          <w:color w:val="auto"/>
        </w:rPr>
        <w:t xml:space="preserve">there was yet little sign of change in </w:t>
      </w:r>
      <w:r w:rsidRPr="007A36B3">
        <w:t>empirical or normative expectations</w:t>
      </w:r>
      <w:r w:rsidRPr="007A36B3">
        <w:rPr>
          <w:color w:val="E37230" w:themeColor="accent2"/>
        </w:rPr>
        <w:t xml:space="preserve"> </w:t>
      </w:r>
      <w:r w:rsidRPr="007A36B3">
        <w:rPr>
          <w:color w:val="auto"/>
        </w:rPr>
        <w:t>in the wider communities.</w:t>
      </w:r>
      <w:r w:rsidRPr="103DA8AC">
        <w:rPr>
          <w:color w:val="auto"/>
        </w:rPr>
        <w:t xml:space="preserve"> Micro-, meso-and</w:t>
      </w:r>
      <w:r>
        <w:t xml:space="preserve"> macro-level resistance was observed which may jeopardise the gains made among programme participants, which could be minimised through a more explicit and sophisticated social or gender norms approach. Efforts to ensure that gender equality is not misunderstood as a ‘western agenda’ need to be continued and factored into intervention design by highlighting national ownership. </w:t>
      </w:r>
    </w:p>
    <w:p w14:paraId="2169227F" w14:textId="72236A5A" w:rsidR="00BA0B27" w:rsidRDefault="00BA0B27" w:rsidP="00BA0B27">
      <w:pPr>
        <w:pStyle w:val="ItadNormalText"/>
        <w:jc w:val="both"/>
      </w:pPr>
      <w:r w:rsidRPr="00BA0B27">
        <w:rPr>
          <w:b/>
          <w:bCs/>
          <w:color w:val="416734" w:themeColor="text2" w:themeShade="BF"/>
        </w:rPr>
        <w:t>Conclusion 6:</w:t>
      </w:r>
      <w:r w:rsidRPr="00BA0B27">
        <w:rPr>
          <w:color w:val="416734" w:themeColor="text2" w:themeShade="BF"/>
        </w:rPr>
        <w:t xml:space="preserve"> </w:t>
      </w:r>
      <w:r w:rsidRPr="006A561F">
        <w:t>The MWGE programme undert</w:t>
      </w:r>
      <w:r>
        <w:t>ook</w:t>
      </w:r>
      <w:r w:rsidRPr="006A561F">
        <w:t xml:space="preserve"> several engagements – with some successes – across all the implementing countries to facilitate and affect </w:t>
      </w:r>
      <w:r w:rsidRPr="00CD427B">
        <w:t>legal and policy change</w:t>
      </w:r>
      <w:r w:rsidRPr="006A561F">
        <w:rPr>
          <w:color w:val="E37230" w:themeColor="accent2"/>
        </w:rPr>
        <w:t xml:space="preserve"> </w:t>
      </w:r>
      <w:r w:rsidRPr="006A561F">
        <w:t xml:space="preserve">with respect to the leveraging of men’s and boys’ engagement for GEWE. Engagements </w:t>
      </w:r>
      <w:r>
        <w:t xml:space="preserve">were </w:t>
      </w:r>
      <w:r w:rsidRPr="006A561F">
        <w:t xml:space="preserve">predominantly exercised at national level </w:t>
      </w:r>
      <w:r w:rsidRPr="0085633F">
        <w:t>with support from ROAS on cross-learning for advocacy related to men's caregiving and paternity leave</w:t>
      </w:r>
      <w:r w:rsidRPr="006A561F">
        <w:t xml:space="preserve">. There </w:t>
      </w:r>
      <w:r>
        <w:t>was</w:t>
      </w:r>
      <w:r w:rsidRPr="006A561F">
        <w:t xml:space="preserve"> an expectation that MWGE could have extended more effort in this area, given that it </w:t>
      </w:r>
      <w:r>
        <w:t>was</w:t>
      </w:r>
      <w:r w:rsidRPr="006A561F">
        <w:t xml:space="preserve"> a central pillar of the </w:t>
      </w:r>
      <w:proofErr w:type="spellStart"/>
      <w:r w:rsidRPr="006A561F">
        <w:t>ToC</w:t>
      </w:r>
      <w:proofErr w:type="spellEnd"/>
      <w:r w:rsidRPr="006A561F">
        <w:t>, but it should be acknowledged that th</w:t>
      </w:r>
      <w:r>
        <w:t>is</w:t>
      </w:r>
      <w:r w:rsidRPr="006A561F">
        <w:t xml:space="preserve"> pillar was the least well-resourced, and that UN Women ROAS was not able to address this </w:t>
      </w:r>
      <w:r w:rsidRPr="00033228">
        <w:t>funding shortfall (see conclusion 11).</w:t>
      </w:r>
      <w:r>
        <w:t xml:space="preserve"> Important lessons were drawn from both successful and unsuccessful policy change campaigns on the need to line up various levels </w:t>
      </w:r>
      <w:r>
        <w:lastRenderedPageBreak/>
        <w:t xml:space="preserve">of advocacy, make use of arising opportunities, engage with ‘less usual’ allies and to ensure a common message. </w:t>
      </w:r>
    </w:p>
    <w:p w14:paraId="595D14B6" w14:textId="1E8BB7AB" w:rsidR="00BA0B27" w:rsidRPr="00BC5F1C" w:rsidRDefault="00BA0B27" w:rsidP="00BA0B27">
      <w:pPr>
        <w:pStyle w:val="ItadNormalText"/>
        <w:jc w:val="both"/>
        <w:rPr>
          <w:color w:val="588B46" w:themeColor="text2"/>
        </w:rPr>
      </w:pPr>
      <w:r w:rsidRPr="00BA0B27">
        <w:rPr>
          <w:b/>
          <w:bCs/>
          <w:color w:val="416734" w:themeColor="text2" w:themeShade="BF"/>
        </w:rPr>
        <w:t>Conclusion 7:</w:t>
      </w:r>
      <w:r w:rsidRPr="00BA0B27">
        <w:rPr>
          <w:color w:val="416734" w:themeColor="text2" w:themeShade="BF"/>
        </w:rPr>
        <w:t xml:space="preserve"> </w:t>
      </w:r>
      <w:r>
        <w:t xml:space="preserve">The </w:t>
      </w:r>
      <w:r w:rsidRPr="00321382">
        <w:t>institutional and national capacity development</w:t>
      </w:r>
      <w:r w:rsidRPr="103DA8AC">
        <w:rPr>
          <w:color w:val="E37230" w:themeColor="accent2"/>
        </w:rPr>
        <w:t xml:space="preserve"> </w:t>
      </w:r>
      <w:r>
        <w:t xml:space="preserve">interventions were largely successful – particularly with respect to the outcomes observed in </w:t>
      </w:r>
      <w:proofErr w:type="gramStart"/>
      <w:r>
        <w:t>the majority of</w:t>
      </w:r>
      <w:proofErr w:type="gramEnd"/>
      <w:r>
        <w:t xml:space="preserve"> CBOs. A contributing factor to this was the use of umbrella organisations to oversee CBO activities and capacity building. Positive outcomes were also noted </w:t>
      </w:r>
      <w:proofErr w:type="gramStart"/>
      <w:r>
        <w:t>as a result of</w:t>
      </w:r>
      <w:proofErr w:type="gramEnd"/>
      <w:r>
        <w:t xml:space="preserve"> CBOs being supported to use innovative, adaptable and scalable approaches. However, some negative unintended results were observed in relation to the triggering of conservative and feminist movement reactions to a small number of communications materials. The former was, to a degree, to be expected but may require additional </w:t>
      </w:r>
      <w:proofErr w:type="gramStart"/>
      <w:r>
        <w:t>counter-strategies</w:t>
      </w:r>
      <w:proofErr w:type="gramEnd"/>
      <w:r>
        <w:t xml:space="preserve"> if anti-gender equality roll-backs gain more momentum. The latter needs to be addressed by pro-actively engaging with the women’s movement nationally and ensuring adherence to internal quality assurance processes.  </w:t>
      </w:r>
    </w:p>
    <w:p w14:paraId="62F07B42" w14:textId="66E101FC" w:rsidR="00BA0B27" w:rsidRPr="00BC5F1C" w:rsidRDefault="00BA0B27" w:rsidP="00BA0B27">
      <w:pPr>
        <w:pStyle w:val="ItadNormalText"/>
        <w:jc w:val="both"/>
        <w:rPr>
          <w:color w:val="588B46" w:themeColor="text2"/>
        </w:rPr>
      </w:pPr>
      <w:r w:rsidRPr="00BA0B27">
        <w:rPr>
          <w:b/>
          <w:bCs/>
          <w:color w:val="416734" w:themeColor="text2" w:themeShade="BF"/>
        </w:rPr>
        <w:t xml:space="preserve">Conclusion 8: </w:t>
      </w:r>
      <w:r w:rsidRPr="006A561F">
        <w:rPr>
          <w:color w:val="auto"/>
        </w:rPr>
        <w:t xml:space="preserve">Although it faced numerous delays, in part owing to external circumstances and in part owing to processes internal to UN Women (requiring the adaptation of several ways of working), the </w:t>
      </w:r>
      <w:r w:rsidRPr="00321382">
        <w:rPr>
          <w:color w:val="auto"/>
        </w:rPr>
        <w:t xml:space="preserve">programme was </w:t>
      </w:r>
      <w:r w:rsidRPr="00321382">
        <w:t>largely efficient and cost-effective</w:t>
      </w:r>
      <w:r w:rsidRPr="006A561F">
        <w:rPr>
          <w:b/>
          <w:bCs/>
          <w:color w:val="E37230" w:themeColor="accent2"/>
        </w:rPr>
        <w:t xml:space="preserve"> </w:t>
      </w:r>
      <w:r w:rsidRPr="006A561F">
        <w:rPr>
          <w:color w:val="auto"/>
        </w:rPr>
        <w:t xml:space="preserve">in its delivery. By taking a regional approach and adapting existing programmatic approaches, ROAS </w:t>
      </w:r>
      <w:r>
        <w:rPr>
          <w:color w:val="auto"/>
        </w:rPr>
        <w:t>was</w:t>
      </w:r>
      <w:r w:rsidRPr="006A561F">
        <w:rPr>
          <w:color w:val="auto"/>
        </w:rPr>
        <w:t xml:space="preserve"> able to utilise economies of scale</w:t>
      </w:r>
      <w:r>
        <w:rPr>
          <w:color w:val="auto"/>
        </w:rPr>
        <w:t xml:space="preserve">, </w:t>
      </w:r>
      <w:r w:rsidRPr="006A561F">
        <w:rPr>
          <w:color w:val="auto"/>
        </w:rPr>
        <w:t>but met constraints in maintaining coherence and expectations around the framing of knowledge products and communications materials</w:t>
      </w:r>
      <w:r>
        <w:rPr>
          <w:color w:val="auto"/>
        </w:rPr>
        <w:t xml:space="preserve">. </w:t>
      </w:r>
      <w:r w:rsidRPr="006A561F">
        <w:rPr>
          <w:color w:val="auto"/>
        </w:rPr>
        <w:t xml:space="preserve">Nevertheless, economies of scale </w:t>
      </w:r>
      <w:r>
        <w:rPr>
          <w:color w:val="auto"/>
        </w:rPr>
        <w:t>were</w:t>
      </w:r>
      <w:r w:rsidRPr="006A561F">
        <w:rPr>
          <w:color w:val="auto"/>
        </w:rPr>
        <w:t xml:space="preserve"> gained by onboarding local research partners for IMAGES studies (to improve direct oversight and contribute to institutional capacity building and memory</w:t>
      </w:r>
      <w:r w:rsidR="00EB440A">
        <w:rPr>
          <w:color w:val="auto"/>
        </w:rPr>
        <w:t>.</w:t>
      </w:r>
    </w:p>
    <w:p w14:paraId="3EB57775" w14:textId="611600D4" w:rsidR="00BA0B27" w:rsidRPr="00BC5F1C" w:rsidRDefault="00BA0B27" w:rsidP="00BA0B27">
      <w:pPr>
        <w:pStyle w:val="ItadNormalText"/>
        <w:jc w:val="both"/>
        <w:rPr>
          <w:color w:val="auto"/>
        </w:rPr>
      </w:pPr>
      <w:r w:rsidRPr="00BA0B27">
        <w:rPr>
          <w:b/>
          <w:bCs/>
          <w:color w:val="416734" w:themeColor="text2" w:themeShade="BF"/>
        </w:rPr>
        <w:t>Conclusion 9:</w:t>
      </w:r>
      <w:r w:rsidRPr="00BA0B27">
        <w:rPr>
          <w:color w:val="416734" w:themeColor="text2" w:themeShade="BF"/>
        </w:rPr>
        <w:t xml:space="preserve"> </w:t>
      </w:r>
      <w:r w:rsidRPr="006A561F">
        <w:rPr>
          <w:color w:val="auto"/>
        </w:rPr>
        <w:t xml:space="preserve">The validation, </w:t>
      </w:r>
      <w:proofErr w:type="gramStart"/>
      <w:r w:rsidRPr="006A561F">
        <w:rPr>
          <w:color w:val="auto"/>
        </w:rPr>
        <w:t>distribution</w:t>
      </w:r>
      <w:proofErr w:type="gramEnd"/>
      <w:r w:rsidRPr="006A561F">
        <w:rPr>
          <w:color w:val="auto"/>
        </w:rPr>
        <w:t xml:space="preserve"> and monitoring of the MWGE </w:t>
      </w:r>
      <w:r w:rsidRPr="00321382">
        <w:t xml:space="preserve">programme budget </w:t>
      </w:r>
      <w:r>
        <w:t>was</w:t>
      </w:r>
      <w:r w:rsidRPr="00321382">
        <w:t xml:space="preserve"> inconsistent</w:t>
      </w:r>
      <w:r w:rsidRPr="00321382">
        <w:rPr>
          <w:color w:val="E37230" w:themeColor="accent2"/>
        </w:rPr>
        <w:t xml:space="preserve"> </w:t>
      </w:r>
      <w:r w:rsidRPr="006A561F">
        <w:rPr>
          <w:color w:val="auto"/>
        </w:rPr>
        <w:t>across Phases I and II. Evidence from across ROAS and COs demonstrate</w:t>
      </w:r>
      <w:r>
        <w:rPr>
          <w:color w:val="auto"/>
        </w:rPr>
        <w:t>d</w:t>
      </w:r>
      <w:r w:rsidRPr="006A561F">
        <w:rPr>
          <w:color w:val="auto"/>
        </w:rPr>
        <w:t xml:space="preserve"> that considerations for tailoring budget allocations relative to the scale and context of implementing countries (such as adjusting for purchasing power parity) was not clearly grounded in an overarching or shared logic between ROAS and all </w:t>
      </w:r>
      <w:proofErr w:type="spellStart"/>
      <w:r w:rsidRPr="006A561F">
        <w:rPr>
          <w:color w:val="auto"/>
        </w:rPr>
        <w:t>COs.</w:t>
      </w:r>
      <w:proofErr w:type="spellEnd"/>
      <w:r w:rsidRPr="006A561F">
        <w:rPr>
          <w:color w:val="auto"/>
        </w:rPr>
        <w:t xml:space="preserve"> There </w:t>
      </w:r>
      <w:r>
        <w:rPr>
          <w:color w:val="auto"/>
        </w:rPr>
        <w:t>were</w:t>
      </w:r>
      <w:r w:rsidRPr="006A561F">
        <w:rPr>
          <w:color w:val="auto"/>
        </w:rPr>
        <w:t xml:space="preserve"> also some inconsistencies in the financial tracking of resources lines across COs, which reduce</w:t>
      </w:r>
      <w:r>
        <w:rPr>
          <w:color w:val="auto"/>
        </w:rPr>
        <w:t>d</w:t>
      </w:r>
      <w:r w:rsidRPr="006A561F">
        <w:rPr>
          <w:color w:val="auto"/>
        </w:rPr>
        <w:t xml:space="preserve"> the potential for ensuring accurate comparability and associated course correction</w:t>
      </w:r>
      <w:r>
        <w:rPr>
          <w:color w:val="auto"/>
        </w:rPr>
        <w:t xml:space="preserve">. </w:t>
      </w:r>
    </w:p>
    <w:p w14:paraId="52B48D3C" w14:textId="190A4706" w:rsidR="00BA0B27" w:rsidRPr="00BC5F1C" w:rsidRDefault="00BA0B27" w:rsidP="00BA0B27">
      <w:pPr>
        <w:pStyle w:val="ItadNormalText"/>
        <w:jc w:val="both"/>
        <w:rPr>
          <w:color w:val="auto"/>
        </w:rPr>
      </w:pPr>
      <w:r w:rsidRPr="00882D74">
        <w:rPr>
          <w:b/>
          <w:bCs/>
          <w:color w:val="416734" w:themeColor="text2" w:themeShade="BF"/>
        </w:rPr>
        <w:t xml:space="preserve">Conclusion 10: </w:t>
      </w:r>
      <w:r w:rsidRPr="65017676">
        <w:rPr>
          <w:color w:val="auto"/>
        </w:rPr>
        <w:t xml:space="preserve">The findings demonstrate that there </w:t>
      </w:r>
      <w:r>
        <w:rPr>
          <w:color w:val="auto"/>
        </w:rPr>
        <w:t>was</w:t>
      </w:r>
      <w:r w:rsidRPr="65017676">
        <w:rPr>
          <w:color w:val="auto"/>
        </w:rPr>
        <w:t xml:space="preserve"> a strong conceptual foundation in the MWGE programme emphasising </w:t>
      </w:r>
      <w:r w:rsidRPr="00445494">
        <w:t>a transformative approach towards gender equality and the empowerment of women</w:t>
      </w:r>
      <w:r w:rsidRPr="65017676">
        <w:rPr>
          <w:color w:val="auto"/>
        </w:rPr>
        <w:t xml:space="preserve"> – which </w:t>
      </w:r>
      <w:r>
        <w:rPr>
          <w:color w:val="auto"/>
        </w:rPr>
        <w:t>was</w:t>
      </w:r>
      <w:r w:rsidRPr="65017676">
        <w:rPr>
          <w:color w:val="auto"/>
        </w:rPr>
        <w:t xml:space="preserve"> more evident at the ROAS level of operations</w:t>
      </w:r>
      <w:r>
        <w:rPr>
          <w:color w:val="auto"/>
        </w:rPr>
        <w:t xml:space="preserve">. </w:t>
      </w:r>
      <w:r w:rsidRPr="65017676">
        <w:rPr>
          <w:color w:val="auto"/>
        </w:rPr>
        <w:t xml:space="preserve">In support of this, the acknowledgement and understanding of the LNOB agenda remained embryonic in Phase I but accelerated in Phase II, </w:t>
      </w:r>
      <w:r>
        <w:rPr>
          <w:color w:val="auto"/>
        </w:rPr>
        <w:t>including for refugees and persons with disabilities,</w:t>
      </w:r>
      <w:r w:rsidRPr="65017676">
        <w:rPr>
          <w:color w:val="auto"/>
        </w:rPr>
        <w:t xml:space="preserve"> </w:t>
      </w:r>
      <w:r>
        <w:rPr>
          <w:color w:val="auto"/>
        </w:rPr>
        <w:t>and to an</w:t>
      </w:r>
      <w:r w:rsidRPr="65017676">
        <w:rPr>
          <w:color w:val="auto"/>
        </w:rPr>
        <w:t xml:space="preserve"> extent for LGBT communities, </w:t>
      </w:r>
      <w:r>
        <w:rPr>
          <w:color w:val="auto"/>
        </w:rPr>
        <w:t>depending on the space available</w:t>
      </w:r>
      <w:r w:rsidRPr="65017676">
        <w:rPr>
          <w:color w:val="auto"/>
        </w:rPr>
        <w:t xml:space="preserve"> </w:t>
      </w:r>
      <w:r>
        <w:rPr>
          <w:color w:val="auto"/>
        </w:rPr>
        <w:t xml:space="preserve">given </w:t>
      </w:r>
      <w:r w:rsidRPr="65017676">
        <w:rPr>
          <w:color w:val="auto"/>
        </w:rPr>
        <w:t>restrictive political environment and social norms</w:t>
      </w:r>
      <w:r>
        <w:rPr>
          <w:color w:val="auto"/>
        </w:rPr>
        <w:t xml:space="preserve">. </w:t>
      </w:r>
      <w:r w:rsidRPr="65017676">
        <w:rPr>
          <w:color w:val="auto"/>
        </w:rPr>
        <w:t xml:space="preserve">Underpinning this, the articulation of rights-based approaches – and the associated implications for men’s and boys’ engagement for GEWE – </w:t>
      </w:r>
      <w:r>
        <w:rPr>
          <w:color w:val="auto"/>
        </w:rPr>
        <w:t>was</w:t>
      </w:r>
      <w:r w:rsidRPr="65017676">
        <w:rPr>
          <w:color w:val="auto"/>
        </w:rPr>
        <w:t xml:space="preserve"> inconsistent and broadly undefined</w:t>
      </w:r>
      <w:r>
        <w:rPr>
          <w:color w:val="auto"/>
        </w:rPr>
        <w:t xml:space="preserve">. </w:t>
      </w:r>
    </w:p>
    <w:p w14:paraId="739B0671" w14:textId="50218AF9" w:rsidR="00BA0B27" w:rsidRPr="00BC5F1C" w:rsidRDefault="00BA0B27" w:rsidP="00BA0B27">
      <w:pPr>
        <w:pStyle w:val="ItadNormalText"/>
        <w:jc w:val="both"/>
      </w:pPr>
      <w:r w:rsidRPr="00BA0B27">
        <w:rPr>
          <w:b/>
          <w:bCs/>
          <w:color w:val="416734" w:themeColor="text2" w:themeShade="BF"/>
        </w:rPr>
        <w:t>Conclusion 11:</w:t>
      </w:r>
      <w:r w:rsidRPr="00BA0B27">
        <w:rPr>
          <w:color w:val="416734" w:themeColor="text2" w:themeShade="BF"/>
        </w:rPr>
        <w:t xml:space="preserve"> </w:t>
      </w:r>
      <w:r w:rsidRPr="006A561F">
        <w:t xml:space="preserve">The likelihood of </w:t>
      </w:r>
      <w:r w:rsidRPr="00445494">
        <w:t>sustainability of CBO capacity, policy change and community engagement outcomes</w:t>
      </w:r>
      <w:r w:rsidRPr="006A561F">
        <w:t xml:space="preserve"> </w:t>
      </w:r>
      <w:proofErr w:type="gramStart"/>
      <w:r>
        <w:t>was</w:t>
      </w:r>
      <w:proofErr w:type="gramEnd"/>
      <w:r w:rsidRPr="006A561F">
        <w:t xml:space="preserve"> mixed. CBO capacity </w:t>
      </w:r>
      <w:r>
        <w:t>was</w:t>
      </w:r>
      <w:r w:rsidRPr="006A561F">
        <w:t xml:space="preserve"> enhanced significantly across both phases of the MWGE programme, although limitations </w:t>
      </w:r>
      <w:r>
        <w:t>were</w:t>
      </w:r>
      <w:r w:rsidRPr="006A561F">
        <w:t xml:space="preserve"> observed with respect to ongoing or tailored capacity support from umbrella organisations for CBO advocacy activities</w:t>
      </w:r>
      <w:r>
        <w:t xml:space="preserve">. </w:t>
      </w:r>
      <w:r w:rsidRPr="006A561F">
        <w:t xml:space="preserve">At normative framework level, several positive engagements with policy initiatives </w:t>
      </w:r>
      <w:r>
        <w:t>were</w:t>
      </w:r>
      <w:r w:rsidRPr="006A561F">
        <w:t xml:space="preserve"> traced in all programming contexts, despite the backdrop of a challenging enabling environment in </w:t>
      </w:r>
      <w:proofErr w:type="gramStart"/>
      <w:r w:rsidRPr="006A561F">
        <w:t>a number of</w:t>
      </w:r>
      <w:proofErr w:type="gramEnd"/>
      <w:r w:rsidRPr="006A561F">
        <w:t xml:space="preserve"> countries</w:t>
      </w:r>
      <w:r>
        <w:t xml:space="preserve">. </w:t>
      </w:r>
      <w:r w:rsidRPr="006A561F">
        <w:t xml:space="preserve">At community level, activities and outcomes </w:t>
      </w:r>
      <w:r>
        <w:t>were</w:t>
      </w:r>
      <w:r w:rsidRPr="006A561F">
        <w:t xml:space="preserve"> very positive and well evidenced, although changes in ‘practices’ and social or gender norms </w:t>
      </w:r>
      <w:r>
        <w:t>were</w:t>
      </w:r>
      <w:r w:rsidRPr="006A561F">
        <w:t xml:space="preserve"> difficult to determine or </w:t>
      </w:r>
      <w:r>
        <w:t>were</w:t>
      </w:r>
      <w:r w:rsidRPr="006A561F">
        <w:t xml:space="preserve"> anecdotal, as the MWGE programme ha</w:t>
      </w:r>
      <w:r>
        <w:t>d</w:t>
      </w:r>
      <w:r w:rsidRPr="006A561F">
        <w:t xml:space="preserve"> not fully embraced a sophisticated social norms measurement approach</w:t>
      </w:r>
      <w:r>
        <w:t xml:space="preserve">. </w:t>
      </w:r>
      <w:r w:rsidRPr="006A561F">
        <w:t xml:space="preserve">The sustainability of community-level gains </w:t>
      </w:r>
      <w:r>
        <w:t>wa</w:t>
      </w:r>
      <w:r w:rsidRPr="006A561F">
        <w:t xml:space="preserve">s therefore difficult to ascertain. Despite multiple efforts to expand financial resources – undertaken primarily at ROAS level – </w:t>
      </w:r>
      <w:r w:rsidRPr="00445494">
        <w:t xml:space="preserve">practically no new funding </w:t>
      </w:r>
      <w:proofErr w:type="gramStart"/>
      <w:r w:rsidRPr="00445494">
        <w:t>was been</w:t>
      </w:r>
      <w:proofErr w:type="gramEnd"/>
      <w:r w:rsidRPr="00445494">
        <w:t xml:space="preserve"> obtained</w:t>
      </w:r>
      <w:r>
        <w:rPr>
          <w:b/>
          <w:bCs/>
        </w:rPr>
        <w:t xml:space="preserve"> </w:t>
      </w:r>
      <w:r w:rsidRPr="00C80D78">
        <w:t>-with the exception of over USD 100,000 from the UK for IMAGES development in Jordan-</w:t>
      </w:r>
      <w:r w:rsidRPr="006A561F">
        <w:t>, thereby limiting the sustainability potential of operations at all levels.</w:t>
      </w:r>
    </w:p>
    <w:p w14:paraId="1F1FAE83" w14:textId="28E5E30B" w:rsidR="007E1E63" w:rsidRDefault="00BA0B27" w:rsidP="00BA0B27">
      <w:pPr>
        <w:pStyle w:val="ItadNormalText"/>
        <w:jc w:val="both"/>
        <w:rPr>
          <w:b/>
          <w:bCs/>
          <w:color w:val="588B46" w:themeColor="text2"/>
        </w:rPr>
      </w:pPr>
      <w:r w:rsidRPr="00BA0B27">
        <w:rPr>
          <w:b/>
          <w:bCs/>
          <w:color w:val="416734" w:themeColor="text2" w:themeShade="BF"/>
        </w:rPr>
        <w:t xml:space="preserve">Conclusion 12: </w:t>
      </w:r>
      <w:r w:rsidRPr="00445494">
        <w:t>Knowledge management, learning and feedback has improved linearly</w:t>
      </w:r>
      <w:r w:rsidRPr="076A58FF">
        <w:rPr>
          <w:color w:val="E37130"/>
        </w:rPr>
        <w:t xml:space="preserve"> </w:t>
      </w:r>
      <w:r>
        <w:t xml:space="preserve">across Phase I and II countries, and dramatic improvements in knowledge exchange and uptake were demonstrated for new Phase I countries. Cross-national and regional learning in Phase I and II countries was facilitated by ROAS especially on IMAGES and Program P, and implementing partners were, to a degree, able to share lessons learned and approaches, though this could be enhanced. Nevertheless, a noticeable shift was identifiable with respect to the transfer of lessons and enhancement of the IMAGES approach in new Phase I countries. The numerous </w:t>
      </w:r>
      <w:r w:rsidRPr="007F4090">
        <w:t>knowledge products</w:t>
      </w:r>
      <w:r w:rsidRPr="076A58FF">
        <w:rPr>
          <w:color w:val="E37130"/>
        </w:rPr>
        <w:t xml:space="preserve"> </w:t>
      </w:r>
      <w:r>
        <w:t xml:space="preserve">that were developed provided a solid foundation for the MWGE </w:t>
      </w:r>
      <w:r>
        <w:lastRenderedPageBreak/>
        <w:t xml:space="preserve">programme to present results to prospective donors and share lessons with other UN offices and further afield in the next few years. </w:t>
      </w:r>
    </w:p>
    <w:p w14:paraId="658FF010" w14:textId="77777777" w:rsidR="00BA0B27" w:rsidRDefault="00BA0B27" w:rsidP="00BA0B27">
      <w:pPr>
        <w:pStyle w:val="ItadNormalText"/>
        <w:jc w:val="both"/>
      </w:pPr>
    </w:p>
    <w:p w14:paraId="169BF050" w14:textId="7CC14FCF" w:rsidR="0045151A" w:rsidRPr="00C80D78" w:rsidRDefault="0045151A" w:rsidP="00C76AF9">
      <w:pPr>
        <w:pStyle w:val="ItadH3"/>
        <w:jc w:val="both"/>
        <w:rPr>
          <w:lang w:val="en-GB"/>
        </w:rPr>
      </w:pPr>
      <w:r w:rsidRPr="00C80D78">
        <w:rPr>
          <w:lang w:val="en-GB"/>
        </w:rPr>
        <w:t>Recommendations</w:t>
      </w:r>
    </w:p>
    <w:p w14:paraId="190E2FC0" w14:textId="5DF97F9C" w:rsidR="0045151A" w:rsidRDefault="0045151A" w:rsidP="00C76AF9">
      <w:pPr>
        <w:jc w:val="both"/>
      </w:pPr>
      <w:r w:rsidRPr="007F6DFD">
        <w:t xml:space="preserve">Based on the above analysis, </w:t>
      </w:r>
      <w:r>
        <w:t>the evaluation makes the following ten recommendations:</w:t>
      </w:r>
    </w:p>
    <w:p w14:paraId="504AA5ED" w14:textId="77777777" w:rsidR="00987E06" w:rsidRPr="00223AAE" w:rsidRDefault="00AB157B" w:rsidP="00C76AF9">
      <w:pPr>
        <w:tabs>
          <w:tab w:val="left" w:pos="1418"/>
        </w:tabs>
        <w:spacing w:before="120" w:after="120"/>
        <w:jc w:val="both"/>
      </w:pPr>
      <w:r>
        <w:t xml:space="preserve">1. </w:t>
      </w:r>
      <w:r w:rsidR="00987E06">
        <w:t xml:space="preserve">The MWGE to </w:t>
      </w:r>
      <w:proofErr w:type="gramStart"/>
      <w:r w:rsidR="00987E06">
        <w:t>make a decision</w:t>
      </w:r>
      <w:proofErr w:type="gramEnd"/>
      <w:r w:rsidR="00987E06">
        <w:t xml:space="preserve"> for a potential next stage whether it should </w:t>
      </w:r>
      <w:r w:rsidR="00987E06" w:rsidRPr="103DA8AC">
        <w:rPr>
          <w:b/>
          <w:bCs/>
        </w:rPr>
        <w:t>scale up, scale out and/or scale deep</w:t>
      </w:r>
      <w:r w:rsidR="00987E06">
        <w:t>,</w:t>
      </w:r>
      <w:r w:rsidR="00987E06" w:rsidRPr="103DA8AC">
        <w:rPr>
          <w:b/>
          <w:bCs/>
        </w:rPr>
        <w:t xml:space="preserve"> </w:t>
      </w:r>
      <w:r w:rsidR="00987E06">
        <w:t>and decide what these approaches would mean in the given context, what is feasible, and at what level. The options are not mutually exclusive but require strategic decisions on where to invest resources and how to best leverage entry points. Options include:</w:t>
      </w:r>
    </w:p>
    <w:p w14:paraId="5ACC5262" w14:textId="77777777" w:rsidR="00987E06" w:rsidRPr="00BA0B27" w:rsidRDefault="00987E06" w:rsidP="00BA0B27">
      <w:pPr>
        <w:pStyle w:val="ListParagraph"/>
        <w:numPr>
          <w:ilvl w:val="0"/>
          <w:numId w:val="39"/>
        </w:numPr>
        <w:tabs>
          <w:tab w:val="left" w:pos="1418"/>
        </w:tabs>
        <w:spacing w:before="120" w:after="120"/>
        <w:jc w:val="both"/>
        <w:rPr>
          <w:rFonts w:asciiTheme="minorHAnsi" w:hAnsiTheme="minorHAnsi" w:cstheme="minorHAnsi"/>
          <w:sz w:val="22"/>
          <w:szCs w:val="22"/>
        </w:rPr>
      </w:pPr>
      <w:r w:rsidRPr="00BA0B27">
        <w:rPr>
          <w:rFonts w:asciiTheme="minorHAnsi" w:hAnsiTheme="minorHAnsi" w:cstheme="minorHAnsi"/>
          <w:b/>
          <w:bCs/>
          <w:sz w:val="22"/>
          <w:szCs w:val="22"/>
        </w:rPr>
        <w:t>scaling up</w:t>
      </w:r>
      <w:r w:rsidRPr="00BA0B27">
        <w:rPr>
          <w:rFonts w:asciiTheme="minorHAnsi" w:hAnsiTheme="minorHAnsi" w:cstheme="minorHAnsi"/>
          <w:sz w:val="22"/>
          <w:szCs w:val="22"/>
        </w:rPr>
        <w:t xml:space="preserve"> by using similar approaches as in the previous phases of MWGE, but increasing the number and/or type of beneficiaries reached, and/or focusing on achieving change ‘at scale’ by ensuring better institutional uptake by national and regional actors (see also recommendation 3 below on institutional uptake</w:t>
      </w:r>
      <w:proofErr w:type="gramStart"/>
      <w:r w:rsidRPr="00BA0B27">
        <w:rPr>
          <w:rFonts w:asciiTheme="minorHAnsi" w:hAnsiTheme="minorHAnsi" w:cstheme="minorHAnsi"/>
          <w:sz w:val="22"/>
          <w:szCs w:val="22"/>
        </w:rPr>
        <w:t>);</w:t>
      </w:r>
      <w:proofErr w:type="gramEnd"/>
    </w:p>
    <w:p w14:paraId="0E5D1178" w14:textId="77777777" w:rsidR="00BA0B27" w:rsidRPr="00BA0B27" w:rsidRDefault="00987E06" w:rsidP="00BA0B27">
      <w:pPr>
        <w:pStyle w:val="ListParagraph"/>
        <w:numPr>
          <w:ilvl w:val="0"/>
          <w:numId w:val="39"/>
        </w:numPr>
        <w:tabs>
          <w:tab w:val="left" w:pos="1418"/>
        </w:tabs>
        <w:spacing w:before="120" w:after="120"/>
        <w:jc w:val="both"/>
        <w:rPr>
          <w:rFonts w:asciiTheme="minorHAnsi" w:hAnsiTheme="minorHAnsi" w:cstheme="minorHAnsi"/>
          <w:sz w:val="22"/>
          <w:szCs w:val="22"/>
        </w:rPr>
      </w:pPr>
      <w:r w:rsidRPr="00BA0B27">
        <w:rPr>
          <w:rFonts w:asciiTheme="minorHAnsi" w:hAnsiTheme="minorHAnsi" w:cstheme="minorHAnsi"/>
          <w:b/>
          <w:bCs/>
          <w:sz w:val="22"/>
          <w:szCs w:val="22"/>
        </w:rPr>
        <w:t>scaling out</w:t>
      </w:r>
      <w:r w:rsidRPr="00BA0B27">
        <w:rPr>
          <w:rFonts w:asciiTheme="minorHAnsi" w:hAnsiTheme="minorHAnsi" w:cstheme="minorHAnsi"/>
          <w:sz w:val="22"/>
          <w:szCs w:val="22"/>
        </w:rPr>
        <w:t xml:space="preserve"> by taking similar approaches as used up to now, but running these in parallel with new additional implementing partners in new communities/new beneficiaries and/or in other countries in the region; and/or</w:t>
      </w:r>
    </w:p>
    <w:p w14:paraId="5C3CBE48" w14:textId="365FA581" w:rsidR="0045151A" w:rsidRPr="00BA0B27" w:rsidRDefault="00987E06" w:rsidP="00BA0B27">
      <w:pPr>
        <w:pStyle w:val="ListParagraph"/>
        <w:numPr>
          <w:ilvl w:val="0"/>
          <w:numId w:val="39"/>
        </w:numPr>
        <w:tabs>
          <w:tab w:val="left" w:pos="1418"/>
        </w:tabs>
        <w:spacing w:before="120" w:after="120"/>
        <w:jc w:val="both"/>
        <w:rPr>
          <w:rFonts w:asciiTheme="minorHAnsi" w:hAnsiTheme="minorHAnsi" w:cstheme="minorHAnsi"/>
          <w:sz w:val="22"/>
          <w:szCs w:val="22"/>
        </w:rPr>
      </w:pPr>
      <w:r w:rsidRPr="00BA0B27">
        <w:rPr>
          <w:rFonts w:asciiTheme="minorHAnsi" w:hAnsiTheme="minorHAnsi" w:cstheme="minorHAnsi"/>
          <w:b/>
          <w:bCs/>
          <w:sz w:val="22"/>
          <w:szCs w:val="22"/>
        </w:rPr>
        <w:t>scaling deep</w:t>
      </w:r>
      <w:r w:rsidRPr="00BA0B27">
        <w:rPr>
          <w:rFonts w:asciiTheme="minorHAnsi" w:hAnsiTheme="minorHAnsi" w:cstheme="minorHAnsi"/>
          <w:sz w:val="22"/>
          <w:szCs w:val="22"/>
        </w:rPr>
        <w:t xml:space="preserve"> by engaging in the communities, with the partners and beneficiaries who have been in the focus of the intervention to date, and in new communities, but seeking to deepen the processes of change and to consolidate gains of previous phases, especially in the face of continuing economic crises and resistance to gender equality.</w:t>
      </w:r>
    </w:p>
    <w:p w14:paraId="215CAFB1" w14:textId="77777777" w:rsidR="00987E06" w:rsidRDefault="00987E06" w:rsidP="00C76AF9">
      <w:pPr>
        <w:jc w:val="both"/>
      </w:pPr>
    </w:p>
    <w:p w14:paraId="7E3FB8C7" w14:textId="634B7C83" w:rsidR="0045151A" w:rsidRDefault="0045151A" w:rsidP="00C76AF9">
      <w:pPr>
        <w:jc w:val="both"/>
      </w:pPr>
      <w:r>
        <w:t xml:space="preserve">2. </w:t>
      </w:r>
      <w:r w:rsidR="001E06FA">
        <w:t xml:space="preserve">Increasing </w:t>
      </w:r>
      <w:r w:rsidR="001E06FA">
        <w:rPr>
          <w:b/>
          <w:bCs/>
        </w:rPr>
        <w:t>regional and</w:t>
      </w:r>
      <w:r w:rsidR="001E06FA">
        <w:t xml:space="preserve"> </w:t>
      </w:r>
      <w:r w:rsidR="001E06FA" w:rsidRPr="103DA8AC">
        <w:rPr>
          <w:b/>
          <w:bCs/>
        </w:rPr>
        <w:t>national ownership</w:t>
      </w:r>
      <w:r w:rsidR="001E06FA">
        <w:rPr>
          <w:b/>
          <w:bCs/>
        </w:rPr>
        <w:t xml:space="preserve"> </w:t>
      </w:r>
      <w:r w:rsidR="001E06FA">
        <w:t xml:space="preserve">of the various aspects of the programme should be continued, as this not only builds capacity and increases sustainability but also has positive impacts in terms of cost-efficiency and effectiveness. UN Women needs to ensure that all implementing partners understand, </w:t>
      </w:r>
      <w:proofErr w:type="gramStart"/>
      <w:r w:rsidR="001E06FA">
        <w:t>incorporate</w:t>
      </w:r>
      <w:proofErr w:type="gramEnd"/>
      <w:r w:rsidR="001E06FA">
        <w:t xml:space="preserve"> and live up to core </w:t>
      </w:r>
      <w:r w:rsidR="001E06FA" w:rsidRPr="103DA8AC">
        <w:rPr>
          <w:b/>
          <w:bCs/>
        </w:rPr>
        <w:t>feminist principles</w:t>
      </w:r>
      <w:r w:rsidR="001E06FA">
        <w:t xml:space="preserve"> in their work, and are</w:t>
      </w:r>
      <w:r w:rsidR="001E06FA" w:rsidRPr="103DA8AC">
        <w:rPr>
          <w:b/>
          <w:bCs/>
        </w:rPr>
        <w:t xml:space="preserve"> accountable to the women’s rights movement nationally</w:t>
      </w:r>
      <w:r w:rsidR="001E06FA">
        <w:t xml:space="preserve">. </w:t>
      </w:r>
      <w:proofErr w:type="gramStart"/>
      <w:r w:rsidR="001E06FA">
        <w:t>Particular emphasis</w:t>
      </w:r>
      <w:proofErr w:type="gramEnd"/>
      <w:r w:rsidR="001E06FA">
        <w:t xml:space="preserve"> should be afforded to national implementing partners in this regard to both draw upon and enhance national partner capacities.</w:t>
      </w:r>
    </w:p>
    <w:p w14:paraId="448380DF" w14:textId="5415CC4D" w:rsidR="00C76AF9" w:rsidRDefault="0045151A" w:rsidP="00C76AF9">
      <w:pPr>
        <w:tabs>
          <w:tab w:val="left" w:pos="1418"/>
        </w:tabs>
        <w:spacing w:before="120" w:after="120"/>
        <w:jc w:val="both"/>
      </w:pPr>
      <w:r>
        <w:t xml:space="preserve">3. </w:t>
      </w:r>
      <w:r w:rsidR="00987E06">
        <w:t xml:space="preserve">Enhance </w:t>
      </w:r>
      <w:r w:rsidR="00987E06" w:rsidRPr="00DA30A2">
        <w:rPr>
          <w:b/>
          <w:bCs/>
        </w:rPr>
        <w:t>engagement and collaboration with national ministerial and gender platforms</w:t>
      </w:r>
      <w:r w:rsidR="00987E06">
        <w:t xml:space="preserve"> for the purposes of </w:t>
      </w:r>
      <w:r w:rsidR="00AB157B">
        <w:t xml:space="preserve">a) </w:t>
      </w:r>
      <w:r w:rsidR="00987E06">
        <w:t xml:space="preserve">ensuring institutional uptake of lessons learned across MWGE thus far, </w:t>
      </w:r>
      <w:r w:rsidR="00AB157B">
        <w:t>b)</w:t>
      </w:r>
      <w:r w:rsidR="00987E06">
        <w:t xml:space="preserve"> building collaborative space and credibility to then lever institutions for affecting wider policy change, and </w:t>
      </w:r>
      <w:r w:rsidR="00AB157B">
        <w:t>c)</w:t>
      </w:r>
      <w:r w:rsidR="00987E06">
        <w:t xml:space="preserve"> Shifting focus to policy implementation with a focus on the dividend that a masculinities focus brings to GEWE.</w:t>
      </w:r>
    </w:p>
    <w:p w14:paraId="393877DA" w14:textId="5753EF45" w:rsidR="0045151A" w:rsidRDefault="56C21257" w:rsidP="00882D74">
      <w:pPr>
        <w:tabs>
          <w:tab w:val="left" w:pos="1418"/>
        </w:tabs>
        <w:spacing w:before="120" w:after="120"/>
        <w:jc w:val="both"/>
      </w:pPr>
      <w:r>
        <w:t xml:space="preserve"> 4. </w:t>
      </w:r>
      <w:r w:rsidR="1657A654">
        <w:t>To achieve sustained change, the MWGE programme must move away from a linear ‘KAP approach’ and a heavy reliance on public awareness raising and shift towards a social and gender norms change approach utilising a comprehensive socioecological model</w:t>
      </w:r>
      <w:r w:rsidR="1657A654" w:rsidRPr="522E2469">
        <w:rPr>
          <w:b/>
          <w:bCs/>
        </w:rPr>
        <w:t xml:space="preserve">. </w:t>
      </w:r>
      <w:r w:rsidR="1657A654">
        <w:t xml:space="preserve">This shift should be reflected in a reconstructed programme-wide </w:t>
      </w:r>
      <w:proofErr w:type="gramStart"/>
      <w:r w:rsidR="1657A654">
        <w:t>TOC, and</w:t>
      </w:r>
      <w:proofErr w:type="gramEnd"/>
      <w:r w:rsidR="1657A654">
        <w:t xml:space="preserve"> include key risks and assumptions – particularly those relating to both feminist and broader resistance or ‘patriarchal backlash’. More broadly, there is a need to extend the timescale – particularly ‘face time’ with beneficiaries - beyond the current allocation to allow for sustained work on norm change, while catering for retention/attrition concerns.</w:t>
      </w:r>
    </w:p>
    <w:p w14:paraId="465AB7F1" w14:textId="77777777" w:rsidR="001E06FA" w:rsidRDefault="0045151A" w:rsidP="00C76AF9">
      <w:pPr>
        <w:jc w:val="both"/>
      </w:pPr>
      <w:r>
        <w:t>5.</w:t>
      </w:r>
      <w:r w:rsidR="001E06FA" w:rsidRPr="001E06FA">
        <w:t xml:space="preserve"> </w:t>
      </w:r>
      <w:r w:rsidR="001E06FA">
        <w:t>Engage</w:t>
      </w:r>
      <w:r w:rsidR="001E06FA" w:rsidRPr="00223AAE">
        <w:t xml:space="preserve"> more </w:t>
      </w:r>
      <w:r w:rsidR="001E06FA" w:rsidRPr="00DA30A2">
        <w:rPr>
          <w:b/>
          <w:bCs/>
        </w:rPr>
        <w:t>systematically with the strategic private sector actors</w:t>
      </w:r>
      <w:r w:rsidR="001E06FA" w:rsidRPr="00223AAE">
        <w:t xml:space="preserve">, who are also key potential partners in ensuring that norms and behaviour change at individual and community levels are enhanced through messaging and practices at the workplace, </w:t>
      </w:r>
      <w:proofErr w:type="gramStart"/>
      <w:r w:rsidR="001E06FA" w:rsidRPr="00223AAE">
        <w:t>e.g.</w:t>
      </w:r>
      <w:proofErr w:type="gramEnd"/>
      <w:r w:rsidR="001E06FA" w:rsidRPr="00223AAE">
        <w:t xml:space="preserve"> through parental leave practices.</w:t>
      </w:r>
    </w:p>
    <w:p w14:paraId="214F78E9" w14:textId="77777777" w:rsidR="001E06FA" w:rsidRDefault="001E06FA" w:rsidP="00C76AF9">
      <w:pPr>
        <w:jc w:val="both"/>
      </w:pPr>
    </w:p>
    <w:p w14:paraId="00DE4CC1" w14:textId="77777777" w:rsidR="0045151A" w:rsidRDefault="5CEA27D7" w:rsidP="00C76AF9">
      <w:pPr>
        <w:jc w:val="both"/>
      </w:pPr>
      <w:r>
        <w:t>6.</w:t>
      </w:r>
      <w:r w:rsidR="1406A38F">
        <w:t xml:space="preserve"> </w:t>
      </w:r>
      <w:r w:rsidR="3F16F2E0">
        <w:t xml:space="preserve">Given positive evaluation results of effective </w:t>
      </w:r>
      <w:r w:rsidR="3F16F2E0" w:rsidRPr="103DA8AC">
        <w:rPr>
          <w:b/>
          <w:bCs/>
        </w:rPr>
        <w:t xml:space="preserve">community-based, peer-to-peer, </w:t>
      </w:r>
      <w:r w:rsidR="3F16F2E0">
        <w:rPr>
          <w:b/>
          <w:bCs/>
        </w:rPr>
        <w:t xml:space="preserve">and </w:t>
      </w:r>
      <w:r w:rsidR="3F16F2E0" w:rsidRPr="103DA8AC">
        <w:rPr>
          <w:b/>
          <w:bCs/>
        </w:rPr>
        <w:t>‘Positive Deviance’</w:t>
      </w:r>
      <w:r w:rsidR="008B2F84">
        <w:rPr>
          <w:rStyle w:val="FootnoteReference"/>
          <w:b/>
          <w:bCs/>
        </w:rPr>
        <w:footnoteReference w:id="2"/>
      </w:r>
      <w:r w:rsidR="3F16F2E0">
        <w:t xml:space="preserve"> conceptual approaches and work with persons with disabilities, invest further in these to promote new norms among individuals and communities through organised diffusion. In line with a socioecological </w:t>
      </w:r>
      <w:r w:rsidR="3F16F2E0">
        <w:lastRenderedPageBreak/>
        <w:t>approach, these modalities must be undertaken on multiple levels (individual, community, faith-based and state and private institutions).</w:t>
      </w:r>
    </w:p>
    <w:p w14:paraId="6B332DE0" w14:textId="77777777" w:rsidR="0045151A" w:rsidRDefault="0045151A" w:rsidP="00C76AF9">
      <w:pPr>
        <w:jc w:val="both"/>
      </w:pPr>
    </w:p>
    <w:p w14:paraId="2573D932" w14:textId="77777777" w:rsidR="0045151A" w:rsidRDefault="69574100" w:rsidP="00C76AF9">
      <w:pPr>
        <w:jc w:val="both"/>
      </w:pPr>
      <w:r>
        <w:t>7. Continue to facilitate regular</w:t>
      </w:r>
      <w:r w:rsidRPr="522E2469">
        <w:rPr>
          <w:b/>
          <w:bCs/>
        </w:rPr>
        <w:t xml:space="preserve"> bilateral and thematic learning sessions</w:t>
      </w:r>
      <w:r>
        <w:t xml:space="preserve"> between country-level teams and implementing partners, as well as the ROAS office, to ensure that best practices are shared and learning is captured in real time, but also coherent with an MWGE communications strategy overseen by ROAS. Coherence with a revised M</w:t>
      </w:r>
      <w:r w:rsidR="12EEB5C9">
        <w:t xml:space="preserve">onitoring </w:t>
      </w:r>
      <w:r>
        <w:t>E</w:t>
      </w:r>
      <w:r w:rsidR="10BE8D13">
        <w:t xml:space="preserve">valuation and </w:t>
      </w:r>
      <w:r>
        <w:t>L</w:t>
      </w:r>
      <w:r w:rsidR="090C11F8">
        <w:t>earning</w:t>
      </w:r>
      <w:r>
        <w:t xml:space="preserve"> approach – which should increasingly </w:t>
      </w:r>
      <w:r w:rsidRPr="522E2469">
        <w:rPr>
          <w:b/>
          <w:bCs/>
        </w:rPr>
        <w:t>involve third party monitoring</w:t>
      </w:r>
      <w:r>
        <w:t xml:space="preserve"> – would enhance evidence triangulation possibilities and credibility of findings. The </w:t>
      </w:r>
      <w:r w:rsidRPr="522E2469">
        <w:rPr>
          <w:b/>
          <w:bCs/>
        </w:rPr>
        <w:t>umbrella organisation</w:t>
      </w:r>
      <w:r>
        <w:t xml:space="preserve"> approach works for new implementing partners, but these should continue to be able to </w:t>
      </w:r>
      <w:r w:rsidRPr="522E2469">
        <w:rPr>
          <w:b/>
          <w:bCs/>
        </w:rPr>
        <w:t>‘graduate’</w:t>
      </w:r>
      <w:r>
        <w:t xml:space="preserve"> once this capacity has been built.</w:t>
      </w:r>
    </w:p>
    <w:p w14:paraId="68602B0E" w14:textId="77777777" w:rsidR="00C76AF9" w:rsidRDefault="00C76AF9" w:rsidP="00C76AF9">
      <w:pPr>
        <w:jc w:val="both"/>
      </w:pPr>
    </w:p>
    <w:p w14:paraId="4C609466" w14:textId="77777777" w:rsidR="00A13F24" w:rsidRPr="00223AAE" w:rsidRDefault="56C21257" w:rsidP="522E2469">
      <w:pPr>
        <w:tabs>
          <w:tab w:val="left" w:pos="1418"/>
        </w:tabs>
        <w:spacing w:before="120" w:after="120"/>
        <w:jc w:val="both"/>
        <w:rPr>
          <w:b/>
          <w:bCs/>
        </w:rPr>
      </w:pPr>
      <w:r>
        <w:t xml:space="preserve">8. </w:t>
      </w:r>
      <w:r w:rsidR="69574100">
        <w:t xml:space="preserve">Continue to </w:t>
      </w:r>
      <w:r w:rsidR="69574100" w:rsidRPr="522E2469">
        <w:rPr>
          <w:b/>
          <w:bCs/>
        </w:rPr>
        <w:t>improve social and gender norms measurement tools</w:t>
      </w:r>
      <w:r w:rsidR="69574100">
        <w:t xml:space="preserve"> and – more broadly – develop more ambitious </w:t>
      </w:r>
      <w:r w:rsidR="05261684">
        <w:t>Monitoring Evaluation and Learning</w:t>
      </w:r>
      <w:r w:rsidR="69574100">
        <w:t xml:space="preserve"> indicators, including to better capture resistance to change as well as with respect to impact of media outreach and advocacy. Improve feedback mechanisms to COs and implementing </w:t>
      </w:r>
      <w:r w:rsidR="5A59B97F">
        <w:t>partners and</w:t>
      </w:r>
      <w:r w:rsidR="69574100">
        <w:t xml:space="preserve"> build their capacity to better capture </w:t>
      </w:r>
      <w:r w:rsidR="69574100" w:rsidRPr="522E2469">
        <w:rPr>
          <w:b/>
          <w:bCs/>
        </w:rPr>
        <w:t>outcomes and impact</w:t>
      </w:r>
      <w:r w:rsidR="69574100">
        <w:t xml:space="preserve">. Ensure that baseline and endline data, and other evaluation data involving beneficiaries, is </w:t>
      </w:r>
      <w:proofErr w:type="gramStart"/>
      <w:r w:rsidR="69574100">
        <w:t>collected</w:t>
      </w:r>
      <w:proofErr w:type="gramEnd"/>
      <w:r w:rsidR="69574100">
        <w:t xml:space="preserve"> and analysed by </w:t>
      </w:r>
      <w:r w:rsidR="69574100" w:rsidRPr="522E2469">
        <w:rPr>
          <w:b/>
          <w:bCs/>
        </w:rPr>
        <w:t>external third parties</w:t>
      </w:r>
      <w:r w:rsidR="69574100">
        <w:t xml:space="preserve"> with, or in addition to, implementing partners.</w:t>
      </w:r>
    </w:p>
    <w:p w14:paraId="3029DE81" w14:textId="77777777" w:rsidR="522E2469" w:rsidRDefault="522E2469" w:rsidP="522E2469">
      <w:pPr>
        <w:jc w:val="both"/>
      </w:pPr>
    </w:p>
    <w:p w14:paraId="5149BF59" w14:textId="77777777" w:rsidR="0045151A" w:rsidRDefault="56C21257" w:rsidP="522E2469">
      <w:pPr>
        <w:jc w:val="both"/>
      </w:pPr>
      <w:r>
        <w:t xml:space="preserve">9. </w:t>
      </w:r>
      <w:r w:rsidR="69574100" w:rsidRPr="522E2469">
        <w:rPr>
          <w:rFonts w:asciiTheme="minorHAnsi" w:eastAsiaTheme="minorEastAsia" w:hAnsiTheme="minorHAnsi" w:cstheme="minorBidi"/>
        </w:rPr>
        <w:t xml:space="preserve">Introduce an initiative to refresh familiarity on both the </w:t>
      </w:r>
      <w:r w:rsidR="3692BFF1" w:rsidRPr="522E2469">
        <w:rPr>
          <w:rFonts w:asciiTheme="minorHAnsi" w:eastAsiaTheme="minorEastAsia" w:hAnsiTheme="minorHAnsi" w:cstheme="minorBidi"/>
        </w:rPr>
        <w:t>human rights-based approach (</w:t>
      </w:r>
      <w:r w:rsidR="69574100" w:rsidRPr="522E2469">
        <w:rPr>
          <w:rFonts w:asciiTheme="minorHAnsi" w:eastAsiaTheme="minorEastAsia" w:hAnsiTheme="minorHAnsi" w:cstheme="minorBidi"/>
        </w:rPr>
        <w:t>HRBA</w:t>
      </w:r>
      <w:r w:rsidR="26A9607C" w:rsidRPr="522E2469">
        <w:rPr>
          <w:rFonts w:asciiTheme="minorHAnsi" w:eastAsiaTheme="minorEastAsia" w:hAnsiTheme="minorHAnsi" w:cstheme="minorBidi"/>
        </w:rPr>
        <w:t>)</w:t>
      </w:r>
      <w:r w:rsidR="69574100" w:rsidRPr="522E2469">
        <w:rPr>
          <w:rFonts w:asciiTheme="minorHAnsi" w:eastAsiaTheme="minorEastAsia" w:hAnsiTheme="minorHAnsi" w:cstheme="minorBidi"/>
          <w:b/>
          <w:bCs/>
        </w:rPr>
        <w:t xml:space="preserve"> </w:t>
      </w:r>
      <w:r w:rsidR="69574100" w:rsidRPr="522E2469">
        <w:rPr>
          <w:rFonts w:asciiTheme="minorHAnsi" w:eastAsiaTheme="minorEastAsia" w:hAnsiTheme="minorHAnsi" w:cstheme="minorBidi"/>
        </w:rPr>
        <w:t xml:space="preserve">and </w:t>
      </w:r>
      <w:r w:rsidR="159201DE" w:rsidRPr="522E2469">
        <w:rPr>
          <w:rFonts w:asciiTheme="minorHAnsi" w:eastAsiaTheme="minorEastAsia" w:hAnsiTheme="minorHAnsi" w:cstheme="minorBidi"/>
        </w:rPr>
        <w:t>Leave no one behind</w:t>
      </w:r>
      <w:r w:rsidR="69574100" w:rsidRPr="522E2469">
        <w:rPr>
          <w:rFonts w:asciiTheme="minorHAnsi" w:eastAsiaTheme="minorEastAsia" w:hAnsiTheme="minorHAnsi" w:cstheme="minorBidi"/>
          <w:b/>
          <w:bCs/>
        </w:rPr>
        <w:t xml:space="preserve"> </w:t>
      </w:r>
      <w:r w:rsidR="33A1F6CF" w:rsidRPr="522E2469">
        <w:rPr>
          <w:rFonts w:asciiTheme="minorHAnsi" w:eastAsiaTheme="minorEastAsia" w:hAnsiTheme="minorHAnsi" w:cstheme="minorBidi"/>
          <w:b/>
          <w:bCs/>
        </w:rPr>
        <w:t xml:space="preserve">(LNOB) </w:t>
      </w:r>
      <w:r w:rsidR="69574100" w:rsidRPr="522E2469">
        <w:rPr>
          <w:rFonts w:asciiTheme="minorHAnsi" w:eastAsiaTheme="minorEastAsia" w:hAnsiTheme="minorHAnsi" w:cstheme="minorBidi"/>
          <w:b/>
          <w:bCs/>
        </w:rPr>
        <w:t>approach</w:t>
      </w:r>
      <w:r w:rsidR="69574100" w:rsidRPr="522E2469">
        <w:rPr>
          <w:b/>
          <w:bCs/>
        </w:rPr>
        <w:t xml:space="preserve"> </w:t>
      </w:r>
      <w:r w:rsidR="69574100">
        <w:t xml:space="preserve">(and their interlinkages) with ROAS, CO and partner staff to develop a shared understanding of the associated concepts and practical realities of integrating such approaches into MWGE programming. </w:t>
      </w:r>
      <w:r>
        <w:t xml:space="preserve">  </w:t>
      </w:r>
    </w:p>
    <w:p w14:paraId="153E93EC" w14:textId="77777777" w:rsidR="0045151A" w:rsidRDefault="0045151A" w:rsidP="00C76AF9">
      <w:pPr>
        <w:jc w:val="both"/>
      </w:pPr>
    </w:p>
    <w:p w14:paraId="1CBD8F5E" w14:textId="77777777" w:rsidR="0045151A" w:rsidRDefault="0045151A" w:rsidP="00C76AF9">
      <w:pPr>
        <w:jc w:val="both"/>
      </w:pPr>
      <w:r>
        <w:t xml:space="preserve">10. </w:t>
      </w:r>
      <w:r w:rsidR="00F650C2">
        <w:rPr>
          <w:b/>
          <w:bCs/>
        </w:rPr>
        <w:t>Develop and s</w:t>
      </w:r>
      <w:r w:rsidR="00F650C2" w:rsidRPr="103DA8AC">
        <w:rPr>
          <w:b/>
          <w:bCs/>
        </w:rPr>
        <w:t>ystematically apply</w:t>
      </w:r>
      <w:r w:rsidR="00F650C2">
        <w:rPr>
          <w:b/>
          <w:bCs/>
        </w:rPr>
        <w:t xml:space="preserve"> ‘ways of working’ guidelines </w:t>
      </w:r>
      <w:r w:rsidR="00F650C2">
        <w:t>that outline agreed responsibilities, accountabilities, consultation processes and information updates between ROAS, CO and implementing partners.</w:t>
      </w:r>
    </w:p>
    <w:p w14:paraId="2F31B954" w14:textId="77777777" w:rsidR="005B67B6" w:rsidRDefault="005B67B6" w:rsidP="00C76AF9">
      <w:pPr>
        <w:pStyle w:val="ItadNormalText"/>
        <w:jc w:val="both"/>
      </w:pPr>
    </w:p>
    <w:p w14:paraId="219F9D7D" w14:textId="77777777" w:rsidR="005B67B6" w:rsidRPr="005B67B6" w:rsidRDefault="005B67B6" w:rsidP="005B67B6">
      <w:pPr>
        <w:pStyle w:val="ItadNormalText"/>
        <w:sectPr w:rsidR="005B67B6" w:rsidRPr="005B67B6" w:rsidSect="00696DA3">
          <w:pgSz w:w="11906" w:h="16838" w:code="9"/>
          <w:pgMar w:top="1134" w:right="1191" w:bottom="1134" w:left="1191" w:header="720" w:footer="680" w:gutter="0"/>
          <w:pgNumType w:start="1"/>
          <w:cols w:space="720"/>
          <w:docGrid w:linePitch="360"/>
        </w:sectPr>
      </w:pPr>
    </w:p>
    <w:p w14:paraId="03699350" w14:textId="7B8D04AB" w:rsidR="007F6DFD" w:rsidRDefault="007F6DFD" w:rsidP="002043DF">
      <w:pPr>
        <w:jc w:val="both"/>
        <w:rPr>
          <w:rFonts w:ascii="CubeOT" w:hAnsi="CubeOT"/>
          <w:bCs/>
          <w:color w:val="E37230" w:themeColor="accent2"/>
          <w:sz w:val="36"/>
          <w:szCs w:val="18"/>
          <w:highlight w:val="lightGray"/>
        </w:rPr>
      </w:pPr>
    </w:p>
    <w:p w14:paraId="044521CF" w14:textId="77777777" w:rsidR="006F2F6D" w:rsidRPr="006A561F" w:rsidRDefault="39AF6AE5">
      <w:pPr>
        <w:pStyle w:val="ItadH1"/>
        <w:numPr>
          <w:ilvl w:val="0"/>
          <w:numId w:val="23"/>
        </w:numPr>
      </w:pPr>
      <w:bookmarkStart w:id="2" w:name="_Toc123126195"/>
      <w:r>
        <w:t>Background and Context</w:t>
      </w:r>
      <w:r w:rsidR="004AD443">
        <w:t xml:space="preserve"> of the evaluation</w:t>
      </w:r>
      <w:bookmarkEnd w:id="2"/>
      <w:r w:rsidR="004AD443">
        <w:t xml:space="preserve"> </w:t>
      </w:r>
    </w:p>
    <w:p w14:paraId="6B2EA916" w14:textId="77777777" w:rsidR="006F2F6D" w:rsidRPr="006A561F" w:rsidRDefault="006F2F6D" w:rsidP="00C76AF9">
      <w:pPr>
        <w:pStyle w:val="ItadNormalText"/>
        <w:jc w:val="both"/>
      </w:pPr>
      <w:r>
        <w:t>This evaluation recognises that there are several internationally agreed norms and standards that promote gender equality, address violence against women and girls (VAWG) and catalysing changes in social norms, which have implications for the engagement of men and boys. These key standards are discussed below in turn.</w:t>
      </w:r>
    </w:p>
    <w:p w14:paraId="7819953E" w14:textId="77777777" w:rsidR="006F2F6D" w:rsidRPr="006A561F" w:rsidRDefault="59E1A32F">
      <w:pPr>
        <w:pStyle w:val="ItadH3"/>
        <w:numPr>
          <w:ilvl w:val="1"/>
          <w:numId w:val="23"/>
        </w:numPr>
        <w:rPr>
          <w:lang w:val="en-GB"/>
        </w:rPr>
      </w:pPr>
      <w:r w:rsidRPr="40E44CAF">
        <w:rPr>
          <w:lang w:val="en-GB"/>
        </w:rPr>
        <w:t>Global</w:t>
      </w:r>
      <w:r w:rsidR="7CB66B48" w:rsidRPr="40E44CAF">
        <w:rPr>
          <w:lang w:val="en-GB"/>
        </w:rPr>
        <w:t>-</w:t>
      </w:r>
      <w:r w:rsidRPr="40E44CAF">
        <w:rPr>
          <w:lang w:val="en-GB"/>
        </w:rPr>
        <w:t>level normative standards</w:t>
      </w:r>
    </w:p>
    <w:p w14:paraId="087F6D3A" w14:textId="77777777" w:rsidR="006F2F6D" w:rsidRPr="006A561F" w:rsidRDefault="0004AA62" w:rsidP="0028672A">
      <w:pPr>
        <w:pStyle w:val="ItadNormalText"/>
        <w:jc w:val="both"/>
      </w:pPr>
      <w:r w:rsidRPr="006A561F">
        <w:t xml:space="preserve">The </w:t>
      </w:r>
      <w:r w:rsidRPr="40E44CAF">
        <w:t xml:space="preserve">Convention on </w:t>
      </w:r>
      <w:r w:rsidR="13E5DD32" w:rsidRPr="40E44CAF">
        <w:t xml:space="preserve">the </w:t>
      </w:r>
      <w:r w:rsidRPr="40E44CAF">
        <w:t>Elimination of All forms of Discrimination Against Women (CEDAW)</w:t>
      </w:r>
      <w:r w:rsidR="006F2F6D" w:rsidRPr="006A561F">
        <w:rPr>
          <w:vertAlign w:val="superscript"/>
        </w:rPr>
        <w:footnoteReference w:id="3"/>
      </w:r>
      <w:r w:rsidRPr="006A561F">
        <w:t> </w:t>
      </w:r>
      <w:r w:rsidR="13E5DD32" w:rsidRPr="006A561F">
        <w:t>stresses</w:t>
      </w:r>
      <w:r w:rsidRPr="006A561F">
        <w:t xml:space="preserve"> in its </w:t>
      </w:r>
      <w:r w:rsidR="41E39DB6" w:rsidRPr="006A561F">
        <w:t>p</w:t>
      </w:r>
      <w:r w:rsidRPr="006A561F">
        <w:t xml:space="preserve">reamble that </w:t>
      </w:r>
      <w:r w:rsidR="13E5DD32" w:rsidRPr="006A561F">
        <w:t>‘</w:t>
      </w:r>
      <w:r w:rsidRPr="006A561F">
        <w:t>a change in the traditional role of men as well as the role of women in society and in the family is needed to achieve full equality of men and women</w:t>
      </w:r>
      <w:r w:rsidR="13E5DD32" w:rsidRPr="006A561F">
        <w:t>’</w:t>
      </w:r>
      <w:r w:rsidRPr="006A561F">
        <w:t xml:space="preserve">. Parties to CEDAW are therefore obliged to work towards the modification of social and cultural patterns of individual conduct </w:t>
      </w:r>
      <w:proofErr w:type="gramStart"/>
      <w:r w:rsidRPr="006A561F">
        <w:t>in order to</w:t>
      </w:r>
      <w:proofErr w:type="gramEnd"/>
      <w:r w:rsidRPr="006A561F">
        <w:t xml:space="preserve"> eliminate </w:t>
      </w:r>
      <w:r w:rsidR="13E5DD32" w:rsidRPr="006A561F">
        <w:t>‘</w:t>
      </w:r>
      <w:r w:rsidRPr="006A561F">
        <w:t>prejudices and customary and all other practices which are based on the idea of the inferiority or the superiority of either of the sexes or on stereotyped roles for men and women</w:t>
      </w:r>
      <w:r w:rsidR="13E5DD32" w:rsidRPr="006A561F">
        <w:t>’</w:t>
      </w:r>
      <w:r w:rsidRPr="006A561F">
        <w:t xml:space="preserve"> (CEDAW Art. 5).</w:t>
      </w:r>
    </w:p>
    <w:p w14:paraId="1B8E0DBC" w14:textId="77777777" w:rsidR="006F2F6D" w:rsidRPr="006A561F" w:rsidRDefault="0004AA62" w:rsidP="0028672A">
      <w:pPr>
        <w:pStyle w:val="ItadNormalText"/>
        <w:jc w:val="both"/>
      </w:pPr>
      <w:r w:rsidRPr="006A561F">
        <w:t>A subsequent key event framing the engagement of men and boys for gender equality was the </w:t>
      </w:r>
      <w:r w:rsidRPr="00047EBD">
        <w:t>48t</w:t>
      </w:r>
      <w:r w:rsidRPr="40E44CAF">
        <w:t>h session of the Commission on the Status of Women (CSW)</w:t>
      </w:r>
      <w:r w:rsidR="13E5DD32" w:rsidRPr="006A561F">
        <w:t>.</w:t>
      </w:r>
      <w:r w:rsidR="006F2F6D" w:rsidRPr="006A561F">
        <w:rPr>
          <w:vertAlign w:val="superscript"/>
        </w:rPr>
        <w:footnoteReference w:id="4"/>
      </w:r>
      <w:r w:rsidRPr="006A561F">
        <w:t xml:space="preserve"> In 2004, the event focused its priority theme on the </w:t>
      </w:r>
      <w:r w:rsidR="13E5DD32" w:rsidRPr="006A561F">
        <w:t>‘</w:t>
      </w:r>
      <w:r w:rsidRPr="006A561F">
        <w:t>role of men and boys in achieving gender equality</w:t>
      </w:r>
      <w:r w:rsidR="13E5DD32" w:rsidRPr="006A561F">
        <w:t>’</w:t>
      </w:r>
      <w:r w:rsidRPr="006A561F">
        <w:t xml:space="preserve">. Its </w:t>
      </w:r>
      <w:r w:rsidR="44CB3392">
        <w:t>a</w:t>
      </w:r>
      <w:r w:rsidRPr="006A561F">
        <w:t xml:space="preserve">greed </w:t>
      </w:r>
      <w:r w:rsidR="44CB3392">
        <w:t>c</w:t>
      </w:r>
      <w:r w:rsidRPr="006A561F">
        <w:t>onclusions acknowledge the role of males to promote gender equality and encourage them to take an active role in combating discrimination against women and girls.</w:t>
      </w:r>
    </w:p>
    <w:p w14:paraId="33B19999" w14:textId="77777777" w:rsidR="006F2F6D" w:rsidRPr="006A561F" w:rsidRDefault="0004AA62" w:rsidP="006418CC">
      <w:pPr>
        <w:pStyle w:val="ItadNormalText"/>
        <w:jc w:val="both"/>
      </w:pPr>
      <w:r w:rsidRPr="006A561F">
        <w:t xml:space="preserve">In turn, </w:t>
      </w:r>
      <w:r w:rsidRPr="40E44CAF">
        <w:t>Beijing +25 and the Generation Equality Forum 2021</w:t>
      </w:r>
      <w:r w:rsidRPr="006A561F">
        <w:rPr>
          <w:b/>
          <w:bCs/>
        </w:rPr>
        <w:t xml:space="preserve"> </w:t>
      </w:r>
      <w:r w:rsidRPr="006A561F">
        <w:t>invoked some normative shift in the Arab States. The Beijing Declaration and Platform for Action</w:t>
      </w:r>
      <w:r w:rsidR="006F2F6D" w:rsidRPr="006A561F">
        <w:rPr>
          <w:b/>
          <w:bCs/>
          <w:vertAlign w:val="superscript"/>
        </w:rPr>
        <w:footnoteReference w:id="5"/>
      </w:r>
      <w:r w:rsidRPr="006A561F">
        <w:t xml:space="preserve"> calls </w:t>
      </w:r>
      <w:r w:rsidR="13E5DD32" w:rsidRPr="006A561F">
        <w:t xml:space="preserve">on </w:t>
      </w:r>
      <w:r w:rsidRPr="006A561F">
        <w:t xml:space="preserve">all stakeholders to address stereotypes and norms that impede women’s full enjoyment of their human rights. The Declaration explicitly refers to the need of </w:t>
      </w:r>
      <w:r w:rsidR="13E5DD32" w:rsidRPr="006A561F">
        <w:t>‘</w:t>
      </w:r>
      <w:r w:rsidRPr="006A561F">
        <w:t>encouraging men to participate fully in all actions towards equality</w:t>
      </w:r>
      <w:r w:rsidR="13E5DD32" w:rsidRPr="006A561F">
        <w:t>’</w:t>
      </w:r>
      <w:r w:rsidRPr="006A561F">
        <w:t>. In preparation for </w:t>
      </w:r>
      <w:r w:rsidRPr="40E44CAF">
        <w:t>Beijing +25 and the Generation Equality Forum 2021</w:t>
      </w:r>
      <w:r w:rsidRPr="006A561F">
        <w:t>, the Arab States C</w:t>
      </w:r>
      <w:r w:rsidR="13E5DD32" w:rsidRPr="006A561F">
        <w:t xml:space="preserve">ivil </w:t>
      </w:r>
      <w:r w:rsidRPr="006A561F">
        <w:t>S</w:t>
      </w:r>
      <w:r w:rsidR="13E5DD32" w:rsidRPr="006A561F">
        <w:t xml:space="preserve">ociety </w:t>
      </w:r>
      <w:r w:rsidRPr="006A561F">
        <w:t>O</w:t>
      </w:r>
      <w:r w:rsidR="13E5DD32" w:rsidRPr="006A561F">
        <w:t>rganization</w:t>
      </w:r>
      <w:r w:rsidRPr="006A561F">
        <w:t xml:space="preserve">s and Feminists Network released a policy brief on </w:t>
      </w:r>
      <w:r w:rsidR="7EE6B887" w:rsidRPr="006A561F">
        <w:t>e</w:t>
      </w:r>
      <w:r w:rsidRPr="006A561F">
        <w:t xml:space="preserve">nding </w:t>
      </w:r>
      <w:r w:rsidR="7EE6B887" w:rsidRPr="006A561F">
        <w:t>g</w:t>
      </w:r>
      <w:r w:rsidRPr="006A561F">
        <w:t>ender-</w:t>
      </w:r>
      <w:r w:rsidR="7EE6B887" w:rsidRPr="006A561F">
        <w:t>b</w:t>
      </w:r>
      <w:r w:rsidRPr="006A561F">
        <w:t xml:space="preserve">ased </w:t>
      </w:r>
      <w:r w:rsidR="7EE6B887" w:rsidRPr="006A561F">
        <w:t>v</w:t>
      </w:r>
      <w:r w:rsidRPr="006A561F">
        <w:t>iolence (GBV)</w:t>
      </w:r>
      <w:r w:rsidR="7EE6B887" w:rsidRPr="006A561F">
        <w:t>; its</w:t>
      </w:r>
      <w:r w:rsidRPr="006A561F">
        <w:t xml:space="preserve"> second objective calls </w:t>
      </w:r>
      <w:r w:rsidR="7EE6B887" w:rsidRPr="006A561F">
        <w:t>for</w:t>
      </w:r>
      <w:r w:rsidRPr="006A561F">
        <w:t> </w:t>
      </w:r>
      <w:r w:rsidR="7EE6B887" w:rsidRPr="006A561F">
        <w:t>‘</w:t>
      </w:r>
      <w:r w:rsidR="4C0AF297" w:rsidRPr="006A561F">
        <w:t>c</w:t>
      </w:r>
      <w:r w:rsidRPr="006A561F">
        <w:t>hanging prevalent social and cultural norms pertaining to victim blaming and stigmatization of women</w:t>
      </w:r>
      <w:r w:rsidR="7EE6B887" w:rsidRPr="006A561F">
        <w:t>’</w:t>
      </w:r>
      <w:r w:rsidRPr="006A561F">
        <w:t>. This objective</w:t>
      </w:r>
      <w:r w:rsidR="7EE6B887" w:rsidRPr="006A561F">
        <w:t>,</w:t>
      </w:r>
      <w:r w:rsidRPr="006A561F">
        <w:t xml:space="preserve"> identified by Arab CSOs</w:t>
      </w:r>
      <w:r w:rsidR="7EE6B887" w:rsidRPr="006A561F">
        <w:t>,</w:t>
      </w:r>
      <w:r w:rsidRPr="006A561F">
        <w:t xml:space="preserve"> urges stakeholders in the Arab States region to</w:t>
      </w:r>
      <w:r w:rsidR="7EE6B887" w:rsidRPr="006A561F">
        <w:t>:</w:t>
      </w:r>
      <w:r w:rsidRPr="006A561F">
        <w:t xml:space="preserve"> work with religious/community leaders, academic institutions and actors at grass</w:t>
      </w:r>
      <w:r w:rsidR="7EE6B887" w:rsidRPr="006A561F">
        <w:t xml:space="preserve"> </w:t>
      </w:r>
      <w:r w:rsidRPr="006A561F">
        <w:t>roots levels; engage men and boys in the prevention of and</w:t>
      </w:r>
      <w:r w:rsidR="7EE6B887" w:rsidRPr="006A561F">
        <w:t xml:space="preserve"> </w:t>
      </w:r>
      <w:r w:rsidRPr="006A561F">
        <w:t>response to VAWG; and change negative societal perceptions of masculinity that perpetuate gender discrimination</w:t>
      </w:r>
      <w:r w:rsidR="7EE6B887" w:rsidRPr="006A561F">
        <w:t xml:space="preserve"> –</w:t>
      </w:r>
      <w:r w:rsidRPr="006A561F">
        <w:t xml:space="preserve"> through social media campaigns, capacity building, awareness raising, and other advocacy campaigns</w:t>
      </w:r>
      <w:r w:rsidR="7EE6B887" w:rsidRPr="006A561F">
        <w:t xml:space="preserve"> –</w:t>
      </w:r>
      <w:r w:rsidRPr="006A561F">
        <w:t xml:space="preserve"> to enable a new perception of the </w:t>
      </w:r>
      <w:r w:rsidR="7EE6B887" w:rsidRPr="006A561F">
        <w:t>‘</w:t>
      </w:r>
      <w:r w:rsidRPr="006A561F">
        <w:t>Arab man</w:t>
      </w:r>
      <w:r w:rsidR="7EE6B887" w:rsidRPr="006A561F">
        <w:t>’</w:t>
      </w:r>
      <w:r w:rsidRPr="006A561F">
        <w:t>.</w:t>
      </w:r>
    </w:p>
    <w:p w14:paraId="3F5E542E" w14:textId="701B13A9" w:rsidR="006F2F6D" w:rsidRPr="006A561F" w:rsidRDefault="0004AA62" w:rsidP="006418CC">
      <w:pPr>
        <w:pStyle w:val="ItadNormalText"/>
        <w:jc w:val="both"/>
      </w:pPr>
      <w:r w:rsidRPr="006A561F">
        <w:t>More recently, and from a V</w:t>
      </w:r>
      <w:r w:rsidR="00047EBD">
        <w:t xml:space="preserve">iolence </w:t>
      </w:r>
      <w:r w:rsidRPr="006A561F">
        <w:t>A</w:t>
      </w:r>
      <w:r w:rsidR="00047EBD">
        <w:t xml:space="preserve">gainst </w:t>
      </w:r>
      <w:r w:rsidR="00047EBD" w:rsidRPr="006A561F">
        <w:t>W</w:t>
      </w:r>
      <w:r w:rsidR="00047EBD">
        <w:t xml:space="preserve">omen and </w:t>
      </w:r>
      <w:r w:rsidRPr="006A561F">
        <w:t>G</w:t>
      </w:r>
      <w:r w:rsidR="00047EBD">
        <w:t>irls</w:t>
      </w:r>
      <w:r w:rsidRPr="006A561F">
        <w:t xml:space="preserve"> </w:t>
      </w:r>
      <w:r w:rsidR="00047EBD">
        <w:t xml:space="preserve">(VAWG) </w:t>
      </w:r>
      <w:r w:rsidRPr="006A561F">
        <w:t>perspective, the </w:t>
      </w:r>
      <w:r w:rsidRPr="40E44CAF">
        <w:t>Human Rights Council Resolution 35/10</w:t>
      </w:r>
      <w:r w:rsidRPr="006A561F">
        <w:t>,</w:t>
      </w:r>
      <w:r w:rsidR="006F2F6D" w:rsidRPr="006A561F">
        <w:rPr>
          <w:vertAlign w:val="superscript"/>
        </w:rPr>
        <w:footnoteReference w:id="6"/>
      </w:r>
      <w:r w:rsidRPr="006A561F">
        <w:t xml:space="preserve"> </w:t>
      </w:r>
      <w:r w:rsidR="7EE6B887" w:rsidRPr="006A561F">
        <w:t>en</w:t>
      </w:r>
      <w:r w:rsidRPr="006A561F">
        <w:t xml:space="preserve">titled </w:t>
      </w:r>
      <w:r w:rsidR="7EE6B887" w:rsidRPr="006A561F">
        <w:t>‘</w:t>
      </w:r>
      <w:r w:rsidRPr="006A561F">
        <w:t>Accelerating efforts to eliminate violence against women: engaging men and boys in preventing and responding to violence against all women and girls</w:t>
      </w:r>
      <w:r w:rsidR="7EE6B887" w:rsidRPr="006A561F">
        <w:t>’</w:t>
      </w:r>
      <w:r w:rsidRPr="006A561F">
        <w:t xml:space="preserve">, was adopted in June 2017. This Resolution calls upon UN Member States to take immediate and effective action to prevent </w:t>
      </w:r>
      <w:r w:rsidR="7639EE87" w:rsidRPr="006A561F">
        <w:t>VAWG</w:t>
      </w:r>
      <w:r w:rsidRPr="006A561F">
        <w:t xml:space="preserve"> by </w:t>
      </w:r>
      <w:r w:rsidR="7235E7B1" w:rsidRPr="006A561F">
        <w:t>‘f</w:t>
      </w:r>
      <w:r w:rsidRPr="006A561F">
        <w:t>ully engaging men and boys, alongside women and girls, including community and religious leaders, as agents and beneficiaries of achieving gender equality and the empowerment of all women and girls as a contribution to the elimination of violence against women and girls. It is worth noting that Tunisia is the only signatory of this Human Rights Council Resolution in the MENA region.</w:t>
      </w:r>
    </w:p>
    <w:p w14:paraId="20D03B22" w14:textId="77777777" w:rsidR="006F2F6D" w:rsidRPr="006A561F" w:rsidRDefault="0004AA62" w:rsidP="006418CC">
      <w:pPr>
        <w:pStyle w:val="ItadNormalText"/>
        <w:jc w:val="both"/>
        <w:rPr>
          <w:szCs w:val="24"/>
        </w:rPr>
      </w:pPr>
      <w:r w:rsidRPr="0D4BD307">
        <w:t xml:space="preserve">The above shifts and momentum demonstrate a growing normative enabling environment for the engagement of men and boys in interventions to address GEWE since 1979, and </w:t>
      </w:r>
      <w:proofErr w:type="gramStart"/>
      <w:r w:rsidRPr="0D4BD307">
        <w:t>in particular since</w:t>
      </w:r>
      <w:proofErr w:type="gramEnd"/>
      <w:r w:rsidRPr="0D4BD307">
        <w:t xml:space="preserve"> 1994</w:t>
      </w:r>
      <w:r w:rsidR="7235E7B1" w:rsidRPr="006A561F">
        <w:rPr>
          <w:szCs w:val="24"/>
        </w:rPr>
        <w:t>,</w:t>
      </w:r>
      <w:r w:rsidRPr="0D4BD307">
        <w:t xml:space="preserve"> when the International Conference on Population and Development (ICPD) was held in Cairo. The summary report that followed this event marked a change in how the development sector engaged with masculine </w:t>
      </w:r>
      <w:r w:rsidRPr="0D4BD307">
        <w:lastRenderedPageBreak/>
        <w:t>gender norms in the field of sexual and reproductive health</w:t>
      </w:r>
      <w:r w:rsidR="7235E7B1" w:rsidRPr="006A561F">
        <w:rPr>
          <w:szCs w:val="24"/>
        </w:rPr>
        <w:t>.</w:t>
      </w:r>
      <w:r w:rsidR="006F2F6D" w:rsidRPr="0D4BD307">
        <w:rPr>
          <w:rStyle w:val="FootnoteReference"/>
          <w:sz w:val="22"/>
          <w:szCs w:val="22"/>
        </w:rPr>
        <w:footnoteReference w:id="7"/>
      </w:r>
      <w:r w:rsidRPr="006A561F">
        <w:rPr>
          <w:szCs w:val="24"/>
        </w:rPr>
        <w:t xml:space="preserve"> </w:t>
      </w:r>
      <w:r w:rsidR="7235E7B1" w:rsidRPr="0D4BD307">
        <w:t>However, t</w:t>
      </w:r>
      <w:r w:rsidRPr="0D4BD307">
        <w:t xml:space="preserve">he transmission of this momentum at national level in the Arab </w:t>
      </w:r>
      <w:r w:rsidR="0A0212FE" w:rsidRPr="0D4BD307">
        <w:t>S</w:t>
      </w:r>
      <w:r w:rsidRPr="0D4BD307">
        <w:t>tates is patchy.</w:t>
      </w:r>
    </w:p>
    <w:p w14:paraId="6F7959B2" w14:textId="77777777" w:rsidR="006F2F6D" w:rsidRPr="006A561F" w:rsidRDefault="59E1A32F">
      <w:pPr>
        <w:pStyle w:val="ItadH3"/>
        <w:numPr>
          <w:ilvl w:val="1"/>
          <w:numId w:val="23"/>
        </w:numPr>
        <w:rPr>
          <w:lang w:val="en-GB"/>
        </w:rPr>
      </w:pPr>
      <w:r w:rsidRPr="40E44CAF">
        <w:rPr>
          <w:lang w:val="en-GB"/>
        </w:rPr>
        <w:t>National</w:t>
      </w:r>
      <w:r w:rsidR="1A9DC19F" w:rsidRPr="40E44CAF">
        <w:rPr>
          <w:lang w:val="en-GB"/>
        </w:rPr>
        <w:t>-</w:t>
      </w:r>
      <w:r w:rsidRPr="40E44CAF">
        <w:rPr>
          <w:lang w:val="en-GB"/>
        </w:rPr>
        <w:t>level normative standards and adoption</w:t>
      </w:r>
    </w:p>
    <w:p w14:paraId="1D72F368" w14:textId="77777777" w:rsidR="006F2F6D" w:rsidRPr="006A561F" w:rsidRDefault="006F2F6D" w:rsidP="006418CC">
      <w:pPr>
        <w:pStyle w:val="ItadNormalText"/>
        <w:jc w:val="both"/>
      </w:pPr>
      <w:r w:rsidRPr="006A561F">
        <w:t xml:space="preserve">Examples of positive legislative developments include </w:t>
      </w:r>
      <w:r w:rsidR="00D745ED" w:rsidRPr="006A561F">
        <w:t>(</w:t>
      </w:r>
      <w:proofErr w:type="spellStart"/>
      <w:r w:rsidR="00D745ED" w:rsidRPr="006A561F">
        <w:t>i</w:t>
      </w:r>
      <w:proofErr w:type="spellEnd"/>
      <w:r w:rsidR="00D745ED" w:rsidRPr="006A561F">
        <w:t xml:space="preserve">) </w:t>
      </w:r>
      <w:r w:rsidRPr="006A561F">
        <w:t>the Moroccan and Tunisian Constitutions acknowledging equality of men and women and</w:t>
      </w:r>
      <w:r w:rsidR="00D745ED" w:rsidRPr="006A561F">
        <w:t xml:space="preserve"> (ii)</w:t>
      </w:r>
      <w:r w:rsidRPr="006A561F">
        <w:t xml:space="preserve"> laws on violence against women in Jordan, </w:t>
      </w:r>
      <w:proofErr w:type="gramStart"/>
      <w:r w:rsidRPr="006A561F">
        <w:t>Lebanon</w:t>
      </w:r>
      <w:proofErr w:type="gramEnd"/>
      <w:r w:rsidRPr="006A561F">
        <w:t xml:space="preserve"> and Tunisia. Morocco adopted the long-awaited law 103.13</w:t>
      </w:r>
      <w:r w:rsidR="00D745ED" w:rsidRPr="006A561F">
        <w:t>,</w:t>
      </w:r>
      <w:r w:rsidRPr="006A561F">
        <w:t xml:space="preserve"> on ending violence against women, in February 2018 </w:t>
      </w:r>
      <w:r w:rsidR="00D745ED" w:rsidRPr="006A561F">
        <w:t>and it</w:t>
      </w:r>
      <w:r w:rsidRPr="006A561F">
        <w:t xml:space="preserve"> entered into force in September 2018.</w:t>
      </w:r>
    </w:p>
    <w:p w14:paraId="5DF0AC6E" w14:textId="77777777" w:rsidR="006F2F6D" w:rsidRPr="006A561F" w:rsidRDefault="0004AA62" w:rsidP="006418CC">
      <w:pPr>
        <w:pStyle w:val="ItadNormalText"/>
        <w:jc w:val="both"/>
      </w:pPr>
      <w:r w:rsidRPr="006A561F">
        <w:t xml:space="preserve">The six countries included in this evaluation have developed national strategies to increase </w:t>
      </w:r>
      <w:r w:rsidR="440E8E6D" w:rsidRPr="006A561F">
        <w:t>GEWE</w:t>
      </w:r>
      <w:r w:rsidRPr="006A561F">
        <w:t>, with varying references to men and boys. Egypt’s</w:t>
      </w:r>
      <w:r w:rsidRPr="40E44CAF">
        <w:t xml:space="preserve"> National Strategy for the Empowerment of Egyptian Women 2030 </w:t>
      </w:r>
      <w:r w:rsidRPr="006A561F">
        <w:t>(2017)</w:t>
      </w:r>
      <w:r w:rsidR="006F2F6D" w:rsidRPr="006A561F">
        <w:rPr>
          <w:vertAlign w:val="superscript"/>
        </w:rPr>
        <w:footnoteReference w:id="8"/>
      </w:r>
      <w:r w:rsidRPr="006A561F">
        <w:t xml:space="preserve"> is based on a review of international strategies and commitments, studies of legal and economic empowerment, and consultations with key stakeholders. The National Council for Women (NCW) initiated a community dialogue to develop the </w:t>
      </w:r>
      <w:r w:rsidR="0A0212FE" w:rsidRPr="006A561F">
        <w:t>n</w:t>
      </w:r>
      <w:r w:rsidRPr="006A561F">
        <w:t xml:space="preserve">ational </w:t>
      </w:r>
      <w:r w:rsidR="0A0212FE" w:rsidRPr="006A561F">
        <w:t>s</w:t>
      </w:r>
      <w:r w:rsidRPr="006A561F">
        <w:t>trategy, which has been endorsed by all national actors and concerned State bodies. The stated vision is that by 2030, ‘Egyptian women will become active contributors to the achievement of sustainable development in a nation that guarantees their constitutional rights, ensures their full protection, and provides – without discrimination – political, social, and economic opportunities that enable them to develop their capacities and achieve their full potential’.</w:t>
      </w:r>
      <w:r w:rsidR="006F2F6D" w:rsidRPr="006A561F">
        <w:rPr>
          <w:vertAlign w:val="superscript"/>
        </w:rPr>
        <w:footnoteReference w:id="9"/>
      </w:r>
      <w:r w:rsidRPr="006A561F">
        <w:t xml:space="preserve"> The strategy states in turn that its success ‘depends on the active participation of all social groups, especially men and boys, besides all State institutions and its executive bodies’. However, further detail on the implementation of this vision is not provided</w:t>
      </w:r>
      <w:r w:rsidR="0326B8B5">
        <w:t xml:space="preserve">, although there is some guidance </w:t>
      </w:r>
      <w:r w:rsidR="25914522">
        <w:t>provided in planning documents for the Because I am a Man (BIAM) campaign.</w:t>
      </w:r>
    </w:p>
    <w:p w14:paraId="7513D505" w14:textId="77777777" w:rsidR="006F2F6D" w:rsidRPr="006A561F" w:rsidRDefault="0004AA62" w:rsidP="006418CC">
      <w:pPr>
        <w:pStyle w:val="ItadNormalText"/>
        <w:jc w:val="both"/>
      </w:pPr>
      <w:r w:rsidRPr="006A561F">
        <w:t xml:space="preserve">Jordan’s </w:t>
      </w:r>
      <w:r w:rsidRPr="40E44CAF">
        <w:t>National Strategy for Women in Jordan (2020–2025)</w:t>
      </w:r>
      <w:r w:rsidRPr="006A561F">
        <w:t xml:space="preserve"> states that its vision is ‘a society free of discrimination and gender-based violence, where women and girls enjoy full human rights and equal opportunities towards an inclusive sustainable development</w:t>
      </w:r>
      <w:r w:rsidR="36AAD394" w:rsidRPr="006A561F">
        <w:t>’</w:t>
      </w:r>
      <w:r w:rsidRPr="006A561F">
        <w:t>.</w:t>
      </w:r>
      <w:r w:rsidR="006F2F6D" w:rsidRPr="006A561F">
        <w:rPr>
          <w:vertAlign w:val="superscript"/>
        </w:rPr>
        <w:footnoteReference w:id="10"/>
      </w:r>
      <w:r w:rsidRPr="006A561F">
        <w:t xml:space="preserve"> The strategy identifies key approaches to enhance inadequate institutional frameworks and address discriminatory norms and attitudes that ha</w:t>
      </w:r>
      <w:r w:rsidR="36AAD394" w:rsidRPr="006A561F">
        <w:t>ve</w:t>
      </w:r>
      <w:r w:rsidRPr="006A561F">
        <w:t xml:space="preserve"> been identified as key drivers of inequality. The strategy aims to achieve goals for GEWE in areas of the realisation of women’s rights, preventing and addressing VAWG, fostering positive social norms, and sustaining policies and services that support GEWE in alignment with Jordan’s national and international commitments.</w:t>
      </w:r>
      <w:r w:rsidR="006F2F6D" w:rsidRPr="006A561F">
        <w:rPr>
          <w:vertAlign w:val="superscript"/>
        </w:rPr>
        <w:footnoteReference w:id="11"/>
      </w:r>
      <w:r w:rsidRPr="006A561F">
        <w:t xml:space="preserve"> However, despite a UN</w:t>
      </w:r>
      <w:r w:rsidR="36AAD394" w:rsidRPr="006A561F">
        <w:t xml:space="preserve"> </w:t>
      </w:r>
      <w:r w:rsidRPr="006A561F">
        <w:t>W</w:t>
      </w:r>
      <w:r w:rsidR="36AAD394" w:rsidRPr="006A561F">
        <w:t>omen</w:t>
      </w:r>
      <w:r w:rsidRPr="006A561F">
        <w:t xml:space="preserve"> evaluation of the previous (2015</w:t>
      </w:r>
      <w:r w:rsidR="36AAD394" w:rsidRPr="006A561F">
        <w:t>–</w:t>
      </w:r>
      <w:r w:rsidRPr="006A561F">
        <w:t>2020) strategy, which recommended that ‘the inclusion of men is paramount in order to advance women equality’ and that ‘a future strategy should aim to specify how men will provide support to achieve the goals and objectives’</w:t>
      </w:r>
      <w:r w:rsidR="36AAD394" w:rsidRPr="006A561F">
        <w:t>,</w:t>
      </w:r>
      <w:r w:rsidR="006F2F6D" w:rsidRPr="0D4BD307">
        <w:rPr>
          <w:rStyle w:val="FootnoteReference"/>
          <w:sz w:val="22"/>
          <w:szCs w:val="22"/>
        </w:rPr>
        <w:footnoteReference w:id="12"/>
      </w:r>
      <w:r w:rsidRPr="006A561F">
        <w:t xml:space="preserve"> the current strategy does not provide granular detail on engaging men and boys.</w:t>
      </w:r>
    </w:p>
    <w:p w14:paraId="14E01196" w14:textId="77777777" w:rsidR="006F2F6D" w:rsidRPr="006A561F" w:rsidRDefault="0004AA62" w:rsidP="006418CC">
      <w:pPr>
        <w:pStyle w:val="ItadNormalText"/>
        <w:jc w:val="both"/>
      </w:pPr>
      <w:r w:rsidRPr="006A561F">
        <w:t xml:space="preserve">Lebanon’s </w:t>
      </w:r>
      <w:r w:rsidRPr="40E44CAF">
        <w:t>National Strategy for Women in Lebanon (2011–2021)</w:t>
      </w:r>
      <w:r w:rsidR="006F2F6D" w:rsidRPr="006A561F">
        <w:rPr>
          <w:vertAlign w:val="superscript"/>
        </w:rPr>
        <w:footnoteReference w:id="13"/>
      </w:r>
      <w:r w:rsidRPr="006A561F">
        <w:t xml:space="preserve"> is the result of the joint effort of the </w:t>
      </w:r>
      <w:bookmarkStart w:id="3" w:name="_Hlk83283279"/>
      <w:r w:rsidRPr="006A561F">
        <w:t xml:space="preserve">National Commission for Lebanese Women </w:t>
      </w:r>
      <w:bookmarkEnd w:id="3"/>
      <w:r w:rsidRPr="006A561F">
        <w:t>(NCLW), government ministries and feminist organi</w:t>
      </w:r>
      <w:r w:rsidR="39A17D07" w:rsidRPr="006A561F">
        <w:t>s</w:t>
      </w:r>
      <w:r w:rsidRPr="006A561F">
        <w:t xml:space="preserve">ations and institutions. The strategy has twelve strategic objectives and twelve associated areas of intervention. </w:t>
      </w:r>
      <w:r w:rsidR="39A17D07" w:rsidRPr="006A561F">
        <w:t>A</w:t>
      </w:r>
      <w:r w:rsidRPr="006A561F">
        <w:t xml:space="preserve">reas </w:t>
      </w:r>
      <w:proofErr w:type="gramStart"/>
      <w:r w:rsidRPr="006A561F">
        <w:t>include</w:t>
      </w:r>
      <w:r w:rsidR="39A17D07" w:rsidRPr="006A561F">
        <w:t>:</w:t>
      </w:r>
      <w:proofErr w:type="gramEnd"/>
      <w:r w:rsidRPr="006A561F">
        <w:t xml:space="preserve"> achieving equality in legal texts and practice; equal access to health care, education and training; economic empowerment and combating poverty; tackling </w:t>
      </w:r>
      <w:r w:rsidR="7639EE87" w:rsidRPr="006A561F">
        <w:t>VAWG</w:t>
      </w:r>
      <w:r w:rsidRPr="006A561F">
        <w:t>; increasing women’s roles in decision</w:t>
      </w:r>
      <w:r w:rsidR="39A17D07" w:rsidRPr="006A561F">
        <w:t xml:space="preserve"> </w:t>
      </w:r>
      <w:r w:rsidRPr="006A561F">
        <w:t xml:space="preserve">making; and eradicating negative stereotyping of women in the media. The Strategy is supported by a National Action Plan (2017–2019) which sets out specific interventions and indicators for each priority area. Nevertheless, the Strategy does not substantively address men and boys as demographic categories that require a substantively targeted or differentiated form of engagement </w:t>
      </w:r>
      <w:proofErr w:type="gramStart"/>
      <w:r w:rsidRPr="006A561F">
        <w:t>in order to</w:t>
      </w:r>
      <w:proofErr w:type="gramEnd"/>
      <w:r w:rsidRPr="006A561F">
        <w:t xml:space="preserve"> promote GEWE.</w:t>
      </w:r>
    </w:p>
    <w:p w14:paraId="730F6934" w14:textId="77777777" w:rsidR="006F2F6D" w:rsidRPr="006A561F" w:rsidRDefault="3D2807EF" w:rsidP="006418CC">
      <w:pPr>
        <w:pStyle w:val="ItadNormalText"/>
        <w:jc w:val="both"/>
      </w:pPr>
      <w:r w:rsidRPr="006A561F">
        <w:t xml:space="preserve">Palestine’s </w:t>
      </w:r>
      <w:r w:rsidRPr="40E44CAF">
        <w:t>National Cross-Sectoral Strategy to Promote Gender Equality and Equity and the Empowerment of Women (2017–2022)</w:t>
      </w:r>
      <w:r w:rsidR="006F2F6D" w:rsidRPr="006A561F">
        <w:rPr>
          <w:vertAlign w:val="superscript"/>
        </w:rPr>
        <w:footnoteReference w:id="14"/>
      </w:r>
      <w:r w:rsidRPr="006A561F">
        <w:t xml:space="preserve"> is part of the National Development Plan for 2017–2022, and the Ministry of </w:t>
      </w:r>
      <w:r w:rsidRPr="006A561F">
        <w:lastRenderedPageBreak/>
        <w:t xml:space="preserve">Women’s Affairs </w:t>
      </w:r>
      <w:r w:rsidR="20166641" w:rsidRPr="006A561F">
        <w:t>(</w:t>
      </w:r>
      <w:proofErr w:type="spellStart"/>
      <w:r w:rsidR="20166641" w:rsidRPr="006A561F">
        <w:t>MoWA</w:t>
      </w:r>
      <w:proofErr w:type="spellEnd"/>
      <w:r w:rsidR="20166641" w:rsidRPr="006A561F">
        <w:t xml:space="preserve">) </w:t>
      </w:r>
      <w:r w:rsidRPr="006A561F">
        <w:t>leads the effort to include the strategy content in sectoral plans. The vision is ‘</w:t>
      </w:r>
      <w:r w:rsidR="1BE24DB3" w:rsidRPr="006A561F">
        <w:t>a</w:t>
      </w:r>
      <w:r w:rsidRPr="006A561F">
        <w:t xml:space="preserve"> Palestinian society in which men, women, girls, and boys enjoy equal rights and opportunities in the public and private sectors</w:t>
      </w:r>
      <w:r w:rsidR="1BE24DB3" w:rsidRPr="006A561F">
        <w:t>.</w:t>
      </w:r>
      <w:r w:rsidRPr="006A561F">
        <w:t xml:space="preserve"> The Strategy has five strategic objectives, indicating the results to be achieved by 2022 in the areas of</w:t>
      </w:r>
      <w:r w:rsidR="1BE24DB3" w:rsidRPr="006A561F">
        <w:t>:</w:t>
      </w:r>
      <w:r w:rsidRPr="006A561F">
        <w:t xml:space="preserve"> VAWG prevention and response</w:t>
      </w:r>
      <w:r w:rsidR="1BE24DB3" w:rsidRPr="006A561F">
        <w:t>;</w:t>
      </w:r>
      <w:r w:rsidRPr="006A561F">
        <w:t xml:space="preserve"> women’s participation in decision</w:t>
      </w:r>
      <w:r w:rsidR="1BE24DB3" w:rsidRPr="006A561F">
        <w:t xml:space="preserve"> </w:t>
      </w:r>
      <w:r w:rsidRPr="006A561F">
        <w:t>making</w:t>
      </w:r>
      <w:r w:rsidR="1BE24DB3" w:rsidRPr="006A561F">
        <w:t>;</w:t>
      </w:r>
      <w:r w:rsidRPr="006A561F">
        <w:t xml:space="preserve"> the institutionalisation of women’s empowerment approaches</w:t>
      </w:r>
      <w:r w:rsidR="1BE24DB3" w:rsidRPr="006A561F">
        <w:t>;</w:t>
      </w:r>
      <w:r w:rsidRPr="006A561F">
        <w:t xml:space="preserve"> women’s economic empowerment</w:t>
      </w:r>
      <w:r w:rsidR="1BE24DB3" w:rsidRPr="006A561F">
        <w:t>;</w:t>
      </w:r>
      <w:r w:rsidRPr="006A561F">
        <w:t xml:space="preserve"> and a focus on access to services for marginalised households. As above, the national strategy does not target men and boys distinctively. However, the National Strategy to Combat Violence Against Women (2011–</w:t>
      </w:r>
      <w:r w:rsidR="1BE24DB3" w:rsidRPr="006A561F">
        <w:t>20</w:t>
      </w:r>
      <w:r w:rsidRPr="006A561F">
        <w:t>19) fleetingly recognises VAWG as a ‘general and essential socio-economic issue’ and targets ‘coffee shops and popular recreation sites attended by men’. The Education Strategic Plan (2017–2022) also briefly addresses the need for male role models in classrooms.</w:t>
      </w:r>
    </w:p>
    <w:p w14:paraId="3143D532" w14:textId="77777777" w:rsidR="006F2F6D" w:rsidRPr="006A561F" w:rsidRDefault="0004AA62" w:rsidP="006418CC">
      <w:pPr>
        <w:pStyle w:val="ItadNormalText"/>
        <w:jc w:val="both"/>
      </w:pPr>
      <w:r w:rsidRPr="006A561F">
        <w:t xml:space="preserve">Morocco’s </w:t>
      </w:r>
      <w:r w:rsidRPr="40E44CAF">
        <w:t xml:space="preserve">Plan </w:t>
      </w:r>
      <w:proofErr w:type="spellStart"/>
      <w:r w:rsidRPr="40E44CAF">
        <w:t>Gouvernemental</w:t>
      </w:r>
      <w:proofErr w:type="spellEnd"/>
      <w:r w:rsidRPr="40E44CAF">
        <w:t xml:space="preserve"> pour </w:t>
      </w:r>
      <w:proofErr w:type="spellStart"/>
      <w:r w:rsidRPr="40E44CAF">
        <w:t>l’égalité</w:t>
      </w:r>
      <w:proofErr w:type="spellEnd"/>
      <w:r w:rsidRPr="006A561F">
        <w:t xml:space="preserve"> </w:t>
      </w:r>
      <w:r w:rsidRPr="40E44CAF">
        <w:t>(Government Plan for Equality) (2017–2021)</w:t>
      </w:r>
      <w:r w:rsidR="006F2F6D" w:rsidRPr="006A561F">
        <w:rPr>
          <w:vertAlign w:val="superscript"/>
        </w:rPr>
        <w:footnoteReference w:id="15"/>
      </w:r>
      <w:r w:rsidRPr="006A561F">
        <w:t xml:space="preserve"> states that its vision is to ‘</w:t>
      </w:r>
      <w:r w:rsidR="39A17D07" w:rsidRPr="006A561F">
        <w:t>a</w:t>
      </w:r>
      <w:r w:rsidRPr="006A561F">
        <w:t>chieve gender equality and empower all women and girls, based on a human rights-based approach’. The plan has four thematic pillars</w:t>
      </w:r>
      <w:r w:rsidR="39A17D07" w:rsidRPr="006A561F">
        <w:t>:</w:t>
      </w:r>
      <w:r w:rsidRPr="006A561F">
        <w:t xml:space="preserve"> economic empowerment and labour market participation; rights within the family</w:t>
      </w:r>
      <w:r w:rsidR="39A17D07" w:rsidRPr="006A561F">
        <w:t>;</w:t>
      </w:r>
      <w:r w:rsidRPr="006A561F">
        <w:t xml:space="preserve"> participation in decision</w:t>
      </w:r>
      <w:r w:rsidR="39A17D07" w:rsidRPr="006A561F">
        <w:t xml:space="preserve"> </w:t>
      </w:r>
      <w:r w:rsidRPr="006A561F">
        <w:t xml:space="preserve">making in politics, the </w:t>
      </w:r>
      <w:proofErr w:type="gramStart"/>
      <w:r w:rsidRPr="006A561F">
        <w:t>judiciary</w:t>
      </w:r>
      <w:proofErr w:type="gramEnd"/>
      <w:r w:rsidRPr="006A561F">
        <w:t xml:space="preserve"> and the private sector; and the prevention</w:t>
      </w:r>
      <w:r w:rsidR="39A17D07" w:rsidRPr="006A561F">
        <w:t xml:space="preserve"> of</w:t>
      </w:r>
      <w:r w:rsidRPr="006A561F">
        <w:t xml:space="preserve"> and response to VAWG.</w:t>
      </w:r>
      <w:r w:rsidR="78EE886D">
        <w:t xml:space="preserve"> However, the policy makes no explicit reference to the engagement of men and boys for advancing GEWE.</w:t>
      </w:r>
    </w:p>
    <w:p w14:paraId="1256A8D2" w14:textId="77777777" w:rsidR="006F2F6D" w:rsidRPr="006A561F" w:rsidRDefault="006F2F6D" w:rsidP="006418CC">
      <w:pPr>
        <w:pStyle w:val="ItadNormalText"/>
        <w:jc w:val="both"/>
      </w:pPr>
      <w:r>
        <w:t xml:space="preserve">Tunisia’s gender strategy – </w:t>
      </w:r>
      <w:bookmarkStart w:id="5" w:name="_Hlk98173889"/>
      <w:r>
        <w:t xml:space="preserve">Plan </w:t>
      </w:r>
      <w:proofErr w:type="spellStart"/>
      <w:r>
        <w:t>d</w:t>
      </w:r>
      <w:r w:rsidR="00976404">
        <w:t>’</w:t>
      </w:r>
      <w:r>
        <w:t>Action</w:t>
      </w:r>
      <w:proofErr w:type="spellEnd"/>
      <w:r>
        <w:t xml:space="preserve"> National pour </w:t>
      </w:r>
      <w:proofErr w:type="spellStart"/>
      <w:r>
        <w:t>l</w:t>
      </w:r>
      <w:r w:rsidR="00976404">
        <w:t>’</w:t>
      </w:r>
      <w:r>
        <w:t>Intégration</w:t>
      </w:r>
      <w:proofErr w:type="spellEnd"/>
      <w:r>
        <w:t xml:space="preserve"> du Genre 2016</w:t>
      </w:r>
      <w:r w:rsidR="00976404">
        <w:t>–</w:t>
      </w:r>
      <w:r>
        <w:t xml:space="preserve">2020 </w:t>
      </w:r>
      <w:bookmarkEnd w:id="5"/>
      <w:r>
        <w:t xml:space="preserve">(PANIG) – builds on previous efforts to establish the 1956 personal status to advance women’s participation, economic </w:t>
      </w:r>
      <w:proofErr w:type="gramStart"/>
      <w:r>
        <w:t>empowerment</w:t>
      </w:r>
      <w:proofErr w:type="gramEnd"/>
      <w:r>
        <w:t xml:space="preserve"> and social protection. The plan is detailed in that it focuses on developing a solid and accountable framework to eradicate all forms of discrimination and violence against women at the level of legislation and all related practices by 2020</w:t>
      </w:r>
      <w:r w:rsidR="0091575F">
        <w:t>;</w:t>
      </w:r>
      <w:r>
        <w:t xml:space="preserve"> to increase the representation of women and their active participation in committees and elected councils; to develop policies for the financial empowerment of women; to develop public policies and development planning and budgeting that are based on a gender</w:t>
      </w:r>
      <w:r w:rsidR="0091575F">
        <w:t>-</w:t>
      </w:r>
      <w:r>
        <w:t xml:space="preserve">aware approach; and </w:t>
      </w:r>
      <w:r w:rsidR="0091575F">
        <w:t xml:space="preserve">to </w:t>
      </w:r>
      <w:r>
        <w:t>create a national communication plan regarding gender-based approaches.</w:t>
      </w:r>
      <w:r w:rsidR="00AB5D05">
        <w:t xml:space="preserve"> </w:t>
      </w:r>
      <w:r w:rsidR="00643D21">
        <w:t xml:space="preserve">Nevertheless, the Plan does not explicitly reference </w:t>
      </w:r>
      <w:r w:rsidR="003712A5">
        <w:t xml:space="preserve">the role of men and boys for promoting </w:t>
      </w:r>
      <w:r w:rsidR="000C2647">
        <w:t xml:space="preserve">gender equality and women’s empowerment. </w:t>
      </w:r>
    </w:p>
    <w:p w14:paraId="219748F9" w14:textId="77777777" w:rsidR="006F2F6D" w:rsidRPr="006A561F" w:rsidRDefault="59E1A32F">
      <w:pPr>
        <w:pStyle w:val="ItadH3"/>
        <w:numPr>
          <w:ilvl w:val="1"/>
          <w:numId w:val="23"/>
        </w:numPr>
        <w:rPr>
          <w:lang w:val="en-GB"/>
        </w:rPr>
      </w:pPr>
      <w:r w:rsidRPr="40E44CAF">
        <w:rPr>
          <w:lang w:val="en-GB"/>
        </w:rPr>
        <w:t xml:space="preserve">Wider </w:t>
      </w:r>
      <w:r w:rsidR="6BD73B89" w:rsidRPr="40E44CAF">
        <w:rPr>
          <w:lang w:val="en-GB"/>
        </w:rPr>
        <w:t>r</w:t>
      </w:r>
      <w:r w:rsidRPr="40E44CAF">
        <w:rPr>
          <w:lang w:val="en-GB"/>
        </w:rPr>
        <w:t xml:space="preserve">egional </w:t>
      </w:r>
      <w:r w:rsidR="6BD73B89" w:rsidRPr="40E44CAF">
        <w:rPr>
          <w:lang w:val="en-GB"/>
        </w:rPr>
        <w:t>c</w:t>
      </w:r>
      <w:r w:rsidRPr="40E44CAF">
        <w:rPr>
          <w:lang w:val="en-GB"/>
        </w:rPr>
        <w:t>ontext</w:t>
      </w:r>
    </w:p>
    <w:p w14:paraId="43D73347" w14:textId="77777777" w:rsidR="00F46612" w:rsidRDefault="723027FA" w:rsidP="187325E8">
      <w:pPr>
        <w:pStyle w:val="BodycopyItadtemplate"/>
        <w:numPr>
          <w:ilvl w:val="0"/>
          <w:numId w:val="0"/>
        </w:numPr>
        <w:jc w:val="both"/>
        <w:rPr>
          <w:lang w:val="en-US"/>
        </w:rPr>
      </w:pPr>
      <w:r>
        <w:rPr>
          <w:lang w:val="en-US"/>
        </w:rPr>
        <w:t xml:space="preserve">The regional and national IMAGES studies that have been conducted under the MWGE </w:t>
      </w:r>
      <w:proofErr w:type="spellStart"/>
      <w:r>
        <w:rPr>
          <w:lang w:val="en-US"/>
        </w:rPr>
        <w:t>programme</w:t>
      </w:r>
      <w:proofErr w:type="spellEnd"/>
      <w:r>
        <w:rPr>
          <w:lang w:val="en-US"/>
        </w:rPr>
        <w:t xml:space="preserve"> highlighted the persistence of patriarchal norms in the Arab region. The studies along with other r</w:t>
      </w:r>
      <w:r w:rsidRPr="004C3E80">
        <w:rPr>
          <w:lang w:val="en-US"/>
        </w:rPr>
        <w:t>esearch findings</w:t>
      </w:r>
      <w:r>
        <w:rPr>
          <w:lang w:val="en-US"/>
        </w:rPr>
        <w:t>,</w:t>
      </w:r>
      <w:r w:rsidR="00F46612" w:rsidRPr="004C3E80">
        <w:rPr>
          <w:vertAlign w:val="superscript"/>
          <w:lang w:val="en-US"/>
        </w:rPr>
        <w:footnoteReference w:id="16"/>
      </w:r>
      <w:r w:rsidRPr="004C3E80">
        <w:rPr>
          <w:lang w:val="en-US"/>
        </w:rPr>
        <w:t xml:space="preserve"> demonstrate how traditional attitudes around concepts of religion-based</w:t>
      </w:r>
      <w:r>
        <w:rPr>
          <w:lang w:val="en-US"/>
        </w:rPr>
        <w:t xml:space="preserve"> </w:t>
      </w:r>
      <w:r w:rsidRPr="004C3E80">
        <w:rPr>
          <w:lang w:val="en-US"/>
        </w:rPr>
        <w:t xml:space="preserve">formulation of law which are commonly understood to legitimize men’s authority over women, can be misused as justification for rigid </w:t>
      </w:r>
      <w:r w:rsidRPr="7286D27C">
        <w:rPr>
          <w:lang w:val="en-US"/>
        </w:rPr>
        <w:t xml:space="preserve">and unequal </w:t>
      </w:r>
      <w:r w:rsidRPr="004C3E80">
        <w:rPr>
          <w:lang w:val="en-US"/>
        </w:rPr>
        <w:t>gender roles</w:t>
      </w:r>
      <w:r>
        <w:rPr>
          <w:lang w:val="en-US"/>
        </w:rPr>
        <w:t xml:space="preserve">. The regional IMAGES study showed that </w:t>
      </w:r>
      <w:proofErr w:type="gramStart"/>
      <w:r>
        <w:rPr>
          <w:lang w:val="en-US"/>
        </w:rPr>
        <w:t xml:space="preserve">a </w:t>
      </w:r>
      <w:r w:rsidRPr="004C3E80">
        <w:rPr>
          <w:lang w:val="en-US"/>
        </w:rPr>
        <w:t>majority of</w:t>
      </w:r>
      <w:proofErr w:type="gramEnd"/>
      <w:r w:rsidRPr="004C3E80">
        <w:rPr>
          <w:lang w:val="en-US"/>
        </w:rPr>
        <w:t xml:space="preserve"> men in the four countries </w:t>
      </w:r>
      <w:r>
        <w:rPr>
          <w:lang w:val="en-US"/>
        </w:rPr>
        <w:t xml:space="preserve">covered </w:t>
      </w:r>
      <w:r w:rsidRPr="004C3E80">
        <w:rPr>
          <w:lang w:val="en-US"/>
        </w:rPr>
        <w:t>supported inequitable views regarding women’s roles.</w:t>
      </w:r>
      <w:r w:rsidR="00F46612" w:rsidRPr="004C3E80">
        <w:rPr>
          <w:vertAlign w:val="superscript"/>
          <w:lang w:val="en-US"/>
        </w:rPr>
        <w:footnoteReference w:id="17"/>
      </w:r>
      <w:r w:rsidRPr="004C3E80">
        <w:rPr>
          <w:lang w:val="en-US"/>
        </w:rPr>
        <w:t xml:space="preserve"> Two-thirds to more than three-quarters of men supported the notion that a woman’s most important role was to care for the household, and about half or more of women agreed. Strong majorities of men believed it was their role to monitor and control the movements of the women and girls in their households. In some countries, majorities of women not only affirmed but also appear to accept male guardianship.</w:t>
      </w:r>
      <w:r>
        <w:rPr>
          <w:lang w:val="en-US"/>
        </w:rPr>
        <w:t xml:space="preserve"> </w:t>
      </w:r>
      <w:r w:rsidRPr="004C3E80">
        <w:rPr>
          <w:lang w:val="en-US"/>
        </w:rPr>
        <w:t>However, a sizeable minority of men – a quarter or more of men in every country – supported at least some dimensions of women’s equality and empowerment.</w:t>
      </w:r>
      <w:r w:rsidR="00F46612" w:rsidRPr="004C3E80">
        <w:rPr>
          <w:vertAlign w:val="superscript"/>
          <w:lang w:val="en-US"/>
        </w:rPr>
        <w:footnoteReference w:id="18"/>
      </w:r>
      <w:r w:rsidRPr="004C3E80">
        <w:rPr>
          <w:lang w:val="en-US"/>
        </w:rPr>
        <w:t xml:space="preserve"> These men questioned violence against women, agreed with certain laws that safeguard women’s rights, supported women in leadership positions, and wanted to spend more time caring for their children.</w:t>
      </w:r>
      <w:r>
        <w:rPr>
          <w:lang w:val="en-US"/>
        </w:rPr>
        <w:t xml:space="preserve"> </w:t>
      </w:r>
      <w:r w:rsidRPr="00726E81">
        <w:rPr>
          <w:lang w:val="en-US"/>
        </w:rPr>
        <w:t xml:space="preserve">Women and men in all four countries reported that men made most of the major household decisions. Men also expected to control their wives’ personal </w:t>
      </w:r>
      <w:r w:rsidRPr="00726E81">
        <w:t>freedoms</w:t>
      </w:r>
      <w:r w:rsidRPr="00726E81">
        <w:rPr>
          <w:lang w:val="en-US"/>
        </w:rPr>
        <w:t xml:space="preserve">, from what they wore and where </w:t>
      </w:r>
      <w:r w:rsidRPr="00726E81">
        <w:rPr>
          <w:lang w:val="en-US"/>
        </w:rPr>
        <w:lastRenderedPageBreak/>
        <w:t xml:space="preserve">they went to when the couple had sex. Two-thirds to 90 per cent of men reported exercising these forms of control, with women affirming that their husbands sought to control them </w:t>
      </w:r>
      <w:r w:rsidRPr="00726E81">
        <w:t>in</w:t>
      </w:r>
      <w:r w:rsidRPr="00726E81">
        <w:rPr>
          <w:lang w:val="en-US"/>
        </w:rPr>
        <w:t xml:space="preserve"> these ways.</w:t>
      </w:r>
      <w:r w:rsidR="00F46612" w:rsidRPr="00726E81">
        <w:rPr>
          <w:vertAlign w:val="superscript"/>
          <w:lang w:val="en-US"/>
        </w:rPr>
        <w:footnoteReference w:id="19"/>
      </w:r>
      <w:r>
        <w:rPr>
          <w:lang w:val="en-US"/>
        </w:rPr>
        <w:t xml:space="preserve"> </w:t>
      </w:r>
    </w:p>
    <w:p w14:paraId="31D6F4D3" w14:textId="77777777" w:rsidR="00F46612" w:rsidRDefault="00F46612" w:rsidP="002043DF">
      <w:pPr>
        <w:pStyle w:val="BodycopyItadtemplate"/>
        <w:numPr>
          <w:ilvl w:val="0"/>
          <w:numId w:val="0"/>
        </w:numPr>
        <w:ind w:left="360"/>
        <w:rPr>
          <w:lang w:val="en-US"/>
        </w:rPr>
      </w:pPr>
    </w:p>
    <w:p w14:paraId="1E7B07D0" w14:textId="77777777" w:rsidR="00F46612" w:rsidRPr="005A2176" w:rsidRDefault="723027FA" w:rsidP="187325E8">
      <w:pPr>
        <w:pStyle w:val="BodycopyItadtemplate"/>
        <w:numPr>
          <w:ilvl w:val="0"/>
          <w:numId w:val="0"/>
        </w:numPr>
        <w:jc w:val="both"/>
        <w:rPr>
          <w:lang w:val="en-US"/>
        </w:rPr>
      </w:pPr>
      <w:r w:rsidRPr="00E348C8">
        <w:rPr>
          <w:lang w:val="en-US"/>
        </w:rPr>
        <w:t>Violence against women (VAW) is a major human rights and gender issue with significant costs</w:t>
      </w:r>
      <w:r>
        <w:rPr>
          <w:lang w:val="en-US"/>
        </w:rPr>
        <w:t>, in the Arab region as elsewhere</w:t>
      </w:r>
      <w:r w:rsidRPr="00E348C8">
        <w:rPr>
          <w:lang w:val="en-US"/>
        </w:rPr>
        <w:t>. Research suggests that it has risen since 2011 because of protracted conflict, wars, precarious security condition, and the economic downturn affecting some countries in the region.</w:t>
      </w:r>
      <w:r w:rsidR="00F46612" w:rsidRPr="00E348C8">
        <w:rPr>
          <w:vertAlign w:val="superscript"/>
          <w:lang w:val="en-US"/>
        </w:rPr>
        <w:footnoteReference w:id="20"/>
      </w:r>
      <w:r w:rsidRPr="00E348C8">
        <w:rPr>
          <w:lang w:val="en-US"/>
        </w:rPr>
        <w:t xml:space="preserve"> The impact of violence on the physical and mental health of women and girls can range from broken bones to pregnancy-related complications, unwanted pregnancies, sexually transmitted infections, mental </w:t>
      </w:r>
      <w:r>
        <w:rPr>
          <w:lang w:val="en-US"/>
        </w:rPr>
        <w:t>illness</w:t>
      </w:r>
      <w:r w:rsidRPr="00E348C8">
        <w:rPr>
          <w:lang w:val="en-US"/>
        </w:rPr>
        <w:t>, low birth weight babies and impaired social functioning. Five of the six countries included in this evaluation have conducted stand-alone household surveys on violence against women or have included a module in a health survey like the Demographic and Health Survey (DHS) and the Multiple Indicator Cluster Survey (MICS). The latest VAW or DHS or other health surveys that included VAW were implemented in: Egypt (VAW survey 2015 and DHS 2014), Jordan (DHS 2017), Morocco (VAW survey 2019, DHS 2018), Palestine (VAW survey 2015 and 2019), and Tunisia (VAW survey 2011).</w:t>
      </w:r>
      <w:r w:rsidR="00F46612" w:rsidRPr="00E348C8">
        <w:rPr>
          <w:vertAlign w:val="superscript"/>
          <w:lang w:val="en-US"/>
        </w:rPr>
        <w:footnoteReference w:id="21"/>
      </w:r>
      <w:r w:rsidRPr="00E348C8">
        <w:rPr>
          <w:lang w:val="en-US"/>
        </w:rPr>
        <w:t xml:space="preserve"> Lebanon plans to include it in its next MICS survey. A recent assessment conducted by </w:t>
      </w:r>
      <w:r>
        <w:rPr>
          <w:lang w:val="en-US"/>
        </w:rPr>
        <w:t>UN Women</w:t>
      </w:r>
      <w:r w:rsidRPr="00E348C8">
        <w:rPr>
          <w:lang w:val="en-US"/>
        </w:rPr>
        <w:t xml:space="preserve"> in Egypt, Iraq, Jordan, Lebanon, Libya, Morocco, Palestine, </w:t>
      </w:r>
      <w:proofErr w:type="gramStart"/>
      <w:r w:rsidRPr="00E348C8">
        <w:rPr>
          <w:lang w:val="en-US"/>
        </w:rPr>
        <w:t>Tunisia</w:t>
      </w:r>
      <w:proofErr w:type="gramEnd"/>
      <w:r w:rsidRPr="00E348C8">
        <w:rPr>
          <w:lang w:val="en-US"/>
        </w:rPr>
        <w:t xml:space="preserve"> and Yemen concluded that violence against women, and fear of it, had increased as a result of the COVID-19 pandemic and associated lockdowns</w:t>
      </w:r>
      <w:r>
        <w:rPr>
          <w:lang w:val="en-US"/>
        </w:rPr>
        <w:t>.</w:t>
      </w:r>
      <w:r w:rsidR="00F46612" w:rsidRPr="00E348C8">
        <w:rPr>
          <w:vertAlign w:val="superscript"/>
          <w:lang w:val="en-US"/>
        </w:rPr>
        <w:footnoteReference w:id="22"/>
      </w:r>
    </w:p>
    <w:p w14:paraId="70E78323" w14:textId="77777777" w:rsidR="006F2F6D" w:rsidRPr="004D095B" w:rsidRDefault="3D2807EF" w:rsidP="006418CC">
      <w:pPr>
        <w:pStyle w:val="ItadNormalText"/>
        <w:jc w:val="both"/>
        <w:rPr>
          <w:color w:val="auto"/>
        </w:rPr>
      </w:pPr>
      <w:r w:rsidRPr="004D095B">
        <w:rPr>
          <w:color w:val="auto"/>
        </w:rPr>
        <w:t xml:space="preserve">More broadly, inequalities in power, influence and access to/control over resources </w:t>
      </w:r>
      <w:r w:rsidR="5A1861B5" w:rsidRPr="004D095B">
        <w:rPr>
          <w:color w:val="auto"/>
        </w:rPr>
        <w:t xml:space="preserve">remain </w:t>
      </w:r>
      <w:r w:rsidRPr="004D095B">
        <w:rPr>
          <w:color w:val="auto"/>
        </w:rPr>
        <w:t>between women and men. The region continues to score the lowest globally on both women’s political and economic participation, according to the Global Gender Gap Reports (GGGR</w:t>
      </w:r>
      <w:r w:rsidR="5A1861B5" w:rsidRPr="004D095B">
        <w:rPr>
          <w:color w:val="auto"/>
        </w:rPr>
        <w:t>s</w:t>
      </w:r>
      <w:r w:rsidRPr="004D095B">
        <w:rPr>
          <w:color w:val="auto"/>
        </w:rPr>
        <w:t>).</w:t>
      </w:r>
      <w:r w:rsidR="006F2F6D" w:rsidRPr="004D095B">
        <w:rPr>
          <w:color w:val="auto"/>
          <w:vertAlign w:val="superscript"/>
        </w:rPr>
        <w:footnoteReference w:id="23"/>
      </w:r>
      <w:r w:rsidRPr="004D095B">
        <w:rPr>
          <w:color w:val="auto"/>
        </w:rPr>
        <w:t xml:space="preserve"> According to the latest GGGR (2021), the MENA region </w:t>
      </w:r>
      <w:r w:rsidR="5A1861B5" w:rsidRPr="004D095B">
        <w:rPr>
          <w:color w:val="auto"/>
        </w:rPr>
        <w:t>has</w:t>
      </w:r>
      <w:r w:rsidRPr="004D095B">
        <w:rPr>
          <w:color w:val="auto"/>
        </w:rPr>
        <w:t xml:space="preserve"> the widest gender gap</w:t>
      </w:r>
      <w:r w:rsidR="5A1861B5" w:rsidRPr="004D095B">
        <w:rPr>
          <w:color w:val="auto"/>
        </w:rPr>
        <w:t>,</w:t>
      </w:r>
      <w:r w:rsidRPr="004D095B">
        <w:rPr>
          <w:color w:val="auto"/>
        </w:rPr>
        <w:t xml:space="preserve"> at 60.9</w:t>
      </w:r>
      <w:r w:rsidR="5A1861B5" w:rsidRPr="004D095B">
        <w:rPr>
          <w:color w:val="auto"/>
        </w:rPr>
        <w:t>%</w:t>
      </w:r>
      <w:r w:rsidRPr="004D095B">
        <w:rPr>
          <w:color w:val="auto"/>
        </w:rPr>
        <w:t>.</w:t>
      </w:r>
      <w:r w:rsidR="006F2F6D" w:rsidRPr="004D095B">
        <w:rPr>
          <w:color w:val="auto"/>
          <w:vertAlign w:val="superscript"/>
        </w:rPr>
        <w:footnoteReference w:id="24"/>
      </w:r>
      <w:r w:rsidRPr="004D095B">
        <w:rPr>
          <w:color w:val="auto"/>
        </w:rPr>
        <w:t xml:space="preserve"> The region has seen a decrease in gross domestic product and gross national incomes, increase in poverty and youth unemployment, and a widening gap between rural and urban areas and between the rich and poor. While both women and men have been impacted by these macro-economic developments, women remain disproportionately affected</w:t>
      </w:r>
      <w:r w:rsidR="5A1861B5" w:rsidRPr="004D095B">
        <w:rPr>
          <w:color w:val="auto"/>
        </w:rPr>
        <w:t>,</w:t>
      </w:r>
      <w:r w:rsidRPr="004D095B">
        <w:rPr>
          <w:color w:val="auto"/>
        </w:rPr>
        <w:t xml:space="preserve"> </w:t>
      </w:r>
      <w:r w:rsidR="5A1861B5" w:rsidRPr="004D095B">
        <w:rPr>
          <w:color w:val="auto"/>
        </w:rPr>
        <w:t>owing</w:t>
      </w:r>
      <w:r w:rsidRPr="004D095B">
        <w:rPr>
          <w:color w:val="auto"/>
        </w:rPr>
        <w:t xml:space="preserve"> to gender inequalities.</w:t>
      </w:r>
      <w:r w:rsidR="006F2F6D" w:rsidRPr="004D095B">
        <w:rPr>
          <w:color w:val="auto"/>
          <w:vertAlign w:val="superscript"/>
        </w:rPr>
        <w:footnoteReference w:id="25"/>
      </w:r>
    </w:p>
    <w:p w14:paraId="7C9EC7FA" w14:textId="77777777" w:rsidR="006F2F6D" w:rsidRPr="004D095B" w:rsidRDefault="0004AA62" w:rsidP="006418CC">
      <w:pPr>
        <w:pStyle w:val="ItadNormalText"/>
        <w:jc w:val="both"/>
        <w:rPr>
          <w:color w:val="auto"/>
        </w:rPr>
      </w:pPr>
      <w:r w:rsidRPr="004D095B">
        <w:rPr>
          <w:color w:val="auto"/>
        </w:rPr>
        <w:t xml:space="preserve">The Gender Development Index (GDI), which is the ratio of female </w:t>
      </w:r>
      <w:r w:rsidR="56D0AA44" w:rsidRPr="004D095B">
        <w:rPr>
          <w:color w:val="auto"/>
        </w:rPr>
        <w:t>Human Development Index (</w:t>
      </w:r>
      <w:r w:rsidRPr="004D095B">
        <w:rPr>
          <w:color w:val="auto"/>
        </w:rPr>
        <w:t>HDI</w:t>
      </w:r>
      <w:r w:rsidR="56D0AA44" w:rsidRPr="004D095B">
        <w:rPr>
          <w:color w:val="auto"/>
        </w:rPr>
        <w:t>)</w:t>
      </w:r>
      <w:r w:rsidRPr="004D095B">
        <w:rPr>
          <w:color w:val="auto"/>
        </w:rPr>
        <w:t xml:space="preserve"> to male HDI, captures gender inequality in these measures of human development (see Table 2). In 2019, the GDI for the countries included in the MWGE programme varied between 0.835 in Morocco (ranked 121st in the world) </w:t>
      </w:r>
      <w:r w:rsidR="56D0AA44" w:rsidRPr="004D095B">
        <w:rPr>
          <w:color w:val="auto"/>
        </w:rPr>
        <w:t>and</w:t>
      </w:r>
      <w:r w:rsidRPr="004D095B">
        <w:rPr>
          <w:color w:val="auto"/>
        </w:rPr>
        <w:t xml:space="preserve"> 0.900 in Tunisia (ranked 95th).</w:t>
      </w:r>
      <w:r w:rsidR="006F2F6D" w:rsidRPr="004D095B">
        <w:rPr>
          <w:color w:val="auto"/>
          <w:vertAlign w:val="superscript"/>
        </w:rPr>
        <w:footnoteReference w:id="26"/>
      </w:r>
      <w:r w:rsidRPr="004D095B">
        <w:rPr>
          <w:color w:val="auto"/>
        </w:rPr>
        <w:t xml:space="preserve"> This compares with a global average GDI of 0.943.</w:t>
      </w:r>
    </w:p>
    <w:p w14:paraId="04A7F1AC" w14:textId="4E4B3D5D" w:rsidR="005A2176" w:rsidRDefault="1FCC0598" w:rsidP="005A2176">
      <w:pPr>
        <w:pStyle w:val="ItadNormalText"/>
        <w:jc w:val="both"/>
        <w:rPr>
          <w:color w:val="auto"/>
        </w:rPr>
      </w:pPr>
      <w:r w:rsidRPr="004D095B">
        <w:rPr>
          <w:color w:val="auto"/>
        </w:rPr>
        <w:t>A review of indicators in the Arab Region by the Arab Development Portal confirmed these positive trends, but with many challenges remaining.</w:t>
      </w:r>
      <w:r w:rsidR="002F671A" w:rsidRPr="004D095B">
        <w:rPr>
          <w:color w:val="auto"/>
          <w:vertAlign w:val="superscript"/>
        </w:rPr>
        <w:footnoteReference w:id="27"/>
      </w:r>
      <w:r w:rsidRPr="004D095B">
        <w:rPr>
          <w:color w:val="auto"/>
        </w:rPr>
        <w:t xml:space="preserve"> The maternal mortality rate decreased from 250 per 100,000 live births in 2000 to 149 per 100,000 live births in 2017, and female life expectancy at birth has also increased in all Arab countries, rising from an average of 69.7 in 2000 to an average of 73.6 years in 2018.</w:t>
      </w:r>
      <w:r w:rsidR="002F671A" w:rsidRPr="004D095B">
        <w:rPr>
          <w:color w:val="auto"/>
          <w:vertAlign w:val="superscript"/>
        </w:rPr>
        <w:footnoteReference w:id="28"/>
      </w:r>
    </w:p>
    <w:p w14:paraId="377DF5C6" w14:textId="55952151" w:rsidR="001F7344" w:rsidRDefault="001F7344" w:rsidP="005A2176">
      <w:pPr>
        <w:pStyle w:val="ItadNormalText"/>
        <w:jc w:val="both"/>
        <w:rPr>
          <w:color w:val="auto"/>
        </w:rPr>
      </w:pPr>
    </w:p>
    <w:p w14:paraId="552BF8B1" w14:textId="0C57AAAC" w:rsidR="001F7344" w:rsidRDefault="001F7344" w:rsidP="005A2176">
      <w:pPr>
        <w:pStyle w:val="ItadNormalText"/>
        <w:jc w:val="both"/>
        <w:rPr>
          <w:color w:val="auto"/>
        </w:rPr>
      </w:pPr>
    </w:p>
    <w:p w14:paraId="1A3B5178" w14:textId="467D8199" w:rsidR="001F7344" w:rsidRDefault="001F7344" w:rsidP="005A2176">
      <w:pPr>
        <w:pStyle w:val="ItadNormalText"/>
        <w:jc w:val="both"/>
        <w:rPr>
          <w:color w:val="auto"/>
        </w:rPr>
      </w:pPr>
    </w:p>
    <w:p w14:paraId="57E1AF6F" w14:textId="4FDFDF84" w:rsidR="001F7344" w:rsidRDefault="001F7344" w:rsidP="005A2176">
      <w:pPr>
        <w:pStyle w:val="ItadNormalText"/>
        <w:jc w:val="both"/>
        <w:rPr>
          <w:color w:val="auto"/>
        </w:rPr>
      </w:pPr>
    </w:p>
    <w:p w14:paraId="5A8EAA1C" w14:textId="77777777" w:rsidR="001F7344" w:rsidRPr="001F7344" w:rsidRDefault="001F7344" w:rsidP="005A2176">
      <w:pPr>
        <w:pStyle w:val="ItadNormalText"/>
        <w:jc w:val="both"/>
        <w:rPr>
          <w:color w:val="auto"/>
        </w:rPr>
      </w:pPr>
    </w:p>
    <w:p w14:paraId="39EF0550" w14:textId="77777777" w:rsidR="00643E27" w:rsidRPr="00596402" w:rsidRDefault="00643E27" w:rsidP="001F103C">
      <w:pPr>
        <w:pStyle w:val="Itadtablestyle"/>
      </w:pPr>
      <w:bookmarkStart w:id="6" w:name="_Toc101775209"/>
      <w:bookmarkStart w:id="7" w:name="_Toc123126094"/>
      <w:r>
        <w:lastRenderedPageBreak/>
        <w:t>GDI for 2019 relative to selected countries and groups</w:t>
      </w:r>
      <w:bookmarkEnd w:id="6"/>
      <w:bookmarkEnd w:id="7"/>
    </w:p>
    <w:tbl>
      <w:tblPr>
        <w:tblStyle w:val="PlainTable2"/>
        <w:tblW w:w="9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
        <w:gridCol w:w="707"/>
        <w:gridCol w:w="829"/>
        <w:gridCol w:w="711"/>
        <w:gridCol w:w="661"/>
        <w:gridCol w:w="1346"/>
        <w:gridCol w:w="776"/>
        <w:gridCol w:w="664"/>
        <w:gridCol w:w="825"/>
        <w:gridCol w:w="655"/>
        <w:gridCol w:w="815"/>
        <w:gridCol w:w="781"/>
      </w:tblGrid>
      <w:tr w:rsidR="006F2F6D" w:rsidRPr="00BA0B27" w14:paraId="4B58CD47" w14:textId="77777777" w:rsidTr="40E44CAF">
        <w:trPr>
          <w:cnfStyle w:val="000000100000" w:firstRow="0" w:lastRow="0" w:firstColumn="0" w:lastColumn="0" w:oddVBand="0" w:evenVBand="0" w:oddHBand="1" w:evenHBand="0" w:firstRowFirstColumn="0" w:firstRowLastColumn="0" w:lastRowFirstColumn="0" w:lastRowLastColumn="0"/>
          <w:trHeight w:val="177"/>
        </w:trPr>
        <w:tc>
          <w:tcPr>
            <w:cnfStyle w:val="000010000000" w:firstRow="0" w:lastRow="0" w:firstColumn="0" w:lastColumn="0" w:oddVBand="1" w:evenVBand="0" w:oddHBand="0" w:evenHBand="0" w:firstRowFirstColumn="0" w:firstRowLastColumn="0" w:lastRowFirstColumn="0" w:lastRowLastColumn="0"/>
            <w:tcW w:w="1722" w:type="dxa"/>
            <w:gridSpan w:val="2"/>
            <w:shd w:val="clear" w:color="auto" w:fill="588B46" w:themeFill="text2"/>
          </w:tcPr>
          <w:p w14:paraId="21AB9FE3" w14:textId="77777777" w:rsidR="006F2F6D" w:rsidRPr="00BA0B27" w:rsidRDefault="096E9D01" w:rsidP="0D4BD307">
            <w:pPr>
              <w:tabs>
                <w:tab w:val="left" w:pos="1418"/>
              </w:tabs>
              <w:spacing w:before="60" w:after="60"/>
              <w:rPr>
                <w:color w:val="FFFFFF" w:themeColor="background1"/>
                <w:sz w:val="15"/>
                <w:szCs w:val="15"/>
              </w:rPr>
            </w:pPr>
            <w:r w:rsidRPr="00BA0B27">
              <w:rPr>
                <w:color w:val="FFFFFF" w:themeColor="background1"/>
                <w:sz w:val="15"/>
                <w:szCs w:val="15"/>
              </w:rPr>
              <w:t xml:space="preserve">F-M ratio </w:t>
            </w:r>
          </w:p>
        </w:tc>
        <w:tc>
          <w:tcPr>
            <w:cnfStyle w:val="000001000000" w:firstRow="0" w:lastRow="0" w:firstColumn="0" w:lastColumn="0" w:oddVBand="0" w:evenVBand="1" w:oddHBand="0" w:evenHBand="0" w:firstRowFirstColumn="0" w:firstRowLastColumn="0" w:lastRowFirstColumn="0" w:lastRowLastColumn="0"/>
            <w:tcW w:w="1632" w:type="dxa"/>
            <w:gridSpan w:val="2"/>
            <w:shd w:val="clear" w:color="auto" w:fill="588B46" w:themeFill="text2"/>
          </w:tcPr>
          <w:p w14:paraId="5021886D" w14:textId="77777777" w:rsidR="006F2F6D" w:rsidRPr="00BA0B27" w:rsidRDefault="096E9D01" w:rsidP="0D4BD307">
            <w:pPr>
              <w:tabs>
                <w:tab w:val="left" w:pos="1418"/>
              </w:tabs>
              <w:spacing w:before="60" w:after="60"/>
              <w:rPr>
                <w:color w:val="FFFFFF" w:themeColor="background1"/>
                <w:sz w:val="15"/>
                <w:szCs w:val="15"/>
              </w:rPr>
            </w:pPr>
            <w:r w:rsidRPr="00BA0B27">
              <w:rPr>
                <w:color w:val="FFFFFF" w:themeColor="background1"/>
                <w:sz w:val="15"/>
                <w:szCs w:val="15"/>
              </w:rPr>
              <w:t xml:space="preserve">HDI values </w:t>
            </w:r>
          </w:p>
        </w:tc>
        <w:tc>
          <w:tcPr>
            <w:cnfStyle w:val="000010000000" w:firstRow="0" w:lastRow="0" w:firstColumn="0" w:lastColumn="0" w:oddVBand="1" w:evenVBand="0" w:oddHBand="0" w:evenHBand="0" w:firstRowFirstColumn="0" w:firstRowLastColumn="0" w:lastRowFirstColumn="0" w:lastRowLastColumn="0"/>
            <w:tcW w:w="1583" w:type="dxa"/>
            <w:gridSpan w:val="2"/>
            <w:tcBorders>
              <w:bottom w:val="single" w:sz="4" w:space="0" w:color="auto"/>
            </w:tcBorders>
            <w:shd w:val="clear" w:color="auto" w:fill="588B46" w:themeFill="text2"/>
          </w:tcPr>
          <w:p w14:paraId="317BA9F2" w14:textId="77777777" w:rsidR="006F2F6D" w:rsidRPr="00BA0B27" w:rsidRDefault="096E9D01" w:rsidP="0D4BD307">
            <w:pPr>
              <w:tabs>
                <w:tab w:val="left" w:pos="1418"/>
              </w:tabs>
              <w:spacing w:before="60" w:after="60"/>
              <w:rPr>
                <w:color w:val="FFFFFF" w:themeColor="background1"/>
                <w:sz w:val="15"/>
                <w:szCs w:val="15"/>
              </w:rPr>
            </w:pPr>
            <w:r w:rsidRPr="00BA0B27">
              <w:rPr>
                <w:color w:val="FFFFFF" w:themeColor="background1"/>
                <w:sz w:val="15"/>
                <w:szCs w:val="15"/>
              </w:rPr>
              <w:t xml:space="preserve">Life expectancy at birth </w:t>
            </w:r>
          </w:p>
        </w:tc>
        <w:tc>
          <w:tcPr>
            <w:cnfStyle w:val="000001000000" w:firstRow="0" w:lastRow="0" w:firstColumn="0" w:lastColumn="0" w:oddVBand="0" w:evenVBand="1" w:oddHBand="0" w:evenHBand="0" w:firstRowFirstColumn="0" w:firstRowLastColumn="0" w:lastRowFirstColumn="0" w:lastRowLastColumn="0"/>
            <w:tcW w:w="1513" w:type="dxa"/>
            <w:gridSpan w:val="2"/>
            <w:shd w:val="clear" w:color="auto" w:fill="588B46" w:themeFill="text2"/>
          </w:tcPr>
          <w:p w14:paraId="7033756A" w14:textId="77777777" w:rsidR="006F2F6D" w:rsidRPr="00BA0B27" w:rsidRDefault="096E9D01" w:rsidP="0D4BD307">
            <w:pPr>
              <w:tabs>
                <w:tab w:val="left" w:pos="1418"/>
              </w:tabs>
              <w:spacing w:before="60" w:after="60"/>
              <w:rPr>
                <w:color w:val="FFFFFF" w:themeColor="background1"/>
                <w:sz w:val="15"/>
                <w:szCs w:val="15"/>
              </w:rPr>
            </w:pPr>
            <w:r w:rsidRPr="00BA0B27">
              <w:rPr>
                <w:color w:val="FFFFFF" w:themeColor="background1"/>
                <w:sz w:val="15"/>
                <w:szCs w:val="15"/>
              </w:rPr>
              <w:t xml:space="preserve">Expected years of schooling </w:t>
            </w:r>
          </w:p>
        </w:tc>
        <w:tc>
          <w:tcPr>
            <w:cnfStyle w:val="000010000000" w:firstRow="0" w:lastRow="0" w:firstColumn="0" w:lastColumn="0" w:oddVBand="1" w:evenVBand="0" w:oddHBand="0" w:evenHBand="0" w:firstRowFirstColumn="0" w:firstRowLastColumn="0" w:lastRowFirstColumn="0" w:lastRowLastColumn="0"/>
            <w:tcW w:w="1564" w:type="dxa"/>
            <w:gridSpan w:val="2"/>
            <w:shd w:val="clear" w:color="auto" w:fill="588B46" w:themeFill="text2"/>
          </w:tcPr>
          <w:p w14:paraId="012C4ECF" w14:textId="77777777" w:rsidR="006F2F6D" w:rsidRPr="00BA0B27" w:rsidRDefault="096E9D01" w:rsidP="0D4BD307">
            <w:pPr>
              <w:tabs>
                <w:tab w:val="left" w:pos="1418"/>
              </w:tabs>
              <w:spacing w:before="60" w:after="60"/>
              <w:rPr>
                <w:color w:val="FFFFFF" w:themeColor="background1"/>
                <w:sz w:val="15"/>
                <w:szCs w:val="15"/>
              </w:rPr>
            </w:pPr>
            <w:r w:rsidRPr="00BA0B27">
              <w:rPr>
                <w:color w:val="FFFFFF" w:themeColor="background1"/>
                <w:sz w:val="15"/>
                <w:szCs w:val="15"/>
              </w:rPr>
              <w:t xml:space="preserve">Mean years of schooling </w:t>
            </w:r>
          </w:p>
        </w:tc>
        <w:tc>
          <w:tcPr>
            <w:cnfStyle w:val="000001000000" w:firstRow="0" w:lastRow="0" w:firstColumn="0" w:lastColumn="0" w:oddVBand="0" w:evenVBand="1" w:oddHBand="0" w:evenHBand="0" w:firstRowFirstColumn="0" w:firstRowLastColumn="0" w:lastRowFirstColumn="0" w:lastRowLastColumn="0"/>
            <w:tcW w:w="1684" w:type="dxa"/>
            <w:gridSpan w:val="2"/>
            <w:shd w:val="clear" w:color="auto" w:fill="588B46" w:themeFill="text2"/>
          </w:tcPr>
          <w:p w14:paraId="1BD812E0" w14:textId="77777777" w:rsidR="006F2F6D" w:rsidRPr="00BA0B27" w:rsidRDefault="096E9D01" w:rsidP="0D4BD307">
            <w:pPr>
              <w:tabs>
                <w:tab w:val="left" w:pos="1418"/>
              </w:tabs>
              <w:spacing w:before="60" w:after="60"/>
              <w:rPr>
                <w:color w:val="FFFFFF" w:themeColor="background1"/>
                <w:sz w:val="15"/>
                <w:szCs w:val="15"/>
              </w:rPr>
            </w:pPr>
            <w:r w:rsidRPr="00BA0B27">
              <w:rPr>
                <w:color w:val="FFFFFF" w:themeColor="background1"/>
                <w:sz w:val="15"/>
                <w:szCs w:val="15"/>
              </w:rPr>
              <w:t xml:space="preserve">GNI per capita </w:t>
            </w:r>
          </w:p>
        </w:tc>
      </w:tr>
      <w:tr w:rsidR="001D0459" w:rsidRPr="00BA0B27" w14:paraId="0AE14EF7" w14:textId="77777777" w:rsidTr="40E44CAF">
        <w:trPr>
          <w:trHeight w:val="177"/>
        </w:trPr>
        <w:tc>
          <w:tcPr>
            <w:cnfStyle w:val="000010000000" w:firstRow="0" w:lastRow="0" w:firstColumn="0" w:lastColumn="0" w:oddVBand="1" w:evenVBand="0" w:oddHBand="0" w:evenHBand="0" w:firstRowFirstColumn="0" w:firstRowLastColumn="0" w:lastRowFirstColumn="0" w:lastRowLastColumn="0"/>
            <w:tcW w:w="1722" w:type="dxa"/>
            <w:gridSpan w:val="2"/>
            <w:shd w:val="clear" w:color="auto" w:fill="DCEAD6" w:themeFill="text2" w:themeFillTint="33"/>
          </w:tcPr>
          <w:p w14:paraId="28C80116" w14:textId="77777777" w:rsidR="006F2F6D" w:rsidRPr="00BA0B27" w:rsidRDefault="0004AA62" w:rsidP="0D4BD307">
            <w:pPr>
              <w:tabs>
                <w:tab w:val="left" w:pos="1418"/>
              </w:tabs>
              <w:spacing w:before="60" w:after="60"/>
              <w:rPr>
                <w:color w:val="3B3B3C" w:themeColor="text1"/>
                <w:sz w:val="15"/>
                <w:szCs w:val="15"/>
              </w:rPr>
            </w:pPr>
            <w:r w:rsidRPr="00BA0B27">
              <w:rPr>
                <w:color w:val="3B3B3C" w:themeColor="text1"/>
                <w:sz w:val="15"/>
                <w:szCs w:val="15"/>
              </w:rPr>
              <w:t>GDI value</w:t>
            </w:r>
            <w:r w:rsidR="006F2F6D" w:rsidRPr="00BA0B27">
              <w:rPr>
                <w:color w:val="3B3B3C" w:themeColor="text1"/>
                <w:sz w:val="15"/>
                <w:szCs w:val="15"/>
                <w:vertAlign w:val="superscript"/>
              </w:rPr>
              <w:footnoteReference w:id="29"/>
            </w:r>
          </w:p>
        </w:tc>
        <w:tc>
          <w:tcPr>
            <w:cnfStyle w:val="000001000000" w:firstRow="0" w:lastRow="0" w:firstColumn="0" w:lastColumn="0" w:oddVBand="0" w:evenVBand="1" w:oddHBand="0" w:evenHBand="0" w:firstRowFirstColumn="0" w:firstRowLastColumn="0" w:lastRowFirstColumn="0" w:lastRowLastColumn="0"/>
            <w:tcW w:w="877" w:type="dxa"/>
            <w:tcBorders>
              <w:right w:val="single" w:sz="4" w:space="0" w:color="auto"/>
            </w:tcBorders>
            <w:shd w:val="clear" w:color="auto" w:fill="DCEAD6" w:themeFill="text2" w:themeFillTint="33"/>
          </w:tcPr>
          <w:p w14:paraId="1BDE7486"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Female</w:t>
            </w:r>
          </w:p>
        </w:tc>
        <w:tc>
          <w:tcPr>
            <w:cnfStyle w:val="000010000000" w:firstRow="0" w:lastRow="0" w:firstColumn="0" w:lastColumn="0" w:oddVBand="1" w:evenVBand="0" w:oddHBand="0" w:evenHBand="0" w:firstRowFirstColumn="0" w:firstRowLastColumn="0" w:lastRowFirstColumn="0" w:lastRowLastColumn="0"/>
            <w:tcW w:w="755" w:type="dxa"/>
            <w:tcBorders>
              <w:right w:val="single" w:sz="4" w:space="0" w:color="auto"/>
            </w:tcBorders>
            <w:shd w:val="clear" w:color="auto" w:fill="DCEAD6" w:themeFill="text2" w:themeFillTint="33"/>
          </w:tcPr>
          <w:p w14:paraId="4028EFC1"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Male</w:t>
            </w:r>
          </w:p>
        </w:tc>
        <w:tc>
          <w:tcPr>
            <w:cnfStyle w:val="000001000000" w:firstRow="0" w:lastRow="0" w:firstColumn="0" w:lastColumn="0" w:oddVBand="0" w:evenVBand="1" w:oddHBand="0" w:evenHBand="0" w:firstRowFirstColumn="0" w:firstRowLastColumn="0" w:lastRowFirstColumn="0" w:lastRowLastColumn="0"/>
            <w:tcW w:w="0" w:type="dxa"/>
            <w:tcBorders>
              <w:left w:val="single" w:sz="4" w:space="0" w:color="auto"/>
            </w:tcBorders>
            <w:shd w:val="clear" w:color="auto" w:fill="DCEAD6" w:themeFill="text2" w:themeFillTint="33"/>
          </w:tcPr>
          <w:p w14:paraId="7D8285FE"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Female</w:t>
            </w:r>
          </w:p>
        </w:tc>
        <w:tc>
          <w:tcPr>
            <w:cnfStyle w:val="000010000000" w:firstRow="0" w:lastRow="0" w:firstColumn="0" w:lastColumn="0" w:oddVBand="1" w:evenVBand="0" w:oddHBand="0" w:evenHBand="0" w:firstRowFirstColumn="0" w:firstRowLastColumn="0" w:lastRowFirstColumn="0" w:lastRowLastColumn="0"/>
            <w:tcW w:w="774" w:type="dxa"/>
            <w:tcBorders>
              <w:left w:val="single" w:sz="4" w:space="0" w:color="auto"/>
            </w:tcBorders>
            <w:shd w:val="clear" w:color="auto" w:fill="DCEAD6" w:themeFill="text2" w:themeFillTint="33"/>
          </w:tcPr>
          <w:p w14:paraId="135B5B09"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Male</w:t>
            </w:r>
          </w:p>
        </w:tc>
        <w:tc>
          <w:tcPr>
            <w:cnfStyle w:val="000001000000" w:firstRow="0" w:lastRow="0" w:firstColumn="0" w:lastColumn="0" w:oddVBand="0" w:evenVBand="1" w:oddHBand="0" w:evenHBand="0" w:firstRowFirstColumn="0" w:firstRowLastColumn="0" w:lastRowFirstColumn="0" w:lastRowLastColumn="0"/>
            <w:tcW w:w="809" w:type="dxa"/>
            <w:shd w:val="clear" w:color="auto" w:fill="DCEAD6" w:themeFill="text2" w:themeFillTint="33"/>
          </w:tcPr>
          <w:p w14:paraId="32C02231"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Female</w:t>
            </w:r>
          </w:p>
        </w:tc>
        <w:tc>
          <w:tcPr>
            <w:cnfStyle w:val="000010000000" w:firstRow="0" w:lastRow="0" w:firstColumn="0" w:lastColumn="0" w:oddVBand="1" w:evenVBand="0" w:oddHBand="0" w:evenHBand="0" w:firstRowFirstColumn="0" w:firstRowLastColumn="0" w:lastRowFirstColumn="0" w:lastRowLastColumn="0"/>
            <w:tcW w:w="704" w:type="dxa"/>
            <w:shd w:val="clear" w:color="auto" w:fill="DCEAD6" w:themeFill="text2" w:themeFillTint="33"/>
          </w:tcPr>
          <w:p w14:paraId="0FEC74F1"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Male</w:t>
            </w:r>
          </w:p>
        </w:tc>
        <w:tc>
          <w:tcPr>
            <w:cnfStyle w:val="000001000000" w:firstRow="0" w:lastRow="0" w:firstColumn="0" w:lastColumn="0" w:oddVBand="0" w:evenVBand="1" w:oddHBand="0" w:evenHBand="0" w:firstRowFirstColumn="0" w:firstRowLastColumn="0" w:lastRowFirstColumn="0" w:lastRowLastColumn="0"/>
            <w:tcW w:w="872" w:type="dxa"/>
            <w:shd w:val="clear" w:color="auto" w:fill="DCEAD6" w:themeFill="text2" w:themeFillTint="33"/>
          </w:tcPr>
          <w:p w14:paraId="7D4EEB6F"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Female</w:t>
            </w:r>
          </w:p>
        </w:tc>
        <w:tc>
          <w:tcPr>
            <w:cnfStyle w:val="000010000000" w:firstRow="0" w:lastRow="0" w:firstColumn="0" w:lastColumn="0" w:oddVBand="1" w:evenVBand="0" w:oddHBand="0" w:evenHBand="0" w:firstRowFirstColumn="0" w:firstRowLastColumn="0" w:lastRowFirstColumn="0" w:lastRowLastColumn="0"/>
            <w:tcW w:w="692" w:type="dxa"/>
            <w:shd w:val="clear" w:color="auto" w:fill="DCEAD6" w:themeFill="text2" w:themeFillTint="33"/>
          </w:tcPr>
          <w:p w14:paraId="57AAEFC4"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Male</w:t>
            </w:r>
          </w:p>
        </w:tc>
        <w:tc>
          <w:tcPr>
            <w:cnfStyle w:val="000001000000" w:firstRow="0" w:lastRow="0" w:firstColumn="0" w:lastColumn="0" w:oddVBand="0" w:evenVBand="1" w:oddHBand="0" w:evenHBand="0" w:firstRowFirstColumn="0" w:firstRowLastColumn="0" w:lastRowFirstColumn="0" w:lastRowLastColumn="0"/>
            <w:tcW w:w="860" w:type="dxa"/>
            <w:shd w:val="clear" w:color="auto" w:fill="DCEAD6" w:themeFill="text2" w:themeFillTint="33"/>
          </w:tcPr>
          <w:p w14:paraId="53BD2884"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Female</w:t>
            </w:r>
          </w:p>
        </w:tc>
        <w:tc>
          <w:tcPr>
            <w:cnfStyle w:val="000010000000" w:firstRow="0" w:lastRow="0" w:firstColumn="0" w:lastColumn="0" w:oddVBand="1" w:evenVBand="0" w:oddHBand="0" w:evenHBand="0" w:firstRowFirstColumn="0" w:firstRowLastColumn="0" w:lastRowFirstColumn="0" w:lastRowLastColumn="0"/>
            <w:tcW w:w="824" w:type="dxa"/>
            <w:shd w:val="clear" w:color="auto" w:fill="DCEAD6" w:themeFill="text2" w:themeFillTint="33"/>
          </w:tcPr>
          <w:p w14:paraId="1AC82287"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Male</w:t>
            </w:r>
          </w:p>
        </w:tc>
      </w:tr>
      <w:tr w:rsidR="006F2F6D" w:rsidRPr="00BA0B27" w14:paraId="3814E7FD" w14:textId="77777777" w:rsidTr="40E44CAF">
        <w:trPr>
          <w:cnfStyle w:val="000000100000" w:firstRow="0" w:lastRow="0" w:firstColumn="0" w:lastColumn="0" w:oddVBand="0" w:evenVBand="0" w:oddHBand="1" w:evenHBand="0" w:firstRowFirstColumn="0" w:firstRowLastColumn="0" w:lastRowFirstColumn="0" w:lastRowLastColumn="0"/>
          <w:trHeight w:val="79"/>
        </w:trPr>
        <w:tc>
          <w:tcPr>
            <w:cnfStyle w:val="000010000000" w:firstRow="0" w:lastRow="0" w:firstColumn="0" w:lastColumn="0" w:oddVBand="1" w:evenVBand="0" w:oddHBand="0" w:evenHBand="0" w:firstRowFirstColumn="0" w:firstRowLastColumn="0" w:lastRowFirstColumn="0" w:lastRowLastColumn="0"/>
            <w:tcW w:w="972" w:type="dxa"/>
            <w:shd w:val="clear" w:color="auto" w:fill="DCEAD6" w:themeFill="text2" w:themeFillTint="33"/>
          </w:tcPr>
          <w:p w14:paraId="009F1CDF"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Egypt</w:t>
            </w:r>
          </w:p>
        </w:tc>
        <w:tc>
          <w:tcPr>
            <w:cnfStyle w:val="000001000000" w:firstRow="0" w:lastRow="0" w:firstColumn="0" w:lastColumn="0" w:oddVBand="0" w:evenVBand="1" w:oddHBand="0" w:evenHBand="0" w:firstRowFirstColumn="0" w:firstRowLastColumn="0" w:lastRowFirstColumn="0" w:lastRowLastColumn="0"/>
            <w:tcW w:w="750" w:type="dxa"/>
          </w:tcPr>
          <w:p w14:paraId="732340E5"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0.882</w:t>
            </w:r>
          </w:p>
        </w:tc>
        <w:tc>
          <w:tcPr>
            <w:cnfStyle w:val="000010000000" w:firstRow="0" w:lastRow="0" w:firstColumn="0" w:lastColumn="0" w:oddVBand="1" w:evenVBand="0" w:oddHBand="0" w:evenHBand="0" w:firstRowFirstColumn="0" w:firstRowLastColumn="0" w:lastRowFirstColumn="0" w:lastRowLastColumn="0"/>
            <w:tcW w:w="877" w:type="dxa"/>
          </w:tcPr>
          <w:p w14:paraId="2A7D7FA3"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0.652</w:t>
            </w:r>
          </w:p>
        </w:tc>
        <w:tc>
          <w:tcPr>
            <w:cnfStyle w:val="000001000000" w:firstRow="0" w:lastRow="0" w:firstColumn="0" w:lastColumn="0" w:oddVBand="0" w:evenVBand="1" w:oddHBand="0" w:evenHBand="0" w:firstRowFirstColumn="0" w:firstRowLastColumn="0" w:lastRowFirstColumn="0" w:lastRowLastColumn="0"/>
            <w:tcW w:w="755" w:type="dxa"/>
          </w:tcPr>
          <w:p w14:paraId="2B966B8E"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0.739</w:t>
            </w:r>
          </w:p>
        </w:tc>
        <w:tc>
          <w:tcPr>
            <w:cnfStyle w:val="000010000000" w:firstRow="0" w:lastRow="0" w:firstColumn="0" w:lastColumn="0" w:oddVBand="1" w:evenVBand="0" w:oddHBand="0" w:evenHBand="0" w:firstRowFirstColumn="0" w:firstRowLastColumn="0" w:lastRowFirstColumn="0" w:lastRowLastColumn="0"/>
            <w:tcW w:w="0" w:type="dxa"/>
          </w:tcPr>
          <w:p w14:paraId="44A8EA2C"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74.3</w:t>
            </w:r>
          </w:p>
        </w:tc>
        <w:tc>
          <w:tcPr>
            <w:cnfStyle w:val="000001000000" w:firstRow="0" w:lastRow="0" w:firstColumn="0" w:lastColumn="0" w:oddVBand="0" w:evenVBand="1" w:oddHBand="0" w:evenHBand="0" w:firstRowFirstColumn="0" w:firstRowLastColumn="0" w:lastRowFirstColumn="0" w:lastRowLastColumn="0"/>
            <w:tcW w:w="767" w:type="dxa"/>
          </w:tcPr>
          <w:p w14:paraId="1F2C6DAE"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69.7</w:t>
            </w:r>
          </w:p>
        </w:tc>
        <w:tc>
          <w:tcPr>
            <w:cnfStyle w:val="000010000000" w:firstRow="0" w:lastRow="0" w:firstColumn="0" w:lastColumn="0" w:oddVBand="1" w:evenVBand="0" w:oddHBand="0" w:evenHBand="0" w:firstRowFirstColumn="0" w:firstRowLastColumn="0" w:lastRowFirstColumn="0" w:lastRowLastColumn="0"/>
            <w:tcW w:w="809" w:type="dxa"/>
          </w:tcPr>
          <w:p w14:paraId="067881EF"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13.3</w:t>
            </w:r>
          </w:p>
        </w:tc>
        <w:tc>
          <w:tcPr>
            <w:cnfStyle w:val="000001000000" w:firstRow="0" w:lastRow="0" w:firstColumn="0" w:lastColumn="0" w:oddVBand="0" w:evenVBand="1" w:oddHBand="0" w:evenHBand="0" w:firstRowFirstColumn="0" w:firstRowLastColumn="0" w:lastRowFirstColumn="0" w:lastRowLastColumn="0"/>
            <w:tcW w:w="704" w:type="dxa"/>
          </w:tcPr>
          <w:p w14:paraId="581D5982"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13.3</w:t>
            </w:r>
          </w:p>
        </w:tc>
        <w:tc>
          <w:tcPr>
            <w:cnfStyle w:val="000010000000" w:firstRow="0" w:lastRow="0" w:firstColumn="0" w:lastColumn="0" w:oddVBand="1" w:evenVBand="0" w:oddHBand="0" w:evenHBand="0" w:firstRowFirstColumn="0" w:firstRowLastColumn="0" w:lastRowFirstColumn="0" w:lastRowLastColumn="0"/>
            <w:tcW w:w="872" w:type="dxa"/>
          </w:tcPr>
          <w:p w14:paraId="78FFA617"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6.8</w:t>
            </w:r>
          </w:p>
        </w:tc>
        <w:tc>
          <w:tcPr>
            <w:cnfStyle w:val="000001000000" w:firstRow="0" w:lastRow="0" w:firstColumn="0" w:lastColumn="0" w:oddVBand="0" w:evenVBand="1" w:oddHBand="0" w:evenHBand="0" w:firstRowFirstColumn="0" w:firstRowLastColumn="0" w:lastRowFirstColumn="0" w:lastRowLastColumn="0"/>
            <w:tcW w:w="692" w:type="dxa"/>
          </w:tcPr>
          <w:p w14:paraId="0293C6B5"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8.1</w:t>
            </w:r>
          </w:p>
        </w:tc>
        <w:tc>
          <w:tcPr>
            <w:cnfStyle w:val="000010000000" w:firstRow="0" w:lastRow="0" w:firstColumn="0" w:lastColumn="0" w:oddVBand="1" w:evenVBand="0" w:oddHBand="0" w:evenHBand="0" w:firstRowFirstColumn="0" w:firstRowLastColumn="0" w:lastRowFirstColumn="0" w:lastRowLastColumn="0"/>
            <w:tcW w:w="860" w:type="dxa"/>
          </w:tcPr>
          <w:p w14:paraId="7A3AB517"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4,753</w:t>
            </w:r>
          </w:p>
        </w:tc>
        <w:tc>
          <w:tcPr>
            <w:cnfStyle w:val="000001000000" w:firstRow="0" w:lastRow="0" w:firstColumn="0" w:lastColumn="0" w:oddVBand="0" w:evenVBand="1" w:oddHBand="0" w:evenHBand="0" w:firstRowFirstColumn="0" w:firstRowLastColumn="0" w:lastRowFirstColumn="0" w:lastRowLastColumn="0"/>
            <w:tcW w:w="824" w:type="dxa"/>
          </w:tcPr>
          <w:p w14:paraId="39421B0F"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18,039</w:t>
            </w:r>
          </w:p>
        </w:tc>
      </w:tr>
      <w:tr w:rsidR="006F2F6D" w:rsidRPr="00BA0B27" w14:paraId="622CDB44" w14:textId="77777777" w:rsidTr="40E44CAF">
        <w:trPr>
          <w:trHeight w:val="79"/>
        </w:trPr>
        <w:tc>
          <w:tcPr>
            <w:cnfStyle w:val="000010000000" w:firstRow="0" w:lastRow="0" w:firstColumn="0" w:lastColumn="0" w:oddVBand="1" w:evenVBand="0" w:oddHBand="0" w:evenHBand="0" w:firstRowFirstColumn="0" w:firstRowLastColumn="0" w:lastRowFirstColumn="0" w:lastRowLastColumn="0"/>
            <w:tcW w:w="972" w:type="dxa"/>
            <w:shd w:val="clear" w:color="auto" w:fill="DCEAD6" w:themeFill="text2" w:themeFillTint="33"/>
          </w:tcPr>
          <w:p w14:paraId="1514B113"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Jordan</w:t>
            </w:r>
          </w:p>
        </w:tc>
        <w:tc>
          <w:tcPr>
            <w:cnfStyle w:val="000001000000" w:firstRow="0" w:lastRow="0" w:firstColumn="0" w:lastColumn="0" w:oddVBand="0" w:evenVBand="1" w:oddHBand="0" w:evenHBand="0" w:firstRowFirstColumn="0" w:firstRowLastColumn="0" w:lastRowFirstColumn="0" w:lastRowLastColumn="0"/>
            <w:tcW w:w="750" w:type="dxa"/>
          </w:tcPr>
          <w:p w14:paraId="55D9E969"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0.875 </w:t>
            </w:r>
          </w:p>
        </w:tc>
        <w:tc>
          <w:tcPr>
            <w:cnfStyle w:val="000010000000" w:firstRow="0" w:lastRow="0" w:firstColumn="0" w:lastColumn="0" w:oddVBand="1" w:evenVBand="0" w:oddHBand="0" w:evenHBand="0" w:firstRowFirstColumn="0" w:firstRowLastColumn="0" w:lastRowFirstColumn="0" w:lastRowLastColumn="0"/>
            <w:tcW w:w="877" w:type="dxa"/>
          </w:tcPr>
          <w:p w14:paraId="23DC543D"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0.664 </w:t>
            </w:r>
          </w:p>
        </w:tc>
        <w:tc>
          <w:tcPr>
            <w:cnfStyle w:val="000001000000" w:firstRow="0" w:lastRow="0" w:firstColumn="0" w:lastColumn="0" w:oddVBand="0" w:evenVBand="1" w:oddHBand="0" w:evenHBand="0" w:firstRowFirstColumn="0" w:firstRowLastColumn="0" w:lastRowFirstColumn="0" w:lastRowLastColumn="0"/>
            <w:tcW w:w="755" w:type="dxa"/>
          </w:tcPr>
          <w:p w14:paraId="56985BA3"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0.758 </w:t>
            </w:r>
          </w:p>
        </w:tc>
        <w:tc>
          <w:tcPr>
            <w:cnfStyle w:val="000010000000" w:firstRow="0" w:lastRow="0" w:firstColumn="0" w:lastColumn="0" w:oddVBand="1" w:evenVBand="0" w:oddHBand="0" w:evenHBand="0" w:firstRowFirstColumn="0" w:firstRowLastColumn="0" w:lastRowFirstColumn="0" w:lastRowLastColumn="0"/>
            <w:tcW w:w="0" w:type="dxa"/>
          </w:tcPr>
          <w:p w14:paraId="2E004DE3"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76.3 </w:t>
            </w:r>
          </w:p>
        </w:tc>
        <w:tc>
          <w:tcPr>
            <w:cnfStyle w:val="000001000000" w:firstRow="0" w:lastRow="0" w:firstColumn="0" w:lastColumn="0" w:oddVBand="0" w:evenVBand="1" w:oddHBand="0" w:evenHBand="0" w:firstRowFirstColumn="0" w:firstRowLastColumn="0" w:lastRowFirstColumn="0" w:lastRowLastColumn="0"/>
            <w:tcW w:w="767" w:type="dxa"/>
          </w:tcPr>
          <w:p w14:paraId="5CB8D6DA"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72.8 </w:t>
            </w:r>
          </w:p>
        </w:tc>
        <w:tc>
          <w:tcPr>
            <w:cnfStyle w:val="000010000000" w:firstRow="0" w:lastRow="0" w:firstColumn="0" w:lastColumn="0" w:oddVBand="1" w:evenVBand="0" w:oddHBand="0" w:evenHBand="0" w:firstRowFirstColumn="0" w:firstRowLastColumn="0" w:lastRowFirstColumn="0" w:lastRowLastColumn="0"/>
            <w:tcW w:w="809" w:type="dxa"/>
          </w:tcPr>
          <w:p w14:paraId="3A175DC9"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11.6 </w:t>
            </w:r>
          </w:p>
        </w:tc>
        <w:tc>
          <w:tcPr>
            <w:cnfStyle w:val="000001000000" w:firstRow="0" w:lastRow="0" w:firstColumn="0" w:lastColumn="0" w:oddVBand="0" w:evenVBand="1" w:oddHBand="0" w:evenHBand="0" w:firstRowFirstColumn="0" w:firstRowLastColumn="0" w:lastRowFirstColumn="0" w:lastRowLastColumn="0"/>
            <w:tcW w:w="704" w:type="dxa"/>
          </w:tcPr>
          <w:p w14:paraId="2D75B3C6"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11.1 </w:t>
            </w:r>
          </w:p>
        </w:tc>
        <w:tc>
          <w:tcPr>
            <w:cnfStyle w:val="000010000000" w:firstRow="0" w:lastRow="0" w:firstColumn="0" w:lastColumn="0" w:oddVBand="1" w:evenVBand="0" w:oddHBand="0" w:evenHBand="0" w:firstRowFirstColumn="0" w:firstRowLastColumn="0" w:lastRowFirstColumn="0" w:lastRowLastColumn="0"/>
            <w:tcW w:w="872" w:type="dxa"/>
          </w:tcPr>
          <w:p w14:paraId="177E7EE9"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10.3 </w:t>
            </w:r>
          </w:p>
        </w:tc>
        <w:tc>
          <w:tcPr>
            <w:cnfStyle w:val="000001000000" w:firstRow="0" w:lastRow="0" w:firstColumn="0" w:lastColumn="0" w:oddVBand="0" w:evenVBand="1" w:oddHBand="0" w:evenHBand="0" w:firstRowFirstColumn="0" w:firstRowLastColumn="0" w:lastRowFirstColumn="0" w:lastRowLastColumn="0"/>
            <w:tcW w:w="692" w:type="dxa"/>
          </w:tcPr>
          <w:p w14:paraId="6AD76B29"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10.7 </w:t>
            </w:r>
          </w:p>
        </w:tc>
        <w:tc>
          <w:tcPr>
            <w:cnfStyle w:val="000010000000" w:firstRow="0" w:lastRow="0" w:firstColumn="0" w:lastColumn="0" w:oddVBand="1" w:evenVBand="0" w:oddHBand="0" w:evenHBand="0" w:firstRowFirstColumn="0" w:firstRowLastColumn="0" w:lastRowFirstColumn="0" w:lastRowLastColumn="0"/>
            <w:tcW w:w="860" w:type="dxa"/>
          </w:tcPr>
          <w:p w14:paraId="6536FEC6"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3,324 </w:t>
            </w:r>
          </w:p>
        </w:tc>
        <w:tc>
          <w:tcPr>
            <w:cnfStyle w:val="000001000000" w:firstRow="0" w:lastRow="0" w:firstColumn="0" w:lastColumn="0" w:oddVBand="0" w:evenVBand="1" w:oddHBand="0" w:evenHBand="0" w:firstRowFirstColumn="0" w:firstRowLastColumn="0" w:lastRowFirstColumn="0" w:lastRowLastColumn="0"/>
            <w:tcW w:w="824" w:type="dxa"/>
          </w:tcPr>
          <w:p w14:paraId="09D8EDF1"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16,234 </w:t>
            </w:r>
          </w:p>
        </w:tc>
      </w:tr>
      <w:tr w:rsidR="006F2F6D" w:rsidRPr="00BA0B27" w14:paraId="228E2F76" w14:textId="77777777" w:rsidTr="40E44CAF">
        <w:trPr>
          <w:cnfStyle w:val="000000100000" w:firstRow="0" w:lastRow="0" w:firstColumn="0" w:lastColumn="0" w:oddVBand="0" w:evenVBand="0" w:oddHBand="1" w:evenHBand="0" w:firstRowFirstColumn="0" w:firstRowLastColumn="0" w:lastRowFirstColumn="0" w:lastRowLastColumn="0"/>
          <w:trHeight w:val="79"/>
        </w:trPr>
        <w:tc>
          <w:tcPr>
            <w:cnfStyle w:val="000010000000" w:firstRow="0" w:lastRow="0" w:firstColumn="0" w:lastColumn="0" w:oddVBand="1" w:evenVBand="0" w:oddHBand="0" w:evenHBand="0" w:firstRowFirstColumn="0" w:firstRowLastColumn="0" w:lastRowFirstColumn="0" w:lastRowLastColumn="0"/>
            <w:tcW w:w="972" w:type="dxa"/>
            <w:shd w:val="clear" w:color="auto" w:fill="DCEAD6" w:themeFill="text2" w:themeFillTint="33"/>
          </w:tcPr>
          <w:p w14:paraId="6DE499B1"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Lebanon</w:t>
            </w:r>
          </w:p>
        </w:tc>
        <w:tc>
          <w:tcPr>
            <w:cnfStyle w:val="000001000000" w:firstRow="0" w:lastRow="0" w:firstColumn="0" w:lastColumn="0" w:oddVBand="0" w:evenVBand="1" w:oddHBand="0" w:evenHBand="0" w:firstRowFirstColumn="0" w:firstRowLastColumn="0" w:lastRowFirstColumn="0" w:lastRowLastColumn="0"/>
            <w:tcW w:w="750" w:type="dxa"/>
          </w:tcPr>
          <w:p w14:paraId="75E8FAE8"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0.892 </w:t>
            </w:r>
          </w:p>
        </w:tc>
        <w:tc>
          <w:tcPr>
            <w:cnfStyle w:val="000010000000" w:firstRow="0" w:lastRow="0" w:firstColumn="0" w:lastColumn="0" w:oddVBand="1" w:evenVBand="0" w:oddHBand="0" w:evenHBand="0" w:firstRowFirstColumn="0" w:firstRowLastColumn="0" w:lastRowFirstColumn="0" w:lastRowLastColumn="0"/>
            <w:tcW w:w="877" w:type="dxa"/>
          </w:tcPr>
          <w:p w14:paraId="05EE8DCC"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0.691 </w:t>
            </w:r>
          </w:p>
        </w:tc>
        <w:tc>
          <w:tcPr>
            <w:cnfStyle w:val="000001000000" w:firstRow="0" w:lastRow="0" w:firstColumn="0" w:lastColumn="0" w:oddVBand="0" w:evenVBand="1" w:oddHBand="0" w:evenHBand="0" w:firstRowFirstColumn="0" w:firstRowLastColumn="0" w:lastRowFirstColumn="0" w:lastRowLastColumn="0"/>
            <w:tcW w:w="755" w:type="dxa"/>
          </w:tcPr>
          <w:p w14:paraId="2BC273CC"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0.774 </w:t>
            </w:r>
          </w:p>
        </w:tc>
        <w:tc>
          <w:tcPr>
            <w:cnfStyle w:val="000010000000" w:firstRow="0" w:lastRow="0" w:firstColumn="0" w:lastColumn="0" w:oddVBand="1" w:evenVBand="0" w:oddHBand="0" w:evenHBand="0" w:firstRowFirstColumn="0" w:firstRowLastColumn="0" w:lastRowFirstColumn="0" w:lastRowLastColumn="0"/>
            <w:tcW w:w="0" w:type="dxa"/>
          </w:tcPr>
          <w:p w14:paraId="5DE124C9"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80.9 </w:t>
            </w:r>
          </w:p>
        </w:tc>
        <w:tc>
          <w:tcPr>
            <w:cnfStyle w:val="000001000000" w:firstRow="0" w:lastRow="0" w:firstColumn="0" w:lastColumn="0" w:oddVBand="0" w:evenVBand="1" w:oddHBand="0" w:evenHBand="0" w:firstRowFirstColumn="0" w:firstRowLastColumn="0" w:lastRowFirstColumn="0" w:lastRowLastColumn="0"/>
            <w:tcW w:w="767" w:type="dxa"/>
          </w:tcPr>
          <w:p w14:paraId="214D1E65"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77.1 </w:t>
            </w:r>
          </w:p>
        </w:tc>
        <w:tc>
          <w:tcPr>
            <w:cnfStyle w:val="000010000000" w:firstRow="0" w:lastRow="0" w:firstColumn="0" w:lastColumn="0" w:oddVBand="1" w:evenVBand="0" w:oddHBand="0" w:evenHBand="0" w:firstRowFirstColumn="0" w:firstRowLastColumn="0" w:lastRowFirstColumn="0" w:lastRowLastColumn="0"/>
            <w:tcW w:w="809" w:type="dxa"/>
          </w:tcPr>
          <w:p w14:paraId="2693C755"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11.1 </w:t>
            </w:r>
          </w:p>
        </w:tc>
        <w:tc>
          <w:tcPr>
            <w:cnfStyle w:val="000001000000" w:firstRow="0" w:lastRow="0" w:firstColumn="0" w:lastColumn="0" w:oddVBand="0" w:evenVBand="1" w:oddHBand="0" w:evenHBand="0" w:firstRowFirstColumn="0" w:firstRowLastColumn="0" w:lastRowFirstColumn="0" w:lastRowLastColumn="0"/>
            <w:tcW w:w="704" w:type="dxa"/>
          </w:tcPr>
          <w:p w14:paraId="0E52DC07"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11.5 </w:t>
            </w:r>
          </w:p>
        </w:tc>
        <w:tc>
          <w:tcPr>
            <w:cnfStyle w:val="000010000000" w:firstRow="0" w:lastRow="0" w:firstColumn="0" w:lastColumn="0" w:oddVBand="1" w:evenVBand="0" w:oddHBand="0" w:evenHBand="0" w:firstRowFirstColumn="0" w:firstRowLastColumn="0" w:lastRowFirstColumn="0" w:lastRowLastColumn="0"/>
            <w:tcW w:w="872" w:type="dxa"/>
          </w:tcPr>
          <w:p w14:paraId="1BCFAB59"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8.5 </w:t>
            </w:r>
          </w:p>
        </w:tc>
        <w:tc>
          <w:tcPr>
            <w:cnfStyle w:val="000001000000" w:firstRow="0" w:lastRow="0" w:firstColumn="0" w:lastColumn="0" w:oddVBand="0" w:evenVBand="1" w:oddHBand="0" w:evenHBand="0" w:firstRowFirstColumn="0" w:firstRowLastColumn="0" w:lastRowFirstColumn="0" w:lastRowLastColumn="0"/>
            <w:tcW w:w="692" w:type="dxa"/>
          </w:tcPr>
          <w:p w14:paraId="08ED2EA8"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8.9 </w:t>
            </w:r>
          </w:p>
        </w:tc>
        <w:tc>
          <w:tcPr>
            <w:cnfStyle w:val="000010000000" w:firstRow="0" w:lastRow="0" w:firstColumn="0" w:lastColumn="0" w:oddVBand="1" w:evenVBand="0" w:oddHBand="0" w:evenHBand="0" w:firstRowFirstColumn="0" w:firstRowLastColumn="0" w:lastRowFirstColumn="0" w:lastRowLastColumn="0"/>
            <w:tcW w:w="860" w:type="dxa"/>
          </w:tcPr>
          <w:p w14:paraId="0E2394C9"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6,078 </w:t>
            </w:r>
          </w:p>
        </w:tc>
        <w:tc>
          <w:tcPr>
            <w:cnfStyle w:val="000001000000" w:firstRow="0" w:lastRow="0" w:firstColumn="0" w:lastColumn="0" w:oddVBand="0" w:evenVBand="1" w:oddHBand="0" w:evenHBand="0" w:firstRowFirstColumn="0" w:firstRowLastColumn="0" w:lastRowFirstColumn="0" w:lastRowLastColumn="0"/>
            <w:tcW w:w="824" w:type="dxa"/>
          </w:tcPr>
          <w:p w14:paraId="060FADE0"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23,124 </w:t>
            </w:r>
          </w:p>
        </w:tc>
      </w:tr>
      <w:tr w:rsidR="006F2F6D" w:rsidRPr="00BA0B27" w14:paraId="627D5895" w14:textId="77777777" w:rsidTr="40E44CAF">
        <w:trPr>
          <w:trHeight w:val="79"/>
        </w:trPr>
        <w:tc>
          <w:tcPr>
            <w:cnfStyle w:val="000010000000" w:firstRow="0" w:lastRow="0" w:firstColumn="0" w:lastColumn="0" w:oddVBand="1" w:evenVBand="0" w:oddHBand="0" w:evenHBand="0" w:firstRowFirstColumn="0" w:firstRowLastColumn="0" w:lastRowFirstColumn="0" w:lastRowLastColumn="0"/>
            <w:tcW w:w="972" w:type="dxa"/>
            <w:shd w:val="clear" w:color="auto" w:fill="DCEAD6" w:themeFill="text2" w:themeFillTint="33"/>
          </w:tcPr>
          <w:p w14:paraId="43BF877A"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Morocco</w:t>
            </w:r>
          </w:p>
        </w:tc>
        <w:tc>
          <w:tcPr>
            <w:cnfStyle w:val="000001000000" w:firstRow="0" w:lastRow="0" w:firstColumn="0" w:lastColumn="0" w:oddVBand="0" w:evenVBand="1" w:oddHBand="0" w:evenHBand="0" w:firstRowFirstColumn="0" w:firstRowLastColumn="0" w:lastRowFirstColumn="0" w:lastRowLastColumn="0"/>
            <w:tcW w:w="750" w:type="dxa"/>
          </w:tcPr>
          <w:p w14:paraId="25BD2358"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0.835</w:t>
            </w:r>
          </w:p>
        </w:tc>
        <w:tc>
          <w:tcPr>
            <w:cnfStyle w:val="000010000000" w:firstRow="0" w:lastRow="0" w:firstColumn="0" w:lastColumn="0" w:oddVBand="1" w:evenVBand="0" w:oddHBand="0" w:evenHBand="0" w:firstRowFirstColumn="0" w:firstRowLastColumn="0" w:lastRowFirstColumn="0" w:lastRowLastColumn="0"/>
            <w:tcW w:w="877" w:type="dxa"/>
          </w:tcPr>
          <w:p w14:paraId="6401C082"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0.612</w:t>
            </w:r>
          </w:p>
        </w:tc>
        <w:tc>
          <w:tcPr>
            <w:cnfStyle w:val="000001000000" w:firstRow="0" w:lastRow="0" w:firstColumn="0" w:lastColumn="0" w:oddVBand="0" w:evenVBand="1" w:oddHBand="0" w:evenHBand="0" w:firstRowFirstColumn="0" w:firstRowLastColumn="0" w:lastRowFirstColumn="0" w:lastRowLastColumn="0"/>
            <w:tcW w:w="755" w:type="dxa"/>
          </w:tcPr>
          <w:p w14:paraId="32431764"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0</w:t>
            </w:r>
            <w:r w:rsidR="0734FD0F" w:rsidRPr="00BA0B27">
              <w:rPr>
                <w:color w:val="3B3B3C" w:themeColor="text1"/>
                <w:sz w:val="15"/>
                <w:szCs w:val="15"/>
              </w:rPr>
              <w:t>.</w:t>
            </w:r>
            <w:r w:rsidRPr="00BA0B27">
              <w:rPr>
                <w:color w:val="3B3B3C" w:themeColor="text1"/>
                <w:sz w:val="15"/>
                <w:szCs w:val="15"/>
              </w:rPr>
              <w:t>734</w:t>
            </w:r>
          </w:p>
        </w:tc>
        <w:tc>
          <w:tcPr>
            <w:cnfStyle w:val="000010000000" w:firstRow="0" w:lastRow="0" w:firstColumn="0" w:lastColumn="0" w:oddVBand="1" w:evenVBand="0" w:oddHBand="0" w:evenHBand="0" w:firstRowFirstColumn="0" w:firstRowLastColumn="0" w:lastRowFirstColumn="0" w:lastRowLastColumn="0"/>
            <w:tcW w:w="0" w:type="dxa"/>
          </w:tcPr>
          <w:p w14:paraId="52E51AD6"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77.9</w:t>
            </w:r>
          </w:p>
        </w:tc>
        <w:tc>
          <w:tcPr>
            <w:cnfStyle w:val="000001000000" w:firstRow="0" w:lastRow="0" w:firstColumn="0" w:lastColumn="0" w:oddVBand="0" w:evenVBand="1" w:oddHBand="0" w:evenHBand="0" w:firstRowFirstColumn="0" w:firstRowLastColumn="0" w:lastRowFirstColumn="0" w:lastRowLastColumn="0"/>
            <w:tcW w:w="767" w:type="dxa"/>
          </w:tcPr>
          <w:p w14:paraId="3A4376D5"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75.4</w:t>
            </w:r>
          </w:p>
        </w:tc>
        <w:tc>
          <w:tcPr>
            <w:cnfStyle w:val="000010000000" w:firstRow="0" w:lastRow="0" w:firstColumn="0" w:lastColumn="0" w:oddVBand="1" w:evenVBand="0" w:oddHBand="0" w:evenHBand="0" w:firstRowFirstColumn="0" w:firstRowLastColumn="0" w:lastRowFirstColumn="0" w:lastRowLastColumn="0"/>
            <w:tcW w:w="809" w:type="dxa"/>
          </w:tcPr>
          <w:p w14:paraId="4932A338"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13.3</w:t>
            </w:r>
          </w:p>
        </w:tc>
        <w:tc>
          <w:tcPr>
            <w:cnfStyle w:val="000001000000" w:firstRow="0" w:lastRow="0" w:firstColumn="0" w:lastColumn="0" w:oddVBand="0" w:evenVBand="1" w:oddHBand="0" w:evenHBand="0" w:firstRowFirstColumn="0" w:firstRowLastColumn="0" w:lastRowFirstColumn="0" w:lastRowLastColumn="0"/>
            <w:tcW w:w="704" w:type="dxa"/>
          </w:tcPr>
          <w:p w14:paraId="36AC6D04"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14.1</w:t>
            </w:r>
          </w:p>
        </w:tc>
        <w:tc>
          <w:tcPr>
            <w:cnfStyle w:val="000010000000" w:firstRow="0" w:lastRow="0" w:firstColumn="0" w:lastColumn="0" w:oddVBand="1" w:evenVBand="0" w:oddHBand="0" w:evenHBand="0" w:firstRowFirstColumn="0" w:firstRowLastColumn="0" w:lastRowFirstColumn="0" w:lastRowLastColumn="0"/>
            <w:tcW w:w="872" w:type="dxa"/>
          </w:tcPr>
          <w:p w14:paraId="0FDF0BD9"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4.7</w:t>
            </w:r>
          </w:p>
        </w:tc>
        <w:tc>
          <w:tcPr>
            <w:cnfStyle w:val="000001000000" w:firstRow="0" w:lastRow="0" w:firstColumn="0" w:lastColumn="0" w:oddVBand="0" w:evenVBand="1" w:oddHBand="0" w:evenHBand="0" w:firstRowFirstColumn="0" w:firstRowLastColumn="0" w:lastRowFirstColumn="0" w:lastRowLastColumn="0"/>
            <w:tcW w:w="692" w:type="dxa"/>
          </w:tcPr>
          <w:p w14:paraId="7AD62BB1"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6.6</w:t>
            </w:r>
          </w:p>
        </w:tc>
        <w:tc>
          <w:tcPr>
            <w:cnfStyle w:val="000010000000" w:firstRow="0" w:lastRow="0" w:firstColumn="0" w:lastColumn="0" w:oddVBand="1" w:evenVBand="0" w:oddHBand="0" w:evenHBand="0" w:firstRowFirstColumn="0" w:firstRowLastColumn="0" w:lastRowFirstColumn="0" w:lastRowLastColumn="0"/>
            <w:tcW w:w="860" w:type="dxa"/>
          </w:tcPr>
          <w:p w14:paraId="0557176C"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2,975</w:t>
            </w:r>
          </w:p>
        </w:tc>
        <w:tc>
          <w:tcPr>
            <w:cnfStyle w:val="000001000000" w:firstRow="0" w:lastRow="0" w:firstColumn="0" w:lastColumn="0" w:oddVBand="0" w:evenVBand="1" w:oddHBand="0" w:evenHBand="0" w:firstRowFirstColumn="0" w:firstRowLastColumn="0" w:lastRowFirstColumn="0" w:lastRowLastColumn="0"/>
            <w:tcW w:w="824" w:type="dxa"/>
          </w:tcPr>
          <w:p w14:paraId="792A2FEC"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11,831</w:t>
            </w:r>
          </w:p>
        </w:tc>
      </w:tr>
      <w:tr w:rsidR="006F2F6D" w:rsidRPr="00BA0B27" w14:paraId="17E056AB" w14:textId="77777777" w:rsidTr="40E44CAF">
        <w:trPr>
          <w:cnfStyle w:val="000000100000" w:firstRow="0" w:lastRow="0" w:firstColumn="0" w:lastColumn="0" w:oddVBand="0" w:evenVBand="0" w:oddHBand="1" w:evenHBand="0" w:firstRowFirstColumn="0" w:firstRowLastColumn="0" w:lastRowFirstColumn="0" w:lastRowLastColumn="0"/>
          <w:trHeight w:val="79"/>
        </w:trPr>
        <w:tc>
          <w:tcPr>
            <w:cnfStyle w:val="000010000000" w:firstRow="0" w:lastRow="0" w:firstColumn="0" w:lastColumn="0" w:oddVBand="1" w:evenVBand="0" w:oddHBand="0" w:evenHBand="0" w:firstRowFirstColumn="0" w:firstRowLastColumn="0" w:lastRowFirstColumn="0" w:lastRowLastColumn="0"/>
            <w:tcW w:w="972" w:type="dxa"/>
            <w:shd w:val="clear" w:color="auto" w:fill="DCEAD6" w:themeFill="text2" w:themeFillTint="33"/>
          </w:tcPr>
          <w:p w14:paraId="7DBC4309"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Palestine</w:t>
            </w:r>
          </w:p>
        </w:tc>
        <w:tc>
          <w:tcPr>
            <w:cnfStyle w:val="000001000000" w:firstRow="0" w:lastRow="0" w:firstColumn="0" w:lastColumn="0" w:oddVBand="0" w:evenVBand="1" w:oddHBand="0" w:evenHBand="0" w:firstRowFirstColumn="0" w:firstRowLastColumn="0" w:lastRowFirstColumn="0" w:lastRowLastColumn="0"/>
            <w:tcW w:w="750" w:type="dxa"/>
          </w:tcPr>
          <w:p w14:paraId="3A64BA96"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0.870</w:t>
            </w:r>
          </w:p>
        </w:tc>
        <w:tc>
          <w:tcPr>
            <w:cnfStyle w:val="000010000000" w:firstRow="0" w:lastRow="0" w:firstColumn="0" w:lastColumn="0" w:oddVBand="1" w:evenVBand="0" w:oddHBand="0" w:evenHBand="0" w:firstRowFirstColumn="0" w:firstRowLastColumn="0" w:lastRowFirstColumn="0" w:lastRowLastColumn="0"/>
            <w:tcW w:w="877" w:type="dxa"/>
          </w:tcPr>
          <w:p w14:paraId="4556F252"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0.638</w:t>
            </w:r>
          </w:p>
        </w:tc>
        <w:tc>
          <w:tcPr>
            <w:cnfStyle w:val="000001000000" w:firstRow="0" w:lastRow="0" w:firstColumn="0" w:lastColumn="0" w:oddVBand="0" w:evenVBand="1" w:oddHBand="0" w:evenHBand="0" w:firstRowFirstColumn="0" w:firstRowLastColumn="0" w:lastRowFirstColumn="0" w:lastRowLastColumn="0"/>
            <w:tcW w:w="755" w:type="dxa"/>
          </w:tcPr>
          <w:p w14:paraId="339B07DC"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0.733</w:t>
            </w:r>
          </w:p>
        </w:tc>
        <w:tc>
          <w:tcPr>
            <w:cnfStyle w:val="000010000000" w:firstRow="0" w:lastRow="0" w:firstColumn="0" w:lastColumn="0" w:oddVBand="1" w:evenVBand="0" w:oddHBand="0" w:evenHBand="0" w:firstRowFirstColumn="0" w:firstRowLastColumn="0" w:lastRowFirstColumn="0" w:lastRowLastColumn="0"/>
            <w:tcW w:w="0" w:type="dxa"/>
          </w:tcPr>
          <w:p w14:paraId="5D89551E"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75.8</w:t>
            </w:r>
          </w:p>
        </w:tc>
        <w:tc>
          <w:tcPr>
            <w:cnfStyle w:val="000001000000" w:firstRow="0" w:lastRow="0" w:firstColumn="0" w:lastColumn="0" w:oddVBand="0" w:evenVBand="1" w:oddHBand="0" w:evenHBand="0" w:firstRowFirstColumn="0" w:firstRowLastColumn="0" w:lastRowFirstColumn="0" w:lastRowLastColumn="0"/>
            <w:tcW w:w="767" w:type="dxa"/>
          </w:tcPr>
          <w:p w14:paraId="789343B3"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72.4</w:t>
            </w:r>
          </w:p>
        </w:tc>
        <w:tc>
          <w:tcPr>
            <w:cnfStyle w:val="000010000000" w:firstRow="0" w:lastRow="0" w:firstColumn="0" w:lastColumn="0" w:oddVBand="1" w:evenVBand="0" w:oddHBand="0" w:evenHBand="0" w:firstRowFirstColumn="0" w:firstRowLastColumn="0" w:lastRowFirstColumn="0" w:lastRowLastColumn="0"/>
            <w:tcW w:w="809" w:type="dxa"/>
          </w:tcPr>
          <w:p w14:paraId="44992822"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14.3</w:t>
            </w:r>
          </w:p>
        </w:tc>
        <w:tc>
          <w:tcPr>
            <w:cnfStyle w:val="000001000000" w:firstRow="0" w:lastRow="0" w:firstColumn="0" w:lastColumn="0" w:oddVBand="0" w:evenVBand="1" w:oddHBand="0" w:evenHBand="0" w:firstRowFirstColumn="0" w:firstRowLastColumn="0" w:lastRowFirstColumn="0" w:lastRowLastColumn="0"/>
            <w:tcW w:w="704" w:type="dxa"/>
          </w:tcPr>
          <w:p w14:paraId="42A56ECD"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12.6</w:t>
            </w:r>
          </w:p>
        </w:tc>
        <w:tc>
          <w:tcPr>
            <w:cnfStyle w:val="000010000000" w:firstRow="0" w:lastRow="0" w:firstColumn="0" w:lastColumn="0" w:oddVBand="1" w:evenVBand="0" w:oddHBand="0" w:evenHBand="0" w:firstRowFirstColumn="0" w:firstRowLastColumn="0" w:lastRowFirstColumn="0" w:lastRowLastColumn="0"/>
            <w:tcW w:w="872" w:type="dxa"/>
          </w:tcPr>
          <w:p w14:paraId="5F988F21"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8.9</w:t>
            </w:r>
          </w:p>
        </w:tc>
        <w:tc>
          <w:tcPr>
            <w:cnfStyle w:val="000001000000" w:firstRow="0" w:lastRow="0" w:firstColumn="0" w:lastColumn="0" w:oddVBand="0" w:evenVBand="1" w:oddHBand="0" w:evenHBand="0" w:firstRowFirstColumn="0" w:firstRowLastColumn="0" w:lastRowFirstColumn="0" w:lastRowLastColumn="0"/>
            <w:tcW w:w="692" w:type="dxa"/>
          </w:tcPr>
          <w:p w14:paraId="7AB7CAF6"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9.4</w:t>
            </w:r>
          </w:p>
        </w:tc>
        <w:tc>
          <w:tcPr>
            <w:cnfStyle w:val="000010000000" w:firstRow="0" w:lastRow="0" w:firstColumn="0" w:lastColumn="0" w:oddVBand="1" w:evenVBand="0" w:oddHBand="0" w:evenHBand="0" w:firstRowFirstColumn="0" w:firstRowLastColumn="0" w:lastRowFirstColumn="0" w:lastRowLastColumn="0"/>
            <w:tcW w:w="860" w:type="dxa"/>
          </w:tcPr>
          <w:p w14:paraId="77F247BC"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2,045</w:t>
            </w:r>
          </w:p>
        </w:tc>
        <w:tc>
          <w:tcPr>
            <w:cnfStyle w:val="000001000000" w:firstRow="0" w:lastRow="0" w:firstColumn="0" w:lastColumn="0" w:oddVBand="0" w:evenVBand="1" w:oddHBand="0" w:evenHBand="0" w:firstRowFirstColumn="0" w:firstRowLastColumn="0" w:lastRowFirstColumn="0" w:lastRowLastColumn="0"/>
            <w:tcW w:w="824" w:type="dxa"/>
          </w:tcPr>
          <w:p w14:paraId="24B6E79E"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10,666</w:t>
            </w:r>
          </w:p>
        </w:tc>
      </w:tr>
      <w:tr w:rsidR="006F2F6D" w:rsidRPr="00BA0B27" w14:paraId="06AA5F4B" w14:textId="77777777" w:rsidTr="40E44CAF">
        <w:trPr>
          <w:trHeight w:val="79"/>
        </w:trPr>
        <w:tc>
          <w:tcPr>
            <w:cnfStyle w:val="000010000000" w:firstRow="0" w:lastRow="0" w:firstColumn="0" w:lastColumn="0" w:oddVBand="1" w:evenVBand="0" w:oddHBand="0" w:evenHBand="0" w:firstRowFirstColumn="0" w:firstRowLastColumn="0" w:lastRowFirstColumn="0" w:lastRowLastColumn="0"/>
            <w:tcW w:w="972" w:type="dxa"/>
            <w:shd w:val="clear" w:color="auto" w:fill="DCEAD6" w:themeFill="text2" w:themeFillTint="33"/>
          </w:tcPr>
          <w:p w14:paraId="14698F6D"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Tunisia</w:t>
            </w:r>
          </w:p>
        </w:tc>
        <w:tc>
          <w:tcPr>
            <w:cnfStyle w:val="000001000000" w:firstRow="0" w:lastRow="0" w:firstColumn="0" w:lastColumn="0" w:oddVBand="0" w:evenVBand="1" w:oddHBand="0" w:evenHBand="0" w:firstRowFirstColumn="0" w:firstRowLastColumn="0" w:lastRowFirstColumn="0" w:lastRowLastColumn="0"/>
            <w:tcW w:w="750" w:type="dxa"/>
          </w:tcPr>
          <w:p w14:paraId="30B01001"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0.900</w:t>
            </w:r>
          </w:p>
        </w:tc>
        <w:tc>
          <w:tcPr>
            <w:cnfStyle w:val="000010000000" w:firstRow="0" w:lastRow="0" w:firstColumn="0" w:lastColumn="0" w:oddVBand="1" w:evenVBand="0" w:oddHBand="0" w:evenHBand="0" w:firstRowFirstColumn="0" w:firstRowLastColumn="0" w:lastRowFirstColumn="0" w:lastRowLastColumn="0"/>
            <w:tcW w:w="877" w:type="dxa"/>
          </w:tcPr>
          <w:p w14:paraId="6D62D42C"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0.689</w:t>
            </w:r>
          </w:p>
        </w:tc>
        <w:tc>
          <w:tcPr>
            <w:cnfStyle w:val="000001000000" w:firstRow="0" w:lastRow="0" w:firstColumn="0" w:lastColumn="0" w:oddVBand="0" w:evenVBand="1" w:oddHBand="0" w:evenHBand="0" w:firstRowFirstColumn="0" w:firstRowLastColumn="0" w:lastRowFirstColumn="0" w:lastRowLastColumn="0"/>
            <w:tcW w:w="755" w:type="dxa"/>
          </w:tcPr>
          <w:p w14:paraId="037285B6"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0.766</w:t>
            </w:r>
          </w:p>
        </w:tc>
        <w:tc>
          <w:tcPr>
            <w:cnfStyle w:val="000010000000" w:firstRow="0" w:lastRow="0" w:firstColumn="0" w:lastColumn="0" w:oddVBand="1" w:evenVBand="0" w:oddHBand="0" w:evenHBand="0" w:firstRowFirstColumn="0" w:firstRowLastColumn="0" w:lastRowFirstColumn="0" w:lastRowLastColumn="0"/>
            <w:tcW w:w="0" w:type="dxa"/>
          </w:tcPr>
          <w:p w14:paraId="5B8055FB"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78.7</w:t>
            </w:r>
          </w:p>
        </w:tc>
        <w:tc>
          <w:tcPr>
            <w:cnfStyle w:val="000001000000" w:firstRow="0" w:lastRow="0" w:firstColumn="0" w:lastColumn="0" w:oddVBand="0" w:evenVBand="1" w:oddHBand="0" w:evenHBand="0" w:firstRowFirstColumn="0" w:firstRowLastColumn="0" w:lastRowFirstColumn="0" w:lastRowLastColumn="0"/>
            <w:tcW w:w="767" w:type="dxa"/>
          </w:tcPr>
          <w:p w14:paraId="656F673B"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74.7</w:t>
            </w:r>
          </w:p>
        </w:tc>
        <w:tc>
          <w:tcPr>
            <w:cnfStyle w:val="000010000000" w:firstRow="0" w:lastRow="0" w:firstColumn="0" w:lastColumn="0" w:oddVBand="1" w:evenVBand="0" w:oddHBand="0" w:evenHBand="0" w:firstRowFirstColumn="0" w:firstRowLastColumn="0" w:lastRowFirstColumn="0" w:lastRowLastColumn="0"/>
            <w:tcW w:w="809" w:type="dxa"/>
          </w:tcPr>
          <w:p w14:paraId="7DD83598"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15.8</w:t>
            </w:r>
          </w:p>
        </w:tc>
        <w:tc>
          <w:tcPr>
            <w:cnfStyle w:val="000001000000" w:firstRow="0" w:lastRow="0" w:firstColumn="0" w:lastColumn="0" w:oddVBand="0" w:evenVBand="1" w:oddHBand="0" w:evenHBand="0" w:firstRowFirstColumn="0" w:firstRowLastColumn="0" w:lastRowFirstColumn="0" w:lastRowLastColumn="0"/>
            <w:tcW w:w="704" w:type="dxa"/>
          </w:tcPr>
          <w:p w14:paraId="6A8D0F63"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14.4</w:t>
            </w:r>
          </w:p>
        </w:tc>
        <w:tc>
          <w:tcPr>
            <w:cnfStyle w:val="000010000000" w:firstRow="0" w:lastRow="0" w:firstColumn="0" w:lastColumn="0" w:oddVBand="1" w:evenVBand="0" w:oddHBand="0" w:evenHBand="0" w:firstRowFirstColumn="0" w:firstRowLastColumn="0" w:lastRowFirstColumn="0" w:lastRowLastColumn="0"/>
            <w:tcW w:w="872" w:type="dxa"/>
          </w:tcPr>
          <w:p w14:paraId="40943CE1"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6.5</w:t>
            </w:r>
          </w:p>
        </w:tc>
        <w:tc>
          <w:tcPr>
            <w:cnfStyle w:val="000001000000" w:firstRow="0" w:lastRow="0" w:firstColumn="0" w:lastColumn="0" w:oddVBand="0" w:evenVBand="1" w:oddHBand="0" w:evenHBand="0" w:firstRowFirstColumn="0" w:firstRowLastColumn="0" w:lastRowFirstColumn="0" w:lastRowLastColumn="0"/>
            <w:tcW w:w="692" w:type="dxa"/>
          </w:tcPr>
          <w:p w14:paraId="11F05D81"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8.0</w:t>
            </w:r>
          </w:p>
        </w:tc>
        <w:tc>
          <w:tcPr>
            <w:cnfStyle w:val="000010000000" w:firstRow="0" w:lastRow="0" w:firstColumn="0" w:lastColumn="0" w:oddVBand="1" w:evenVBand="0" w:oddHBand="0" w:evenHBand="0" w:firstRowFirstColumn="0" w:firstRowLastColumn="0" w:lastRowFirstColumn="0" w:lastRowLastColumn="0"/>
            <w:tcW w:w="860" w:type="dxa"/>
          </w:tcPr>
          <w:p w14:paraId="4D3FE891"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4,587</w:t>
            </w:r>
          </w:p>
        </w:tc>
        <w:tc>
          <w:tcPr>
            <w:cnfStyle w:val="000001000000" w:firstRow="0" w:lastRow="0" w:firstColumn="0" w:lastColumn="0" w:oddVBand="0" w:evenVBand="1" w:oddHBand="0" w:evenHBand="0" w:firstRowFirstColumn="0" w:firstRowLastColumn="0" w:lastRowFirstColumn="0" w:lastRowLastColumn="0"/>
            <w:tcW w:w="824" w:type="dxa"/>
          </w:tcPr>
          <w:p w14:paraId="27C9E030"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16</w:t>
            </w:r>
            <w:r w:rsidR="0A5D41F7" w:rsidRPr="00BA0B27">
              <w:rPr>
                <w:color w:val="3B3B3C" w:themeColor="text1"/>
                <w:sz w:val="15"/>
                <w:szCs w:val="15"/>
              </w:rPr>
              <w:t>,</w:t>
            </w:r>
            <w:r w:rsidRPr="00BA0B27">
              <w:rPr>
                <w:color w:val="3B3B3C" w:themeColor="text1"/>
                <w:sz w:val="15"/>
                <w:szCs w:val="15"/>
              </w:rPr>
              <w:t>341</w:t>
            </w:r>
          </w:p>
        </w:tc>
      </w:tr>
      <w:tr w:rsidR="006F2F6D" w:rsidRPr="00BA0B27" w14:paraId="7F06A5A2" w14:textId="77777777" w:rsidTr="40E44CAF">
        <w:trPr>
          <w:cnfStyle w:val="000000100000" w:firstRow="0" w:lastRow="0" w:firstColumn="0" w:lastColumn="0" w:oddVBand="0" w:evenVBand="0" w:oddHBand="1" w:evenHBand="0" w:firstRowFirstColumn="0" w:firstRowLastColumn="0" w:lastRowFirstColumn="0" w:lastRowLastColumn="0"/>
          <w:trHeight w:val="79"/>
        </w:trPr>
        <w:tc>
          <w:tcPr>
            <w:cnfStyle w:val="000010000000" w:firstRow="0" w:lastRow="0" w:firstColumn="0" w:lastColumn="0" w:oddVBand="1" w:evenVBand="0" w:oddHBand="0" w:evenHBand="0" w:firstRowFirstColumn="0" w:firstRowLastColumn="0" w:lastRowFirstColumn="0" w:lastRowLastColumn="0"/>
            <w:tcW w:w="972" w:type="dxa"/>
            <w:shd w:val="clear" w:color="auto" w:fill="DCEAD6" w:themeFill="text2" w:themeFillTint="33"/>
          </w:tcPr>
          <w:p w14:paraId="51166928"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Arab States </w:t>
            </w:r>
          </w:p>
        </w:tc>
        <w:tc>
          <w:tcPr>
            <w:cnfStyle w:val="000001000000" w:firstRow="0" w:lastRow="0" w:firstColumn="0" w:lastColumn="0" w:oddVBand="0" w:evenVBand="1" w:oddHBand="0" w:evenHBand="0" w:firstRowFirstColumn="0" w:firstRowLastColumn="0" w:lastRowFirstColumn="0" w:lastRowLastColumn="0"/>
            <w:tcW w:w="750" w:type="dxa"/>
          </w:tcPr>
          <w:p w14:paraId="63CD041D"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0.856 </w:t>
            </w:r>
          </w:p>
        </w:tc>
        <w:tc>
          <w:tcPr>
            <w:cnfStyle w:val="000010000000" w:firstRow="0" w:lastRow="0" w:firstColumn="0" w:lastColumn="0" w:oddVBand="1" w:evenVBand="0" w:oddHBand="0" w:evenHBand="0" w:firstRowFirstColumn="0" w:firstRowLastColumn="0" w:lastRowFirstColumn="0" w:lastRowLastColumn="0"/>
            <w:tcW w:w="877" w:type="dxa"/>
          </w:tcPr>
          <w:p w14:paraId="4B23AB8B"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0.636 </w:t>
            </w:r>
          </w:p>
        </w:tc>
        <w:tc>
          <w:tcPr>
            <w:cnfStyle w:val="000001000000" w:firstRow="0" w:lastRow="0" w:firstColumn="0" w:lastColumn="0" w:oddVBand="0" w:evenVBand="1" w:oddHBand="0" w:evenHBand="0" w:firstRowFirstColumn="0" w:firstRowLastColumn="0" w:lastRowFirstColumn="0" w:lastRowLastColumn="0"/>
            <w:tcW w:w="755" w:type="dxa"/>
          </w:tcPr>
          <w:p w14:paraId="3278D9A0"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0.743 </w:t>
            </w:r>
          </w:p>
        </w:tc>
        <w:tc>
          <w:tcPr>
            <w:cnfStyle w:val="000010000000" w:firstRow="0" w:lastRow="0" w:firstColumn="0" w:lastColumn="0" w:oddVBand="1" w:evenVBand="0" w:oddHBand="0" w:evenHBand="0" w:firstRowFirstColumn="0" w:firstRowLastColumn="0" w:lastRowFirstColumn="0" w:lastRowLastColumn="0"/>
            <w:tcW w:w="0" w:type="dxa"/>
          </w:tcPr>
          <w:p w14:paraId="614198B4"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73.9 </w:t>
            </w:r>
          </w:p>
        </w:tc>
        <w:tc>
          <w:tcPr>
            <w:cnfStyle w:val="000001000000" w:firstRow="0" w:lastRow="0" w:firstColumn="0" w:lastColumn="0" w:oddVBand="0" w:evenVBand="1" w:oddHBand="0" w:evenHBand="0" w:firstRowFirstColumn="0" w:firstRowLastColumn="0" w:lastRowFirstColumn="0" w:lastRowLastColumn="0"/>
            <w:tcW w:w="767" w:type="dxa"/>
          </w:tcPr>
          <w:p w14:paraId="2C8C1978"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70.4 </w:t>
            </w:r>
          </w:p>
        </w:tc>
        <w:tc>
          <w:tcPr>
            <w:cnfStyle w:val="000010000000" w:firstRow="0" w:lastRow="0" w:firstColumn="0" w:lastColumn="0" w:oddVBand="1" w:evenVBand="0" w:oddHBand="0" w:evenHBand="0" w:firstRowFirstColumn="0" w:firstRowLastColumn="0" w:lastRowFirstColumn="0" w:lastRowLastColumn="0"/>
            <w:tcW w:w="809" w:type="dxa"/>
          </w:tcPr>
          <w:p w14:paraId="15B9CF89"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11.9 </w:t>
            </w:r>
          </w:p>
        </w:tc>
        <w:tc>
          <w:tcPr>
            <w:cnfStyle w:val="000001000000" w:firstRow="0" w:lastRow="0" w:firstColumn="0" w:lastColumn="0" w:oddVBand="0" w:evenVBand="1" w:oddHBand="0" w:evenHBand="0" w:firstRowFirstColumn="0" w:firstRowLastColumn="0" w:lastRowFirstColumn="0" w:lastRowLastColumn="0"/>
            <w:tcW w:w="704" w:type="dxa"/>
          </w:tcPr>
          <w:p w14:paraId="145B846D"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12.4 </w:t>
            </w:r>
          </w:p>
        </w:tc>
        <w:tc>
          <w:tcPr>
            <w:cnfStyle w:val="000010000000" w:firstRow="0" w:lastRow="0" w:firstColumn="0" w:lastColumn="0" w:oddVBand="1" w:evenVBand="0" w:oddHBand="0" w:evenHBand="0" w:firstRowFirstColumn="0" w:firstRowLastColumn="0" w:lastRowFirstColumn="0" w:lastRowLastColumn="0"/>
            <w:tcW w:w="872" w:type="dxa"/>
          </w:tcPr>
          <w:p w14:paraId="15F41248"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6.5 </w:t>
            </w:r>
          </w:p>
        </w:tc>
        <w:tc>
          <w:tcPr>
            <w:cnfStyle w:val="000001000000" w:firstRow="0" w:lastRow="0" w:firstColumn="0" w:lastColumn="0" w:oddVBand="0" w:evenVBand="1" w:oddHBand="0" w:evenHBand="0" w:firstRowFirstColumn="0" w:firstRowLastColumn="0" w:lastRowFirstColumn="0" w:lastRowLastColumn="0"/>
            <w:tcW w:w="692" w:type="dxa"/>
          </w:tcPr>
          <w:p w14:paraId="4F6E0EF9"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8.1 </w:t>
            </w:r>
          </w:p>
        </w:tc>
        <w:tc>
          <w:tcPr>
            <w:cnfStyle w:val="000010000000" w:firstRow="0" w:lastRow="0" w:firstColumn="0" w:lastColumn="0" w:oddVBand="1" w:evenVBand="0" w:oddHBand="0" w:evenHBand="0" w:firstRowFirstColumn="0" w:firstRowLastColumn="0" w:lastRowFirstColumn="0" w:lastRowLastColumn="0"/>
            <w:tcW w:w="860" w:type="dxa"/>
          </w:tcPr>
          <w:p w14:paraId="4C4156D9"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5,092 </w:t>
            </w:r>
          </w:p>
        </w:tc>
        <w:tc>
          <w:tcPr>
            <w:cnfStyle w:val="000001000000" w:firstRow="0" w:lastRow="0" w:firstColumn="0" w:lastColumn="0" w:oddVBand="0" w:evenVBand="1" w:oddHBand="0" w:evenHBand="0" w:firstRowFirstColumn="0" w:firstRowLastColumn="0" w:lastRowFirstColumn="0" w:lastRowLastColumn="0"/>
            <w:tcW w:w="824" w:type="dxa"/>
          </w:tcPr>
          <w:p w14:paraId="01ADAE5C"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23,923 </w:t>
            </w:r>
          </w:p>
        </w:tc>
      </w:tr>
      <w:tr w:rsidR="006F2F6D" w:rsidRPr="00BA0B27" w14:paraId="22ADA747" w14:textId="77777777" w:rsidTr="40E44CAF">
        <w:trPr>
          <w:trHeight w:val="79"/>
        </w:trPr>
        <w:tc>
          <w:tcPr>
            <w:cnfStyle w:val="000010000000" w:firstRow="0" w:lastRow="0" w:firstColumn="0" w:lastColumn="0" w:oddVBand="1" w:evenVBand="0" w:oddHBand="0" w:evenHBand="0" w:firstRowFirstColumn="0" w:firstRowLastColumn="0" w:lastRowFirstColumn="0" w:lastRowLastColumn="0"/>
            <w:tcW w:w="972" w:type="dxa"/>
            <w:shd w:val="clear" w:color="auto" w:fill="DCEAD6" w:themeFill="text2" w:themeFillTint="33"/>
          </w:tcPr>
          <w:p w14:paraId="3D0D2A1F"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High HDI </w:t>
            </w:r>
          </w:p>
        </w:tc>
        <w:tc>
          <w:tcPr>
            <w:cnfStyle w:val="000001000000" w:firstRow="0" w:lastRow="0" w:firstColumn="0" w:lastColumn="0" w:oddVBand="0" w:evenVBand="1" w:oddHBand="0" w:evenHBand="0" w:firstRowFirstColumn="0" w:firstRowLastColumn="0" w:lastRowFirstColumn="0" w:lastRowLastColumn="0"/>
            <w:tcW w:w="750" w:type="dxa"/>
          </w:tcPr>
          <w:p w14:paraId="3D15B1D1"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0.961 </w:t>
            </w:r>
          </w:p>
        </w:tc>
        <w:tc>
          <w:tcPr>
            <w:cnfStyle w:val="000010000000" w:firstRow="0" w:lastRow="0" w:firstColumn="0" w:lastColumn="0" w:oddVBand="1" w:evenVBand="0" w:oddHBand="0" w:evenHBand="0" w:firstRowFirstColumn="0" w:firstRowLastColumn="0" w:lastRowFirstColumn="0" w:lastRowLastColumn="0"/>
            <w:tcW w:w="877" w:type="dxa"/>
          </w:tcPr>
          <w:p w14:paraId="04536E81"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0.736 </w:t>
            </w:r>
          </w:p>
        </w:tc>
        <w:tc>
          <w:tcPr>
            <w:cnfStyle w:val="000001000000" w:firstRow="0" w:lastRow="0" w:firstColumn="0" w:lastColumn="0" w:oddVBand="0" w:evenVBand="1" w:oddHBand="0" w:evenHBand="0" w:firstRowFirstColumn="0" w:firstRowLastColumn="0" w:lastRowFirstColumn="0" w:lastRowLastColumn="0"/>
            <w:tcW w:w="755" w:type="dxa"/>
          </w:tcPr>
          <w:p w14:paraId="0FC2FA99"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0.766 </w:t>
            </w:r>
          </w:p>
        </w:tc>
        <w:tc>
          <w:tcPr>
            <w:cnfStyle w:val="000010000000" w:firstRow="0" w:lastRow="0" w:firstColumn="0" w:lastColumn="0" w:oddVBand="1" w:evenVBand="0" w:oddHBand="0" w:evenHBand="0" w:firstRowFirstColumn="0" w:firstRowLastColumn="0" w:lastRowFirstColumn="0" w:lastRowLastColumn="0"/>
            <w:tcW w:w="0" w:type="dxa"/>
          </w:tcPr>
          <w:p w14:paraId="461467BE"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78.0 </w:t>
            </w:r>
          </w:p>
        </w:tc>
        <w:tc>
          <w:tcPr>
            <w:cnfStyle w:val="000001000000" w:firstRow="0" w:lastRow="0" w:firstColumn="0" w:lastColumn="0" w:oddVBand="0" w:evenVBand="1" w:oddHBand="0" w:evenHBand="0" w:firstRowFirstColumn="0" w:firstRowLastColumn="0" w:lastRowFirstColumn="0" w:lastRowLastColumn="0"/>
            <w:tcW w:w="767" w:type="dxa"/>
          </w:tcPr>
          <w:p w14:paraId="17DCCBA7"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72.8 </w:t>
            </w:r>
          </w:p>
        </w:tc>
        <w:tc>
          <w:tcPr>
            <w:cnfStyle w:val="000010000000" w:firstRow="0" w:lastRow="0" w:firstColumn="0" w:lastColumn="0" w:oddVBand="1" w:evenVBand="0" w:oddHBand="0" w:evenHBand="0" w:firstRowFirstColumn="0" w:firstRowLastColumn="0" w:lastRowFirstColumn="0" w:lastRowLastColumn="0"/>
            <w:tcW w:w="809" w:type="dxa"/>
          </w:tcPr>
          <w:p w14:paraId="0C7D812A"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14.1 </w:t>
            </w:r>
          </w:p>
        </w:tc>
        <w:tc>
          <w:tcPr>
            <w:cnfStyle w:val="000001000000" w:firstRow="0" w:lastRow="0" w:firstColumn="0" w:lastColumn="0" w:oddVBand="0" w:evenVBand="1" w:oddHBand="0" w:evenHBand="0" w:firstRowFirstColumn="0" w:firstRowLastColumn="0" w:lastRowFirstColumn="0" w:lastRowLastColumn="0"/>
            <w:tcW w:w="704" w:type="dxa"/>
          </w:tcPr>
          <w:p w14:paraId="45D0E446"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13.9 </w:t>
            </w:r>
          </w:p>
        </w:tc>
        <w:tc>
          <w:tcPr>
            <w:cnfStyle w:val="000010000000" w:firstRow="0" w:lastRow="0" w:firstColumn="0" w:lastColumn="0" w:oddVBand="1" w:evenVBand="0" w:oddHBand="0" w:evenHBand="0" w:firstRowFirstColumn="0" w:firstRowLastColumn="0" w:lastRowFirstColumn="0" w:lastRowLastColumn="0"/>
            <w:tcW w:w="872" w:type="dxa"/>
          </w:tcPr>
          <w:p w14:paraId="79D23E39"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8.2 </w:t>
            </w:r>
          </w:p>
        </w:tc>
        <w:tc>
          <w:tcPr>
            <w:cnfStyle w:val="000001000000" w:firstRow="0" w:lastRow="0" w:firstColumn="0" w:lastColumn="0" w:oddVBand="0" w:evenVBand="1" w:oddHBand="0" w:evenHBand="0" w:firstRowFirstColumn="0" w:firstRowLastColumn="0" w:lastRowFirstColumn="0" w:lastRowLastColumn="0"/>
            <w:tcW w:w="692" w:type="dxa"/>
          </w:tcPr>
          <w:p w14:paraId="11AA0706"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8.7 </w:t>
            </w:r>
          </w:p>
        </w:tc>
        <w:tc>
          <w:tcPr>
            <w:cnfStyle w:val="000010000000" w:firstRow="0" w:lastRow="0" w:firstColumn="0" w:lastColumn="0" w:oddVBand="1" w:evenVBand="0" w:oddHBand="0" w:evenHBand="0" w:firstRowFirstColumn="0" w:firstRowLastColumn="0" w:lastRowFirstColumn="0" w:lastRowLastColumn="0"/>
            <w:tcW w:w="860" w:type="dxa"/>
          </w:tcPr>
          <w:p w14:paraId="42DC1D76"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10,529 </w:t>
            </w:r>
          </w:p>
        </w:tc>
        <w:tc>
          <w:tcPr>
            <w:cnfStyle w:val="000001000000" w:firstRow="0" w:lastRow="0" w:firstColumn="0" w:lastColumn="0" w:oddVBand="0" w:evenVBand="1" w:oddHBand="0" w:evenHBand="0" w:firstRowFirstColumn="0" w:firstRowLastColumn="0" w:lastRowFirstColumn="0" w:lastRowLastColumn="0"/>
            <w:tcW w:w="824" w:type="dxa"/>
          </w:tcPr>
          <w:p w14:paraId="11631F1F" w14:textId="77777777" w:rsidR="006F2F6D" w:rsidRPr="00BA0B27" w:rsidRDefault="096E9D01" w:rsidP="0D4BD307">
            <w:pPr>
              <w:tabs>
                <w:tab w:val="left" w:pos="1418"/>
              </w:tabs>
              <w:spacing w:before="60" w:after="60"/>
              <w:rPr>
                <w:color w:val="3B3B3C" w:themeColor="text1"/>
                <w:sz w:val="15"/>
                <w:szCs w:val="15"/>
              </w:rPr>
            </w:pPr>
            <w:r w:rsidRPr="00BA0B27">
              <w:rPr>
                <w:color w:val="3B3B3C" w:themeColor="text1"/>
                <w:sz w:val="15"/>
                <w:szCs w:val="15"/>
              </w:rPr>
              <w:t xml:space="preserve">17,912 </w:t>
            </w:r>
          </w:p>
        </w:tc>
      </w:tr>
    </w:tbl>
    <w:p w14:paraId="7AF71F6A" w14:textId="77777777" w:rsidR="00C76AF9" w:rsidRDefault="00C76AF9" w:rsidP="0099297D">
      <w:pPr>
        <w:pStyle w:val="ItadNormalText"/>
        <w:jc w:val="both"/>
      </w:pPr>
    </w:p>
    <w:p w14:paraId="757D106D" w14:textId="77777777" w:rsidR="006F2F6D" w:rsidRPr="006A561F" w:rsidRDefault="6C5C1D3E" w:rsidP="0099297D">
      <w:pPr>
        <w:pStyle w:val="ItadNormalText"/>
        <w:jc w:val="both"/>
      </w:pPr>
      <w:r>
        <w:t>T</w:t>
      </w:r>
      <w:r w:rsidR="3D2807EF" w:rsidRPr="006A561F">
        <w:t>he region has the lowest women’s labour force participation rate</w:t>
      </w:r>
      <w:r w:rsidR="67C83555" w:rsidRPr="006A561F">
        <w:t>,</w:t>
      </w:r>
      <w:r w:rsidR="3D2807EF" w:rsidRPr="006A561F">
        <w:t xml:space="preserve"> at 20.8</w:t>
      </w:r>
      <w:r w:rsidR="67C83555" w:rsidRPr="006A561F">
        <w:t>%</w:t>
      </w:r>
      <w:r w:rsidR="3D2807EF" w:rsidRPr="006A561F">
        <w:t xml:space="preserve"> in 2019. Compared to men, women face a higher risk of unemployment and more barriers to enter</w:t>
      </w:r>
      <w:r w:rsidR="67C83555" w:rsidRPr="006A561F">
        <w:t>ing</w:t>
      </w:r>
      <w:r w:rsidR="3D2807EF" w:rsidRPr="006A561F">
        <w:t xml:space="preserve"> the labour market. Women’s unemployment rate in the region was 20</w:t>
      </w:r>
      <w:r w:rsidR="67C83555" w:rsidRPr="006A561F">
        <w:t>%</w:t>
      </w:r>
      <w:r w:rsidR="3D2807EF" w:rsidRPr="006A561F">
        <w:t>, compared to men’s unemployment rate of 7.8</w:t>
      </w:r>
      <w:r w:rsidR="67C83555" w:rsidRPr="006A561F">
        <w:t>%</w:t>
      </w:r>
      <w:r w:rsidR="3D2807EF" w:rsidRPr="006A561F">
        <w:t xml:space="preserve"> and to the world’s average of 5.6</w:t>
      </w:r>
      <w:r w:rsidR="67C83555" w:rsidRPr="006A561F">
        <w:t>%</w:t>
      </w:r>
      <w:r w:rsidR="3D2807EF" w:rsidRPr="006A561F">
        <w:t xml:space="preserve"> in 2019. This rate is especially high among youth, with female youth unemployment rate </w:t>
      </w:r>
      <w:r w:rsidR="67C83555" w:rsidRPr="006A561F">
        <w:t>at</w:t>
      </w:r>
      <w:r w:rsidR="3D2807EF" w:rsidRPr="006A561F">
        <w:t xml:space="preserve"> 38.5</w:t>
      </w:r>
      <w:r w:rsidR="67C83555" w:rsidRPr="006A561F">
        <w:t>%</w:t>
      </w:r>
      <w:r w:rsidR="3D2807EF" w:rsidRPr="006A561F">
        <w:t>, the highest in the world.</w:t>
      </w:r>
      <w:r w:rsidR="006F2F6D" w:rsidRPr="006A561F">
        <w:rPr>
          <w:vertAlign w:val="superscript"/>
        </w:rPr>
        <w:footnoteReference w:id="30"/>
      </w:r>
      <w:r w:rsidR="3D2807EF" w:rsidRPr="006A561F">
        <w:t xml:space="preserve"> The proportion of seats held by women in national parliaments has increased over the last two decades, increasing from 3.7</w:t>
      </w:r>
      <w:r w:rsidR="67C83555" w:rsidRPr="006A561F">
        <w:t>%</w:t>
      </w:r>
      <w:r w:rsidR="3D2807EF" w:rsidRPr="006A561F">
        <w:t xml:space="preserve"> in 2000 to 18</w:t>
      </w:r>
      <w:r w:rsidR="67C83555" w:rsidRPr="006A561F">
        <w:t>%</w:t>
      </w:r>
      <w:r w:rsidR="3D2807EF" w:rsidRPr="006A561F">
        <w:t xml:space="preserve"> in 2019, but it is still lower than the world average of 24.5</w:t>
      </w:r>
      <w:r w:rsidR="67C83555" w:rsidRPr="006A561F">
        <w:t>%</w:t>
      </w:r>
      <w:r w:rsidR="3D2807EF" w:rsidRPr="006A561F">
        <w:t>.</w:t>
      </w:r>
      <w:r w:rsidR="006F2F6D" w:rsidRPr="006A561F">
        <w:rPr>
          <w:vertAlign w:val="superscript"/>
        </w:rPr>
        <w:footnoteReference w:id="31"/>
      </w:r>
    </w:p>
    <w:p w14:paraId="59EC2D97" w14:textId="77777777" w:rsidR="006F2F6D" w:rsidRPr="006A561F" w:rsidRDefault="6AE704D3" w:rsidP="0099297D">
      <w:pPr>
        <w:pStyle w:val="ItadNormalText"/>
        <w:jc w:val="both"/>
      </w:pPr>
      <w:r w:rsidRPr="006A561F">
        <w:t xml:space="preserve">Table 2 </w:t>
      </w:r>
      <w:r w:rsidR="0004AA62" w:rsidRPr="006A561F">
        <w:t>provides both the Gender Inequality Index (GII)</w:t>
      </w:r>
      <w:r w:rsidR="006F2F6D" w:rsidRPr="006A561F">
        <w:rPr>
          <w:vertAlign w:val="superscript"/>
        </w:rPr>
        <w:footnoteReference w:id="32"/>
      </w:r>
      <w:r w:rsidR="0004AA62" w:rsidRPr="006A561F">
        <w:t xml:space="preserve"> value and rank for the six countries included in this evaluation.</w:t>
      </w:r>
    </w:p>
    <w:p w14:paraId="549DEDC5" w14:textId="77777777" w:rsidR="00643E27" w:rsidRPr="001F103C" w:rsidRDefault="00643E27" w:rsidP="00B01382">
      <w:pPr>
        <w:pStyle w:val="Itadtablestyle"/>
      </w:pPr>
      <w:bookmarkStart w:id="8" w:name="_Toc101775210"/>
      <w:bookmarkStart w:id="9" w:name="_Toc123126095"/>
      <w:r>
        <w:t>GII for 2019</w:t>
      </w:r>
      <w:bookmarkEnd w:id="8"/>
      <w:bookmarkEnd w:id="9"/>
    </w:p>
    <w:tbl>
      <w:tblPr>
        <w:tblStyle w:val="TableGrid"/>
        <w:tblW w:w="9703" w:type="dxa"/>
        <w:tblLook w:val="04A0" w:firstRow="1" w:lastRow="0" w:firstColumn="1" w:lastColumn="0" w:noHBand="0" w:noVBand="1"/>
      </w:tblPr>
      <w:tblGrid>
        <w:gridCol w:w="1272"/>
        <w:gridCol w:w="860"/>
        <w:gridCol w:w="880"/>
        <w:gridCol w:w="1118"/>
        <w:gridCol w:w="1246"/>
        <w:gridCol w:w="1185"/>
        <w:gridCol w:w="885"/>
        <w:gridCol w:w="729"/>
        <w:gridCol w:w="836"/>
        <w:gridCol w:w="692"/>
      </w:tblGrid>
      <w:tr w:rsidR="001D0459" w:rsidRPr="006A561F" w14:paraId="73D05808" w14:textId="77777777" w:rsidTr="0D4BD307">
        <w:trPr>
          <w:tblHeader/>
        </w:trPr>
        <w:tc>
          <w:tcPr>
            <w:tcW w:w="1272" w:type="dxa"/>
            <w:vMerge w:val="restart"/>
            <w:shd w:val="clear" w:color="auto" w:fill="588B46" w:themeFill="text2"/>
          </w:tcPr>
          <w:p w14:paraId="49B77855" w14:textId="77777777" w:rsidR="006F2F6D" w:rsidRPr="006A561F" w:rsidRDefault="096E9D01" w:rsidP="0D4BD307">
            <w:pPr>
              <w:tabs>
                <w:tab w:val="left" w:pos="1418"/>
              </w:tabs>
              <w:spacing w:before="60" w:after="60"/>
              <w:rPr>
                <w:color w:val="FFFFFF" w:themeColor="background1"/>
                <w:sz w:val="16"/>
                <w:szCs w:val="16"/>
              </w:rPr>
            </w:pPr>
            <w:r w:rsidRPr="0D4BD307">
              <w:rPr>
                <w:color w:val="FFFFFF" w:themeColor="background1"/>
                <w:sz w:val="16"/>
                <w:szCs w:val="16"/>
              </w:rPr>
              <w:t>Country</w:t>
            </w:r>
          </w:p>
        </w:tc>
        <w:tc>
          <w:tcPr>
            <w:tcW w:w="860" w:type="dxa"/>
            <w:vMerge w:val="restart"/>
            <w:shd w:val="clear" w:color="auto" w:fill="588B46" w:themeFill="text2"/>
          </w:tcPr>
          <w:p w14:paraId="1E901F96" w14:textId="77777777" w:rsidR="006F2F6D" w:rsidRPr="006A561F" w:rsidRDefault="096E9D01" w:rsidP="0D4BD307">
            <w:pPr>
              <w:tabs>
                <w:tab w:val="left" w:pos="1418"/>
              </w:tabs>
              <w:spacing w:before="60" w:after="60"/>
              <w:rPr>
                <w:color w:val="FFFFFF" w:themeColor="background1"/>
                <w:sz w:val="16"/>
                <w:szCs w:val="16"/>
              </w:rPr>
            </w:pPr>
            <w:r w:rsidRPr="0D4BD307">
              <w:rPr>
                <w:color w:val="FFFFFF" w:themeColor="background1"/>
                <w:sz w:val="16"/>
                <w:szCs w:val="16"/>
              </w:rPr>
              <w:t>GII value</w:t>
            </w:r>
          </w:p>
        </w:tc>
        <w:tc>
          <w:tcPr>
            <w:tcW w:w="880" w:type="dxa"/>
            <w:vMerge w:val="restart"/>
            <w:shd w:val="clear" w:color="auto" w:fill="588B46" w:themeFill="text2"/>
          </w:tcPr>
          <w:p w14:paraId="1A1874A4" w14:textId="77777777" w:rsidR="006F2F6D" w:rsidRPr="006A561F" w:rsidRDefault="096E9D01" w:rsidP="0D4BD307">
            <w:pPr>
              <w:tabs>
                <w:tab w:val="left" w:pos="1418"/>
              </w:tabs>
              <w:spacing w:before="60" w:after="60"/>
              <w:rPr>
                <w:color w:val="FFFFFF" w:themeColor="background1"/>
                <w:sz w:val="16"/>
                <w:szCs w:val="16"/>
              </w:rPr>
            </w:pPr>
            <w:r w:rsidRPr="0D4BD307">
              <w:rPr>
                <w:color w:val="FFFFFF" w:themeColor="background1"/>
                <w:sz w:val="16"/>
                <w:szCs w:val="16"/>
              </w:rPr>
              <w:t xml:space="preserve">GII </w:t>
            </w:r>
            <w:r w:rsidR="5718474C" w:rsidRPr="0D4BD307">
              <w:rPr>
                <w:color w:val="FFFFFF" w:themeColor="background1"/>
                <w:sz w:val="16"/>
                <w:szCs w:val="16"/>
              </w:rPr>
              <w:t>r</w:t>
            </w:r>
            <w:r w:rsidRPr="0D4BD307">
              <w:rPr>
                <w:color w:val="FFFFFF" w:themeColor="background1"/>
                <w:sz w:val="16"/>
                <w:szCs w:val="16"/>
              </w:rPr>
              <w:t>ank (out of 162)</w:t>
            </w:r>
          </w:p>
        </w:tc>
        <w:tc>
          <w:tcPr>
            <w:tcW w:w="1118" w:type="dxa"/>
            <w:vMerge w:val="restart"/>
            <w:shd w:val="clear" w:color="auto" w:fill="588B46" w:themeFill="text2"/>
          </w:tcPr>
          <w:p w14:paraId="373F856E" w14:textId="77777777" w:rsidR="006F2F6D" w:rsidRPr="006A561F" w:rsidRDefault="096E9D01" w:rsidP="0D4BD307">
            <w:pPr>
              <w:tabs>
                <w:tab w:val="left" w:pos="1418"/>
              </w:tabs>
              <w:spacing w:before="60" w:after="60"/>
              <w:rPr>
                <w:color w:val="FFFFFF" w:themeColor="background1"/>
                <w:sz w:val="16"/>
                <w:szCs w:val="16"/>
              </w:rPr>
            </w:pPr>
            <w:r w:rsidRPr="0D4BD307">
              <w:rPr>
                <w:color w:val="FFFFFF" w:themeColor="background1"/>
                <w:sz w:val="16"/>
                <w:szCs w:val="16"/>
              </w:rPr>
              <w:t>Maternal mortality ratio</w:t>
            </w:r>
          </w:p>
        </w:tc>
        <w:tc>
          <w:tcPr>
            <w:tcW w:w="1246" w:type="dxa"/>
            <w:vMerge w:val="restart"/>
            <w:shd w:val="clear" w:color="auto" w:fill="588B46" w:themeFill="text2"/>
          </w:tcPr>
          <w:p w14:paraId="1AEE9C3D" w14:textId="77777777" w:rsidR="006F2F6D" w:rsidRPr="006A561F" w:rsidRDefault="096E9D01" w:rsidP="0D4BD307">
            <w:pPr>
              <w:tabs>
                <w:tab w:val="left" w:pos="1418"/>
              </w:tabs>
              <w:spacing w:before="60" w:after="60"/>
              <w:rPr>
                <w:color w:val="FFFFFF" w:themeColor="background1"/>
                <w:sz w:val="16"/>
                <w:szCs w:val="16"/>
              </w:rPr>
            </w:pPr>
            <w:r w:rsidRPr="0D4BD307">
              <w:rPr>
                <w:color w:val="FFFFFF" w:themeColor="background1"/>
                <w:sz w:val="16"/>
                <w:szCs w:val="16"/>
              </w:rPr>
              <w:t>Adolescent birth rate</w:t>
            </w:r>
          </w:p>
        </w:tc>
        <w:tc>
          <w:tcPr>
            <w:tcW w:w="1185" w:type="dxa"/>
            <w:vMerge w:val="restart"/>
            <w:shd w:val="clear" w:color="auto" w:fill="588B46" w:themeFill="text2"/>
          </w:tcPr>
          <w:p w14:paraId="4EEC8A61" w14:textId="77777777" w:rsidR="006F2F6D" w:rsidRPr="006A561F" w:rsidRDefault="096E9D01" w:rsidP="0D4BD307">
            <w:pPr>
              <w:tabs>
                <w:tab w:val="left" w:pos="1418"/>
              </w:tabs>
              <w:spacing w:before="60" w:after="60"/>
              <w:rPr>
                <w:color w:val="FFFFFF" w:themeColor="background1"/>
                <w:sz w:val="16"/>
                <w:szCs w:val="16"/>
              </w:rPr>
            </w:pPr>
            <w:r w:rsidRPr="0D4BD307">
              <w:rPr>
                <w:color w:val="FFFFFF" w:themeColor="background1"/>
                <w:sz w:val="16"/>
                <w:szCs w:val="16"/>
              </w:rPr>
              <w:t>Female seats in parliament (%)</w:t>
            </w:r>
          </w:p>
        </w:tc>
        <w:tc>
          <w:tcPr>
            <w:tcW w:w="1614" w:type="dxa"/>
            <w:gridSpan w:val="2"/>
            <w:shd w:val="clear" w:color="auto" w:fill="588B46" w:themeFill="text2"/>
          </w:tcPr>
          <w:p w14:paraId="63858A3F" w14:textId="77777777" w:rsidR="006F2F6D" w:rsidRPr="006A561F" w:rsidRDefault="096E9D01" w:rsidP="0D4BD307">
            <w:pPr>
              <w:tabs>
                <w:tab w:val="left" w:pos="1418"/>
              </w:tabs>
              <w:spacing w:before="60" w:after="60"/>
              <w:rPr>
                <w:color w:val="FFFFFF" w:themeColor="background1"/>
                <w:sz w:val="16"/>
                <w:szCs w:val="16"/>
              </w:rPr>
            </w:pPr>
            <w:r w:rsidRPr="0D4BD307">
              <w:rPr>
                <w:color w:val="FFFFFF" w:themeColor="background1"/>
                <w:sz w:val="16"/>
                <w:szCs w:val="16"/>
              </w:rPr>
              <w:t xml:space="preserve">Population with at least some secondary education (%) </w:t>
            </w:r>
          </w:p>
        </w:tc>
        <w:tc>
          <w:tcPr>
            <w:tcW w:w="1528" w:type="dxa"/>
            <w:gridSpan w:val="2"/>
            <w:shd w:val="clear" w:color="auto" w:fill="588B46" w:themeFill="text2"/>
          </w:tcPr>
          <w:p w14:paraId="15157904" w14:textId="77777777" w:rsidR="006F2F6D" w:rsidRPr="006A561F" w:rsidRDefault="096E9D01" w:rsidP="0D4BD307">
            <w:pPr>
              <w:tabs>
                <w:tab w:val="left" w:pos="1418"/>
              </w:tabs>
              <w:spacing w:before="60" w:after="60"/>
              <w:rPr>
                <w:color w:val="FFFFFF" w:themeColor="background1"/>
                <w:sz w:val="16"/>
                <w:szCs w:val="16"/>
              </w:rPr>
            </w:pPr>
            <w:r w:rsidRPr="0D4BD307">
              <w:rPr>
                <w:color w:val="FFFFFF" w:themeColor="background1"/>
                <w:sz w:val="16"/>
                <w:szCs w:val="16"/>
              </w:rPr>
              <w:t>Labour force participation rate (%)</w:t>
            </w:r>
          </w:p>
        </w:tc>
      </w:tr>
      <w:tr w:rsidR="001D0459" w:rsidRPr="006A561F" w14:paraId="6E4ACFB5" w14:textId="77777777" w:rsidTr="0D4BD307">
        <w:tc>
          <w:tcPr>
            <w:tcW w:w="1272" w:type="dxa"/>
            <w:vMerge/>
          </w:tcPr>
          <w:p w14:paraId="1ACE12FC" w14:textId="77777777" w:rsidR="006F2F6D" w:rsidRPr="006A561F" w:rsidRDefault="006F2F6D" w:rsidP="007C0EEF">
            <w:pPr>
              <w:tabs>
                <w:tab w:val="left" w:pos="1418"/>
              </w:tabs>
              <w:spacing w:before="60" w:after="60"/>
              <w:rPr>
                <w:color w:val="3B3B3C" w:themeColor="text1"/>
                <w:sz w:val="20"/>
              </w:rPr>
            </w:pPr>
          </w:p>
        </w:tc>
        <w:tc>
          <w:tcPr>
            <w:tcW w:w="860" w:type="dxa"/>
            <w:vMerge/>
          </w:tcPr>
          <w:p w14:paraId="6EBB0C8F" w14:textId="77777777" w:rsidR="006F2F6D" w:rsidRPr="006A561F" w:rsidRDefault="006F2F6D" w:rsidP="007C0EEF">
            <w:pPr>
              <w:tabs>
                <w:tab w:val="left" w:pos="1418"/>
              </w:tabs>
              <w:spacing w:before="60" w:after="60"/>
              <w:rPr>
                <w:color w:val="3B3B3C" w:themeColor="text1"/>
                <w:sz w:val="20"/>
              </w:rPr>
            </w:pPr>
          </w:p>
        </w:tc>
        <w:tc>
          <w:tcPr>
            <w:tcW w:w="880" w:type="dxa"/>
            <w:vMerge/>
          </w:tcPr>
          <w:p w14:paraId="18DDC0F0" w14:textId="77777777" w:rsidR="006F2F6D" w:rsidRPr="006A561F" w:rsidRDefault="006F2F6D" w:rsidP="007C0EEF">
            <w:pPr>
              <w:tabs>
                <w:tab w:val="left" w:pos="1418"/>
              </w:tabs>
              <w:spacing w:before="60" w:after="60"/>
              <w:rPr>
                <w:color w:val="3B3B3C" w:themeColor="text1"/>
                <w:sz w:val="20"/>
              </w:rPr>
            </w:pPr>
          </w:p>
        </w:tc>
        <w:tc>
          <w:tcPr>
            <w:tcW w:w="1118" w:type="dxa"/>
            <w:vMerge/>
          </w:tcPr>
          <w:p w14:paraId="0E3F7BC0" w14:textId="77777777" w:rsidR="006F2F6D" w:rsidRPr="006A561F" w:rsidRDefault="006F2F6D" w:rsidP="007C0EEF">
            <w:pPr>
              <w:tabs>
                <w:tab w:val="left" w:pos="1418"/>
              </w:tabs>
              <w:spacing w:before="60" w:after="60"/>
              <w:rPr>
                <w:color w:val="3B3B3C" w:themeColor="text1"/>
                <w:sz w:val="20"/>
              </w:rPr>
            </w:pPr>
          </w:p>
        </w:tc>
        <w:tc>
          <w:tcPr>
            <w:tcW w:w="1246" w:type="dxa"/>
            <w:vMerge/>
          </w:tcPr>
          <w:p w14:paraId="347B2FF2" w14:textId="77777777" w:rsidR="006F2F6D" w:rsidRPr="006A561F" w:rsidRDefault="006F2F6D" w:rsidP="007C0EEF">
            <w:pPr>
              <w:tabs>
                <w:tab w:val="left" w:pos="1418"/>
              </w:tabs>
              <w:spacing w:before="60" w:after="60"/>
              <w:rPr>
                <w:color w:val="3B3B3C" w:themeColor="text1"/>
                <w:sz w:val="20"/>
              </w:rPr>
            </w:pPr>
          </w:p>
        </w:tc>
        <w:tc>
          <w:tcPr>
            <w:tcW w:w="1185" w:type="dxa"/>
            <w:vMerge/>
          </w:tcPr>
          <w:p w14:paraId="74EB1D6B" w14:textId="77777777" w:rsidR="006F2F6D" w:rsidRPr="006A561F" w:rsidRDefault="006F2F6D" w:rsidP="007C0EEF">
            <w:pPr>
              <w:tabs>
                <w:tab w:val="left" w:pos="1418"/>
              </w:tabs>
              <w:spacing w:before="60" w:after="60"/>
              <w:rPr>
                <w:color w:val="3B3B3C" w:themeColor="text1"/>
                <w:sz w:val="20"/>
              </w:rPr>
            </w:pPr>
          </w:p>
        </w:tc>
        <w:tc>
          <w:tcPr>
            <w:tcW w:w="885" w:type="dxa"/>
            <w:shd w:val="clear" w:color="auto" w:fill="588B46" w:themeFill="text2"/>
          </w:tcPr>
          <w:p w14:paraId="7AD48F26" w14:textId="77777777" w:rsidR="006F2F6D" w:rsidRPr="006A561F" w:rsidRDefault="096E9D01" w:rsidP="0D4BD307">
            <w:pPr>
              <w:tabs>
                <w:tab w:val="left" w:pos="1418"/>
              </w:tabs>
              <w:spacing w:before="60" w:after="60"/>
              <w:rPr>
                <w:color w:val="FFFFFF" w:themeColor="background1"/>
                <w:sz w:val="16"/>
                <w:szCs w:val="16"/>
              </w:rPr>
            </w:pPr>
            <w:r w:rsidRPr="0D4BD307">
              <w:rPr>
                <w:color w:val="FFFFFF" w:themeColor="background1"/>
                <w:sz w:val="16"/>
                <w:szCs w:val="16"/>
              </w:rPr>
              <w:t>Female</w:t>
            </w:r>
          </w:p>
        </w:tc>
        <w:tc>
          <w:tcPr>
            <w:tcW w:w="729" w:type="dxa"/>
            <w:shd w:val="clear" w:color="auto" w:fill="588B46" w:themeFill="text2"/>
          </w:tcPr>
          <w:p w14:paraId="4784999E" w14:textId="77777777" w:rsidR="006F2F6D" w:rsidRPr="006A561F" w:rsidRDefault="096E9D01" w:rsidP="0D4BD307">
            <w:pPr>
              <w:tabs>
                <w:tab w:val="left" w:pos="1418"/>
              </w:tabs>
              <w:spacing w:before="60" w:after="60"/>
              <w:rPr>
                <w:color w:val="FFFFFF" w:themeColor="background1"/>
                <w:sz w:val="16"/>
                <w:szCs w:val="16"/>
              </w:rPr>
            </w:pPr>
            <w:r w:rsidRPr="0D4BD307">
              <w:rPr>
                <w:color w:val="FFFFFF" w:themeColor="background1"/>
                <w:sz w:val="16"/>
                <w:szCs w:val="16"/>
              </w:rPr>
              <w:t>Male</w:t>
            </w:r>
          </w:p>
        </w:tc>
        <w:tc>
          <w:tcPr>
            <w:tcW w:w="836" w:type="dxa"/>
            <w:shd w:val="clear" w:color="auto" w:fill="588B46" w:themeFill="text2"/>
          </w:tcPr>
          <w:p w14:paraId="45062322" w14:textId="77777777" w:rsidR="006F2F6D" w:rsidRPr="006A561F" w:rsidRDefault="096E9D01" w:rsidP="0D4BD307">
            <w:pPr>
              <w:tabs>
                <w:tab w:val="left" w:pos="1418"/>
              </w:tabs>
              <w:spacing w:before="60" w:after="60"/>
              <w:rPr>
                <w:color w:val="FFFFFF" w:themeColor="background1"/>
                <w:sz w:val="16"/>
                <w:szCs w:val="16"/>
              </w:rPr>
            </w:pPr>
            <w:r w:rsidRPr="0D4BD307">
              <w:rPr>
                <w:color w:val="FFFFFF" w:themeColor="background1"/>
                <w:sz w:val="16"/>
                <w:szCs w:val="16"/>
              </w:rPr>
              <w:t>Female</w:t>
            </w:r>
          </w:p>
        </w:tc>
        <w:tc>
          <w:tcPr>
            <w:tcW w:w="692" w:type="dxa"/>
            <w:shd w:val="clear" w:color="auto" w:fill="588B46" w:themeFill="text2"/>
          </w:tcPr>
          <w:p w14:paraId="177E95F0" w14:textId="77777777" w:rsidR="006F2F6D" w:rsidRPr="006A561F" w:rsidRDefault="096E9D01" w:rsidP="0D4BD307">
            <w:pPr>
              <w:tabs>
                <w:tab w:val="left" w:pos="1418"/>
              </w:tabs>
              <w:spacing w:before="60" w:after="60"/>
              <w:rPr>
                <w:color w:val="FFFFFF" w:themeColor="background1"/>
                <w:sz w:val="16"/>
                <w:szCs w:val="16"/>
              </w:rPr>
            </w:pPr>
            <w:r w:rsidRPr="0D4BD307">
              <w:rPr>
                <w:color w:val="FFFFFF" w:themeColor="background1"/>
                <w:sz w:val="16"/>
                <w:szCs w:val="16"/>
              </w:rPr>
              <w:t>Male</w:t>
            </w:r>
          </w:p>
        </w:tc>
      </w:tr>
      <w:tr w:rsidR="006F2F6D" w:rsidRPr="006A561F" w14:paraId="3E04B827" w14:textId="77777777" w:rsidTr="0D4BD307">
        <w:tc>
          <w:tcPr>
            <w:tcW w:w="1272" w:type="dxa"/>
            <w:shd w:val="clear" w:color="auto" w:fill="DCEAD6" w:themeFill="text2" w:themeFillTint="33"/>
          </w:tcPr>
          <w:p w14:paraId="470F4372"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Egypt</w:t>
            </w:r>
          </w:p>
        </w:tc>
        <w:tc>
          <w:tcPr>
            <w:tcW w:w="860" w:type="dxa"/>
          </w:tcPr>
          <w:p w14:paraId="2F9B4D73"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0.449</w:t>
            </w:r>
          </w:p>
        </w:tc>
        <w:tc>
          <w:tcPr>
            <w:tcW w:w="880" w:type="dxa"/>
          </w:tcPr>
          <w:p w14:paraId="73F6F0DE"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108</w:t>
            </w:r>
          </w:p>
        </w:tc>
        <w:tc>
          <w:tcPr>
            <w:tcW w:w="1118" w:type="dxa"/>
          </w:tcPr>
          <w:p w14:paraId="63836869"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37</w:t>
            </w:r>
          </w:p>
        </w:tc>
        <w:tc>
          <w:tcPr>
            <w:tcW w:w="1246" w:type="dxa"/>
          </w:tcPr>
          <w:p w14:paraId="43497669"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18.2</w:t>
            </w:r>
          </w:p>
        </w:tc>
        <w:tc>
          <w:tcPr>
            <w:tcW w:w="1185" w:type="dxa"/>
          </w:tcPr>
          <w:p w14:paraId="7450740E"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14.9</w:t>
            </w:r>
          </w:p>
        </w:tc>
        <w:tc>
          <w:tcPr>
            <w:tcW w:w="885" w:type="dxa"/>
          </w:tcPr>
          <w:p w14:paraId="4D813C17"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73.5</w:t>
            </w:r>
          </w:p>
        </w:tc>
        <w:tc>
          <w:tcPr>
            <w:tcW w:w="729" w:type="dxa"/>
          </w:tcPr>
          <w:p w14:paraId="71EB13B2"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72.5</w:t>
            </w:r>
          </w:p>
        </w:tc>
        <w:tc>
          <w:tcPr>
            <w:tcW w:w="836" w:type="dxa"/>
          </w:tcPr>
          <w:p w14:paraId="625F8F98"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21.9</w:t>
            </w:r>
          </w:p>
        </w:tc>
        <w:tc>
          <w:tcPr>
            <w:tcW w:w="692" w:type="dxa"/>
          </w:tcPr>
          <w:p w14:paraId="0714A4D8"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70.9</w:t>
            </w:r>
          </w:p>
        </w:tc>
      </w:tr>
      <w:tr w:rsidR="006F2F6D" w:rsidRPr="006A561F" w14:paraId="6ED72132" w14:textId="77777777" w:rsidTr="0D4BD307">
        <w:tc>
          <w:tcPr>
            <w:tcW w:w="1272" w:type="dxa"/>
            <w:shd w:val="clear" w:color="auto" w:fill="DCEAD6" w:themeFill="text2" w:themeFillTint="33"/>
          </w:tcPr>
          <w:p w14:paraId="56198729"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Jordan</w:t>
            </w:r>
          </w:p>
        </w:tc>
        <w:tc>
          <w:tcPr>
            <w:tcW w:w="860" w:type="dxa"/>
          </w:tcPr>
          <w:p w14:paraId="2C630550"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0.450</w:t>
            </w:r>
          </w:p>
        </w:tc>
        <w:tc>
          <w:tcPr>
            <w:tcW w:w="880" w:type="dxa"/>
          </w:tcPr>
          <w:p w14:paraId="6DCFAA99"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109</w:t>
            </w:r>
          </w:p>
        </w:tc>
        <w:tc>
          <w:tcPr>
            <w:tcW w:w="1118" w:type="dxa"/>
          </w:tcPr>
          <w:p w14:paraId="52D095EF"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46.0</w:t>
            </w:r>
          </w:p>
        </w:tc>
        <w:tc>
          <w:tcPr>
            <w:tcW w:w="1246" w:type="dxa"/>
          </w:tcPr>
          <w:p w14:paraId="2714D076"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25.9</w:t>
            </w:r>
          </w:p>
        </w:tc>
        <w:tc>
          <w:tcPr>
            <w:tcW w:w="1185" w:type="dxa"/>
          </w:tcPr>
          <w:p w14:paraId="648E0227"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15.4</w:t>
            </w:r>
          </w:p>
        </w:tc>
        <w:tc>
          <w:tcPr>
            <w:tcW w:w="885" w:type="dxa"/>
          </w:tcPr>
          <w:p w14:paraId="36F5705B"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82.2</w:t>
            </w:r>
          </w:p>
        </w:tc>
        <w:tc>
          <w:tcPr>
            <w:tcW w:w="729" w:type="dxa"/>
          </w:tcPr>
          <w:p w14:paraId="00E412E7"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86.1</w:t>
            </w:r>
          </w:p>
        </w:tc>
        <w:tc>
          <w:tcPr>
            <w:tcW w:w="836" w:type="dxa"/>
          </w:tcPr>
          <w:p w14:paraId="48B5D21A"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14.4</w:t>
            </w:r>
          </w:p>
        </w:tc>
        <w:tc>
          <w:tcPr>
            <w:tcW w:w="692" w:type="dxa"/>
          </w:tcPr>
          <w:p w14:paraId="024A1368"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63.7</w:t>
            </w:r>
          </w:p>
        </w:tc>
      </w:tr>
      <w:tr w:rsidR="006F2F6D" w:rsidRPr="006A561F" w14:paraId="7F1153C0" w14:textId="77777777" w:rsidTr="0D4BD307">
        <w:tc>
          <w:tcPr>
            <w:tcW w:w="1272" w:type="dxa"/>
            <w:shd w:val="clear" w:color="auto" w:fill="DCEAD6" w:themeFill="text2" w:themeFillTint="33"/>
          </w:tcPr>
          <w:p w14:paraId="4E215FA5"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Lebanon</w:t>
            </w:r>
          </w:p>
        </w:tc>
        <w:tc>
          <w:tcPr>
            <w:tcW w:w="860" w:type="dxa"/>
          </w:tcPr>
          <w:p w14:paraId="715F1DAC"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0.411</w:t>
            </w:r>
          </w:p>
        </w:tc>
        <w:tc>
          <w:tcPr>
            <w:tcW w:w="880" w:type="dxa"/>
          </w:tcPr>
          <w:p w14:paraId="69023C6E"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96</w:t>
            </w:r>
          </w:p>
        </w:tc>
        <w:tc>
          <w:tcPr>
            <w:tcW w:w="1118" w:type="dxa"/>
          </w:tcPr>
          <w:p w14:paraId="15D52600"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29.0</w:t>
            </w:r>
          </w:p>
        </w:tc>
        <w:tc>
          <w:tcPr>
            <w:tcW w:w="1246" w:type="dxa"/>
          </w:tcPr>
          <w:p w14:paraId="2D1F7FE7"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14.5</w:t>
            </w:r>
          </w:p>
        </w:tc>
        <w:tc>
          <w:tcPr>
            <w:tcW w:w="1185" w:type="dxa"/>
          </w:tcPr>
          <w:p w14:paraId="2C7A99B6"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4.7</w:t>
            </w:r>
          </w:p>
        </w:tc>
        <w:tc>
          <w:tcPr>
            <w:tcW w:w="885" w:type="dxa"/>
          </w:tcPr>
          <w:p w14:paraId="766797F5"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54.3</w:t>
            </w:r>
          </w:p>
        </w:tc>
        <w:tc>
          <w:tcPr>
            <w:tcW w:w="729" w:type="dxa"/>
          </w:tcPr>
          <w:p w14:paraId="7F3D7EB9"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55.6</w:t>
            </w:r>
          </w:p>
        </w:tc>
        <w:tc>
          <w:tcPr>
            <w:tcW w:w="836" w:type="dxa"/>
          </w:tcPr>
          <w:p w14:paraId="75336E9F"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22.9</w:t>
            </w:r>
          </w:p>
        </w:tc>
        <w:tc>
          <w:tcPr>
            <w:tcW w:w="692" w:type="dxa"/>
          </w:tcPr>
          <w:p w14:paraId="5127CDDC"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71.4</w:t>
            </w:r>
          </w:p>
        </w:tc>
      </w:tr>
      <w:tr w:rsidR="006F2F6D" w:rsidRPr="006A561F" w14:paraId="71352C93" w14:textId="77777777" w:rsidTr="0D4BD307">
        <w:tc>
          <w:tcPr>
            <w:tcW w:w="1272" w:type="dxa"/>
            <w:shd w:val="clear" w:color="auto" w:fill="DCEAD6" w:themeFill="text2" w:themeFillTint="33"/>
          </w:tcPr>
          <w:p w14:paraId="56C6DCFE"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Morocco</w:t>
            </w:r>
          </w:p>
        </w:tc>
        <w:tc>
          <w:tcPr>
            <w:tcW w:w="860" w:type="dxa"/>
          </w:tcPr>
          <w:p w14:paraId="2618DA03"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0.454</w:t>
            </w:r>
          </w:p>
        </w:tc>
        <w:tc>
          <w:tcPr>
            <w:tcW w:w="880" w:type="dxa"/>
          </w:tcPr>
          <w:p w14:paraId="2270617C"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111</w:t>
            </w:r>
          </w:p>
        </w:tc>
        <w:tc>
          <w:tcPr>
            <w:tcW w:w="1118" w:type="dxa"/>
          </w:tcPr>
          <w:p w14:paraId="4C5894F5"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70</w:t>
            </w:r>
          </w:p>
        </w:tc>
        <w:tc>
          <w:tcPr>
            <w:tcW w:w="1246" w:type="dxa"/>
          </w:tcPr>
          <w:p w14:paraId="7D575CB5"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19.2</w:t>
            </w:r>
          </w:p>
        </w:tc>
        <w:tc>
          <w:tcPr>
            <w:tcW w:w="1185" w:type="dxa"/>
          </w:tcPr>
          <w:p w14:paraId="1B8C8690"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18.4</w:t>
            </w:r>
          </w:p>
        </w:tc>
        <w:tc>
          <w:tcPr>
            <w:tcW w:w="885" w:type="dxa"/>
          </w:tcPr>
          <w:p w14:paraId="7913110F"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29.1</w:t>
            </w:r>
          </w:p>
        </w:tc>
        <w:tc>
          <w:tcPr>
            <w:tcW w:w="729" w:type="dxa"/>
          </w:tcPr>
          <w:p w14:paraId="6B8268FA"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36.0</w:t>
            </w:r>
          </w:p>
        </w:tc>
        <w:tc>
          <w:tcPr>
            <w:tcW w:w="836" w:type="dxa"/>
          </w:tcPr>
          <w:p w14:paraId="05023AD5"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21.5</w:t>
            </w:r>
          </w:p>
        </w:tc>
        <w:tc>
          <w:tcPr>
            <w:tcW w:w="692" w:type="dxa"/>
          </w:tcPr>
          <w:p w14:paraId="4197A22B"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70.1</w:t>
            </w:r>
          </w:p>
        </w:tc>
      </w:tr>
      <w:tr w:rsidR="006F2F6D" w:rsidRPr="006A561F" w14:paraId="171FA518" w14:textId="77777777" w:rsidTr="0D4BD307">
        <w:tc>
          <w:tcPr>
            <w:tcW w:w="1272" w:type="dxa"/>
            <w:shd w:val="clear" w:color="auto" w:fill="DCEAD6" w:themeFill="text2" w:themeFillTint="33"/>
          </w:tcPr>
          <w:p w14:paraId="1FFC0541"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Palestine</w:t>
            </w:r>
          </w:p>
        </w:tc>
        <w:tc>
          <w:tcPr>
            <w:tcW w:w="860" w:type="dxa"/>
          </w:tcPr>
          <w:p w14:paraId="22626036"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n/a</w:t>
            </w:r>
          </w:p>
        </w:tc>
        <w:tc>
          <w:tcPr>
            <w:tcW w:w="880" w:type="dxa"/>
          </w:tcPr>
          <w:p w14:paraId="3311CA0A"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n/a</w:t>
            </w:r>
          </w:p>
        </w:tc>
        <w:tc>
          <w:tcPr>
            <w:tcW w:w="1118" w:type="dxa"/>
          </w:tcPr>
          <w:p w14:paraId="4C80B3FB"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27</w:t>
            </w:r>
          </w:p>
        </w:tc>
        <w:tc>
          <w:tcPr>
            <w:tcW w:w="1246" w:type="dxa"/>
          </w:tcPr>
          <w:p w14:paraId="00856F91"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52.8</w:t>
            </w:r>
          </w:p>
        </w:tc>
        <w:tc>
          <w:tcPr>
            <w:tcW w:w="1185" w:type="dxa"/>
          </w:tcPr>
          <w:p w14:paraId="1A15B6D0"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N/A</w:t>
            </w:r>
          </w:p>
        </w:tc>
        <w:tc>
          <w:tcPr>
            <w:tcW w:w="885" w:type="dxa"/>
          </w:tcPr>
          <w:p w14:paraId="4E1318B0"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63.5</w:t>
            </w:r>
          </w:p>
        </w:tc>
        <w:tc>
          <w:tcPr>
            <w:tcW w:w="729" w:type="dxa"/>
          </w:tcPr>
          <w:p w14:paraId="4DA6F616"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64.9</w:t>
            </w:r>
          </w:p>
        </w:tc>
        <w:tc>
          <w:tcPr>
            <w:tcW w:w="836" w:type="dxa"/>
          </w:tcPr>
          <w:p w14:paraId="193B7992"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17.7</w:t>
            </w:r>
          </w:p>
        </w:tc>
        <w:tc>
          <w:tcPr>
            <w:tcW w:w="692" w:type="dxa"/>
          </w:tcPr>
          <w:p w14:paraId="19B385C5"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69.5</w:t>
            </w:r>
          </w:p>
        </w:tc>
      </w:tr>
      <w:tr w:rsidR="006F2F6D" w:rsidRPr="006A561F" w14:paraId="52CF8079" w14:textId="77777777" w:rsidTr="0D4BD307">
        <w:tc>
          <w:tcPr>
            <w:tcW w:w="1272" w:type="dxa"/>
            <w:shd w:val="clear" w:color="auto" w:fill="DCEAD6" w:themeFill="text2" w:themeFillTint="33"/>
          </w:tcPr>
          <w:p w14:paraId="340D4AFB"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Tunisia</w:t>
            </w:r>
          </w:p>
        </w:tc>
        <w:tc>
          <w:tcPr>
            <w:tcW w:w="860" w:type="dxa"/>
          </w:tcPr>
          <w:p w14:paraId="7D026109"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0.296</w:t>
            </w:r>
          </w:p>
        </w:tc>
        <w:tc>
          <w:tcPr>
            <w:tcW w:w="880" w:type="dxa"/>
          </w:tcPr>
          <w:p w14:paraId="5F519F03"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65</w:t>
            </w:r>
          </w:p>
        </w:tc>
        <w:tc>
          <w:tcPr>
            <w:tcW w:w="1118" w:type="dxa"/>
          </w:tcPr>
          <w:p w14:paraId="594E22F6"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43</w:t>
            </w:r>
          </w:p>
        </w:tc>
        <w:tc>
          <w:tcPr>
            <w:tcW w:w="1246" w:type="dxa"/>
          </w:tcPr>
          <w:p w14:paraId="25A00E49"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14.6</w:t>
            </w:r>
          </w:p>
        </w:tc>
        <w:tc>
          <w:tcPr>
            <w:tcW w:w="1185" w:type="dxa"/>
          </w:tcPr>
          <w:p w14:paraId="0850D4F9"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22.6</w:t>
            </w:r>
          </w:p>
        </w:tc>
        <w:tc>
          <w:tcPr>
            <w:tcW w:w="885" w:type="dxa"/>
          </w:tcPr>
          <w:p w14:paraId="20070EC1"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42.4</w:t>
            </w:r>
          </w:p>
        </w:tc>
        <w:tc>
          <w:tcPr>
            <w:tcW w:w="729" w:type="dxa"/>
          </w:tcPr>
          <w:p w14:paraId="49CDC1BA"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54.6</w:t>
            </w:r>
          </w:p>
        </w:tc>
        <w:tc>
          <w:tcPr>
            <w:tcW w:w="836" w:type="dxa"/>
          </w:tcPr>
          <w:p w14:paraId="758DDE93"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23.8</w:t>
            </w:r>
          </w:p>
        </w:tc>
        <w:tc>
          <w:tcPr>
            <w:tcW w:w="692" w:type="dxa"/>
          </w:tcPr>
          <w:p w14:paraId="5EA09DB8"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69.4</w:t>
            </w:r>
          </w:p>
        </w:tc>
      </w:tr>
      <w:tr w:rsidR="006F2F6D" w:rsidRPr="006A561F" w14:paraId="55C634DD" w14:textId="77777777" w:rsidTr="0D4BD307">
        <w:tc>
          <w:tcPr>
            <w:tcW w:w="1272" w:type="dxa"/>
            <w:shd w:val="clear" w:color="auto" w:fill="DCEAD6" w:themeFill="text2" w:themeFillTint="33"/>
          </w:tcPr>
          <w:p w14:paraId="7D80799F"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Arab States</w:t>
            </w:r>
          </w:p>
        </w:tc>
        <w:tc>
          <w:tcPr>
            <w:tcW w:w="860" w:type="dxa"/>
          </w:tcPr>
          <w:p w14:paraId="44C6B688"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0.518</w:t>
            </w:r>
          </w:p>
        </w:tc>
        <w:tc>
          <w:tcPr>
            <w:tcW w:w="880" w:type="dxa"/>
          </w:tcPr>
          <w:p w14:paraId="16555D4B"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w:t>
            </w:r>
          </w:p>
        </w:tc>
        <w:tc>
          <w:tcPr>
            <w:tcW w:w="1118" w:type="dxa"/>
          </w:tcPr>
          <w:p w14:paraId="63E8D093"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135.4</w:t>
            </w:r>
          </w:p>
        </w:tc>
        <w:tc>
          <w:tcPr>
            <w:tcW w:w="1246" w:type="dxa"/>
          </w:tcPr>
          <w:p w14:paraId="7596786E"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46.8</w:t>
            </w:r>
          </w:p>
        </w:tc>
        <w:tc>
          <w:tcPr>
            <w:tcW w:w="1185" w:type="dxa"/>
          </w:tcPr>
          <w:p w14:paraId="28971CC8"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18.0</w:t>
            </w:r>
          </w:p>
        </w:tc>
        <w:tc>
          <w:tcPr>
            <w:tcW w:w="885" w:type="dxa"/>
          </w:tcPr>
          <w:p w14:paraId="4837F235"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49.3</w:t>
            </w:r>
          </w:p>
        </w:tc>
        <w:tc>
          <w:tcPr>
            <w:tcW w:w="729" w:type="dxa"/>
          </w:tcPr>
          <w:p w14:paraId="2553B505"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55.8</w:t>
            </w:r>
          </w:p>
        </w:tc>
        <w:tc>
          <w:tcPr>
            <w:tcW w:w="836" w:type="dxa"/>
          </w:tcPr>
          <w:p w14:paraId="17544B86"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20.7</w:t>
            </w:r>
          </w:p>
        </w:tc>
        <w:tc>
          <w:tcPr>
            <w:tcW w:w="692" w:type="dxa"/>
          </w:tcPr>
          <w:p w14:paraId="17E20AD4"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73.0</w:t>
            </w:r>
          </w:p>
        </w:tc>
      </w:tr>
      <w:tr w:rsidR="006F2F6D" w:rsidRPr="006A561F" w14:paraId="07B5B0FC" w14:textId="77777777" w:rsidTr="0D4BD307">
        <w:tc>
          <w:tcPr>
            <w:tcW w:w="1272" w:type="dxa"/>
            <w:shd w:val="clear" w:color="auto" w:fill="DCEAD6" w:themeFill="text2" w:themeFillTint="33"/>
          </w:tcPr>
          <w:p w14:paraId="2FE6F7ED"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High HDI</w:t>
            </w:r>
          </w:p>
        </w:tc>
        <w:tc>
          <w:tcPr>
            <w:tcW w:w="860" w:type="dxa"/>
          </w:tcPr>
          <w:p w14:paraId="4AC1F951"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0.340</w:t>
            </w:r>
          </w:p>
        </w:tc>
        <w:tc>
          <w:tcPr>
            <w:tcW w:w="880" w:type="dxa"/>
          </w:tcPr>
          <w:p w14:paraId="0E867770"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w:t>
            </w:r>
          </w:p>
        </w:tc>
        <w:tc>
          <w:tcPr>
            <w:tcW w:w="1118" w:type="dxa"/>
          </w:tcPr>
          <w:p w14:paraId="57A0C373"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62.3</w:t>
            </w:r>
          </w:p>
        </w:tc>
        <w:tc>
          <w:tcPr>
            <w:tcW w:w="1246" w:type="dxa"/>
          </w:tcPr>
          <w:p w14:paraId="4D7702B8"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33.6</w:t>
            </w:r>
          </w:p>
        </w:tc>
        <w:tc>
          <w:tcPr>
            <w:tcW w:w="1185" w:type="dxa"/>
          </w:tcPr>
          <w:p w14:paraId="69B034EB"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24.5</w:t>
            </w:r>
          </w:p>
        </w:tc>
        <w:tc>
          <w:tcPr>
            <w:tcW w:w="885" w:type="dxa"/>
          </w:tcPr>
          <w:p w14:paraId="27EB00AD"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69.8</w:t>
            </w:r>
          </w:p>
        </w:tc>
        <w:tc>
          <w:tcPr>
            <w:tcW w:w="729" w:type="dxa"/>
          </w:tcPr>
          <w:p w14:paraId="7D85B680"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75.1</w:t>
            </w:r>
          </w:p>
        </w:tc>
        <w:tc>
          <w:tcPr>
            <w:tcW w:w="836" w:type="dxa"/>
          </w:tcPr>
          <w:p w14:paraId="0DB73B8C"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54.2</w:t>
            </w:r>
          </w:p>
        </w:tc>
        <w:tc>
          <w:tcPr>
            <w:tcW w:w="692" w:type="dxa"/>
          </w:tcPr>
          <w:p w14:paraId="497424D4" w14:textId="77777777" w:rsidR="006F2F6D" w:rsidRPr="006A561F" w:rsidRDefault="096E9D01" w:rsidP="0D4BD307">
            <w:pPr>
              <w:tabs>
                <w:tab w:val="left" w:pos="1418"/>
              </w:tabs>
              <w:spacing w:before="60" w:after="60"/>
              <w:rPr>
                <w:color w:val="3B3B3C" w:themeColor="text1"/>
                <w:sz w:val="16"/>
                <w:szCs w:val="16"/>
              </w:rPr>
            </w:pPr>
            <w:r w:rsidRPr="0D4BD307">
              <w:rPr>
                <w:color w:val="3B3B3C" w:themeColor="text1"/>
                <w:sz w:val="16"/>
                <w:szCs w:val="16"/>
              </w:rPr>
              <w:t>75.4</w:t>
            </w:r>
          </w:p>
        </w:tc>
      </w:tr>
    </w:tbl>
    <w:p w14:paraId="60537076" w14:textId="77777777" w:rsidR="006F2F6D" w:rsidRPr="00C80D78" w:rsidRDefault="006F2F6D" w:rsidP="006F2F6D">
      <w:pPr>
        <w:tabs>
          <w:tab w:val="left" w:pos="1420"/>
        </w:tabs>
        <w:spacing w:before="120" w:after="120"/>
        <w:rPr>
          <w:b/>
          <w:bCs/>
          <w:color w:val="767171" w:themeColor="background2" w:themeShade="80"/>
          <w:sz w:val="18"/>
          <w:szCs w:val="18"/>
          <w:lang w:val="fr-FR" w:eastAsia="en-GB"/>
        </w:rPr>
      </w:pPr>
      <w:proofErr w:type="gramStart"/>
      <w:r w:rsidRPr="00C80D78">
        <w:rPr>
          <w:b/>
          <w:bCs/>
          <w:color w:val="767171" w:themeColor="background2" w:themeShade="80"/>
          <w:sz w:val="18"/>
          <w:szCs w:val="18"/>
          <w:lang w:val="fr-FR" w:eastAsia="en-GB"/>
        </w:rPr>
        <w:t>Source:</w:t>
      </w:r>
      <w:proofErr w:type="gramEnd"/>
      <w:r w:rsidRPr="00C80D78">
        <w:rPr>
          <w:b/>
          <w:bCs/>
          <w:color w:val="767171" w:themeColor="background2" w:themeShade="80"/>
          <w:sz w:val="18"/>
          <w:szCs w:val="18"/>
          <w:lang w:val="fr-FR" w:eastAsia="en-GB"/>
        </w:rPr>
        <w:t xml:space="preserve"> </w:t>
      </w:r>
      <w:r w:rsidRPr="00C80D78">
        <w:rPr>
          <w:color w:val="767171" w:themeColor="background2" w:themeShade="80"/>
          <w:sz w:val="18"/>
          <w:szCs w:val="18"/>
          <w:lang w:val="fr-FR" w:eastAsia="en-GB"/>
        </w:rPr>
        <w:t>http://hdr.undp.org/en/countries</w:t>
      </w:r>
    </w:p>
    <w:p w14:paraId="7C0E528E" w14:textId="77777777" w:rsidR="00024481" w:rsidRDefault="006F7934" w:rsidP="187325E8">
      <w:pPr>
        <w:jc w:val="both"/>
      </w:pPr>
      <w:r>
        <w:t xml:space="preserve">In terms of </w:t>
      </w:r>
      <w:r w:rsidR="007C40AD">
        <w:t>attitudes, behaviours and wider social norms, the multi-country IMAGES ‘Understanding Masculi</w:t>
      </w:r>
      <w:r w:rsidR="00B1177B">
        <w:t>nities study</w:t>
      </w:r>
      <w:r w:rsidR="007C40AD">
        <w:t xml:space="preserve"> (2017)</w:t>
      </w:r>
      <w:r w:rsidR="00B1177B">
        <w:t xml:space="preserve"> conducted across Egypt, </w:t>
      </w:r>
      <w:r w:rsidR="00391BBF">
        <w:t>Lebanon</w:t>
      </w:r>
      <w:r w:rsidR="00B1177B">
        <w:t xml:space="preserve"> </w:t>
      </w:r>
      <w:proofErr w:type="gramStart"/>
      <w:r w:rsidR="00B1177B">
        <w:t>Morocco</w:t>
      </w:r>
      <w:proofErr w:type="gramEnd"/>
      <w:r w:rsidR="00B1177B">
        <w:t xml:space="preserve"> and Palestine</w:t>
      </w:r>
      <w:r w:rsidR="00391BBF">
        <w:t xml:space="preserve">, revealed further societal barriers to gender equality and women’s empowerment in the region. </w:t>
      </w:r>
      <w:r w:rsidR="00126878">
        <w:t xml:space="preserve">For example, the study showed that </w:t>
      </w:r>
      <w:proofErr w:type="gramStart"/>
      <w:r w:rsidR="00126878">
        <w:t>the majority of</w:t>
      </w:r>
      <w:proofErr w:type="gramEnd"/>
      <w:r w:rsidR="00126878">
        <w:t xml:space="preserve"> men </w:t>
      </w:r>
      <w:r w:rsidR="00661DED">
        <w:t xml:space="preserve">(between 66% and 75%) </w:t>
      </w:r>
      <w:r w:rsidR="00126878">
        <w:t>perpetuate inequitable views with respect to women’s roles in society</w:t>
      </w:r>
      <w:r w:rsidR="00661DED">
        <w:t xml:space="preserve"> – such </w:t>
      </w:r>
      <w:r w:rsidR="00DF77A8">
        <w:t>as being the lead household carer</w:t>
      </w:r>
      <w:r w:rsidR="00126878">
        <w:t xml:space="preserve">. </w:t>
      </w:r>
      <w:r w:rsidR="00DF77A8">
        <w:t xml:space="preserve">Meanwhile, approximately half of women in the countries also support this notion, </w:t>
      </w:r>
      <w:proofErr w:type="gramStart"/>
      <w:r w:rsidR="00DF77A8">
        <w:t>and also</w:t>
      </w:r>
      <w:proofErr w:type="gramEnd"/>
      <w:r w:rsidR="00DF77A8">
        <w:t xml:space="preserve"> </w:t>
      </w:r>
      <w:r w:rsidR="00F1722B">
        <w:t xml:space="preserve">condone the notion of male guardianship. </w:t>
      </w:r>
      <w:r w:rsidR="006D4806">
        <w:t xml:space="preserve">These </w:t>
      </w:r>
      <w:r w:rsidR="006D4806">
        <w:lastRenderedPageBreak/>
        <w:t xml:space="preserve">views often extrapolate into the labour market, although younger generations show </w:t>
      </w:r>
      <w:r w:rsidR="00F72D9A">
        <w:t>more progressive attitudes. Overall, the study supports other evidence at the regional level that a comprehensive approach to women’s empowerment is required across multiple sub-systems (</w:t>
      </w:r>
      <w:proofErr w:type="gramStart"/>
      <w:r w:rsidR="00F1778B">
        <w:t>i.e.</w:t>
      </w:r>
      <w:proofErr w:type="gramEnd"/>
      <w:r w:rsidR="00F1778B">
        <w:t xml:space="preserve"> normative frameworks</w:t>
      </w:r>
      <w:r w:rsidR="00A76FA6">
        <w:t xml:space="preserve">, national </w:t>
      </w:r>
      <w:r w:rsidR="00F1778B">
        <w:t>policies</w:t>
      </w:r>
      <w:r w:rsidR="00A76FA6">
        <w:t xml:space="preserve"> and legal statutes</w:t>
      </w:r>
      <w:r w:rsidR="00F1778B">
        <w:t xml:space="preserve">, societal norms, </w:t>
      </w:r>
      <w:r w:rsidR="00A76FA6">
        <w:t>as well as</w:t>
      </w:r>
      <w:r w:rsidR="00F1778B">
        <w:t xml:space="preserve"> </w:t>
      </w:r>
      <w:r w:rsidR="00A76FA6">
        <w:t xml:space="preserve">household and individual level </w:t>
      </w:r>
      <w:r w:rsidR="00663B6B">
        <w:t>engagements)/</w:t>
      </w:r>
    </w:p>
    <w:p w14:paraId="4C81FCCF" w14:textId="77777777" w:rsidR="00024481" w:rsidRDefault="00024481"/>
    <w:p w14:paraId="31CC6858" w14:textId="77777777" w:rsidR="007F6DFD" w:rsidRPr="003D597E" w:rsidRDefault="00024481" w:rsidP="187325E8">
      <w:pPr>
        <w:jc w:val="both"/>
        <w:rPr>
          <w:rFonts w:ascii="CubeOT" w:hAnsi="CubeOT"/>
          <w:color w:val="E37230" w:themeColor="accent2"/>
          <w:sz w:val="36"/>
          <w:szCs w:val="36"/>
        </w:rPr>
      </w:pPr>
      <w:proofErr w:type="gramStart"/>
      <w:r>
        <w:t>A majority of</w:t>
      </w:r>
      <w:proofErr w:type="gramEnd"/>
      <w:r>
        <w:t xml:space="preserve"> men interviewed in the four countries support mostly inequitable views when it comes to women’s roles. For example, two-thirds to more than three-quarters of men support the notion that a woman’s most important role is to care for the household. Women often internalize these same inequitable views: about half or more of women 15 across the four countries support the same idea. In addition, strong majorities of men believe it is their role to monitor and control the movements of the women and girls in their households, a practice most men recalled starting in childhood. In some countries, majorities of women not only affirm but also appear to accept male guardianship; in others, they challenge the idea, in theory if not in practice.</w:t>
      </w:r>
      <w:r>
        <w:br w:type="page"/>
      </w:r>
    </w:p>
    <w:p w14:paraId="09CBB4F7" w14:textId="386D1DAD" w:rsidR="006F2F6D" w:rsidRPr="006A561F" w:rsidRDefault="40E44CAF" w:rsidP="40E44CAF">
      <w:pPr>
        <w:pStyle w:val="ItadH1"/>
        <w:spacing w:before="240" w:after="120"/>
      </w:pPr>
      <w:bookmarkStart w:id="10" w:name="_Toc123126196"/>
      <w:r>
        <w:lastRenderedPageBreak/>
        <w:t xml:space="preserve">2. </w:t>
      </w:r>
      <w:r w:rsidR="3D2807EF">
        <w:t>The M</w:t>
      </w:r>
      <w:r w:rsidR="00047EBD">
        <w:t xml:space="preserve">en and </w:t>
      </w:r>
      <w:r w:rsidR="3D2807EF">
        <w:t>W</w:t>
      </w:r>
      <w:r w:rsidR="00047EBD">
        <w:t xml:space="preserve">omen for Gender </w:t>
      </w:r>
      <w:r w:rsidR="3D2807EF">
        <w:t>E</w:t>
      </w:r>
      <w:r w:rsidR="00047EBD">
        <w:t>quality (MWGE)</w:t>
      </w:r>
      <w:r w:rsidR="3D2807EF">
        <w:t xml:space="preserve"> Programme</w:t>
      </w:r>
      <w:bookmarkEnd w:id="10"/>
    </w:p>
    <w:p w14:paraId="66EA15A9" w14:textId="77777777" w:rsidR="006F2F6D" w:rsidRPr="006A561F" w:rsidRDefault="4A9C25D6" w:rsidP="40E44CAF">
      <w:pPr>
        <w:pStyle w:val="ItadH3"/>
        <w:ind w:left="360"/>
        <w:rPr>
          <w:lang w:val="en-GB"/>
        </w:rPr>
      </w:pPr>
      <w:r w:rsidRPr="40E44CAF">
        <w:rPr>
          <w:lang w:val="en-GB"/>
        </w:rPr>
        <w:t xml:space="preserve">2.1 </w:t>
      </w:r>
      <w:r w:rsidR="2EB69C48" w:rsidRPr="40E44CAF">
        <w:rPr>
          <w:lang w:val="en-GB"/>
        </w:rPr>
        <w:t>Workstreams and outcomes</w:t>
      </w:r>
    </w:p>
    <w:p w14:paraId="3D4DDB7F" w14:textId="77777777" w:rsidR="006F2F6D" w:rsidRPr="006A561F" w:rsidRDefault="006F2F6D" w:rsidP="0099297D">
      <w:pPr>
        <w:pStyle w:val="ItadNormalText"/>
        <w:jc w:val="both"/>
        <w:rPr>
          <w:b/>
          <w:bCs/>
        </w:rPr>
      </w:pPr>
      <w:r>
        <w:t xml:space="preserve">UN Women’s MWGE programme has been implemented across six countries (Egypt, Jordan, Lebanon, Morocco, </w:t>
      </w:r>
      <w:proofErr w:type="gramStart"/>
      <w:r>
        <w:t>Palestine</w:t>
      </w:r>
      <w:proofErr w:type="gramEnd"/>
      <w:r>
        <w:t xml:space="preserve"> and Tunisia) in two phases between 2015 and 2022, with the aim of better understanding dominant social norms in the </w:t>
      </w:r>
      <w:r w:rsidR="0073654D">
        <w:t>MENA</w:t>
      </w:r>
      <w:r>
        <w:t xml:space="preserve"> region and transforming these to become more gender equitable. The programme deliberately targeted both men and women of different ages and social backgrounds for this purpose. The programme has been funded by </w:t>
      </w:r>
      <w:proofErr w:type="spellStart"/>
      <w:r>
        <w:t>Sida</w:t>
      </w:r>
      <w:proofErr w:type="spellEnd"/>
      <w:r>
        <w:t>.</w:t>
      </w:r>
    </w:p>
    <w:p w14:paraId="6EEA6E93" w14:textId="77777777" w:rsidR="3774BE70" w:rsidRDefault="3774BE70" w:rsidP="4977AA67">
      <w:pPr>
        <w:pStyle w:val="ItadNormalText"/>
        <w:jc w:val="both"/>
        <w:rPr>
          <w:rFonts w:asciiTheme="minorHAnsi" w:eastAsiaTheme="minorEastAsia" w:hAnsiTheme="minorHAnsi" w:cstheme="minorBidi"/>
          <w:color w:val="auto"/>
        </w:rPr>
      </w:pPr>
      <w:r>
        <w:t xml:space="preserve">Phase I ran from 2015 </w:t>
      </w:r>
      <w:r w:rsidR="7D5B66F1">
        <w:t>to</w:t>
      </w:r>
      <w:r>
        <w:t xml:space="preserve"> 2019 and was implemented in Egypt, Lebanon, </w:t>
      </w:r>
      <w:proofErr w:type="gramStart"/>
      <w:r>
        <w:t>Morocco</w:t>
      </w:r>
      <w:proofErr w:type="gramEnd"/>
      <w:r>
        <w:t xml:space="preserve"> and Palestine. It consisted mainly of conducting the International Men and Gender Equality Survey (IMAGES) in these countries, using this for evidence-based advocacy, building the capacity of local C</w:t>
      </w:r>
      <w:r w:rsidR="0BFB772C">
        <w:t xml:space="preserve">ivil </w:t>
      </w:r>
      <w:r>
        <w:t>S</w:t>
      </w:r>
      <w:r w:rsidR="0C23190F">
        <w:t xml:space="preserve">ociety </w:t>
      </w:r>
      <w:r>
        <w:t>O</w:t>
      </w:r>
      <w:r w:rsidR="1305CB2F">
        <w:t>rganisation</w:t>
      </w:r>
      <w:r>
        <w:t>s</w:t>
      </w:r>
      <w:r w:rsidR="7609F41E">
        <w:t xml:space="preserve"> (CSOs)</w:t>
      </w:r>
      <w:r>
        <w:t xml:space="preserve"> and conducting regional and national dialogues between CSOs. Furthermore, the first phase included a regional component on women’s rights in Islam. Phase II was implemented in 2019–2022 and continued work in the previous four countries, while also expanding to Jordan and Tunisia. </w:t>
      </w:r>
    </w:p>
    <w:p w14:paraId="32A0FCA2" w14:textId="77777777" w:rsidR="79DEDC79" w:rsidRDefault="79DEDC79" w:rsidP="4977AA67">
      <w:pPr>
        <w:pStyle w:val="ItadNormalText"/>
        <w:jc w:val="both"/>
        <w:rPr>
          <w:rFonts w:asciiTheme="minorHAnsi" w:eastAsiaTheme="minorEastAsia" w:hAnsiTheme="minorHAnsi" w:cstheme="minorBidi"/>
          <w:color w:val="auto"/>
        </w:rPr>
      </w:pPr>
      <w:r w:rsidRPr="4977AA67">
        <w:rPr>
          <w:rFonts w:asciiTheme="minorHAnsi" w:eastAsiaTheme="minorEastAsia" w:hAnsiTheme="minorHAnsi" w:cstheme="minorBidi"/>
          <w:color w:val="auto"/>
        </w:rPr>
        <w:t xml:space="preserve">Programme </w:t>
      </w:r>
      <w:proofErr w:type="spellStart"/>
      <w:r w:rsidR="1FCA79CA" w:rsidRPr="4977AA67">
        <w:rPr>
          <w:rFonts w:asciiTheme="minorHAnsi" w:eastAsiaTheme="minorEastAsia" w:hAnsiTheme="minorHAnsi" w:cstheme="minorBidi"/>
          <w:color w:val="auto"/>
        </w:rPr>
        <w:t>ToC</w:t>
      </w:r>
      <w:proofErr w:type="spellEnd"/>
      <w:r w:rsidR="1FCA79CA" w:rsidRPr="4977AA67">
        <w:rPr>
          <w:rFonts w:asciiTheme="minorHAnsi" w:eastAsiaTheme="minorEastAsia" w:hAnsiTheme="minorHAnsi" w:cstheme="minorBidi"/>
          <w:color w:val="auto"/>
        </w:rPr>
        <w:t xml:space="preserve"> in Phase I and Phase II: </w:t>
      </w:r>
      <w:r w:rsidR="1FCA79CA" w:rsidRPr="001F7344">
        <w:rPr>
          <w:rFonts w:asciiTheme="minorHAnsi" w:eastAsiaTheme="minorEastAsia" w:hAnsiTheme="minorHAnsi" w:cstheme="minorBidi"/>
          <w:color w:val="auto"/>
        </w:rPr>
        <w:t>The programme theory across both Phases I and II dr</w:t>
      </w:r>
      <w:r w:rsidR="265F0ABA" w:rsidRPr="001F7344">
        <w:rPr>
          <w:rFonts w:asciiTheme="minorHAnsi" w:eastAsiaTheme="minorEastAsia" w:hAnsiTheme="minorHAnsi" w:cstheme="minorBidi"/>
          <w:color w:val="auto"/>
        </w:rPr>
        <w:t>ove</w:t>
      </w:r>
      <w:r w:rsidR="1FCA79CA" w:rsidRPr="001F7344">
        <w:rPr>
          <w:rFonts w:asciiTheme="minorHAnsi" w:eastAsiaTheme="minorEastAsia" w:hAnsiTheme="minorHAnsi" w:cstheme="minorBidi"/>
          <w:color w:val="auto"/>
        </w:rPr>
        <w:t xml:space="preserve"> toward an impact-level change to enable men and women in Arab societies to equally exercise their rights and participate as active citizens</w:t>
      </w:r>
      <w:r w:rsidRPr="001F7344">
        <w:rPr>
          <w:rFonts w:asciiTheme="minorHAnsi" w:eastAsiaTheme="minorEastAsia" w:hAnsiTheme="minorHAnsi" w:cstheme="minorBidi"/>
          <w:color w:val="auto"/>
          <w:vertAlign w:val="superscript"/>
        </w:rPr>
        <w:footnoteReference w:id="33"/>
      </w:r>
      <w:r w:rsidR="1FCA79CA" w:rsidRPr="001F7344">
        <w:rPr>
          <w:rFonts w:asciiTheme="minorHAnsi" w:eastAsiaTheme="minorEastAsia" w:hAnsiTheme="minorHAnsi" w:cstheme="minorBidi"/>
          <w:color w:val="auto"/>
        </w:rPr>
        <w:t>. However, the programme theory evolved between the two phases, adapting to lessons learned.</w:t>
      </w:r>
    </w:p>
    <w:p w14:paraId="650896CF" w14:textId="78098143" w:rsidR="1FCA79CA" w:rsidRDefault="1FCA79CA" w:rsidP="4977AA67">
      <w:pPr>
        <w:pStyle w:val="ItadNormalText"/>
        <w:jc w:val="both"/>
      </w:pPr>
      <w:r>
        <w:t xml:space="preserve">The Phase I </w:t>
      </w:r>
      <w:proofErr w:type="gramStart"/>
      <w:r>
        <w:t>programme</w:t>
      </w:r>
      <w:proofErr w:type="gramEnd"/>
      <w:r>
        <w:t xml:space="preserve"> </w:t>
      </w:r>
      <w:proofErr w:type="spellStart"/>
      <w:r>
        <w:t>ToC</w:t>
      </w:r>
      <w:proofErr w:type="spellEnd"/>
      <w:r>
        <w:t xml:space="preserve"> was expressed through the results framework, which depict</w:t>
      </w:r>
      <w:r w:rsidR="00047EBD">
        <w:t>ed</w:t>
      </w:r>
      <w:r>
        <w:t xml:space="preserve"> output and outcome statements. The Phase I theory focused on creating change among communities and civil society actors through capacity building, networking and advocacy, evidence-based </w:t>
      </w:r>
      <w:proofErr w:type="gramStart"/>
      <w:r>
        <w:t>research</w:t>
      </w:r>
      <w:proofErr w:type="gramEnd"/>
      <w:r>
        <w:t xml:space="preserve"> and community engagement towards impact-level change (see Annex 2 for targets and achievements).</w:t>
      </w:r>
    </w:p>
    <w:p w14:paraId="158E79BD" w14:textId="77777777" w:rsidR="1FCA79CA" w:rsidRDefault="1FCA79CA" w:rsidP="4977AA67">
      <w:pPr>
        <w:pStyle w:val="ItadNormalText"/>
        <w:jc w:val="both"/>
      </w:pPr>
      <w:r>
        <w:t>In contrast, the Phase II theory reframe</w:t>
      </w:r>
      <w:r w:rsidR="746E443B">
        <w:t>d</w:t>
      </w:r>
      <w:r>
        <w:t xml:space="preserve"> UN Women’s approach towards creating change across macro level (laws and policy), </w:t>
      </w:r>
      <w:proofErr w:type="spellStart"/>
      <w:r>
        <w:t>meso</w:t>
      </w:r>
      <w:proofErr w:type="spellEnd"/>
      <w:r>
        <w:t xml:space="preserve"> level (institutions and networks) and micro level (communities and individuals).</w:t>
      </w:r>
    </w:p>
    <w:p w14:paraId="15E108C7" w14:textId="77777777" w:rsidR="1FCA79CA" w:rsidRDefault="1FCA79CA" w:rsidP="4977AA67">
      <w:pPr>
        <w:pStyle w:val="ItadNormalText"/>
        <w:jc w:val="both"/>
      </w:pPr>
      <w:r>
        <w:t xml:space="preserve">With the introduction of this framing, there </w:t>
      </w:r>
      <w:r w:rsidR="1761C74C">
        <w:t>was</w:t>
      </w:r>
      <w:r>
        <w:t xml:space="preserve"> a more prominent emphasis on targeting key institutions – including universities, schools, governments and ministries as well as media and faith-based organisations – to institutionalise gender approaches toward greater sustainability.</w:t>
      </w:r>
      <w:r w:rsidRPr="4977AA67">
        <w:rPr>
          <w:rStyle w:val="FootnoteReference"/>
          <w:rFonts w:cstheme="minorBidi"/>
          <w:sz w:val="22"/>
          <w:szCs w:val="22"/>
        </w:rPr>
        <w:footnoteReference w:id="34"/>
      </w:r>
      <w:r>
        <w:t xml:space="preserve"> Phase II outputs also introduced new interventions – including fatherhood activities as an entry point to engage men in the community (a strategy identified through the Phase I IMAGES surveys)</w:t>
      </w:r>
      <w:r w:rsidRPr="4977AA67">
        <w:rPr>
          <w:rStyle w:val="FootnoteReference"/>
          <w:rFonts w:cstheme="minorBidi"/>
          <w:sz w:val="22"/>
          <w:szCs w:val="22"/>
        </w:rPr>
        <w:footnoteReference w:id="35"/>
      </w:r>
      <w:r>
        <w:t xml:space="preserve"> and developing the capacity of government decision makers – alongside continuing CSO and community engagement activities from Phase I.</w:t>
      </w:r>
    </w:p>
    <w:p w14:paraId="751A67D9" w14:textId="1FB0D7CF" w:rsidR="1FCA79CA" w:rsidRDefault="1FCA79CA" w:rsidP="4977AA67">
      <w:pPr>
        <w:pStyle w:val="ItadNormalText"/>
        <w:jc w:val="both"/>
      </w:pPr>
      <w:r>
        <w:t xml:space="preserve">The Phase II </w:t>
      </w:r>
      <w:proofErr w:type="spellStart"/>
      <w:r>
        <w:t>ToC</w:t>
      </w:r>
      <w:proofErr w:type="spellEnd"/>
      <w:r>
        <w:t xml:space="preserve"> also place</w:t>
      </w:r>
      <w:r w:rsidR="5207C90B">
        <w:t>d</w:t>
      </w:r>
      <w:r>
        <w:t xml:space="preserve"> a greater emphasis on internal learning and knowledge management. The role of the regional office in cultivating partnerships, facilitating cross-country programme learning, implementing regional-level </w:t>
      </w:r>
      <w:proofErr w:type="gramStart"/>
      <w:r>
        <w:t>campaigns</w:t>
      </w:r>
      <w:proofErr w:type="gramEnd"/>
      <w:r>
        <w:t xml:space="preserve"> and acting as a knowledge hub cut across the whole theory. An indicator to monitor this was introduced to the Phase II Results Framework accordingly.</w:t>
      </w:r>
      <w:r w:rsidRPr="4977AA67">
        <w:rPr>
          <w:rStyle w:val="FootnoteReference"/>
          <w:rFonts w:cstheme="minorBidi"/>
          <w:sz w:val="22"/>
          <w:szCs w:val="22"/>
        </w:rPr>
        <w:footnoteReference w:id="36"/>
      </w:r>
      <w:r w:rsidR="2C1A4F28">
        <w:t xml:space="preserve"> </w:t>
      </w:r>
      <w:r>
        <w:t xml:space="preserve">A diagrammatic </w:t>
      </w:r>
      <w:proofErr w:type="spellStart"/>
      <w:r>
        <w:t>ToC</w:t>
      </w:r>
      <w:proofErr w:type="spellEnd"/>
      <w:r>
        <w:t xml:space="preserve"> was introduced in Phase II to depict this. (It can be found, with EQs mapped onto it, in Annex 17.)</w:t>
      </w:r>
    </w:p>
    <w:p w14:paraId="110EDA75" w14:textId="77777777" w:rsidR="1FCA79CA" w:rsidRDefault="1FCA79CA" w:rsidP="4977AA67">
      <w:pPr>
        <w:pStyle w:val="ItadNormalText"/>
        <w:jc w:val="both"/>
      </w:pPr>
      <w:r>
        <w:t>It should be noted however that Phase II had a deficit of over 3 million USD for Outcomes 2 and 3, and thus there was a very limited budget for work under these two outcomes at the country-level in the four countries of Phase I.</w:t>
      </w:r>
      <w:r w:rsidRPr="4977AA67">
        <w:rPr>
          <w:rStyle w:val="FootnoteReference"/>
        </w:rPr>
        <w:footnoteReference w:id="37"/>
      </w:r>
    </w:p>
    <w:p w14:paraId="01DF8044" w14:textId="5417447F" w:rsidR="1B169390" w:rsidRDefault="1B169390" w:rsidP="4977AA67">
      <w:pPr>
        <w:pStyle w:val="ItadNormalText"/>
        <w:jc w:val="both"/>
      </w:pPr>
      <w:r>
        <w:t xml:space="preserve">In the initial four countries, Phase II included: advocacy and awareness raising campaigns; community-based interventions focusing on changing gender attitudes, </w:t>
      </w:r>
      <w:proofErr w:type="gramStart"/>
      <w:r>
        <w:t>behaviours</w:t>
      </w:r>
      <w:proofErr w:type="gramEnd"/>
      <w:r>
        <w:t xml:space="preserve"> and norms; and lobbying for legislative </w:t>
      </w:r>
      <w:r>
        <w:lastRenderedPageBreak/>
        <w:t>changes. In Jordan and Tunisia, Phase II activities had focused mainly on conducting the IMAGES study. The regional component on gender norms in Islam was also continued- see table 3</w:t>
      </w:r>
    </w:p>
    <w:p w14:paraId="1BAB94EE" w14:textId="77777777" w:rsidR="001F7344" w:rsidRDefault="001F7344" w:rsidP="4977AA67">
      <w:pPr>
        <w:pStyle w:val="ItadNormalText"/>
        <w:jc w:val="both"/>
      </w:pPr>
    </w:p>
    <w:p w14:paraId="7648684C" w14:textId="77777777" w:rsidR="1B169390" w:rsidRDefault="1B169390" w:rsidP="4977AA67">
      <w:pPr>
        <w:pStyle w:val="Itadtablestyle"/>
      </w:pPr>
      <w:bookmarkStart w:id="11" w:name="_Toc123126096"/>
      <w:r>
        <w:t>MWGE programme outcomes (Phases I and II)</w:t>
      </w:r>
      <w:bookmarkEnd w:id="11"/>
    </w:p>
    <w:tbl>
      <w:tblPr>
        <w:tblStyle w:val="TableGrid"/>
        <w:tblW w:w="0" w:type="auto"/>
        <w:tblLook w:val="04A0" w:firstRow="1" w:lastRow="0" w:firstColumn="1" w:lastColumn="0" w:noHBand="0" w:noVBand="1"/>
      </w:tblPr>
      <w:tblGrid>
        <w:gridCol w:w="4757"/>
        <w:gridCol w:w="4757"/>
      </w:tblGrid>
      <w:tr w:rsidR="4977AA67" w14:paraId="269CD3F3" w14:textId="77777777" w:rsidTr="4977AA67">
        <w:trPr>
          <w:trHeight w:val="245"/>
        </w:trPr>
        <w:tc>
          <w:tcPr>
            <w:tcW w:w="4757" w:type="dxa"/>
            <w:shd w:val="clear" w:color="auto" w:fill="588B46" w:themeFill="text2"/>
          </w:tcPr>
          <w:p w14:paraId="52D62345" w14:textId="77777777" w:rsidR="4977AA67" w:rsidRDefault="4977AA67" w:rsidP="4977AA67">
            <w:pPr>
              <w:pStyle w:val="Itadtabletext"/>
              <w:rPr>
                <w:color w:val="FFFFFF" w:themeColor="background1"/>
              </w:rPr>
            </w:pPr>
            <w:r w:rsidRPr="4977AA67">
              <w:rPr>
                <w:color w:val="FFFFFF" w:themeColor="background1"/>
              </w:rPr>
              <w:t>Phase I</w:t>
            </w:r>
          </w:p>
        </w:tc>
        <w:tc>
          <w:tcPr>
            <w:tcW w:w="4757" w:type="dxa"/>
            <w:shd w:val="clear" w:color="auto" w:fill="588B46" w:themeFill="text2"/>
          </w:tcPr>
          <w:p w14:paraId="7C1401FA" w14:textId="77777777" w:rsidR="4977AA67" w:rsidRDefault="4977AA67" w:rsidP="4977AA67">
            <w:pPr>
              <w:pStyle w:val="Itadtabletext"/>
              <w:rPr>
                <w:color w:val="FFFFFF" w:themeColor="background1"/>
              </w:rPr>
            </w:pPr>
            <w:r w:rsidRPr="4977AA67">
              <w:rPr>
                <w:color w:val="FFFFFF" w:themeColor="background1"/>
              </w:rPr>
              <w:t>Phase II</w:t>
            </w:r>
          </w:p>
        </w:tc>
      </w:tr>
      <w:tr w:rsidR="4977AA67" w14:paraId="7769A03E" w14:textId="77777777" w:rsidTr="4977AA67">
        <w:trPr>
          <w:trHeight w:val="245"/>
        </w:trPr>
        <w:tc>
          <w:tcPr>
            <w:tcW w:w="4757" w:type="dxa"/>
            <w:shd w:val="clear" w:color="auto" w:fill="FFFFFF" w:themeFill="background1"/>
          </w:tcPr>
          <w:p w14:paraId="697BDC21" w14:textId="77777777" w:rsidR="4977AA67" w:rsidRDefault="4977AA67" w:rsidP="4977AA67">
            <w:pPr>
              <w:pStyle w:val="Itadtabletext"/>
            </w:pPr>
            <w:r w:rsidRPr="4977AA67">
              <w:rPr>
                <w:u w:val="single"/>
              </w:rPr>
              <w:t>Outcome 1</w:t>
            </w:r>
            <w:r>
              <w:t>: CSOs and other actors contribute towards legislative and policy change through evidence-based advocacy</w:t>
            </w:r>
          </w:p>
          <w:p w14:paraId="4FB8C96F" w14:textId="77777777" w:rsidR="4977AA67" w:rsidRDefault="4977AA67" w:rsidP="4977AA67">
            <w:pPr>
              <w:pStyle w:val="Itadtabletext"/>
            </w:pPr>
            <w:r w:rsidRPr="4977AA67">
              <w:rPr>
                <w:u w:val="single"/>
              </w:rPr>
              <w:t>Outcome 2:</w:t>
            </w:r>
            <w:r>
              <w:t xml:space="preserve"> Civil society, including new and emerging movements, promotes gender equality effectively</w:t>
            </w:r>
          </w:p>
          <w:p w14:paraId="7F14934B" w14:textId="77777777" w:rsidR="4977AA67" w:rsidRDefault="4977AA67" w:rsidP="4977AA67">
            <w:pPr>
              <w:pStyle w:val="Itadtabletext"/>
            </w:pPr>
            <w:r w:rsidRPr="4977AA67">
              <w:rPr>
                <w:u w:val="single"/>
              </w:rPr>
              <w:t>Outcome 3:</w:t>
            </w:r>
            <w:r>
              <w:t xml:space="preserve"> Communities engage in developing solutions to promote gender equality based on innovative approaches and best practices</w:t>
            </w:r>
            <w:r w:rsidRPr="4977AA67">
              <w:rPr>
                <w:sz w:val="22"/>
                <w:vertAlign w:val="superscript"/>
              </w:rPr>
              <w:footnoteReference w:id="38"/>
            </w:r>
          </w:p>
        </w:tc>
        <w:tc>
          <w:tcPr>
            <w:tcW w:w="4757" w:type="dxa"/>
            <w:shd w:val="clear" w:color="auto" w:fill="FFFFFF" w:themeFill="background1"/>
          </w:tcPr>
          <w:p w14:paraId="53639AA2" w14:textId="77777777" w:rsidR="4977AA67" w:rsidRDefault="4977AA67" w:rsidP="4977AA67">
            <w:pPr>
              <w:pStyle w:val="Itadtabletext"/>
            </w:pPr>
            <w:r w:rsidRPr="4977AA67">
              <w:rPr>
                <w:u w:val="single"/>
              </w:rPr>
              <w:t>Outcome 1:</w:t>
            </w:r>
            <w:r>
              <w:t xml:space="preserve"> Communities have more gender equitable behaviours</w:t>
            </w:r>
          </w:p>
          <w:p w14:paraId="2F301264" w14:textId="77777777" w:rsidR="4977AA67" w:rsidRDefault="4977AA67" w:rsidP="4977AA67">
            <w:pPr>
              <w:pStyle w:val="Itadtabletext"/>
            </w:pPr>
            <w:r w:rsidRPr="4977AA67">
              <w:rPr>
                <w:u w:val="single"/>
              </w:rPr>
              <w:t>Outcome 2:</w:t>
            </w:r>
            <w:r>
              <w:t xml:space="preserve"> Key regional and national institutions (government, academia, faith-based institutions, media) and regional networks integrate/promote gender responsive practices</w:t>
            </w:r>
          </w:p>
          <w:p w14:paraId="623E627D" w14:textId="77777777" w:rsidR="4977AA67" w:rsidRDefault="4977AA67" w:rsidP="4977AA67">
            <w:pPr>
              <w:pStyle w:val="Itadtabletext"/>
            </w:pPr>
            <w:r w:rsidRPr="4977AA67">
              <w:rPr>
                <w:u w:val="single"/>
              </w:rPr>
              <w:t>Outcome 3:</w:t>
            </w:r>
            <w:r>
              <w:t xml:space="preserve"> Laws, policies and strategies promoting gender equality are drafted, revised and/or approved</w:t>
            </w:r>
            <w:r w:rsidRPr="4977AA67">
              <w:rPr>
                <w:sz w:val="22"/>
                <w:vertAlign w:val="superscript"/>
              </w:rPr>
              <w:footnoteReference w:id="39"/>
            </w:r>
          </w:p>
          <w:p w14:paraId="0E553F4A" w14:textId="77777777" w:rsidR="4977AA67" w:rsidRDefault="4977AA67" w:rsidP="4977AA67">
            <w:pPr>
              <w:pStyle w:val="Itadtabletext"/>
            </w:pPr>
            <w:r w:rsidRPr="4977AA67">
              <w:rPr>
                <w:u w:val="single"/>
              </w:rPr>
              <w:t>Outcome 4:</w:t>
            </w:r>
            <w:r>
              <w:t xml:space="preserve"> Effective management and coordination of programme</w:t>
            </w:r>
            <w:r w:rsidRPr="4977AA67">
              <w:rPr>
                <w:rStyle w:val="FootnoteReference"/>
                <w:sz w:val="22"/>
                <w:szCs w:val="22"/>
              </w:rPr>
              <w:footnoteReference w:id="40"/>
            </w:r>
          </w:p>
        </w:tc>
      </w:tr>
    </w:tbl>
    <w:p w14:paraId="2A356ABA" w14:textId="77777777" w:rsidR="4977AA67" w:rsidRDefault="4977AA67" w:rsidP="4977AA67">
      <w:pPr>
        <w:pStyle w:val="ItadNormalText"/>
        <w:rPr>
          <w:lang w:eastAsia="en-CA"/>
        </w:rPr>
      </w:pPr>
    </w:p>
    <w:p w14:paraId="5E4C3351" w14:textId="77777777" w:rsidR="006F2F6D" w:rsidRPr="006A561F" w:rsidRDefault="3774BE70" w:rsidP="00DD6CEB">
      <w:pPr>
        <w:pStyle w:val="ItadNormalText"/>
        <w:rPr>
          <w:lang w:eastAsia="en-CA"/>
        </w:rPr>
      </w:pPr>
      <w:r w:rsidRPr="4977AA67">
        <w:rPr>
          <w:lang w:eastAsia="en-CA"/>
        </w:rPr>
        <w:t>The MWGE programme consisted primarily of</w:t>
      </w:r>
      <w:r w:rsidR="3A47AE00" w:rsidRPr="4977AA67">
        <w:rPr>
          <w:lang w:eastAsia="en-CA"/>
        </w:rPr>
        <w:t xml:space="preserve"> following interventions</w:t>
      </w:r>
      <w:r w:rsidR="5F760D1A" w:rsidRPr="4977AA67">
        <w:rPr>
          <w:lang w:eastAsia="en-CA"/>
        </w:rPr>
        <w:t>:</w:t>
      </w:r>
    </w:p>
    <w:p w14:paraId="2C598AC9" w14:textId="77777777" w:rsidR="006F2F6D" w:rsidRPr="006A561F" w:rsidRDefault="34E33E4E">
      <w:pPr>
        <w:pStyle w:val="ItadNormalText"/>
        <w:numPr>
          <w:ilvl w:val="0"/>
          <w:numId w:val="36"/>
        </w:numPr>
      </w:pPr>
      <w:r w:rsidRPr="006A561F">
        <w:rPr>
          <w:b/>
          <w:bCs/>
        </w:rPr>
        <w:t>Research and data generation:</w:t>
      </w:r>
      <w:r w:rsidRPr="006A561F">
        <w:t xml:space="preserve"> producing cutting-edge evidence and data to fill the existing evidence gap in the region, </w:t>
      </w:r>
      <w:proofErr w:type="gramStart"/>
      <w:r w:rsidRPr="4977AA67">
        <w:rPr>
          <w:rFonts w:eastAsia="Times New Roman" w:cstheme="minorBidi"/>
          <w:color w:val="000000"/>
          <w:lang w:eastAsia="en-CA"/>
        </w:rPr>
        <w:t>in particular through</w:t>
      </w:r>
      <w:proofErr w:type="gramEnd"/>
      <w:r w:rsidRPr="4977AA67">
        <w:rPr>
          <w:rFonts w:eastAsia="Times New Roman" w:cstheme="minorBidi"/>
          <w:color w:val="000000"/>
          <w:lang w:eastAsia="en-CA"/>
        </w:rPr>
        <w:t xml:space="preserve"> the </w:t>
      </w:r>
      <w:r w:rsidRPr="006A561F">
        <w:t>IMAGES studies</w:t>
      </w:r>
      <w:r w:rsidR="6353E0E5" w:rsidRPr="006A561F">
        <w:t>,</w:t>
      </w:r>
      <w:r w:rsidRPr="006A561F">
        <w:t xml:space="preserve"> which examined gender attitudes both regionally and in the six countries;</w:t>
      </w:r>
      <w:r w:rsidR="006F2F6D" w:rsidRPr="330CCC91">
        <w:rPr>
          <w:rStyle w:val="FootnoteReference"/>
          <w:sz w:val="22"/>
          <w:szCs w:val="22"/>
        </w:rPr>
        <w:footnoteReference w:id="41"/>
      </w:r>
    </w:p>
    <w:p w14:paraId="022E0B21" w14:textId="77777777" w:rsidR="006F2F6D" w:rsidRPr="006A561F" w:rsidRDefault="5E311E0D">
      <w:pPr>
        <w:pStyle w:val="ItadNormalText"/>
        <w:numPr>
          <w:ilvl w:val="0"/>
          <w:numId w:val="36"/>
        </w:numPr>
      </w:pPr>
      <w:r w:rsidRPr="103DA8AC">
        <w:rPr>
          <w:b/>
          <w:bCs/>
        </w:rPr>
        <w:t>Evidence-based advocacy:</w:t>
      </w:r>
      <w:r>
        <w:t xml:space="preserve"> advocacy for development of national policies and programmes on fatherhood and caregiving; gender socialisation; promoting the engagement of youth, with a focus on young men; Muslim family laws reforms for GEWE; </w:t>
      </w:r>
      <w:bookmarkStart w:id="12" w:name="_Hlk98175259"/>
      <w:r>
        <w:t xml:space="preserve">ending violence against women </w:t>
      </w:r>
      <w:bookmarkEnd w:id="12"/>
      <w:r>
        <w:t>(EVAW); and family-friendly workplace policies and equitable workplace practices, including through the regional</w:t>
      </w:r>
      <w:r w:rsidRPr="103DA8AC">
        <w:rPr>
          <w:rFonts w:eastAsia="Times New Roman" w:cstheme="minorBidi"/>
          <w:color w:val="000000"/>
          <w:lang w:eastAsia="en-CA"/>
        </w:rPr>
        <w:t xml:space="preserve"> Because I Am </w:t>
      </w:r>
      <w:proofErr w:type="gramStart"/>
      <w:r w:rsidRPr="103DA8AC">
        <w:rPr>
          <w:rFonts w:eastAsia="Times New Roman" w:cstheme="minorBidi"/>
          <w:color w:val="000000"/>
          <w:lang w:eastAsia="en-CA"/>
        </w:rPr>
        <w:t>A</w:t>
      </w:r>
      <w:proofErr w:type="gramEnd"/>
      <w:r w:rsidRPr="103DA8AC">
        <w:rPr>
          <w:rFonts w:eastAsia="Times New Roman" w:cstheme="minorBidi"/>
          <w:color w:val="000000"/>
          <w:lang w:eastAsia="en-CA"/>
        </w:rPr>
        <w:t xml:space="preserve"> Man (BIAM) campaign</w:t>
      </w:r>
      <w:r>
        <w:t>;</w:t>
      </w:r>
    </w:p>
    <w:p w14:paraId="3B6D96C1" w14:textId="77777777" w:rsidR="006F2F6D" w:rsidRPr="006A561F" w:rsidRDefault="34E33E4E">
      <w:pPr>
        <w:pStyle w:val="ItadNormalText"/>
        <w:numPr>
          <w:ilvl w:val="0"/>
          <w:numId w:val="36"/>
        </w:numPr>
        <w:rPr>
          <w:b/>
          <w:bCs/>
        </w:rPr>
      </w:pPr>
      <w:r w:rsidRPr="103DA8AC">
        <w:rPr>
          <w:b/>
          <w:bCs/>
        </w:rPr>
        <w:t xml:space="preserve">Community engagement, capacity development and youth networks: </w:t>
      </w:r>
      <w:r w:rsidR="6353E0E5">
        <w:t>i</w:t>
      </w:r>
      <w:r>
        <w:t xml:space="preserve">nterventions on gender norm change and positive parenting implemented by 25 </w:t>
      </w:r>
      <w:r w:rsidR="6353E0E5">
        <w:t>community-based organisations (</w:t>
      </w:r>
      <w:r>
        <w:t>CBOs</w:t>
      </w:r>
      <w:r w:rsidR="6353E0E5">
        <w:t>)</w:t>
      </w:r>
      <w:r>
        <w:t xml:space="preserve"> in selected communities in Egypt, Lebanon, </w:t>
      </w:r>
      <w:proofErr w:type="gramStart"/>
      <w:r>
        <w:t>Morocco</w:t>
      </w:r>
      <w:proofErr w:type="gramEnd"/>
      <w:r>
        <w:t xml:space="preserve"> and Palestine with communities to test, replicate and scale up innovative interventions</w:t>
      </w:r>
      <w:r w:rsidR="2E8844E3">
        <w:t xml:space="preserve"> – including </w:t>
      </w:r>
      <w:r w:rsidR="26CD96D3">
        <w:t>‘</w:t>
      </w:r>
      <w:r w:rsidR="2E8844E3">
        <w:t>Program</w:t>
      </w:r>
      <w:r w:rsidR="3FBCFBD4">
        <w:t>m</w:t>
      </w:r>
      <w:r w:rsidR="2E8844E3">
        <w:t>e P</w:t>
      </w:r>
      <w:r w:rsidR="26CD96D3">
        <w:t>’</w:t>
      </w:r>
      <w:r w:rsidR="2E8844E3">
        <w:t xml:space="preserve"> </w:t>
      </w:r>
      <w:r w:rsidR="0029015E">
        <w:rPr>
          <w:rStyle w:val="FootnoteReference"/>
        </w:rPr>
        <w:footnoteReference w:id="42"/>
      </w:r>
      <w:r w:rsidR="2E8844E3">
        <w:t>and</w:t>
      </w:r>
      <w:r w:rsidR="3FBCFBD4">
        <w:t xml:space="preserve"> Gender Transformative Parenting</w:t>
      </w:r>
    </w:p>
    <w:p w14:paraId="763D3291" w14:textId="77777777" w:rsidR="3A2FDA6C" w:rsidRDefault="3A2FDA6C">
      <w:pPr>
        <w:pStyle w:val="ItadNormalText"/>
        <w:numPr>
          <w:ilvl w:val="0"/>
          <w:numId w:val="36"/>
        </w:numPr>
      </w:pPr>
      <w:r w:rsidRPr="4977AA67">
        <w:rPr>
          <w:b/>
          <w:bCs/>
        </w:rPr>
        <w:t>At regional/global level, establishment of networks:</w:t>
      </w:r>
      <w:r>
        <w:t xml:space="preserve"> creation of communities of practices to promote collaboration, cross-learning, and dissemination of best practices to promote gender equality, including through the engagement of men and boys.</w:t>
      </w:r>
      <w:bookmarkStart w:id="13" w:name="_Toc83314207"/>
      <w:bookmarkEnd w:id="13"/>
    </w:p>
    <w:p w14:paraId="24C9EE52" w14:textId="77777777" w:rsidR="001007E6" w:rsidRDefault="7C5ECDFF" w:rsidP="00FE53F8">
      <w:pPr>
        <w:pStyle w:val="ItadNormalText"/>
        <w:jc w:val="both"/>
        <w:rPr>
          <w:lang w:eastAsia="en-CA"/>
        </w:rPr>
      </w:pPr>
      <w:r w:rsidRPr="006A561F">
        <w:rPr>
          <w:lang w:eastAsia="en-CA"/>
        </w:rPr>
        <w:t xml:space="preserve">The international NGO </w:t>
      </w:r>
      <w:proofErr w:type="spellStart"/>
      <w:r w:rsidRPr="006A561F">
        <w:rPr>
          <w:lang w:eastAsia="en-CA"/>
        </w:rPr>
        <w:t>Promundo</w:t>
      </w:r>
      <w:proofErr w:type="spellEnd"/>
      <w:r w:rsidRPr="006A561F">
        <w:rPr>
          <w:lang w:eastAsia="en-CA"/>
        </w:rPr>
        <w:t xml:space="preserve"> played a </w:t>
      </w:r>
      <w:r w:rsidRPr="1EC222C2">
        <w:rPr>
          <w:lang w:eastAsia="en-CA"/>
        </w:rPr>
        <w:t>key</w:t>
      </w:r>
      <w:r w:rsidRPr="006A561F">
        <w:rPr>
          <w:lang w:eastAsia="en-CA"/>
        </w:rPr>
        <w:t xml:space="preserve"> role in MWGE, </w:t>
      </w:r>
      <w:proofErr w:type="gramStart"/>
      <w:r w:rsidRPr="006A561F">
        <w:rPr>
          <w:lang w:eastAsia="en-CA"/>
        </w:rPr>
        <w:t>in particular in</w:t>
      </w:r>
      <w:proofErr w:type="gramEnd"/>
      <w:r w:rsidRPr="006A561F">
        <w:rPr>
          <w:lang w:eastAsia="en-CA"/>
        </w:rPr>
        <w:t xml:space="preserve"> Phase I. </w:t>
      </w:r>
      <w:proofErr w:type="spellStart"/>
      <w:r w:rsidRPr="006A561F">
        <w:rPr>
          <w:lang w:eastAsia="en-CA"/>
        </w:rPr>
        <w:t>Promundo</w:t>
      </w:r>
      <w:proofErr w:type="spellEnd"/>
      <w:r w:rsidRPr="006A561F">
        <w:rPr>
          <w:lang w:eastAsia="en-CA"/>
        </w:rPr>
        <w:t xml:space="preserve"> developed the IMAGES methodology and has rolled it out globally with local partners, including in the four Phase I countries. In Jordan and Tunisia, however, </w:t>
      </w:r>
      <w:proofErr w:type="spellStart"/>
      <w:r w:rsidRPr="006A561F">
        <w:rPr>
          <w:lang w:eastAsia="en-CA"/>
        </w:rPr>
        <w:t>Promundo</w:t>
      </w:r>
      <w:proofErr w:type="spellEnd"/>
      <w:r w:rsidRPr="006A561F">
        <w:rPr>
          <w:lang w:eastAsia="en-CA"/>
        </w:rPr>
        <w:t xml:space="preserve"> played an advisory role in the IMAGES studies, which have been conducted by national research partners. </w:t>
      </w:r>
      <w:proofErr w:type="spellStart"/>
      <w:r w:rsidRPr="006A561F">
        <w:rPr>
          <w:lang w:eastAsia="en-CA"/>
        </w:rPr>
        <w:t>Promundo</w:t>
      </w:r>
      <w:proofErr w:type="spellEnd"/>
      <w:r w:rsidRPr="006A561F">
        <w:rPr>
          <w:lang w:eastAsia="en-CA"/>
        </w:rPr>
        <w:t xml:space="preserve"> developed the positive fatherhood-oriented ‘Program P’ approach, which has been adapted and implemented in</w:t>
      </w:r>
      <w:r w:rsidRPr="1EC222C2">
        <w:rPr>
          <w:lang w:eastAsia="en-CA"/>
        </w:rPr>
        <w:t xml:space="preserve"> Phase I (in Lebanon) and in</w:t>
      </w:r>
      <w:r w:rsidRPr="006A561F">
        <w:rPr>
          <w:lang w:eastAsia="en-CA"/>
        </w:rPr>
        <w:t xml:space="preserve"> Phase II</w:t>
      </w:r>
      <w:r w:rsidRPr="1EC222C2">
        <w:rPr>
          <w:lang w:eastAsia="en-CA"/>
        </w:rPr>
        <w:t xml:space="preserve"> (in Morocco and Palestine)</w:t>
      </w:r>
      <w:r w:rsidRPr="006A561F">
        <w:rPr>
          <w:lang w:eastAsia="en-CA"/>
        </w:rPr>
        <w:t>.</w:t>
      </w:r>
      <w:r w:rsidR="005A2176" w:rsidRPr="65017676">
        <w:rPr>
          <w:rStyle w:val="FootnoteReference"/>
          <w:rFonts w:eastAsia="Times New Roman"/>
          <w:color w:val="000000"/>
          <w:sz w:val="22"/>
          <w:szCs w:val="22"/>
          <w:lang w:eastAsia="en-CA"/>
        </w:rPr>
        <w:footnoteReference w:id="43"/>
      </w:r>
    </w:p>
    <w:p w14:paraId="2EF08B5F" w14:textId="5D1F8C5C" w:rsidR="001F7344" w:rsidRDefault="001F7344" w:rsidP="002043DF">
      <w:pPr>
        <w:pStyle w:val="ItadH4Numbered"/>
      </w:pPr>
    </w:p>
    <w:p w14:paraId="1E587EE3" w14:textId="44089FA9" w:rsidR="001F7344" w:rsidRDefault="001F7344" w:rsidP="002043DF">
      <w:pPr>
        <w:pStyle w:val="ItadH4Numbered"/>
      </w:pPr>
    </w:p>
    <w:p w14:paraId="19E1DE07" w14:textId="77777777" w:rsidR="001F7344" w:rsidRDefault="001F7344" w:rsidP="002043DF">
      <w:pPr>
        <w:pStyle w:val="ItadH4Numbered"/>
      </w:pPr>
    </w:p>
    <w:p w14:paraId="71C88D30" w14:textId="36E5F4E3" w:rsidR="003E4B8D" w:rsidRPr="00047EBD" w:rsidRDefault="003E4B8D" w:rsidP="002043DF">
      <w:pPr>
        <w:pStyle w:val="ItadH4Numbered"/>
        <w:rPr>
          <w:i w:val="0"/>
          <w:iCs w:val="0"/>
        </w:rPr>
      </w:pPr>
      <w:r w:rsidRPr="00047EBD">
        <w:rPr>
          <w:i w:val="0"/>
          <w:iCs w:val="0"/>
        </w:rPr>
        <w:t>Community</w:t>
      </w:r>
      <w:r w:rsidR="001007E6" w:rsidRPr="00047EBD">
        <w:rPr>
          <w:i w:val="0"/>
          <w:iCs w:val="0"/>
        </w:rPr>
        <w:t>-level interventions</w:t>
      </w:r>
    </w:p>
    <w:p w14:paraId="35DD5CA1" w14:textId="6C6459B4" w:rsidR="006F2F6D" w:rsidRPr="00691D47" w:rsidRDefault="22CB0DC6" w:rsidP="00FE53F8">
      <w:pPr>
        <w:pStyle w:val="ItadNormalText"/>
        <w:jc w:val="both"/>
      </w:pPr>
      <w:r w:rsidRPr="00691D47">
        <w:t>I</w:t>
      </w:r>
      <w:r w:rsidR="0743636A" w:rsidRPr="00691D47">
        <w:t>mplementation of the community-level interventions was conducted by the CBOs, while their capacity</w:t>
      </w:r>
      <w:r w:rsidRPr="00691D47">
        <w:t xml:space="preserve"> </w:t>
      </w:r>
      <w:r w:rsidR="0743636A" w:rsidRPr="00691D47">
        <w:t xml:space="preserve">building was undertaken by an umbrella </w:t>
      </w:r>
      <w:r w:rsidRPr="00691D47">
        <w:t>non-governmental organisation (</w:t>
      </w:r>
      <w:r w:rsidR="0743636A" w:rsidRPr="00691D47">
        <w:t>NGO</w:t>
      </w:r>
      <w:r w:rsidRPr="00691D47">
        <w:t>) for each</w:t>
      </w:r>
      <w:r w:rsidR="0743636A" w:rsidRPr="00691D47">
        <w:t xml:space="preserve"> country. Four umbrella organi</w:t>
      </w:r>
      <w:r w:rsidRPr="00691D47">
        <w:t>s</w:t>
      </w:r>
      <w:r w:rsidR="0743636A" w:rsidRPr="00691D47">
        <w:t xml:space="preserve">ations and 25 CBOs were selected following </w:t>
      </w:r>
      <w:bookmarkStart w:id="14" w:name="_Hlk98175653"/>
      <w:r w:rsidR="0743636A" w:rsidRPr="00691D47">
        <w:t xml:space="preserve">Calls for Proposals </w:t>
      </w:r>
      <w:bookmarkEnd w:id="14"/>
      <w:r w:rsidR="0743636A" w:rsidRPr="00691D47">
        <w:t>(</w:t>
      </w:r>
      <w:proofErr w:type="spellStart"/>
      <w:r w:rsidR="0743636A" w:rsidRPr="00691D47">
        <w:t>CfPs</w:t>
      </w:r>
      <w:proofErr w:type="spellEnd"/>
      <w:r w:rsidR="0743636A" w:rsidRPr="00691D47">
        <w:t xml:space="preserve">) for the implementation of community grants, issued by UN Women </w:t>
      </w:r>
      <w:r w:rsidR="7C0279F8" w:rsidRPr="00691D47">
        <w:t>COs</w:t>
      </w:r>
      <w:r w:rsidR="0743636A" w:rsidRPr="00691D47">
        <w:t xml:space="preserve"> in Egypt, Lebanon, </w:t>
      </w:r>
      <w:proofErr w:type="gramStart"/>
      <w:r w:rsidR="0743636A" w:rsidRPr="00691D47">
        <w:t>Morocco</w:t>
      </w:r>
      <w:proofErr w:type="gramEnd"/>
      <w:r w:rsidR="0743636A" w:rsidRPr="00691D47">
        <w:t xml:space="preserve"> and Palestine. The successful candidates received grants, usually around </w:t>
      </w:r>
      <w:r w:rsidRPr="00691D47">
        <w:t xml:space="preserve">USD </w:t>
      </w:r>
      <w:r w:rsidR="0743636A" w:rsidRPr="00691D47">
        <w:t>30</w:t>
      </w:r>
      <w:r w:rsidRPr="00691D47">
        <w:t>,</w:t>
      </w:r>
      <w:r w:rsidR="0743636A" w:rsidRPr="00691D47">
        <w:t>000.</w:t>
      </w:r>
      <w:r w:rsidR="00E1754A">
        <w:rPr>
          <w:rStyle w:val="FootnoteReference"/>
        </w:rPr>
        <w:footnoteReference w:id="44"/>
      </w:r>
      <w:r w:rsidR="0743636A" w:rsidRPr="00691D47">
        <w:t xml:space="preserve"> Some of the selected CBOs had been engaged in MWGE Phase I, and these implementing partners were able</w:t>
      </w:r>
      <w:r w:rsidRPr="00691D47">
        <w:t xml:space="preserve"> to</w:t>
      </w:r>
      <w:r w:rsidR="0743636A" w:rsidRPr="00691D47">
        <w:t xml:space="preserve"> capitalise on capacities which had been strengthened in the first phase on programme management, reporting and gender equality programming</w:t>
      </w:r>
      <w:r w:rsidRPr="00691D47">
        <w:t>,</w:t>
      </w:r>
      <w:r w:rsidR="0743636A" w:rsidRPr="00691D47">
        <w:t xml:space="preserve"> as well as on implementing interventions at community level</w:t>
      </w:r>
      <w:r w:rsidR="6020A62B">
        <w:t>.</w:t>
      </w:r>
      <w:r w:rsidR="00643F9C">
        <w:rPr>
          <w:rStyle w:val="FootnoteReference"/>
        </w:rPr>
        <w:footnoteReference w:id="45"/>
      </w:r>
      <w:r w:rsidR="0743636A" w:rsidRPr="00691D47">
        <w:t xml:space="preserve"> These interventions aimed to decrease gender inequalities and address their structural causes, and included peer-to-peer engagement by so-called ‘positive deviants’ to promote changes in gender behaviour and preventing VAWG, engaging men in fatherhood and care, national</w:t>
      </w:r>
      <w:r w:rsidRPr="00691D47">
        <w:t>-</w:t>
      </w:r>
      <w:r w:rsidR="0743636A" w:rsidRPr="00691D47">
        <w:t>level advocacy for legal reform, working in schools to prevent bullying</w:t>
      </w:r>
      <w:r w:rsidRPr="00691D47">
        <w:t>, and</w:t>
      </w:r>
      <w:r w:rsidR="0743636A" w:rsidRPr="00691D47">
        <w:t xml:space="preserve"> working with communities, children and youth through art, theatre and sports. The total number of direct beneficiaries of the community-level interventions of Phase II in the four countries </w:t>
      </w:r>
      <w:r w:rsidR="00047EBD">
        <w:t>was</w:t>
      </w:r>
      <w:r w:rsidR="0743636A" w:rsidRPr="00691D47">
        <w:t xml:space="preserve"> </w:t>
      </w:r>
      <w:r w:rsidR="0743636A" w:rsidRPr="002043DF">
        <w:t>134</w:t>
      </w:r>
      <w:r w:rsidRPr="002043DF">
        <w:t>,</w:t>
      </w:r>
      <w:r w:rsidR="0743636A" w:rsidRPr="002043DF">
        <w:t>642,</w:t>
      </w:r>
      <w:r w:rsidR="00643F9C">
        <w:rPr>
          <w:rStyle w:val="FootnoteReference"/>
        </w:rPr>
        <w:footnoteReference w:id="46"/>
      </w:r>
      <w:r w:rsidR="0743636A" w:rsidRPr="002043DF">
        <w:t xml:space="preserve"> while the outreach figures of the various campaigns go into the tens of millions in total (see also discussion under EQ 5).</w:t>
      </w:r>
      <w:r w:rsidR="452045FC" w:rsidRPr="0071356C">
        <w:rPr>
          <w:rStyle w:val="FootnoteReference"/>
          <w:rFonts w:eastAsia="Times New Roman"/>
          <w:color w:val="000000"/>
          <w:sz w:val="22"/>
          <w:szCs w:val="22"/>
          <w:lang w:eastAsia="en-CA"/>
        </w:rPr>
        <w:t xml:space="preserve"> </w:t>
      </w:r>
      <w:r w:rsidR="0071356C" w:rsidRPr="65017676">
        <w:rPr>
          <w:rStyle w:val="FootnoteReference"/>
          <w:rFonts w:eastAsia="Times New Roman"/>
          <w:color w:val="000000"/>
          <w:sz w:val="22"/>
          <w:szCs w:val="22"/>
          <w:lang w:eastAsia="en-CA"/>
        </w:rPr>
        <w:footnoteReference w:id="47"/>
      </w:r>
    </w:p>
    <w:p w14:paraId="08375F70" w14:textId="77777777" w:rsidR="006F2F6D" w:rsidRPr="00ED5C6A" w:rsidRDefault="20E00588" w:rsidP="40E44CAF">
      <w:pPr>
        <w:pStyle w:val="ItadH3"/>
        <w:ind w:left="360"/>
        <w:rPr>
          <w:lang w:val="en-GB"/>
        </w:rPr>
      </w:pPr>
      <w:r w:rsidRPr="40E44CAF">
        <w:rPr>
          <w:lang w:val="en-GB"/>
        </w:rPr>
        <w:t xml:space="preserve">2.2 </w:t>
      </w:r>
      <w:r w:rsidR="2EB69C48" w:rsidRPr="40E44CAF">
        <w:rPr>
          <w:lang w:val="en-GB"/>
        </w:rPr>
        <w:t>Contextual challenges</w:t>
      </w:r>
    </w:p>
    <w:p w14:paraId="4F550216" w14:textId="4A07D99D" w:rsidR="006F2F6D" w:rsidRPr="006A561F" w:rsidRDefault="59E1A32F" w:rsidP="0099297D">
      <w:pPr>
        <w:pStyle w:val="ItadNormalText"/>
        <w:jc w:val="both"/>
      </w:pPr>
      <w:r>
        <w:t xml:space="preserve">The MWGE programme was implemented in an extremely challenging context. The shifting political and security landscape in the region and at country level forced the programme to adapt, especially in Lebanon in the wake of the multiple simultaneous political, </w:t>
      </w:r>
      <w:proofErr w:type="gramStart"/>
      <w:r>
        <w:t>socioeconomic</w:t>
      </w:r>
      <w:proofErr w:type="gramEnd"/>
      <w:r>
        <w:t xml:space="preserve"> and humanitarian crises. In Palestine, Israeli attacks on Gaza and political mobilisation against the occupation in 2021 hampered implementation, while changes in government affected especially the advocacy components of the programme at national level in several countries. While the economic and socio</w:t>
      </w:r>
      <w:r w:rsidR="001C2EDD">
        <w:t>-</w:t>
      </w:r>
      <w:r>
        <w:t xml:space="preserve">political context in Lebanon </w:t>
      </w:r>
      <w:r w:rsidR="00047EBD">
        <w:t>was</w:t>
      </w:r>
      <w:r>
        <w:t xml:space="preserve"> extremely challenging, the quick pivoting of the programme to adapt to the changed circumstances </w:t>
      </w:r>
      <w:r w:rsidR="7D95D543">
        <w:t xml:space="preserve">has, </w:t>
      </w:r>
      <w:r>
        <w:t>arguably</w:t>
      </w:r>
      <w:r w:rsidR="7D95D543">
        <w:t>, also</w:t>
      </w:r>
      <w:r>
        <w:t xml:space="preserve"> made the programme more relevant than previously and allowed it to broaden its base.</w:t>
      </w:r>
      <w:r w:rsidR="00507775">
        <w:t xml:space="preserve"> In Egypt, </w:t>
      </w:r>
      <w:r w:rsidR="004A0D2A">
        <w:t xml:space="preserve">the 2019 draft law on </w:t>
      </w:r>
      <w:r w:rsidR="001C2EDD">
        <w:t xml:space="preserve">civil society organisations (CSOs) caused delays in the </w:t>
      </w:r>
      <w:r w:rsidR="00FA42B6">
        <w:t xml:space="preserve">implementation of programme activities </w:t>
      </w:r>
      <w:r w:rsidR="000F7BD3">
        <w:t xml:space="preserve">and the approval of grants to implementing partners. In Tunisia, the </w:t>
      </w:r>
      <w:r w:rsidR="006D7CF2">
        <w:t xml:space="preserve">political turmoil in 2021-22 also negatively impacted </w:t>
      </w:r>
      <w:r w:rsidR="00047EBD">
        <w:t xml:space="preserve">the </w:t>
      </w:r>
      <w:r w:rsidR="006D7CF2">
        <w:t xml:space="preserve">programme activities. </w:t>
      </w:r>
      <w:r w:rsidR="000F7BD3">
        <w:t xml:space="preserve"> </w:t>
      </w:r>
    </w:p>
    <w:p w14:paraId="0B3DDAE4" w14:textId="2A343F77" w:rsidR="006F2F6D" w:rsidRPr="006A561F" w:rsidRDefault="006F2F6D" w:rsidP="0099297D">
      <w:pPr>
        <w:pStyle w:val="ItadNormalText"/>
        <w:jc w:val="both"/>
      </w:pPr>
      <w:r w:rsidRPr="006A561F">
        <w:t xml:space="preserve">In </w:t>
      </w:r>
      <w:r w:rsidR="00F6554E" w:rsidRPr="006A561F">
        <w:t>Phase II</w:t>
      </w:r>
      <w:r w:rsidRPr="006A561F">
        <w:t xml:space="preserve"> the programme also had to adapt quickly to the COVID-19 pandemic and </w:t>
      </w:r>
      <w:r w:rsidR="00F6554E" w:rsidRPr="006A561F">
        <w:t>had to</w:t>
      </w:r>
      <w:r w:rsidRPr="006A561F">
        <w:t xml:space="preserve"> address the practical, </w:t>
      </w:r>
      <w:proofErr w:type="gramStart"/>
      <w:r w:rsidRPr="006A561F">
        <w:t>social</w:t>
      </w:r>
      <w:proofErr w:type="gramEnd"/>
      <w:r w:rsidRPr="006A561F">
        <w:t xml:space="preserve"> and economic fallout this has had, including the ‘shadow pandemic’ of increased VAWG. The adaptations made to the programme due to the shifting political and social context, </w:t>
      </w:r>
      <w:proofErr w:type="gramStart"/>
      <w:r w:rsidRPr="006A561F">
        <w:t>in particular in</w:t>
      </w:r>
      <w:proofErr w:type="gramEnd"/>
      <w:r w:rsidRPr="006A561F">
        <w:t xml:space="preserve"> Lebanon, and the COVID-19 pandemic, are discussed at more length </w:t>
      </w:r>
      <w:r w:rsidR="001F7344">
        <w:t>the findings section</w:t>
      </w:r>
      <w:r w:rsidR="00676B3E">
        <w:t>.</w:t>
      </w:r>
    </w:p>
    <w:p w14:paraId="5F030896" w14:textId="3173937F" w:rsidR="00E031FA" w:rsidRDefault="00495B3D" w:rsidP="0099297D">
      <w:pPr>
        <w:pStyle w:val="ItadNormalText"/>
        <w:jc w:val="both"/>
      </w:pPr>
      <w:r w:rsidRPr="006A561F">
        <w:t>In some countries, t</w:t>
      </w:r>
      <w:r w:rsidR="006F2F6D" w:rsidRPr="006A561F">
        <w:t>he programme also had to navigate a lack of government responsiveness and procedural delays, as well as political and social sensitivities</w:t>
      </w:r>
      <w:r w:rsidR="00983C34">
        <w:t xml:space="preserve">, where at times COs required the backing of </w:t>
      </w:r>
      <w:r w:rsidR="004267AE">
        <w:t xml:space="preserve">the regional office </w:t>
      </w:r>
      <w:r w:rsidR="005F5256">
        <w:t>to lobby with national governments</w:t>
      </w:r>
      <w:r w:rsidR="006F2F6D" w:rsidRPr="006A561F">
        <w:t xml:space="preserve">. </w:t>
      </w:r>
      <w:r w:rsidR="007E1E63">
        <w:t>T</w:t>
      </w:r>
      <w:r w:rsidR="006F2F6D" w:rsidRPr="006A561F">
        <w:t xml:space="preserve">he programme faced resistance from socially conservative forces to changing social and gender norms, but also had to respond to progressive feminist critiques, </w:t>
      </w:r>
      <w:proofErr w:type="gramStart"/>
      <w:r w:rsidR="006F2F6D" w:rsidRPr="006A561F">
        <w:t>in particular of</w:t>
      </w:r>
      <w:proofErr w:type="gramEnd"/>
      <w:r w:rsidR="006F2F6D" w:rsidRPr="006A561F">
        <w:t xml:space="preserve"> some of the media messaging produced. However, shifts in the context </w:t>
      </w:r>
      <w:r w:rsidRPr="006A561F">
        <w:t>did not always have</w:t>
      </w:r>
      <w:r w:rsidR="006F2F6D" w:rsidRPr="006A561F">
        <w:t xml:space="preserve"> </w:t>
      </w:r>
      <w:r w:rsidR="006F2F6D" w:rsidRPr="006A561F">
        <w:lastRenderedPageBreak/>
        <w:t>negative impacts on the programme. In Egypt, for example, the country office and the programme were able to use the momentum of the new Constitution and Cabinet to its advantage.</w:t>
      </w:r>
    </w:p>
    <w:p w14:paraId="281087F4" w14:textId="77777777" w:rsidR="007E1E63" w:rsidRDefault="007E1E63" w:rsidP="0099297D">
      <w:pPr>
        <w:pStyle w:val="ItadNormalText"/>
        <w:jc w:val="both"/>
      </w:pPr>
    </w:p>
    <w:p w14:paraId="126D3F55" w14:textId="77777777" w:rsidR="00D66EE3" w:rsidRPr="006B3412" w:rsidRDefault="4BA3DF47" w:rsidP="40E44CAF">
      <w:pPr>
        <w:pStyle w:val="ItadH3"/>
        <w:rPr>
          <w:lang w:val="en-GB"/>
        </w:rPr>
      </w:pPr>
      <w:r w:rsidRPr="40E44CAF">
        <w:rPr>
          <w:lang w:val="en-GB"/>
        </w:rPr>
        <w:t xml:space="preserve">2.3 </w:t>
      </w:r>
      <w:r w:rsidR="3EDAAFEF" w:rsidRPr="40E44CAF">
        <w:rPr>
          <w:lang w:val="en-GB"/>
        </w:rPr>
        <w:t>Programme Budget</w:t>
      </w:r>
    </w:p>
    <w:p w14:paraId="04235562" w14:textId="6A8E65E7" w:rsidR="007576BE" w:rsidRDefault="79468341" w:rsidP="00BF5D79">
      <w:pPr>
        <w:pStyle w:val="ItadNormalText"/>
        <w:jc w:val="both"/>
      </w:pPr>
      <w:r w:rsidRPr="007F6DFD">
        <w:t>The MWGE</w:t>
      </w:r>
      <w:r w:rsidR="3129A08E">
        <w:t xml:space="preserve"> programme budget totalled </w:t>
      </w:r>
      <w:r w:rsidR="1C5C6941">
        <w:t xml:space="preserve">around </w:t>
      </w:r>
      <w:r w:rsidR="66D04868">
        <w:t xml:space="preserve">8.7M USD </w:t>
      </w:r>
      <w:r w:rsidR="45E714DD">
        <w:t>(8</w:t>
      </w:r>
      <w:r w:rsidR="04C578C1">
        <w:t>6</w:t>
      </w:r>
      <w:r w:rsidR="45E714DD">
        <w:t xml:space="preserve">M SEK) </w:t>
      </w:r>
      <w:r w:rsidR="66D04868">
        <w:t xml:space="preserve">and </w:t>
      </w:r>
      <w:r w:rsidR="2363C840">
        <w:t>9.42</w:t>
      </w:r>
      <w:r w:rsidR="52C2CB8E">
        <w:t>M USD</w:t>
      </w:r>
      <w:r w:rsidR="35BC56B7">
        <w:t xml:space="preserve"> (</w:t>
      </w:r>
      <w:r w:rsidR="51F07BA2">
        <w:t>90</w:t>
      </w:r>
      <w:r w:rsidR="35BC56B7">
        <w:t>M SEK)</w:t>
      </w:r>
      <w:r w:rsidR="00715F35">
        <w:rPr>
          <w:rStyle w:val="FootnoteReference"/>
        </w:rPr>
        <w:footnoteReference w:id="48"/>
      </w:r>
      <w:r w:rsidR="52C2CB8E">
        <w:t xml:space="preserve"> across phase </w:t>
      </w:r>
      <w:r w:rsidR="00E04C56">
        <w:t>I</w:t>
      </w:r>
      <w:r w:rsidR="52C2CB8E">
        <w:t xml:space="preserve"> and </w:t>
      </w:r>
      <w:r w:rsidR="00E04C56">
        <w:t>II</w:t>
      </w:r>
      <w:r w:rsidR="52C2CB8E">
        <w:t xml:space="preserve"> respectively</w:t>
      </w:r>
      <w:r w:rsidR="3129A08E">
        <w:t xml:space="preserve">, </w:t>
      </w:r>
      <w:r w:rsidR="585DF107">
        <w:t xml:space="preserve">with </w:t>
      </w:r>
      <w:r w:rsidR="56DB7A5A">
        <w:t>a slight increase of</w:t>
      </w:r>
      <w:r w:rsidR="71D3811F">
        <w:t xml:space="preserve"> </w:t>
      </w:r>
      <w:r w:rsidR="56DB7A5A">
        <w:t xml:space="preserve">budget </w:t>
      </w:r>
      <w:r w:rsidR="061F5843">
        <w:t xml:space="preserve">allocation </w:t>
      </w:r>
      <w:r w:rsidR="56DB7A5A">
        <w:t>for</w:t>
      </w:r>
      <w:r w:rsidR="65A1B6E5">
        <w:t xml:space="preserve"> Phase I</w:t>
      </w:r>
      <w:r w:rsidR="56DB7A5A">
        <w:t>I</w:t>
      </w:r>
      <w:r w:rsidR="65A1B6E5">
        <w:t xml:space="preserve">. </w:t>
      </w:r>
      <w:r w:rsidR="3648880F">
        <w:t>The propor</w:t>
      </w:r>
      <w:r w:rsidR="06EE4A14">
        <w:t xml:space="preserve">tion of investments across outcome areas 1, 2 and 3 in phase I </w:t>
      </w:r>
      <w:r w:rsidR="00E04C56">
        <w:t>were</w:t>
      </w:r>
      <w:r w:rsidR="69F0B3C1">
        <w:t xml:space="preserve"> calculated at 42%, 21% and </w:t>
      </w:r>
      <w:r w:rsidR="05384D46">
        <w:t>36% respectively. The proportion of investments across the outcome areas in phase II</w:t>
      </w:r>
      <w:r w:rsidR="43089454">
        <w:t xml:space="preserve"> (which are thematically different, thereby preventing direct comparison)</w:t>
      </w:r>
      <w:r w:rsidR="05384D46">
        <w:t xml:space="preserve"> </w:t>
      </w:r>
      <w:r w:rsidR="00E04C56">
        <w:t>were</w:t>
      </w:r>
      <w:r w:rsidR="05384D46">
        <w:t xml:space="preserve"> </w:t>
      </w:r>
      <w:r w:rsidR="1CAAABA7">
        <w:t>58%, 1</w:t>
      </w:r>
      <w:r w:rsidR="171AF74B">
        <w:t>2</w:t>
      </w:r>
      <w:r w:rsidR="1CAAABA7">
        <w:t xml:space="preserve">% and 30% </w:t>
      </w:r>
      <w:r w:rsidR="171AF74B">
        <w:t xml:space="preserve">respectively (see </w:t>
      </w:r>
      <w:r w:rsidR="432B8C85">
        <w:t xml:space="preserve">table </w:t>
      </w:r>
      <w:r w:rsidR="0F9CA92C">
        <w:t>4</w:t>
      </w:r>
      <w:r w:rsidR="335E9622">
        <w:t>).</w:t>
      </w:r>
      <w:r w:rsidR="171AF74B">
        <w:t xml:space="preserve"> </w:t>
      </w:r>
    </w:p>
    <w:p w14:paraId="5A8F383D" w14:textId="77777777" w:rsidR="003B5ABB" w:rsidRDefault="703ABD68" w:rsidP="001F103C">
      <w:pPr>
        <w:pStyle w:val="Itadtablestyle"/>
      </w:pPr>
      <w:bookmarkStart w:id="15" w:name="_Toc123126097"/>
      <w:r>
        <w:t xml:space="preserve">Budget allocation </w:t>
      </w:r>
      <w:r w:rsidR="6EC690B4">
        <w:t xml:space="preserve">per outcomes </w:t>
      </w:r>
      <w:r>
        <w:t>- Phase I and Phase II</w:t>
      </w:r>
      <w:bookmarkEnd w:id="15"/>
    </w:p>
    <w:p w14:paraId="436D595F" w14:textId="77777777" w:rsidR="007710D7" w:rsidRDefault="00E50C51" w:rsidP="003B5ABB">
      <w:pPr>
        <w:pStyle w:val="ItadNormalText"/>
      </w:pPr>
      <w:r>
        <w:rPr>
          <w:noProof/>
        </w:rPr>
        <w:drawing>
          <wp:inline distT="0" distB="0" distL="0" distR="0" wp14:anchorId="164DE83F" wp14:editId="45D383BE">
            <wp:extent cx="6032500" cy="2968831"/>
            <wp:effectExtent l="0" t="0" r="6350" b="3175"/>
            <wp:docPr id="1" name="Chart 1">
              <a:extLst xmlns:a="http://schemas.openxmlformats.org/drawingml/2006/main">
                <a:ext uri="{FF2B5EF4-FFF2-40B4-BE49-F238E27FC236}">
                  <a16:creationId xmlns:a16="http://schemas.microsoft.com/office/drawing/2014/main" id="{11506FC9-CD89-4BF2-BA2A-06B8542C9F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50A69DA" w14:textId="77777777" w:rsidR="009F6724" w:rsidRDefault="009F6724" w:rsidP="003B5ABB">
      <w:pPr>
        <w:pStyle w:val="ItadNormalText"/>
      </w:pPr>
    </w:p>
    <w:p w14:paraId="0B8BAFF5" w14:textId="0A9EF0F2" w:rsidR="00F23D8F" w:rsidRDefault="009F6724" w:rsidP="0099297D">
      <w:pPr>
        <w:pStyle w:val="ItadNormalText"/>
        <w:jc w:val="both"/>
      </w:pPr>
      <w:r>
        <w:t xml:space="preserve">With respect to </w:t>
      </w:r>
      <w:r w:rsidR="004D095B">
        <w:t>UN W</w:t>
      </w:r>
      <w:r w:rsidR="00047EBD">
        <w:t>omen</w:t>
      </w:r>
      <w:r w:rsidR="004D095B">
        <w:t xml:space="preserve"> </w:t>
      </w:r>
      <w:r>
        <w:t xml:space="preserve">offices, there was a notable drop in budget allocations to ROAS in Phase II, which facilitated allocations for new engagements in Jordan and Tunisia (see table </w:t>
      </w:r>
      <w:r w:rsidR="1D9AC16B">
        <w:t>5</w:t>
      </w:r>
      <w:r>
        <w:t xml:space="preserve">). </w:t>
      </w:r>
      <w:r w:rsidR="00300603">
        <w:t xml:space="preserve">This </w:t>
      </w:r>
      <w:r w:rsidR="00E04C56">
        <w:t>was</w:t>
      </w:r>
      <w:r w:rsidR="00300603">
        <w:t xml:space="preserve"> explained </w:t>
      </w:r>
      <w:r w:rsidR="00F750E5">
        <w:t xml:space="preserve">by the ROAS role in </w:t>
      </w:r>
      <w:r w:rsidR="00A7088F">
        <w:t>Phase I</w:t>
      </w:r>
      <w:r w:rsidR="00F750E5">
        <w:t xml:space="preserve">, which </w:t>
      </w:r>
      <w:r w:rsidR="00A7088F">
        <w:t xml:space="preserve">was oriented </w:t>
      </w:r>
      <w:r w:rsidR="00587A42">
        <w:t xml:space="preserve">toward building </w:t>
      </w:r>
      <w:r w:rsidR="00B56524">
        <w:t xml:space="preserve">the evidence base for Phase II, and the foundations for advocacy and policy influencing. </w:t>
      </w:r>
      <w:r w:rsidR="001042C6">
        <w:t xml:space="preserve">Phase II was then sequenced to </w:t>
      </w:r>
      <w:r w:rsidR="00BE1D24">
        <w:t xml:space="preserve">focus on implementation – with the bulk of activity </w:t>
      </w:r>
      <w:r w:rsidR="00641B63">
        <w:t>taking place at CO level</w:t>
      </w:r>
      <w:r w:rsidR="001473CD">
        <w:t>.</w:t>
      </w:r>
      <w:r w:rsidR="00657881">
        <w:t xml:space="preserve"> In terms of relative </w:t>
      </w:r>
      <w:r w:rsidR="00256A95">
        <w:t>scale</w:t>
      </w:r>
      <w:r w:rsidR="00657881">
        <w:t xml:space="preserve"> of the interventions (compared to budget), outcome 1.1.1 sought </w:t>
      </w:r>
      <w:r w:rsidR="001254DB">
        <w:t xml:space="preserve">to have up to 5000 individuals join in community interventions, </w:t>
      </w:r>
      <w:r w:rsidR="00EB0405">
        <w:t>and to illicit 200</w:t>
      </w:r>
      <w:r w:rsidR="003743EA">
        <w:t>,</w:t>
      </w:r>
      <w:r w:rsidR="00EB0405">
        <w:t xml:space="preserve">000 engagements in the </w:t>
      </w:r>
      <w:r w:rsidR="001701D4">
        <w:t xml:space="preserve">national outreach campaigns (indicator 1.2.3). </w:t>
      </w:r>
      <w:r w:rsidR="00F23D8F">
        <w:t xml:space="preserve">Meanwhile, indicator 2.1.3 sought to focus on </w:t>
      </w:r>
      <w:r w:rsidR="005E02CC">
        <w:t xml:space="preserve">6 </w:t>
      </w:r>
      <w:r w:rsidR="00F23D8F">
        <w:t xml:space="preserve">government institutions </w:t>
      </w:r>
      <w:r w:rsidR="005E02CC">
        <w:t>demonstrating commitment</w:t>
      </w:r>
      <w:r w:rsidR="00F23D8F">
        <w:t xml:space="preserve"> to integrate programme practices and material (developed under the programme)</w:t>
      </w:r>
      <w:r w:rsidR="005776A9">
        <w:t xml:space="preserve"> (see figure 1 for more context).</w:t>
      </w:r>
    </w:p>
    <w:p w14:paraId="08EA02BA" w14:textId="77777777" w:rsidR="007576BE" w:rsidRDefault="7DDC6280" w:rsidP="0099297D">
      <w:pPr>
        <w:pStyle w:val="ItadNormalText"/>
        <w:jc w:val="both"/>
      </w:pPr>
      <w:r>
        <w:t>I</w:t>
      </w:r>
      <w:r w:rsidR="6B5CEE35">
        <w:t>nternal analysis from ROAS shows that outcome area allocations per office varied significantly in Phase II.</w:t>
      </w:r>
      <w:r w:rsidR="009F6724">
        <w:rPr>
          <w:rStyle w:val="FootnoteReference"/>
        </w:rPr>
        <w:footnoteReference w:id="49"/>
      </w:r>
      <w:r w:rsidR="6B5CEE35">
        <w:t xml:space="preserve"> For example, capacity building was </w:t>
      </w:r>
      <w:r w:rsidR="63C4DAC1">
        <w:t>shifted</w:t>
      </w:r>
      <w:r w:rsidR="5241814F">
        <w:t xml:space="preserve"> (percentage of budget allocation)</w:t>
      </w:r>
      <w:r w:rsidR="6B5CEE35">
        <w:t xml:space="preserve"> toward Egypt, </w:t>
      </w:r>
      <w:proofErr w:type="gramStart"/>
      <w:r w:rsidR="6B5CEE35">
        <w:t>Morocco</w:t>
      </w:r>
      <w:proofErr w:type="gramEnd"/>
      <w:r w:rsidR="6B5CEE35">
        <w:t xml:space="preserve"> and Lebanon (35%, 26% and 24% of allocations respectively) compared to an allocation of 10% for Palestine. There were also significant variances in the research and evidence outcome area: 0%, 3%, 13% and 15% for Palestine, Morocco, </w:t>
      </w:r>
      <w:proofErr w:type="gramStart"/>
      <w:r w:rsidR="6B5CEE35">
        <w:t>Lebanon</w:t>
      </w:r>
      <w:proofErr w:type="gramEnd"/>
      <w:r w:rsidR="6B5CEE35">
        <w:t xml:space="preserve"> and Egypt respectively, while behavioural change and awareness raising allocations represented 70%, 46%, 45% and 33% for these countries (Tunisia and Jordan budgets were tagged entirely to the research hand evidence outcome area). Allocations for advocacy and legal reforms were </w:t>
      </w:r>
      <w:proofErr w:type="gramStart"/>
      <w:r w:rsidR="6B5CEE35">
        <w:t>fairly uniform</w:t>
      </w:r>
      <w:proofErr w:type="gramEnd"/>
      <w:r w:rsidR="6B5CEE35">
        <w:t xml:space="preserve"> across the same four countries (20%, 24%, 18% and 17% respectively).</w:t>
      </w:r>
      <w:r w:rsidR="543D7DB6">
        <w:t xml:space="preserve"> A detailed justification for these variances is not available, although there are indications that it is a combination of </w:t>
      </w:r>
      <w:r w:rsidR="543D7DB6">
        <w:lastRenderedPageBreak/>
        <w:t>differen</w:t>
      </w:r>
      <w:r w:rsidR="32D3CBE6">
        <w:t>t costs, but also differing demands</w:t>
      </w:r>
      <w:r w:rsidR="32D3CBE6" w:rsidRPr="00EB25BF">
        <w:t xml:space="preserve"> </w:t>
      </w:r>
      <w:r w:rsidR="32D3CBE6">
        <w:t>arising from</w:t>
      </w:r>
      <w:r w:rsidR="32D3CBE6" w:rsidRPr="00EB25BF">
        <w:t xml:space="preserve"> country assessment</w:t>
      </w:r>
      <w:r w:rsidR="32D3CBE6">
        <w:t xml:space="preserve">s </w:t>
      </w:r>
      <w:r w:rsidR="32D3CBE6" w:rsidRPr="00EB25BF">
        <w:t xml:space="preserve">of the needs on the ground. For </w:t>
      </w:r>
      <w:r w:rsidR="32D3CBE6">
        <w:t>e</w:t>
      </w:r>
      <w:r w:rsidR="32D3CBE6" w:rsidRPr="00EB25BF">
        <w:t xml:space="preserve">xample, </w:t>
      </w:r>
      <w:r w:rsidR="32D3CBE6">
        <w:t xml:space="preserve">the </w:t>
      </w:r>
      <w:r w:rsidR="32D3CBE6" w:rsidRPr="00EB25BF">
        <w:t>Palestine</w:t>
      </w:r>
      <w:r w:rsidR="32D3CBE6">
        <w:t xml:space="preserve"> CO </w:t>
      </w:r>
      <w:r w:rsidR="32D3CBE6" w:rsidRPr="00EB25BF">
        <w:t xml:space="preserve">worked with the same CBOs from Phase II </w:t>
      </w:r>
      <w:r w:rsidR="32D3CBE6">
        <w:t xml:space="preserve">- </w:t>
      </w:r>
      <w:r w:rsidR="32D3CBE6" w:rsidRPr="00EB25BF">
        <w:t>and the need was mainly on building their capacity in advocacy as this was a component they worked on during Phase II</w:t>
      </w:r>
      <w:r w:rsidR="32D3CBE6">
        <w:t>.</w:t>
      </w:r>
      <w:r w:rsidR="001B6080">
        <w:rPr>
          <w:rStyle w:val="FootnoteReference"/>
        </w:rPr>
        <w:footnoteReference w:id="50"/>
      </w:r>
    </w:p>
    <w:p w14:paraId="1477604E" w14:textId="77777777" w:rsidR="007F6DFD" w:rsidRDefault="007F6DFD" w:rsidP="003B5ABB">
      <w:pPr>
        <w:pStyle w:val="ItadNormalText"/>
      </w:pPr>
    </w:p>
    <w:p w14:paraId="42B655CB" w14:textId="77777777" w:rsidR="00BD758D" w:rsidRDefault="1DEB44BF" w:rsidP="001F103C">
      <w:pPr>
        <w:pStyle w:val="Itadtablestyle"/>
      </w:pPr>
      <w:bookmarkStart w:id="16" w:name="_Toc123126098"/>
      <w:r>
        <w:t>Proportion of budget for countries</w:t>
      </w:r>
      <w:r w:rsidR="78A5C4B1">
        <w:t xml:space="preserve"> per phase</w:t>
      </w:r>
      <w:bookmarkEnd w:id="16"/>
    </w:p>
    <w:p w14:paraId="68063532" w14:textId="77777777" w:rsidR="007576BE" w:rsidRDefault="0047097F" w:rsidP="007F6DFD">
      <w:pPr>
        <w:pStyle w:val="ItadNormalText"/>
      </w:pPr>
      <w:r>
        <w:rPr>
          <w:noProof/>
        </w:rPr>
        <w:drawing>
          <wp:inline distT="0" distB="0" distL="0" distR="0" wp14:anchorId="5E71E379" wp14:editId="52308800">
            <wp:extent cx="5972175" cy="2743200"/>
            <wp:effectExtent l="0" t="0" r="9525" b="0"/>
            <wp:docPr id="11" name="Chart 11">
              <a:extLst xmlns:a="http://schemas.openxmlformats.org/drawingml/2006/main">
                <a:ext uri="{FF2B5EF4-FFF2-40B4-BE49-F238E27FC236}">
                  <a16:creationId xmlns:a16="http://schemas.microsoft.com/office/drawing/2014/main" id="{1407D62E-E52C-49A4-B633-3B21D90B12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133A0F2" w14:textId="77777777" w:rsidR="00D66EE3" w:rsidRPr="006B3412" w:rsidRDefault="6BF05F6E" w:rsidP="40E44CAF">
      <w:pPr>
        <w:pStyle w:val="ItadH3"/>
        <w:rPr>
          <w:lang w:val="en-GB"/>
        </w:rPr>
      </w:pPr>
      <w:r w:rsidRPr="40E44CAF">
        <w:rPr>
          <w:lang w:val="en-GB"/>
        </w:rPr>
        <w:t xml:space="preserve">2.4 </w:t>
      </w:r>
      <w:r w:rsidR="3EDAAFEF" w:rsidRPr="40E44CAF">
        <w:rPr>
          <w:lang w:val="en-GB"/>
        </w:rPr>
        <w:t>Human Resources</w:t>
      </w:r>
    </w:p>
    <w:p w14:paraId="44B23F54" w14:textId="016CB7C4" w:rsidR="00681880" w:rsidRPr="007F6DFD" w:rsidRDefault="6EFC2970" w:rsidP="00EE069C">
      <w:pPr>
        <w:pStyle w:val="Default"/>
        <w:tabs>
          <w:tab w:val="left" w:pos="1843"/>
          <w:tab w:val="left" w:pos="1985"/>
        </w:tabs>
        <w:jc w:val="both"/>
        <w:rPr>
          <w:sz w:val="22"/>
          <w:szCs w:val="22"/>
        </w:rPr>
      </w:pPr>
      <w:r w:rsidRPr="007F6DFD">
        <w:rPr>
          <w:sz w:val="22"/>
          <w:szCs w:val="22"/>
        </w:rPr>
        <w:t xml:space="preserve">At full capacity, </w:t>
      </w:r>
      <w:r w:rsidR="5E8E6824" w:rsidRPr="007F6DFD">
        <w:rPr>
          <w:sz w:val="22"/>
          <w:szCs w:val="22"/>
        </w:rPr>
        <w:t xml:space="preserve">UN Women had 11 </w:t>
      </w:r>
      <w:r w:rsidR="0B247CA3">
        <w:rPr>
          <w:sz w:val="22"/>
          <w:szCs w:val="22"/>
        </w:rPr>
        <w:t>internally and external engaged personnel (</w:t>
      </w:r>
      <w:r w:rsidR="540ACB44">
        <w:rPr>
          <w:sz w:val="22"/>
          <w:szCs w:val="22"/>
        </w:rPr>
        <w:t>several</w:t>
      </w:r>
      <w:r w:rsidR="0B247CA3">
        <w:rPr>
          <w:sz w:val="22"/>
          <w:szCs w:val="22"/>
        </w:rPr>
        <w:t xml:space="preserve"> of </w:t>
      </w:r>
      <w:r w:rsidR="540ACB44">
        <w:rPr>
          <w:sz w:val="22"/>
          <w:szCs w:val="22"/>
        </w:rPr>
        <w:t>whom</w:t>
      </w:r>
      <w:r w:rsidR="0B247CA3">
        <w:rPr>
          <w:sz w:val="22"/>
          <w:szCs w:val="22"/>
        </w:rPr>
        <w:t xml:space="preserve"> were part time</w:t>
      </w:r>
      <w:r w:rsidR="0A00A51D">
        <w:rPr>
          <w:sz w:val="22"/>
          <w:szCs w:val="22"/>
        </w:rPr>
        <w:t xml:space="preserve"> and/or cost-shared)</w:t>
      </w:r>
      <w:r w:rsidR="5E8E6824" w:rsidRPr="007F6DFD">
        <w:rPr>
          <w:sz w:val="22"/>
          <w:szCs w:val="22"/>
        </w:rPr>
        <w:t xml:space="preserve"> for Phase </w:t>
      </w:r>
      <w:r w:rsidR="5E8E6824" w:rsidRPr="330CCC91">
        <w:rPr>
          <w:sz w:val="22"/>
          <w:szCs w:val="22"/>
        </w:rPr>
        <w:t>I</w:t>
      </w:r>
      <w:r w:rsidR="4E694B82">
        <w:rPr>
          <w:sz w:val="22"/>
          <w:szCs w:val="22"/>
        </w:rPr>
        <w:t>. This number</w:t>
      </w:r>
      <w:r w:rsidR="685A3B2B" w:rsidRPr="007F6DFD">
        <w:rPr>
          <w:sz w:val="22"/>
          <w:szCs w:val="22"/>
        </w:rPr>
        <w:t xml:space="preserve"> was increased to a</w:t>
      </w:r>
      <w:r w:rsidR="5E8E6824" w:rsidRPr="4977AA67">
        <w:rPr>
          <w:rFonts w:eastAsiaTheme="minorEastAsia"/>
          <w:sz w:val="22"/>
          <w:szCs w:val="22"/>
          <w:lang w:eastAsia="en-US"/>
        </w:rPr>
        <w:t xml:space="preserve"> total of 13 staff members</w:t>
      </w:r>
      <w:r w:rsidR="685A3B2B" w:rsidRPr="4977AA67">
        <w:rPr>
          <w:rFonts w:eastAsiaTheme="minorEastAsia"/>
          <w:sz w:val="22"/>
          <w:szCs w:val="22"/>
          <w:lang w:eastAsia="en-US"/>
        </w:rPr>
        <w:t xml:space="preserve"> </w:t>
      </w:r>
      <w:r w:rsidR="2400DCF8" w:rsidRPr="4977AA67">
        <w:rPr>
          <w:rFonts w:eastAsiaTheme="minorEastAsia"/>
          <w:sz w:val="22"/>
          <w:szCs w:val="22"/>
          <w:lang w:eastAsia="en-US"/>
        </w:rPr>
        <w:t>at the beginning of</w:t>
      </w:r>
      <w:r w:rsidR="685A3B2B" w:rsidRPr="4977AA67">
        <w:rPr>
          <w:rFonts w:eastAsiaTheme="minorEastAsia"/>
          <w:sz w:val="22"/>
          <w:szCs w:val="22"/>
          <w:lang w:eastAsia="en-US"/>
        </w:rPr>
        <w:t xml:space="preserve"> Phase II</w:t>
      </w:r>
      <w:r w:rsidR="01E90892" w:rsidRPr="4977AA67">
        <w:rPr>
          <w:rFonts w:eastAsiaTheme="minorEastAsia"/>
          <w:sz w:val="22"/>
          <w:szCs w:val="22"/>
          <w:lang w:eastAsia="en-US"/>
        </w:rPr>
        <w:t>, and later to 15</w:t>
      </w:r>
      <w:r w:rsidR="5E8E6824" w:rsidRPr="4977AA67">
        <w:rPr>
          <w:rFonts w:eastAsiaTheme="minorEastAsia"/>
          <w:sz w:val="22"/>
          <w:szCs w:val="22"/>
          <w:lang w:eastAsia="en-US"/>
        </w:rPr>
        <w:t xml:space="preserve">. </w:t>
      </w:r>
      <w:r w:rsidR="30F78CA6" w:rsidRPr="4977AA67">
        <w:rPr>
          <w:rFonts w:eastAsiaTheme="minorEastAsia"/>
          <w:sz w:val="22"/>
          <w:szCs w:val="22"/>
          <w:lang w:eastAsia="en-US"/>
        </w:rPr>
        <w:t>This include</w:t>
      </w:r>
      <w:r w:rsidR="003743EA">
        <w:rPr>
          <w:rFonts w:eastAsiaTheme="minorEastAsia"/>
          <w:sz w:val="22"/>
          <w:szCs w:val="22"/>
          <w:lang w:eastAsia="en-US"/>
        </w:rPr>
        <w:t>d</w:t>
      </w:r>
      <w:r w:rsidR="30F78CA6" w:rsidRPr="4977AA67">
        <w:rPr>
          <w:rFonts w:eastAsiaTheme="minorEastAsia"/>
          <w:sz w:val="22"/>
          <w:szCs w:val="22"/>
          <w:lang w:eastAsia="en-US"/>
        </w:rPr>
        <w:t xml:space="preserve"> a</w:t>
      </w:r>
      <w:r w:rsidR="5E8E6824" w:rsidRPr="4977AA67">
        <w:rPr>
          <w:rFonts w:eastAsiaTheme="minorEastAsia"/>
          <w:sz w:val="22"/>
          <w:szCs w:val="22"/>
          <w:lang w:eastAsia="en-US"/>
        </w:rPr>
        <w:t xml:space="preserve"> Regional Programme Manager, </w:t>
      </w:r>
      <w:r w:rsidR="01240B27" w:rsidRPr="4977AA67">
        <w:rPr>
          <w:rFonts w:eastAsiaTheme="minorEastAsia"/>
          <w:sz w:val="22"/>
          <w:szCs w:val="22"/>
          <w:lang w:eastAsia="en-US"/>
        </w:rPr>
        <w:t>two</w:t>
      </w:r>
      <w:r w:rsidR="1660C313" w:rsidRPr="4977AA67">
        <w:rPr>
          <w:rFonts w:eastAsiaTheme="minorEastAsia"/>
          <w:sz w:val="22"/>
          <w:szCs w:val="22"/>
          <w:lang w:eastAsia="en-US"/>
        </w:rPr>
        <w:t xml:space="preserve"> </w:t>
      </w:r>
      <w:r w:rsidR="5E8E6824" w:rsidRPr="4977AA67">
        <w:rPr>
          <w:rFonts w:eastAsiaTheme="minorEastAsia"/>
          <w:sz w:val="22"/>
          <w:szCs w:val="22"/>
          <w:lang w:eastAsia="en-US"/>
        </w:rPr>
        <w:t>Programme Analyst</w:t>
      </w:r>
      <w:r w:rsidR="01240B27" w:rsidRPr="4977AA67">
        <w:rPr>
          <w:rFonts w:eastAsiaTheme="minorEastAsia"/>
          <w:sz w:val="22"/>
          <w:szCs w:val="22"/>
          <w:lang w:eastAsia="en-US"/>
        </w:rPr>
        <w:t>s (one international and one national)</w:t>
      </w:r>
      <w:r w:rsidR="1660C313" w:rsidRPr="4977AA67">
        <w:rPr>
          <w:rFonts w:eastAsiaTheme="minorEastAsia"/>
          <w:sz w:val="14"/>
          <w:szCs w:val="14"/>
          <w:lang w:eastAsia="en-US"/>
        </w:rPr>
        <w:t>,</w:t>
      </w:r>
      <w:r w:rsidR="1660C313" w:rsidRPr="4977AA67">
        <w:rPr>
          <w:rFonts w:eastAsiaTheme="minorEastAsia"/>
          <w:sz w:val="22"/>
          <w:szCs w:val="22"/>
          <w:lang w:eastAsia="en-US"/>
        </w:rPr>
        <w:t xml:space="preserve"> </w:t>
      </w:r>
      <w:r w:rsidR="7E250384" w:rsidRPr="4977AA67">
        <w:rPr>
          <w:rFonts w:eastAsiaTheme="minorEastAsia"/>
          <w:sz w:val="22"/>
          <w:szCs w:val="22"/>
          <w:lang w:eastAsia="en-US"/>
        </w:rPr>
        <w:t>one M</w:t>
      </w:r>
      <w:r w:rsidR="59325C17" w:rsidRPr="4977AA67">
        <w:rPr>
          <w:rFonts w:eastAsiaTheme="minorEastAsia"/>
          <w:sz w:val="22"/>
          <w:szCs w:val="22"/>
          <w:lang w:eastAsia="en-US"/>
        </w:rPr>
        <w:t>&amp;E</w:t>
      </w:r>
      <w:r w:rsidR="7E250384" w:rsidRPr="4977AA67">
        <w:rPr>
          <w:rFonts w:eastAsiaTheme="minorEastAsia"/>
          <w:sz w:val="22"/>
          <w:szCs w:val="22"/>
          <w:lang w:eastAsia="en-US"/>
        </w:rPr>
        <w:t xml:space="preserve"> </w:t>
      </w:r>
      <w:r w:rsidR="26B8B5B8" w:rsidRPr="4977AA67">
        <w:rPr>
          <w:rFonts w:eastAsiaTheme="minorEastAsia"/>
          <w:sz w:val="22"/>
          <w:szCs w:val="22"/>
          <w:lang w:eastAsia="en-US"/>
        </w:rPr>
        <w:t>specialist</w:t>
      </w:r>
      <w:r w:rsidR="3FE7F8B6" w:rsidRPr="4977AA67">
        <w:rPr>
          <w:rFonts w:eastAsiaTheme="minorEastAsia"/>
          <w:sz w:val="22"/>
          <w:szCs w:val="22"/>
          <w:lang w:eastAsia="en-US"/>
        </w:rPr>
        <w:t xml:space="preserve"> (international consultant</w:t>
      </w:r>
      <w:r w:rsidR="26B8B5B8" w:rsidRPr="4977AA67">
        <w:rPr>
          <w:rFonts w:eastAsiaTheme="minorEastAsia"/>
          <w:sz w:val="22"/>
          <w:szCs w:val="22"/>
          <w:lang w:eastAsia="en-US"/>
        </w:rPr>
        <w:t>, one communications campaign manager</w:t>
      </w:r>
      <w:r w:rsidR="3FE7F8B6" w:rsidRPr="4977AA67">
        <w:rPr>
          <w:rFonts w:eastAsiaTheme="minorEastAsia"/>
          <w:sz w:val="22"/>
          <w:szCs w:val="22"/>
          <w:lang w:eastAsia="en-US"/>
        </w:rPr>
        <w:t xml:space="preserve"> (international consultant)</w:t>
      </w:r>
      <w:r w:rsidR="26B8B5B8" w:rsidRPr="4977AA67">
        <w:rPr>
          <w:rFonts w:eastAsiaTheme="minorEastAsia"/>
          <w:sz w:val="22"/>
          <w:szCs w:val="22"/>
          <w:lang w:eastAsia="en-US"/>
        </w:rPr>
        <w:t xml:space="preserve"> and one </w:t>
      </w:r>
      <w:r w:rsidR="3AC1B700" w:rsidRPr="4977AA67">
        <w:rPr>
          <w:rFonts w:eastAsiaTheme="minorEastAsia"/>
          <w:sz w:val="22"/>
          <w:szCs w:val="22"/>
          <w:lang w:eastAsia="en-US"/>
        </w:rPr>
        <w:t xml:space="preserve">communications assistant </w:t>
      </w:r>
      <w:r w:rsidR="5C9BD79A" w:rsidRPr="4977AA67">
        <w:rPr>
          <w:rFonts w:eastAsiaTheme="minorEastAsia"/>
          <w:sz w:val="22"/>
          <w:szCs w:val="22"/>
          <w:lang w:eastAsia="en-US"/>
        </w:rPr>
        <w:t xml:space="preserve">(UNV national expert) </w:t>
      </w:r>
      <w:r w:rsidR="3AC1B700" w:rsidRPr="4977AA67">
        <w:rPr>
          <w:rFonts w:eastAsiaTheme="minorEastAsia"/>
          <w:sz w:val="22"/>
          <w:szCs w:val="22"/>
          <w:lang w:eastAsia="en-US"/>
        </w:rPr>
        <w:t xml:space="preserve">at the regional </w:t>
      </w:r>
      <w:r w:rsidR="1A0EA943" w:rsidRPr="4977AA67">
        <w:rPr>
          <w:rFonts w:eastAsiaTheme="minorEastAsia"/>
          <w:sz w:val="22"/>
          <w:szCs w:val="22"/>
          <w:lang w:eastAsia="en-US"/>
        </w:rPr>
        <w:t>level;</w:t>
      </w:r>
      <w:r w:rsidR="5E8E6824" w:rsidRPr="4977AA67">
        <w:rPr>
          <w:rFonts w:eastAsiaTheme="minorEastAsia"/>
          <w:sz w:val="22"/>
          <w:szCs w:val="22"/>
          <w:lang w:eastAsia="en-US"/>
        </w:rPr>
        <w:t xml:space="preserve"> and six Project Coordinators at the country level</w:t>
      </w:r>
      <w:r w:rsidR="5930DCBB" w:rsidRPr="4977AA67">
        <w:rPr>
          <w:rFonts w:eastAsiaTheme="minorEastAsia"/>
          <w:sz w:val="22"/>
          <w:szCs w:val="22"/>
          <w:lang w:eastAsia="en-US"/>
        </w:rPr>
        <w:t xml:space="preserve">, as well as </w:t>
      </w:r>
      <w:r w:rsidR="5930DCBB" w:rsidRPr="007F6DFD">
        <w:rPr>
          <w:sz w:val="22"/>
          <w:szCs w:val="22"/>
        </w:rPr>
        <w:t>four Project Assistants in Egypt, Lebanon, Palestine and Morocco</w:t>
      </w:r>
      <w:r w:rsidR="57339F3C">
        <w:rPr>
          <w:sz w:val="22"/>
          <w:szCs w:val="22"/>
        </w:rPr>
        <w:t xml:space="preserve"> (although Egypt ceased to have an assistant as of January 2021)</w:t>
      </w:r>
      <w:r w:rsidR="5930DCBB" w:rsidRPr="007F6DFD">
        <w:rPr>
          <w:sz w:val="22"/>
          <w:szCs w:val="22"/>
        </w:rPr>
        <w:t>.</w:t>
      </w:r>
      <w:r w:rsidR="00B96F97" w:rsidRPr="007F6DFD">
        <w:rPr>
          <w:rStyle w:val="FootnoteReference"/>
        </w:rPr>
        <w:footnoteReference w:id="51"/>
      </w:r>
      <w:r w:rsidR="5930DCBB" w:rsidRPr="007F6DFD">
        <w:rPr>
          <w:sz w:val="22"/>
          <w:szCs w:val="22"/>
        </w:rPr>
        <w:t xml:space="preserve"> </w:t>
      </w:r>
      <w:r w:rsidR="148ABB58">
        <w:rPr>
          <w:sz w:val="22"/>
          <w:szCs w:val="22"/>
        </w:rPr>
        <w:t>The engagement of international consultants also afford some efficiency gains in terms of overhead costs.</w:t>
      </w:r>
    </w:p>
    <w:p w14:paraId="05344413" w14:textId="77777777" w:rsidR="00681880" w:rsidRPr="007F6DFD" w:rsidRDefault="00681880" w:rsidP="187325E8">
      <w:pPr>
        <w:pStyle w:val="Default"/>
        <w:tabs>
          <w:tab w:val="left" w:pos="1843"/>
        </w:tabs>
        <w:jc w:val="both"/>
        <w:rPr>
          <w:sz w:val="22"/>
          <w:szCs w:val="22"/>
        </w:rPr>
      </w:pPr>
    </w:p>
    <w:p w14:paraId="4124361D" w14:textId="5AC2A98C" w:rsidR="00C24478" w:rsidRDefault="00704758" w:rsidP="187325E8">
      <w:pPr>
        <w:pStyle w:val="Default"/>
        <w:tabs>
          <w:tab w:val="left" w:pos="1843"/>
        </w:tabs>
        <w:jc w:val="both"/>
        <w:rPr>
          <w:sz w:val="22"/>
          <w:szCs w:val="22"/>
        </w:rPr>
      </w:pPr>
      <w:r w:rsidRPr="187325E8">
        <w:rPr>
          <w:rFonts w:eastAsiaTheme="minorEastAsia"/>
          <w:sz w:val="22"/>
          <w:szCs w:val="22"/>
          <w:lang w:eastAsia="en-US"/>
        </w:rPr>
        <w:t xml:space="preserve">The </w:t>
      </w:r>
      <w:r w:rsidR="00AE2CCE" w:rsidRPr="187325E8">
        <w:rPr>
          <w:rFonts w:eastAsiaTheme="minorEastAsia"/>
          <w:sz w:val="22"/>
          <w:szCs w:val="22"/>
          <w:lang w:eastAsia="en-US"/>
        </w:rPr>
        <w:t xml:space="preserve">Regional </w:t>
      </w:r>
      <w:r w:rsidRPr="187325E8">
        <w:rPr>
          <w:rFonts w:eastAsiaTheme="minorEastAsia"/>
          <w:sz w:val="22"/>
          <w:szCs w:val="22"/>
          <w:lang w:eastAsia="en-US"/>
        </w:rPr>
        <w:t>Programme Manager report</w:t>
      </w:r>
      <w:r w:rsidR="003743EA">
        <w:rPr>
          <w:rFonts w:eastAsiaTheme="minorEastAsia"/>
          <w:sz w:val="22"/>
          <w:szCs w:val="22"/>
          <w:lang w:eastAsia="en-US"/>
        </w:rPr>
        <w:t>ed</w:t>
      </w:r>
      <w:r w:rsidRPr="187325E8">
        <w:rPr>
          <w:rFonts w:eastAsiaTheme="minorEastAsia"/>
          <w:sz w:val="22"/>
          <w:szCs w:val="22"/>
          <w:lang w:eastAsia="en-US"/>
        </w:rPr>
        <w:t xml:space="preserve"> to the Deputy Regional Director and </w:t>
      </w:r>
      <w:r w:rsidR="003743EA">
        <w:rPr>
          <w:rFonts w:eastAsiaTheme="minorEastAsia"/>
          <w:sz w:val="22"/>
          <w:szCs w:val="22"/>
          <w:lang w:eastAsia="en-US"/>
        </w:rPr>
        <w:t>was</w:t>
      </w:r>
      <w:r w:rsidRPr="187325E8">
        <w:rPr>
          <w:rFonts w:eastAsiaTheme="minorEastAsia"/>
          <w:sz w:val="22"/>
          <w:szCs w:val="22"/>
          <w:lang w:eastAsia="en-US"/>
        </w:rPr>
        <w:t xml:space="preserve"> responsible for the implementation of regional activities, ensuring the programme linkages across participating countries, in close coordination with the Project Coordinators. </w:t>
      </w:r>
      <w:r w:rsidRPr="187325E8">
        <w:rPr>
          <w:sz w:val="22"/>
          <w:szCs w:val="22"/>
        </w:rPr>
        <w:t xml:space="preserve">The Project Coordinators </w:t>
      </w:r>
      <w:r w:rsidR="003743EA">
        <w:rPr>
          <w:sz w:val="22"/>
          <w:szCs w:val="22"/>
        </w:rPr>
        <w:t>were</w:t>
      </w:r>
      <w:r w:rsidRPr="187325E8">
        <w:rPr>
          <w:sz w:val="22"/>
          <w:szCs w:val="22"/>
        </w:rPr>
        <w:t xml:space="preserve"> responsible for providing day-to-day technical assistance, mentoring and support to implementing partners. They </w:t>
      </w:r>
      <w:r w:rsidR="00E0493A" w:rsidRPr="187325E8">
        <w:rPr>
          <w:sz w:val="22"/>
          <w:szCs w:val="22"/>
        </w:rPr>
        <w:t>also buil</w:t>
      </w:r>
      <w:r w:rsidR="003743EA">
        <w:rPr>
          <w:sz w:val="22"/>
          <w:szCs w:val="22"/>
        </w:rPr>
        <w:t>t</w:t>
      </w:r>
      <w:r w:rsidRPr="187325E8">
        <w:rPr>
          <w:sz w:val="22"/>
          <w:szCs w:val="22"/>
        </w:rPr>
        <w:t xml:space="preserve"> strategic partnerships and work with Governments and other key stakeholders to ensure profiling and programme sustainability. </w:t>
      </w:r>
      <w:r w:rsidR="00D77771" w:rsidRPr="187325E8">
        <w:rPr>
          <w:sz w:val="22"/>
          <w:szCs w:val="22"/>
        </w:rPr>
        <w:t xml:space="preserve">The Project Assistants </w:t>
      </w:r>
      <w:r w:rsidR="00175FD9" w:rsidRPr="187325E8">
        <w:rPr>
          <w:sz w:val="22"/>
          <w:szCs w:val="22"/>
        </w:rPr>
        <w:t>support</w:t>
      </w:r>
      <w:r w:rsidR="003743EA">
        <w:rPr>
          <w:sz w:val="22"/>
          <w:szCs w:val="22"/>
        </w:rPr>
        <w:t>ed</w:t>
      </w:r>
      <w:r w:rsidR="00175FD9" w:rsidRPr="187325E8">
        <w:rPr>
          <w:sz w:val="22"/>
          <w:szCs w:val="22"/>
        </w:rPr>
        <w:t xml:space="preserve"> the </w:t>
      </w:r>
      <w:r w:rsidR="004070A7" w:rsidRPr="187325E8">
        <w:rPr>
          <w:sz w:val="22"/>
          <w:szCs w:val="22"/>
        </w:rPr>
        <w:t xml:space="preserve">Project </w:t>
      </w:r>
      <w:r w:rsidR="00175FD9" w:rsidRPr="187325E8">
        <w:rPr>
          <w:sz w:val="22"/>
          <w:szCs w:val="22"/>
        </w:rPr>
        <w:t xml:space="preserve">Coordinators by providing day-to-day administration and programme support. </w:t>
      </w:r>
    </w:p>
    <w:p w14:paraId="253CCCA1" w14:textId="77777777" w:rsidR="00C24478" w:rsidRDefault="00C24478" w:rsidP="187325E8">
      <w:pPr>
        <w:pStyle w:val="Default"/>
        <w:tabs>
          <w:tab w:val="left" w:pos="1843"/>
        </w:tabs>
        <w:jc w:val="both"/>
        <w:rPr>
          <w:sz w:val="22"/>
          <w:szCs w:val="22"/>
        </w:rPr>
      </w:pPr>
    </w:p>
    <w:p w14:paraId="28830B04" w14:textId="14C2A54D" w:rsidR="007F6DFD" w:rsidRDefault="349D378B" w:rsidP="187325E8">
      <w:pPr>
        <w:pStyle w:val="Default"/>
        <w:tabs>
          <w:tab w:val="left" w:pos="1843"/>
        </w:tabs>
        <w:jc w:val="both"/>
        <w:rPr>
          <w:sz w:val="22"/>
          <w:szCs w:val="22"/>
        </w:rPr>
      </w:pPr>
      <w:r w:rsidRPr="007F6DFD">
        <w:rPr>
          <w:sz w:val="22"/>
          <w:szCs w:val="22"/>
        </w:rPr>
        <w:t xml:space="preserve">The Programme Manager and the Project Coordinators </w:t>
      </w:r>
      <w:r w:rsidR="54E6690D">
        <w:rPr>
          <w:sz w:val="22"/>
          <w:szCs w:val="22"/>
        </w:rPr>
        <w:t>were to</w:t>
      </w:r>
      <w:r w:rsidRPr="007F6DFD">
        <w:rPr>
          <w:sz w:val="22"/>
          <w:szCs w:val="22"/>
        </w:rPr>
        <w:t xml:space="preserve"> work in close collaboration with UN Women’s regional and country teams, and support </w:t>
      </w:r>
      <w:r w:rsidR="54E6690D">
        <w:rPr>
          <w:sz w:val="22"/>
          <w:szCs w:val="22"/>
        </w:rPr>
        <w:t>was to be</w:t>
      </w:r>
      <w:r w:rsidRPr="007F6DFD">
        <w:rPr>
          <w:sz w:val="22"/>
          <w:szCs w:val="22"/>
        </w:rPr>
        <w:t xml:space="preserve"> provided to the programme from the operations team, including logistics and finance. The </w:t>
      </w:r>
      <w:r w:rsidR="4A5F6881" w:rsidRPr="007F6DFD">
        <w:rPr>
          <w:sz w:val="22"/>
          <w:szCs w:val="22"/>
        </w:rPr>
        <w:t>MWGE</w:t>
      </w:r>
      <w:r w:rsidRPr="007F6DFD">
        <w:rPr>
          <w:sz w:val="22"/>
          <w:szCs w:val="22"/>
        </w:rPr>
        <w:t xml:space="preserve"> Programme </w:t>
      </w:r>
      <w:r w:rsidR="4A5F6881" w:rsidRPr="007F6DFD">
        <w:rPr>
          <w:sz w:val="22"/>
          <w:szCs w:val="22"/>
        </w:rPr>
        <w:t>also</w:t>
      </w:r>
      <w:r w:rsidRPr="007F6DFD">
        <w:rPr>
          <w:sz w:val="22"/>
          <w:szCs w:val="22"/>
        </w:rPr>
        <w:t xml:space="preserve"> work</w:t>
      </w:r>
      <w:r w:rsidR="4A5F6881" w:rsidRPr="007F6DFD">
        <w:rPr>
          <w:sz w:val="22"/>
          <w:szCs w:val="22"/>
        </w:rPr>
        <w:t>ed</w:t>
      </w:r>
      <w:r w:rsidRPr="007F6DFD">
        <w:rPr>
          <w:sz w:val="22"/>
          <w:szCs w:val="22"/>
        </w:rPr>
        <w:t xml:space="preserve"> close</w:t>
      </w:r>
      <w:r w:rsidR="4A5F6881" w:rsidRPr="007F6DFD">
        <w:rPr>
          <w:sz w:val="22"/>
          <w:szCs w:val="22"/>
        </w:rPr>
        <w:t>ly</w:t>
      </w:r>
      <w:r w:rsidRPr="007F6DFD">
        <w:rPr>
          <w:sz w:val="22"/>
          <w:szCs w:val="22"/>
        </w:rPr>
        <w:t xml:space="preserve"> with thematic advisors and programme staff at the regional and country levels to influence the design and the implementation of UN Women’s programme</w:t>
      </w:r>
      <w:r w:rsidR="0BB21714" w:rsidRPr="007F6DFD">
        <w:rPr>
          <w:sz w:val="22"/>
          <w:szCs w:val="22"/>
        </w:rPr>
        <w:t>s</w:t>
      </w:r>
      <w:r w:rsidR="6E10C47E">
        <w:rPr>
          <w:sz w:val="22"/>
          <w:szCs w:val="22"/>
        </w:rPr>
        <w:t xml:space="preserve">. The </w:t>
      </w:r>
      <w:r w:rsidR="061C6FB8">
        <w:rPr>
          <w:sz w:val="22"/>
          <w:szCs w:val="22"/>
        </w:rPr>
        <w:t>c</w:t>
      </w:r>
      <w:r w:rsidR="6E10C47E">
        <w:rPr>
          <w:sz w:val="22"/>
          <w:szCs w:val="22"/>
        </w:rPr>
        <w:t>ommunications</w:t>
      </w:r>
      <w:r w:rsidR="029DFCA4">
        <w:rPr>
          <w:sz w:val="22"/>
          <w:szCs w:val="22"/>
        </w:rPr>
        <w:t xml:space="preserve"> campaign manager and assistant focused on </w:t>
      </w:r>
      <w:r w:rsidR="3EFFB539">
        <w:rPr>
          <w:sz w:val="22"/>
          <w:szCs w:val="22"/>
        </w:rPr>
        <w:t xml:space="preserve">supporting </w:t>
      </w:r>
      <w:r w:rsidR="029DFCA4" w:rsidRPr="00BC7FDB">
        <w:rPr>
          <w:sz w:val="22"/>
          <w:szCs w:val="22"/>
        </w:rPr>
        <w:t>behavioural change</w:t>
      </w:r>
      <w:r w:rsidR="3EFFB539">
        <w:rPr>
          <w:sz w:val="22"/>
          <w:szCs w:val="22"/>
        </w:rPr>
        <w:t xml:space="preserve"> through campaigns such as BIAM</w:t>
      </w:r>
      <w:r w:rsidR="029DFCA4" w:rsidRPr="00BC7FDB">
        <w:rPr>
          <w:sz w:val="22"/>
          <w:szCs w:val="22"/>
        </w:rPr>
        <w:t xml:space="preserve">, </w:t>
      </w:r>
      <w:r w:rsidR="3EFFB539">
        <w:rPr>
          <w:sz w:val="22"/>
          <w:szCs w:val="22"/>
        </w:rPr>
        <w:t xml:space="preserve">while the </w:t>
      </w:r>
      <w:r w:rsidR="1C326541">
        <w:rPr>
          <w:sz w:val="22"/>
          <w:szCs w:val="22"/>
        </w:rPr>
        <w:t>regional</w:t>
      </w:r>
      <w:r w:rsidR="029DFCA4" w:rsidRPr="00BC7FDB">
        <w:rPr>
          <w:sz w:val="22"/>
          <w:szCs w:val="22"/>
        </w:rPr>
        <w:t xml:space="preserve"> monitoring and evaluation consultant</w:t>
      </w:r>
      <w:r w:rsidR="1C326541">
        <w:rPr>
          <w:sz w:val="22"/>
          <w:szCs w:val="22"/>
        </w:rPr>
        <w:t xml:space="preserve"> </w:t>
      </w:r>
      <w:proofErr w:type="gramStart"/>
      <w:r w:rsidR="003743EA">
        <w:rPr>
          <w:sz w:val="22"/>
          <w:szCs w:val="22"/>
        </w:rPr>
        <w:t>was</w:t>
      </w:r>
      <w:r w:rsidR="1C326541">
        <w:rPr>
          <w:sz w:val="22"/>
          <w:szCs w:val="22"/>
        </w:rPr>
        <w:t xml:space="preserve"> in charge of</w:t>
      </w:r>
      <w:proofErr w:type="gramEnd"/>
      <w:r w:rsidR="1C326541">
        <w:rPr>
          <w:sz w:val="22"/>
          <w:szCs w:val="22"/>
        </w:rPr>
        <w:t xml:space="preserve"> coordinating the collection and analysis of M</w:t>
      </w:r>
      <w:r w:rsidR="003743EA">
        <w:rPr>
          <w:sz w:val="22"/>
          <w:szCs w:val="22"/>
        </w:rPr>
        <w:t xml:space="preserve">onitoring </w:t>
      </w:r>
      <w:proofErr w:type="spellStart"/>
      <w:r w:rsidR="003743EA">
        <w:rPr>
          <w:sz w:val="22"/>
          <w:szCs w:val="22"/>
        </w:rPr>
        <w:t>valuationn</w:t>
      </w:r>
      <w:proofErr w:type="spellEnd"/>
      <w:r w:rsidR="003743EA">
        <w:rPr>
          <w:sz w:val="22"/>
          <w:szCs w:val="22"/>
        </w:rPr>
        <w:t xml:space="preserve"> </w:t>
      </w:r>
      <w:r w:rsidR="003743EA">
        <w:rPr>
          <w:sz w:val="22"/>
          <w:szCs w:val="22"/>
        </w:rPr>
        <w:lastRenderedPageBreak/>
        <w:t xml:space="preserve">and </w:t>
      </w:r>
      <w:r w:rsidR="1C326541">
        <w:rPr>
          <w:sz w:val="22"/>
          <w:szCs w:val="22"/>
        </w:rPr>
        <w:t>L</w:t>
      </w:r>
      <w:r w:rsidR="003743EA">
        <w:rPr>
          <w:sz w:val="22"/>
          <w:szCs w:val="22"/>
        </w:rPr>
        <w:t>earning (MEL)</w:t>
      </w:r>
      <w:r w:rsidR="1C326541">
        <w:rPr>
          <w:sz w:val="22"/>
          <w:szCs w:val="22"/>
        </w:rPr>
        <w:t xml:space="preserve"> data </w:t>
      </w:r>
      <w:r w:rsidR="47B67226">
        <w:rPr>
          <w:sz w:val="22"/>
          <w:szCs w:val="22"/>
        </w:rPr>
        <w:t>across the programme</w:t>
      </w:r>
      <w:r w:rsidRPr="007F6DFD">
        <w:rPr>
          <w:sz w:val="22"/>
          <w:szCs w:val="22"/>
        </w:rPr>
        <w:t>.</w:t>
      </w:r>
      <w:r w:rsidR="004070A7" w:rsidRPr="007F6DFD">
        <w:rPr>
          <w:rStyle w:val="FootnoteReference"/>
          <w:sz w:val="22"/>
          <w:szCs w:val="22"/>
        </w:rPr>
        <w:footnoteReference w:id="52"/>
      </w:r>
      <w:r w:rsidRPr="007F6DFD">
        <w:rPr>
          <w:sz w:val="22"/>
          <w:szCs w:val="22"/>
        </w:rPr>
        <w:t xml:space="preserve"> </w:t>
      </w:r>
      <w:r w:rsidR="17F220A3">
        <w:rPr>
          <w:sz w:val="22"/>
          <w:szCs w:val="22"/>
        </w:rPr>
        <w:t>The steering committee was changed to an advisory committee</w:t>
      </w:r>
      <w:r w:rsidR="0B624B9D">
        <w:rPr>
          <w:sz w:val="22"/>
          <w:szCs w:val="22"/>
        </w:rPr>
        <w:t xml:space="preserve"> in Phase II.</w:t>
      </w:r>
    </w:p>
    <w:p w14:paraId="464A59B7" w14:textId="77777777" w:rsidR="007F6DFD" w:rsidRDefault="007F6DFD" w:rsidP="007F6DFD">
      <w:pPr>
        <w:pStyle w:val="Default"/>
        <w:tabs>
          <w:tab w:val="left" w:pos="1843"/>
        </w:tabs>
        <w:rPr>
          <w:sz w:val="22"/>
          <w:szCs w:val="22"/>
        </w:rPr>
      </w:pPr>
    </w:p>
    <w:p w14:paraId="2D60A357" w14:textId="77777777" w:rsidR="000E465F" w:rsidRPr="008F3F5A" w:rsidRDefault="000E465F" w:rsidP="007F6DFD">
      <w:pPr>
        <w:pStyle w:val="Default"/>
        <w:tabs>
          <w:tab w:val="left" w:pos="1843"/>
        </w:tabs>
      </w:pPr>
    </w:p>
    <w:p w14:paraId="6F66FC9F" w14:textId="77777777" w:rsidR="00E30EA8" w:rsidRDefault="000E465F" w:rsidP="00CC084C">
      <w:pPr>
        <w:pStyle w:val="ItadFigureText"/>
      </w:pPr>
      <w:bookmarkStart w:id="17" w:name="_Toc123126145"/>
      <w:r>
        <w:rPr>
          <w:noProof/>
        </w:rPr>
        <mc:AlternateContent>
          <mc:Choice Requires="wpg">
            <w:drawing>
              <wp:anchor distT="0" distB="0" distL="114300" distR="114300" simplePos="0" relativeHeight="251658752" behindDoc="0" locked="0" layoutInCell="1" allowOverlap="1" wp14:anchorId="2ADE492F" wp14:editId="2CAA5A1B">
                <wp:simplePos x="0" y="0"/>
                <wp:positionH relativeFrom="column">
                  <wp:posOffset>3815385</wp:posOffset>
                </wp:positionH>
                <wp:positionV relativeFrom="paragraph">
                  <wp:posOffset>230505</wp:posOffset>
                </wp:positionV>
                <wp:extent cx="1967789" cy="691515"/>
                <wp:effectExtent l="0" t="0" r="0" b="0"/>
                <wp:wrapNone/>
                <wp:docPr id="26" name="Group 26"/>
                <wp:cNvGraphicFramePr/>
                <a:graphic xmlns:a="http://schemas.openxmlformats.org/drawingml/2006/main">
                  <a:graphicData uri="http://schemas.microsoft.com/office/word/2010/wordprocessingGroup">
                    <wpg:wgp>
                      <wpg:cNvGrpSpPr/>
                      <wpg:grpSpPr>
                        <a:xfrm>
                          <a:off x="0" y="0"/>
                          <a:ext cx="1967789" cy="691515"/>
                          <a:chOff x="0" y="0"/>
                          <a:chExt cx="2719273" cy="691719"/>
                        </a:xfrm>
                      </wpg:grpSpPr>
                      <wps:wsp>
                        <wps:cNvPr id="8" name="Rectangle: Rounded Corners 8"/>
                        <wps:cNvSpPr/>
                        <wps:spPr>
                          <a:xfrm>
                            <a:off x="80467" y="277978"/>
                            <a:ext cx="175565" cy="168250"/>
                          </a:xfrm>
                          <a:prstGeom prst="roundRect">
                            <a:avLst/>
                          </a:prstGeom>
                          <a:solidFill>
                            <a:srgbClr val="029EE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Rounded Corners 17"/>
                        <wps:cNvSpPr/>
                        <wps:spPr>
                          <a:xfrm>
                            <a:off x="80467" y="512064"/>
                            <a:ext cx="175565" cy="168250"/>
                          </a:xfrm>
                          <a:prstGeom prst="roundRect">
                            <a:avLst/>
                          </a:prstGeom>
                          <a:solidFill>
                            <a:srgbClr val="CE5C1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285293" y="263348"/>
                            <a:ext cx="2419350" cy="208915"/>
                          </a:xfrm>
                          <a:prstGeom prst="rect">
                            <a:avLst/>
                          </a:prstGeom>
                          <a:solidFill>
                            <a:srgbClr val="FFFFFF"/>
                          </a:solidFill>
                          <a:ln w="9525">
                            <a:noFill/>
                            <a:miter lim="800000"/>
                            <a:headEnd/>
                            <a:tailEnd/>
                          </a:ln>
                        </wps:spPr>
                        <wps:txbx>
                          <w:txbxContent>
                            <w:p w14:paraId="08379C3C" w14:textId="77777777" w:rsidR="005B041E" w:rsidRPr="002043DF" w:rsidRDefault="005B041E">
                              <w:pPr>
                                <w:rPr>
                                  <w:sz w:val="14"/>
                                  <w:szCs w:val="14"/>
                                </w:rPr>
                              </w:pPr>
                              <w:r w:rsidRPr="002043DF">
                                <w:rPr>
                                  <w:sz w:val="14"/>
                                  <w:szCs w:val="14"/>
                                </w:rPr>
                                <w:t>Non-programme staff / management</w:t>
                              </w:r>
                            </w:p>
                          </w:txbxContent>
                        </wps:txbx>
                        <wps:bodyPr rot="0" vert="horz" wrap="square" lIns="91440" tIns="45720" rIns="91440" bIns="45720" anchor="t" anchorCtr="0">
                          <a:noAutofit/>
                        </wps:bodyPr>
                      </wps:wsp>
                      <wps:wsp>
                        <wps:cNvPr id="21" name="Text Box 2"/>
                        <wps:cNvSpPr txBox="1">
                          <a:spLocks noChangeArrowheads="1"/>
                        </wps:cNvSpPr>
                        <wps:spPr bwMode="auto">
                          <a:xfrm>
                            <a:off x="299923" y="482804"/>
                            <a:ext cx="2419350" cy="208915"/>
                          </a:xfrm>
                          <a:prstGeom prst="rect">
                            <a:avLst/>
                          </a:prstGeom>
                          <a:solidFill>
                            <a:srgbClr val="FFFFFF"/>
                          </a:solidFill>
                          <a:ln w="9525">
                            <a:noFill/>
                            <a:miter lim="800000"/>
                            <a:headEnd/>
                            <a:tailEnd/>
                          </a:ln>
                        </wps:spPr>
                        <wps:txbx>
                          <w:txbxContent>
                            <w:p w14:paraId="12AC1A3B" w14:textId="77777777" w:rsidR="005B041E" w:rsidRPr="002043DF" w:rsidRDefault="005B041E" w:rsidP="005B041E">
                              <w:pPr>
                                <w:rPr>
                                  <w:sz w:val="14"/>
                                  <w:szCs w:val="14"/>
                                </w:rPr>
                              </w:pPr>
                              <w:r w:rsidRPr="002043DF">
                                <w:rPr>
                                  <w:sz w:val="14"/>
                                  <w:szCs w:val="14"/>
                                </w:rPr>
                                <w:t>Programme staff</w:t>
                              </w:r>
                            </w:p>
                          </w:txbxContent>
                        </wps:txbx>
                        <wps:bodyPr rot="0" vert="horz" wrap="square" lIns="91440" tIns="45720" rIns="91440" bIns="45720" anchor="t" anchorCtr="0">
                          <a:noAutofit/>
                        </wps:bodyPr>
                      </wps:wsp>
                      <wps:wsp>
                        <wps:cNvPr id="23" name="Text Box 2"/>
                        <wps:cNvSpPr txBox="1">
                          <a:spLocks noChangeArrowheads="1"/>
                        </wps:cNvSpPr>
                        <wps:spPr bwMode="auto">
                          <a:xfrm>
                            <a:off x="0" y="0"/>
                            <a:ext cx="2419350" cy="208915"/>
                          </a:xfrm>
                          <a:prstGeom prst="rect">
                            <a:avLst/>
                          </a:prstGeom>
                          <a:solidFill>
                            <a:srgbClr val="FFFFFF"/>
                          </a:solidFill>
                          <a:ln w="9525">
                            <a:noFill/>
                            <a:miter lim="800000"/>
                            <a:headEnd/>
                            <a:tailEnd/>
                          </a:ln>
                        </wps:spPr>
                        <wps:txbx>
                          <w:txbxContent>
                            <w:p w14:paraId="43D11CCE" w14:textId="77777777" w:rsidR="0077518F" w:rsidRPr="002043DF" w:rsidRDefault="0077518F" w:rsidP="0077518F">
                              <w:pPr>
                                <w:rPr>
                                  <w:sz w:val="14"/>
                                  <w:szCs w:val="14"/>
                                  <w:lang w:val="en-US"/>
                                </w:rPr>
                              </w:pPr>
                              <w:r>
                                <w:rPr>
                                  <w:sz w:val="14"/>
                                  <w:szCs w:val="14"/>
                                  <w:lang w:val="en-US"/>
                                </w:rPr>
                                <w:t>Key</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2ADE492F" id="Group 26" o:spid="_x0000_s1026" style="position:absolute;left:0;text-align:left;margin-left:300.4pt;margin-top:18.15pt;width:154.95pt;height:54.45pt;z-index:251658752;mso-width-relative:margin" coordsize="27192,69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BMS2NAQAAIsSAAAOAAAAZHJzL2Uyb0RvYy54bWzsWGFv4yYY/j5p/wH5+xqbxnFs1T1lubSa&#13;&#10;1N1Vbaf7TDCOrdnAgNTp/fq9gO2kabXTdZuuUpsPDhjeF3j88PDYZx92bYPumdK14HkQnYQBYpyK&#13;&#10;ouabPPjj7uKXeYC0IbwgjeAsDx6YDj6c//zTWSczhkUlmoIpBEm4zjqZB5UxMptMNK1YS/SJkIxD&#13;&#10;YylUSwxU1WZSKNJB9raZ4DCcTTqhCqkEZVrD3Y++MTh3+cuSUfO5LDUzqMkDmJtxV+Wua3udnJ+R&#13;&#10;bKOIrGraT4O8YBYtqTkMOqb6SAxBW1U/SdXWVAktSnNCRTsRZVlT5tYAq4nCo9VcKrGVbi2brNvI&#13;&#10;ESaA9ginF6eln+4vlbyV1wqQ6OQGsHA1u5ZdqVr7D7NEOwfZwwgZ2xlE4WaUzpJkngaIQtssjeIo&#13;&#10;9pjSCoB/EkarVR+IkyjFyekYCFUbOBmGnTyaTCeBHnqPgP53CNxWRDIHrM4AgWuF6iIPgKqctEDS&#13;&#10;G6AN4ZuGZehGbHnBCrQUigPL0dxO0s4GwkbUdKYBwGcgm4fTWRIggAYnSZq4YJKN2CVxPIs9AtFs&#13;&#10;jmNHxxEBkkmlzSUTLbKFPAA28MLOzTGN3F9p4xEb+tkZaNHUxUXdNK6iNutlo9A9sfTH6Wq17EF+&#13;&#10;1K3htjMXNsxntHfgCQwLcyXz0DDbr+E3rATA4OljNxO3Wdk4DqGUcRP5pooUzA8fh/AbRrfb20a4&#13;&#10;B+4S2swljD/m7hMMPX2SIbefZd/fhjK318fg8J8m5oPHCDey4GYMbmsu1HMJGlhVP7LvP4DkobEo&#13;&#10;rUXxAHRSwiuNlvSihod3RbS5JgqkBUQI5NJ8hkvZiC4PRF8KUCXU1+fu2/7Ad2gNUAdSlQf6ry1R&#13;&#10;LEDNbxx2QhpNp1bbXGUaJxgq6rBlfdjCt+1SAB0iEGZJXdH2N81QLJVov4CqLuyo0EQ4hbHzgBo1&#13;&#10;VJbGSyjoMmWLhesGeiaJueK3ktrkFlXLy7vdF6Jkz2AD1P8kht1HsiMO+742kovF1oiydgTf49rj&#13;&#10;DUrgN+H/LgkR7N5vagJ0AlbYWX6nKMQRDmdTG/zDRGG5ipfRuygM+/pdFN5F4cBODkrV7+3eJ+C9&#13;&#10;KtzZs/xXsUP4SAKQ2cHtQQi1vBL0T424WFZgLNhCKdFVjBSg3p56B+rhpcQ6CrTufhcFGBICYugU&#13;&#10;9ciS4XmMU/BQ1mDMTk+nRwYDT6P0FFyFM2c4nIM968+vIc/gHAaH8WJzceF+ffYjc4HglEtjHLsV&#13;&#10;jC6DZG1twPs3dQvWy5qD3o1bXFa8cKpoSN34MtiiZ0yJ2a13vfYenbz/7aE5nIHm6AR8TWcVhhPd&#13;&#10;n1U/mpVpmmLPyukcgwd+fMK9DVa6Nwq3t/f2ZbSFb5CcwIdXQU5Qw6dvsW+IkuNB9Zr10r38wxcP&#13;&#10;93rYf52xn1QO6+5dYP8N6fxvAAAA//8DAFBLAwQUAAYACAAAACEAZ9Qn/eYAAAAPAQAADwAAAGRy&#13;&#10;cy9kb3ducmV2LnhtbEyPT0vDQBDF74LfYRnBm91NY6Om2ZRS/5yKYCuIt2kyTUKzuyG7TdJv73jS&#13;&#10;y8Aw7735vWw1mVYM1PvGWQ3RTIEgW7iysZWGz/3r3SMIH9CW2DpLGi7kYZVfX2WYlm60HzTsQiU4&#13;&#10;xPoUNdQhdKmUvqjJoJ+5jizfjq43GHjtK1n2OHK4aeVcqUQabCx/qLGjTU3FaXc2Gt5GHNdx9DJs&#13;&#10;T8fN5Xu/eP/aRqT17c30vOSxXoIINIU/B/x2YH7IGezgzrb0otWQKMX8QUOcxCBY8BSpBxAHVt4v&#13;&#10;5iDzTP7vkf8AAAD//wMAUEsBAi0AFAAGAAgAAAAhALaDOJL+AAAA4QEAABMAAAAAAAAAAAAAAAAA&#13;&#10;AAAAAFtDb250ZW50X1R5cGVzXS54bWxQSwECLQAUAAYACAAAACEAOP0h/9YAAACUAQAACwAAAAAA&#13;&#10;AAAAAAAAAAAvAQAAX3JlbHMvLnJlbHNQSwECLQAUAAYACAAAACEAjQTEtjQEAACLEgAADgAAAAAA&#13;&#10;AAAAAAAAAAAuAgAAZHJzL2Uyb0RvYy54bWxQSwECLQAUAAYACAAAACEAZ9Qn/eYAAAAPAQAADwAA&#13;&#10;AAAAAAAAAAAAAACOBgAAZHJzL2Rvd25yZXYueG1sUEsFBgAAAAAEAAQA8wAAAKEHAAAAAA==&#13;&#10;">
                <v:roundrect id="Rectangle: Rounded Corners 8" o:spid="_x0000_s1027" style="position:absolute;left:804;top:2779;width:1756;height:1683;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cPcxxgAAAN8AAAAPAAAAZHJzL2Rvd25yZXYueG1sRI9Na8JA&#13;&#10;EIbvBf/DMkJvdWMopURXEUXaU6mf5yE7ZoPZ2ZhdNf77zkHoZeBleJ+ZZzrvfaNu1MU6sIHxKANF&#13;&#10;XAZbc2Vgv1u/fYKKCdliE5gMPCjCfDZ4mWJhw503dNumSgmEY4EGXEptoXUsHXmMo9ASy+4UOo9J&#13;&#10;Yldp2+Fd4L7ReZZ9aI81ywWHLS0dleft1Rv4XR3bgxs/svzretkvy8P7T87BmNdhv5rIWExAJerT&#13;&#10;f+OJ+LYG5GHxERfQsz8AAAD//wMAUEsBAi0AFAAGAAgAAAAhANvh9svuAAAAhQEAABMAAAAAAAAA&#13;&#10;AAAAAAAAAAAAAFtDb250ZW50X1R5cGVzXS54bWxQSwECLQAUAAYACAAAACEAWvQsW78AAAAVAQAA&#13;&#10;CwAAAAAAAAAAAAAAAAAfAQAAX3JlbHMvLnJlbHNQSwECLQAUAAYACAAAACEAyXD3McYAAADfAAAA&#13;&#10;DwAAAAAAAAAAAAAAAAAHAgAAZHJzL2Rvd25yZXYueG1sUEsFBgAAAAADAAMAtwAAAPoCAAAAAA==&#13;&#10;" fillcolor="#029eec" stroked="f" strokeweight="1pt">
                  <v:stroke joinstyle="miter"/>
                </v:roundrect>
                <v:roundrect id="Rectangle: Rounded Corners 17" o:spid="_x0000_s1028" style="position:absolute;left:804;top:5120;width:1756;height:1683;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g30BxQAAAOAAAAAPAAAAZHJzL2Rvd25yZXYueG1sRI/BqsIw&#13;&#10;EEX3gv8QRnCnqcJTqUYRRXi4ENq6cDk0Y1tsJqWJtf69ER68zTDD5Z7hbHa9qUVHrassK5hNIxDE&#13;&#10;udUVFwqu2WmyAuE8ssbaMil4k4PddjjYYKztixPqUl+IAGEXo4LS+yaW0uUlGXRT2xCH7G5bgz6c&#13;&#10;bSF1i68AN7WcR9FCGqw4fCixoUNJ+SN9GgUXbK4zMt0puqfnbPlMbPL+uSk1HvXHdRj7NQhPvf9v&#13;&#10;/CF+dXBYwlcoLCC3HwAAAP//AwBQSwECLQAUAAYACAAAACEA2+H2y+4AAACFAQAAEwAAAAAAAAAA&#13;&#10;AAAAAAAAAAAAW0NvbnRlbnRfVHlwZXNdLnhtbFBLAQItABQABgAIAAAAIQBa9CxbvwAAABUBAAAL&#13;&#10;AAAAAAAAAAAAAAAAAB8BAABfcmVscy8ucmVsc1BLAQItABQABgAIAAAAIQAkg30BxQAAAOAAAAAP&#13;&#10;AAAAAAAAAAAAAAAAAAcCAABkcnMvZG93bnJldi54bWxQSwUGAAAAAAMAAwC3AAAA+QIAAAAA&#13;&#10;" fillcolor="#ce5c1c" stroked="f" strokeweight="1pt">
                  <v:stroke joinstyle="miter"/>
                </v:roundrect>
                <v:shapetype id="_x0000_t202" coordsize="21600,21600" o:spt="202" path="m,l,21600r21600,l21600,xe">
                  <v:stroke joinstyle="miter"/>
                  <v:path gradientshapeok="t" o:connecttype="rect"/>
                </v:shapetype>
                <v:shape id="_x0000_s1029" type="#_x0000_t202" style="position:absolute;left:2852;top:2633;width:24194;height:208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ygQhyAAAAOEAAAAPAAAAZHJzL2Rvd25yZXYueG1sRI/dasJA&#13;&#10;FITvC77Dcgq9KbpJsKaNrmIrLd768wDH7DEJzZ4N2W1+3r4rCN4MDMN8w6w2g6lFR62rLCuIZxEI&#13;&#10;4tzqigsF59P39B2E88gaa8ukYCQHm/XkaYWZtj0fqDv6QgQIuwwVlN43mZQuL8mgm9mGOGRX2xr0&#13;&#10;wbaF1C32AW5qmUTRQhqsOCyU2NBXSfnv8c8ouO7717eP/vLjz+lhvvjEKr3YUamX52G3DLJdgvA0&#13;&#10;+EfjjthrBUmcwu1ReANy/Q8AAP//AwBQSwECLQAUAAYACAAAACEA2+H2y+4AAACFAQAAEwAAAAAA&#13;&#10;AAAAAAAAAAAAAAAAW0NvbnRlbnRfVHlwZXNdLnhtbFBLAQItABQABgAIAAAAIQBa9CxbvwAAABUB&#13;&#10;AAALAAAAAAAAAAAAAAAAAB8BAABfcmVscy8ucmVsc1BLAQItABQABgAIAAAAIQDIygQhyAAAAOEA&#13;&#10;AAAPAAAAAAAAAAAAAAAAAAcCAABkcnMvZG93bnJldi54bWxQSwUGAAAAAAMAAwC3AAAA/AIAAAAA&#13;&#10;" stroked="f">
                  <v:textbox>
                    <w:txbxContent>
                      <w:p w14:paraId="08379C3C" w14:textId="77777777" w:rsidR="005B041E" w:rsidRPr="002043DF" w:rsidRDefault="005B041E">
                        <w:pPr>
                          <w:rPr>
                            <w:sz w:val="14"/>
                            <w:szCs w:val="14"/>
                          </w:rPr>
                        </w:pPr>
                        <w:r w:rsidRPr="002043DF">
                          <w:rPr>
                            <w:sz w:val="14"/>
                            <w:szCs w:val="14"/>
                          </w:rPr>
                          <w:t>Non-programme staff / management</w:t>
                        </w:r>
                      </w:p>
                    </w:txbxContent>
                  </v:textbox>
                </v:shape>
                <v:shape id="_x0000_s1030" type="#_x0000_t202" style="position:absolute;left:2999;top:4828;width:24193;height:208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GmmqxgAAAOAAAAAPAAAAZHJzL2Rvd25yZXYueG1sRI/disIw&#13;&#10;FITvBd8hnIW9kTVV1r9qFN1F8Va3D3DaHNuyzUlpoq1vbwTBm4FhmG+Y1aYzlbhR40rLCkbDCARx&#13;&#10;ZnXJuYLkb/81B+E8ssbKMim4k4PNut9bYaxtyye6nX0uAoRdjAoK7+tYSpcVZNANbU0csottDPpg&#13;&#10;m1zqBtsAN5UcR9FUGiw5LBRY009B2f/5ahRcju1gsmjTg09mp+/pDstZau9KfX50v8sg2yUIT51/&#13;&#10;N16Io1YwHsHzUDgDcv0AAAD//wMAUEsBAi0AFAAGAAgAAAAhANvh9svuAAAAhQEAABMAAAAAAAAA&#13;&#10;AAAAAAAAAAAAAFtDb250ZW50X1R5cGVzXS54bWxQSwECLQAUAAYACAAAACEAWvQsW78AAAAVAQAA&#13;&#10;CwAAAAAAAAAAAAAAAAAfAQAAX3JlbHMvLnJlbHNQSwECLQAUAAYACAAAACEA4RppqsYAAADgAAAA&#13;&#10;DwAAAAAAAAAAAAAAAAAHAgAAZHJzL2Rvd25yZXYueG1sUEsFBgAAAAADAAMAtwAAAPoCAAAAAA==&#13;&#10;" stroked="f">
                  <v:textbox>
                    <w:txbxContent>
                      <w:p w14:paraId="12AC1A3B" w14:textId="77777777" w:rsidR="005B041E" w:rsidRPr="002043DF" w:rsidRDefault="005B041E" w:rsidP="005B041E">
                        <w:pPr>
                          <w:rPr>
                            <w:sz w:val="14"/>
                            <w:szCs w:val="14"/>
                          </w:rPr>
                        </w:pPr>
                        <w:r w:rsidRPr="002043DF">
                          <w:rPr>
                            <w:sz w:val="14"/>
                            <w:szCs w:val="14"/>
                          </w:rPr>
                          <w:t>Programme staff</w:t>
                        </w:r>
                      </w:p>
                    </w:txbxContent>
                  </v:textbox>
                </v:shape>
                <v:shape id="_x0000_s1031" type="#_x0000_t202" style="position:absolute;width:24193;height:208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FJGxwAAAOAAAAAPAAAAZHJzL2Rvd25yZXYueG1sRI/disIw&#13;&#10;FITvBd8hHGFvZE39WV2rUdRF6a2uD3Bsjm2xOSlN1ta3NwuCNwPDMN8wy3VrSnGn2hWWFQwHEQji&#13;&#10;1OqCMwXn3/3nNwjnkTWWlknBgxysV93OEmNtGz7S/eQzESDsYlSQe1/FUro0J4NuYCvikF1tbdAH&#13;&#10;W2dS19gEuCnlKIqm0mDBYSHHinY5pbfTn1FwTZr+17y5HPx5dpxMt1jMLvah1Eev/VkE2SxAeGr9&#13;&#10;u/FCJFrBaAz/h8IZkKsnAAAA//8DAFBLAQItABQABgAIAAAAIQDb4fbL7gAAAIUBAAATAAAAAAAA&#13;&#10;AAAAAAAAAAAAAABbQ29udGVudF9UeXBlc10ueG1sUEsBAi0AFAAGAAgAAAAhAFr0LFu/AAAAFQEA&#13;&#10;AAsAAAAAAAAAAAAAAAAAHwEAAF9yZWxzLy5yZWxzUEsBAi0AFAAGAAgAAAAhAH6EUkbHAAAA4AAA&#13;&#10;AA8AAAAAAAAAAAAAAAAABwIAAGRycy9kb3ducmV2LnhtbFBLBQYAAAAAAwADALcAAAD7AgAAAAA=&#13;&#10;" stroked="f">
                  <v:textbox>
                    <w:txbxContent>
                      <w:p w14:paraId="43D11CCE" w14:textId="77777777" w:rsidR="0077518F" w:rsidRPr="002043DF" w:rsidRDefault="0077518F" w:rsidP="0077518F">
                        <w:pPr>
                          <w:rPr>
                            <w:sz w:val="14"/>
                            <w:szCs w:val="14"/>
                            <w:lang w:val="en-US"/>
                          </w:rPr>
                        </w:pPr>
                        <w:r>
                          <w:rPr>
                            <w:sz w:val="14"/>
                            <w:szCs w:val="14"/>
                            <w:lang w:val="en-US"/>
                          </w:rPr>
                          <w:t>Key</w:t>
                        </w:r>
                      </w:p>
                    </w:txbxContent>
                  </v:textbox>
                </v:shape>
              </v:group>
            </w:pict>
          </mc:Fallback>
        </mc:AlternateContent>
      </w:r>
      <w:r w:rsidR="6EFDC90F">
        <w:t>Organigram of MWGE</w:t>
      </w:r>
      <w:r w:rsidR="004B693A">
        <w:rPr>
          <w:rStyle w:val="FootnoteReference"/>
        </w:rPr>
        <w:footnoteReference w:id="53"/>
      </w:r>
      <w:bookmarkEnd w:id="17"/>
      <w:r w:rsidR="48B1ABC8">
        <w:t xml:space="preserve"> </w:t>
      </w:r>
    </w:p>
    <w:p w14:paraId="5CF64C8E" w14:textId="77777777" w:rsidR="00E14D47" w:rsidRDefault="00A036DF" w:rsidP="00244D1C">
      <w:pPr>
        <w:pStyle w:val="ItadNormalText"/>
      </w:pPr>
      <w:r w:rsidRPr="00A036DF">
        <w:rPr>
          <w:noProof/>
        </w:rPr>
        <w:drawing>
          <wp:inline distT="0" distB="0" distL="0" distR="0" wp14:anchorId="1E4F82F8" wp14:editId="6B6030AB">
            <wp:extent cx="6047740" cy="28409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047740" cy="2840990"/>
                    </a:xfrm>
                    <a:prstGeom prst="rect">
                      <a:avLst/>
                    </a:prstGeom>
                  </pic:spPr>
                </pic:pic>
              </a:graphicData>
            </a:graphic>
          </wp:inline>
        </w:drawing>
      </w:r>
    </w:p>
    <w:p w14:paraId="6FE3D9E5" w14:textId="49A3A037" w:rsidR="00CC0DEC" w:rsidRPr="006A561F" w:rsidRDefault="5AD15159" w:rsidP="00EE069C">
      <w:pPr>
        <w:pStyle w:val="ItadNormalText"/>
        <w:jc w:val="both"/>
      </w:pPr>
      <w:r w:rsidRPr="007F6DFD">
        <w:t>W</w:t>
      </w:r>
      <w:r w:rsidR="6B9BCC33">
        <w:t xml:space="preserve">ithin </w:t>
      </w:r>
      <w:r w:rsidR="31758D90" w:rsidRPr="007F6DFD">
        <w:t xml:space="preserve">the </w:t>
      </w:r>
      <w:r w:rsidR="6B9BCC33">
        <w:t xml:space="preserve">COs, </w:t>
      </w:r>
      <w:r w:rsidR="31758D90" w:rsidRPr="007F6DFD">
        <w:t xml:space="preserve">the Project Coordinators were </w:t>
      </w:r>
      <w:r w:rsidR="6B9BCC33">
        <w:t xml:space="preserve">placed </w:t>
      </w:r>
      <w:r w:rsidR="31758D90" w:rsidRPr="007F6DFD">
        <w:t xml:space="preserve">differently within the </w:t>
      </w:r>
      <w:r w:rsidR="3F4330C2" w:rsidRPr="007F6DFD">
        <w:t xml:space="preserve">respective </w:t>
      </w:r>
      <w:r w:rsidR="31758D90" w:rsidRPr="007F6DFD">
        <w:t>CO structure</w:t>
      </w:r>
      <w:r w:rsidR="3F4330C2" w:rsidRPr="007F6DFD">
        <w:t>s</w:t>
      </w:r>
      <w:r w:rsidR="6DA2858D" w:rsidRPr="007F6DFD">
        <w:t>:</w:t>
      </w:r>
      <w:r w:rsidR="31758D90" w:rsidRPr="007F6DFD">
        <w:t xml:space="preserve"> </w:t>
      </w:r>
      <w:r w:rsidR="6DA2858D" w:rsidRPr="007F6DFD">
        <w:t xml:space="preserve">under </w:t>
      </w:r>
      <w:r w:rsidR="6B9BCC33">
        <w:t>E</w:t>
      </w:r>
      <w:r w:rsidR="003743EA">
        <w:t xml:space="preserve">nding </w:t>
      </w:r>
      <w:r w:rsidR="6B9BCC33">
        <w:t>V</w:t>
      </w:r>
      <w:r w:rsidR="003743EA">
        <w:t xml:space="preserve">iolence </w:t>
      </w:r>
      <w:r w:rsidR="6B9BCC33">
        <w:t>A</w:t>
      </w:r>
      <w:r w:rsidR="003743EA">
        <w:t xml:space="preserve">gainst </w:t>
      </w:r>
      <w:r w:rsidR="6B9BCC33">
        <w:t>W</w:t>
      </w:r>
      <w:r w:rsidR="003743EA">
        <w:t>omen (EVAW)</w:t>
      </w:r>
      <w:r w:rsidR="6B9BCC33">
        <w:t xml:space="preserve"> </w:t>
      </w:r>
      <w:r w:rsidR="6DA2858D" w:rsidRPr="007F6DFD">
        <w:t>in</w:t>
      </w:r>
      <w:r w:rsidR="6B9BCC33">
        <w:t xml:space="preserve"> E</w:t>
      </w:r>
      <w:r w:rsidR="6DA2858D" w:rsidRPr="007F6DFD">
        <w:t>gypt</w:t>
      </w:r>
      <w:r w:rsidR="6B9BCC33">
        <w:t xml:space="preserve">, </w:t>
      </w:r>
      <w:r w:rsidR="6DA2858D" w:rsidRPr="007F6DFD">
        <w:t xml:space="preserve">under </w:t>
      </w:r>
      <w:r w:rsidR="6B9BCC33">
        <w:t>W</w:t>
      </w:r>
      <w:r w:rsidR="003743EA">
        <w:t xml:space="preserve">omen </w:t>
      </w:r>
      <w:r w:rsidR="6B9BCC33">
        <w:t>P</w:t>
      </w:r>
      <w:r w:rsidR="003743EA">
        <w:t xml:space="preserve">eace and </w:t>
      </w:r>
      <w:r w:rsidR="6B9BCC33">
        <w:t>S</w:t>
      </w:r>
      <w:r w:rsidR="003743EA">
        <w:t>ecurity (WPS)</w:t>
      </w:r>
      <w:r w:rsidR="6B9BCC33">
        <w:t xml:space="preserve"> </w:t>
      </w:r>
      <w:r w:rsidR="677B9F6D" w:rsidRPr="007F6DFD">
        <w:t>in</w:t>
      </w:r>
      <w:r w:rsidR="6B9BCC33">
        <w:t xml:space="preserve"> Leb</w:t>
      </w:r>
      <w:r w:rsidR="677B9F6D" w:rsidRPr="007F6DFD">
        <w:t>anon</w:t>
      </w:r>
      <w:r w:rsidR="6B9BCC33">
        <w:t xml:space="preserve">, </w:t>
      </w:r>
      <w:r w:rsidR="6D37EAB0" w:rsidRPr="007F6DFD">
        <w:t xml:space="preserve">under the Programme Specialist in </w:t>
      </w:r>
      <w:r w:rsidR="6D0C0876" w:rsidRPr="007F6DFD">
        <w:t>Tunisia</w:t>
      </w:r>
      <w:r w:rsidR="3D0C2509" w:rsidRPr="007F6DFD">
        <w:t xml:space="preserve">, </w:t>
      </w:r>
      <w:r w:rsidR="6D0C0876" w:rsidRPr="007F6DFD">
        <w:t>under the Deputy Director in Jordan and d</w:t>
      </w:r>
      <w:r w:rsidR="6B9BCC33">
        <w:t>irect</w:t>
      </w:r>
      <w:r w:rsidR="6D0C0876" w:rsidRPr="007F6DFD">
        <w:t>ly accountable to the Country Representative in</w:t>
      </w:r>
      <w:r w:rsidR="6B9BCC33">
        <w:t xml:space="preserve"> Mor</w:t>
      </w:r>
      <w:r w:rsidR="6D0C0876" w:rsidRPr="007F6DFD">
        <w:t>occo and</w:t>
      </w:r>
      <w:r w:rsidR="6B9BCC33">
        <w:t xml:space="preserve"> Pal</w:t>
      </w:r>
      <w:r w:rsidR="12598899" w:rsidRPr="007F6DFD">
        <w:t>estine</w:t>
      </w:r>
      <w:r w:rsidR="197BC6B6" w:rsidRPr="007F6DFD">
        <w:t>.</w:t>
      </w:r>
      <w:r w:rsidR="6B9BCC33">
        <w:t xml:space="preserve"> </w:t>
      </w:r>
      <w:r w:rsidR="197BC6B6" w:rsidRPr="007F6DFD">
        <w:t>Somewhat anomalously</w:t>
      </w:r>
      <w:r w:rsidR="5637F44B" w:rsidRPr="007F6DFD">
        <w:t xml:space="preserve"> for a regional programme, the </w:t>
      </w:r>
      <w:r w:rsidR="6B9BCC33">
        <w:t xml:space="preserve">coordinators </w:t>
      </w:r>
      <w:r w:rsidR="003743EA">
        <w:t>were</w:t>
      </w:r>
      <w:r w:rsidR="6B9BCC33">
        <w:t xml:space="preserve"> fully accountable to their Country Reps and Country Offices, and not to ROAS. </w:t>
      </w:r>
      <w:r w:rsidR="44BA6803" w:rsidRPr="007F6DFD">
        <w:t xml:space="preserve">Only in the case of the coordinators in Palestine and Tunisia there </w:t>
      </w:r>
      <w:r w:rsidR="003743EA">
        <w:t xml:space="preserve">was </w:t>
      </w:r>
      <w:r w:rsidR="44BA6803" w:rsidRPr="007F6DFD">
        <w:t>a matrixed supervisory arrangement whereby</w:t>
      </w:r>
      <w:r w:rsidR="21722575" w:rsidRPr="007F6DFD">
        <w:t xml:space="preserve"> the country representative </w:t>
      </w:r>
      <w:r w:rsidR="003743EA" w:rsidRPr="007F6DFD">
        <w:t>w</w:t>
      </w:r>
      <w:r w:rsidR="003743EA">
        <w:t xml:space="preserve">as </w:t>
      </w:r>
      <w:r w:rsidR="21722575" w:rsidRPr="007F6DFD">
        <w:t xml:space="preserve">the supervisors of </w:t>
      </w:r>
      <w:r w:rsidR="5C73AAB5" w:rsidRPr="007F6DFD">
        <w:t>the</w:t>
      </w:r>
      <w:r w:rsidR="21722575" w:rsidRPr="007F6DFD">
        <w:t xml:space="preserve"> national coordinator</w:t>
      </w:r>
      <w:r w:rsidR="5C73AAB5" w:rsidRPr="007F6DFD">
        <w:t>,</w:t>
      </w:r>
      <w:r w:rsidR="21722575" w:rsidRPr="007F6DFD">
        <w:t xml:space="preserve"> but the MWGE regional programme manager </w:t>
      </w:r>
      <w:r w:rsidR="4A03ACCC" w:rsidRPr="007F6DFD">
        <w:t>ha</w:t>
      </w:r>
      <w:r w:rsidR="003743EA">
        <w:t>d</w:t>
      </w:r>
      <w:r w:rsidR="21722575" w:rsidRPr="007F6DFD">
        <w:t xml:space="preserve"> a dotted line of supervision, which mean</w:t>
      </w:r>
      <w:r w:rsidR="003743EA">
        <w:t>t</w:t>
      </w:r>
      <w:r w:rsidR="21722575" w:rsidRPr="007F6DFD">
        <w:t xml:space="preserve"> that s</w:t>
      </w:r>
      <w:r w:rsidR="4A03ACCC" w:rsidRPr="007F6DFD">
        <w:t>/</w:t>
      </w:r>
      <w:r w:rsidR="21722575" w:rsidRPr="007F6DFD">
        <w:t>he t</w:t>
      </w:r>
      <w:r w:rsidR="003743EA">
        <w:t>ook</w:t>
      </w:r>
      <w:r w:rsidR="21722575" w:rsidRPr="007F6DFD">
        <w:t xml:space="preserve"> part </w:t>
      </w:r>
      <w:r w:rsidR="003743EA">
        <w:t>in</w:t>
      </w:r>
      <w:r w:rsidR="21722575" w:rsidRPr="007F6DFD">
        <w:t xml:space="preserve"> the annual performance review of the coordinator</w:t>
      </w:r>
      <w:r w:rsidR="4A03ACCC" w:rsidRPr="007F6DFD">
        <w:t>.</w:t>
      </w:r>
      <w:r w:rsidR="0043264D" w:rsidRPr="007F6DFD">
        <w:rPr>
          <w:rStyle w:val="FootnoteReference"/>
        </w:rPr>
        <w:footnoteReference w:id="54"/>
      </w:r>
      <w:r w:rsidR="7F246236" w:rsidRPr="007F6DFD">
        <w:t xml:space="preserve"> </w:t>
      </w:r>
    </w:p>
    <w:p w14:paraId="7855EF0E" w14:textId="77777777" w:rsidR="006F2F6D" w:rsidRPr="006A561F" w:rsidRDefault="006F2F6D" w:rsidP="40E44CAF">
      <w:pPr>
        <w:pStyle w:val="ItadNormalText"/>
        <w:jc w:val="both"/>
      </w:pPr>
    </w:p>
    <w:p w14:paraId="13C0E386" w14:textId="77777777" w:rsidR="006F2F6D" w:rsidRPr="006A561F" w:rsidRDefault="40E44CAF" w:rsidP="40E44CAF">
      <w:pPr>
        <w:pStyle w:val="ItadNormalText"/>
        <w:jc w:val="both"/>
        <w:rPr>
          <w:color w:val="E37230" w:themeColor="accent2"/>
          <w:sz w:val="36"/>
          <w:szCs w:val="36"/>
        </w:rPr>
      </w:pPr>
      <w:r w:rsidRPr="40E44CAF">
        <w:rPr>
          <w:color w:val="E37230" w:themeColor="accent2"/>
          <w:sz w:val="36"/>
          <w:szCs w:val="36"/>
        </w:rPr>
        <w:t>3.</w:t>
      </w:r>
      <w:r w:rsidR="0CD162B1" w:rsidRPr="40E44CAF">
        <w:rPr>
          <w:color w:val="E37230" w:themeColor="accent2"/>
          <w:sz w:val="36"/>
          <w:szCs w:val="36"/>
        </w:rPr>
        <w:t xml:space="preserve">Evaluation </w:t>
      </w:r>
      <w:r w:rsidR="6B620F5F" w:rsidRPr="40E44CAF">
        <w:rPr>
          <w:color w:val="E37230" w:themeColor="accent2"/>
          <w:sz w:val="36"/>
          <w:szCs w:val="36"/>
        </w:rPr>
        <w:t>Purpose, Objectives and Scope</w:t>
      </w:r>
    </w:p>
    <w:p w14:paraId="69E553D5" w14:textId="77777777" w:rsidR="006F2F6D" w:rsidRPr="006A561F" w:rsidRDefault="45969189" w:rsidP="40E44CAF">
      <w:pPr>
        <w:pStyle w:val="ItadH3"/>
        <w:rPr>
          <w:lang w:val="en-GB"/>
        </w:rPr>
      </w:pPr>
      <w:r w:rsidRPr="40E44CAF">
        <w:rPr>
          <w:lang w:val="en-GB"/>
        </w:rPr>
        <w:t xml:space="preserve">3.1 </w:t>
      </w:r>
      <w:r w:rsidR="2E98ED59" w:rsidRPr="40E44CAF">
        <w:rPr>
          <w:lang w:val="en-GB"/>
        </w:rPr>
        <w:t>Purpose and objectives</w:t>
      </w:r>
    </w:p>
    <w:p w14:paraId="1DCE0F83" w14:textId="77777777" w:rsidR="006F2F6D" w:rsidRPr="006A561F" w:rsidRDefault="2E98ED59" w:rsidP="40E44CAF">
      <w:pPr>
        <w:pStyle w:val="ItadNormalText"/>
        <w:jc w:val="both"/>
        <w:rPr>
          <w:rFonts w:eastAsia="Calibri" w:cs="Calibri"/>
        </w:rPr>
      </w:pPr>
      <w:r w:rsidRPr="40E44CAF">
        <w:rPr>
          <w:rFonts w:eastAsia="Calibri" w:cs="Calibri"/>
        </w:rPr>
        <w:t xml:space="preserve">The purpose of this end-term evaluation </w:t>
      </w:r>
      <w:r w:rsidR="54A11045" w:rsidRPr="40E44CAF">
        <w:rPr>
          <w:rFonts w:eastAsia="Calibri" w:cs="Calibri"/>
        </w:rPr>
        <w:t>was</w:t>
      </w:r>
      <w:r w:rsidRPr="40E44CAF">
        <w:rPr>
          <w:rFonts w:eastAsia="Calibri" w:cs="Calibri"/>
        </w:rPr>
        <w:t xml:space="preserve"> twofold; (a) accountability, to assess the overall performance of the programme and achievement against the planned results; (b) learning, by studying the nature and processes of interventions to determine which strategies and elements worked well, in which context and why, and potential for replicating or scaling up the successful innovations. </w:t>
      </w:r>
    </w:p>
    <w:p w14:paraId="0535D51B" w14:textId="77777777" w:rsidR="006F2F6D" w:rsidRPr="006A561F" w:rsidRDefault="2E98ED59" w:rsidP="40E44CAF">
      <w:pPr>
        <w:pStyle w:val="ItadNormalText"/>
        <w:jc w:val="both"/>
        <w:rPr>
          <w:rFonts w:eastAsia="Calibri" w:cs="Calibri"/>
        </w:rPr>
      </w:pPr>
      <w:r w:rsidRPr="40E44CAF">
        <w:rPr>
          <w:rFonts w:eastAsia="Calibri" w:cs="Calibri"/>
        </w:rPr>
        <w:t xml:space="preserve">At the same time, it </w:t>
      </w:r>
      <w:r w:rsidR="19B766DC" w:rsidRPr="40E44CAF">
        <w:rPr>
          <w:rFonts w:eastAsia="Calibri" w:cs="Calibri"/>
        </w:rPr>
        <w:t xml:space="preserve">aspired to </w:t>
      </w:r>
      <w:r w:rsidRPr="40E44CAF">
        <w:rPr>
          <w:rFonts w:eastAsia="Calibri" w:cs="Calibri"/>
        </w:rPr>
        <w:t>contribute towards building a body of evidence around engaging men and women for GEWE for other UN Women partners and sector players.</w:t>
      </w:r>
    </w:p>
    <w:p w14:paraId="7D3D2F57" w14:textId="77777777" w:rsidR="006F2F6D" w:rsidRPr="006A561F" w:rsidRDefault="3FA13C9B" w:rsidP="40E44CAF">
      <w:pPr>
        <w:pStyle w:val="ItadNormalText"/>
        <w:jc w:val="both"/>
        <w:rPr>
          <w:rFonts w:eastAsia="Calibri" w:cs="Calibri"/>
        </w:rPr>
      </w:pPr>
      <w:r w:rsidRPr="40E44CAF">
        <w:rPr>
          <w:rFonts w:eastAsia="Calibri" w:cs="Calibri"/>
        </w:rPr>
        <w:t>Therefore,</w:t>
      </w:r>
      <w:r w:rsidR="42B7346E" w:rsidRPr="40E44CAF">
        <w:rPr>
          <w:rFonts w:eastAsia="Calibri" w:cs="Calibri"/>
        </w:rPr>
        <w:t xml:space="preserve"> the evaluation </w:t>
      </w:r>
      <w:r w:rsidR="7A4976AC" w:rsidRPr="40E44CAF">
        <w:rPr>
          <w:rFonts w:eastAsia="Calibri" w:cs="Calibri"/>
        </w:rPr>
        <w:t>was</w:t>
      </w:r>
      <w:r w:rsidR="42B7346E" w:rsidRPr="40E44CAF">
        <w:rPr>
          <w:rFonts w:eastAsia="Calibri" w:cs="Calibri"/>
        </w:rPr>
        <w:t xml:space="preserve"> both summative and formative in nature</w:t>
      </w:r>
      <w:r w:rsidR="1DE46D40">
        <w:t xml:space="preserve"> (</w:t>
      </w:r>
      <w:proofErr w:type="spellStart"/>
      <w:r w:rsidR="1DE46D40">
        <w:t>ToR</w:t>
      </w:r>
      <w:proofErr w:type="spellEnd"/>
      <w:r w:rsidR="1DE46D40">
        <w:t xml:space="preserve"> – see Annex 1). The summative focus drew together the strategic and conceptual elements of the evaluation and assesse</w:t>
      </w:r>
      <w:r w:rsidR="7F4B0BED">
        <w:t>d</w:t>
      </w:r>
      <w:r w:rsidR="1DE46D40">
        <w:t xml:space="preserve"> the effectiveness and likelihood of impact of the programme intervention, including the sustainability of the results in advancing gender equality at regional and country levels. It also assesse</w:t>
      </w:r>
      <w:r w:rsidR="71F7D76C">
        <w:t>d</w:t>
      </w:r>
      <w:r w:rsidR="1DE46D40">
        <w:t xml:space="preserve"> the relevance of the programme </w:t>
      </w:r>
      <w:r w:rsidR="1DE46D40">
        <w:lastRenderedPageBreak/>
        <w:t>objectives, intervention logic, strategy and approach, as well as organisational efficiency, partnerships and coordination mechanisms; and it assesse</w:t>
      </w:r>
      <w:r w:rsidR="64F1A5E5">
        <w:t>d</w:t>
      </w:r>
      <w:r w:rsidR="1DE46D40">
        <w:t xml:space="preserve"> how these contributed to the achievement of the programme results, as guided by the Organisation for Economic Co-operation and Development’s Development Assistance Committee (OECD-DAC) criteria.</w:t>
      </w:r>
      <w:r w:rsidR="59E1A32F" w:rsidRPr="40E44CAF">
        <w:rPr>
          <w:rStyle w:val="FootnoteReference"/>
          <w:sz w:val="22"/>
          <w:szCs w:val="22"/>
        </w:rPr>
        <w:footnoteReference w:id="55"/>
      </w:r>
      <w:r w:rsidR="1DE46D40">
        <w:t xml:space="preserve"> From the learning/operational perspective, the evaluation also provide</w:t>
      </w:r>
      <w:r w:rsidR="40824027">
        <w:t>d</w:t>
      </w:r>
      <w:r w:rsidR="1DE46D40">
        <w:t xml:space="preserve"> a formative focus, in that lessons and promising/good practices </w:t>
      </w:r>
      <w:r w:rsidR="41403B74">
        <w:t>wer</w:t>
      </w:r>
      <w:r w:rsidR="1DE46D40">
        <w:t>e captured alongside evidence-based recommendations, which c</w:t>
      </w:r>
      <w:r w:rsidR="1B566A1B">
        <w:t>ould</w:t>
      </w:r>
      <w:r w:rsidR="1DE46D40">
        <w:t xml:space="preserve"> feed into future programming.</w:t>
      </w:r>
    </w:p>
    <w:p w14:paraId="2F4E2833" w14:textId="77777777" w:rsidR="006F2F6D" w:rsidRPr="006A561F" w:rsidRDefault="006F2F6D" w:rsidP="40E44CAF">
      <w:pPr>
        <w:pStyle w:val="ItadNormalText"/>
        <w:jc w:val="both"/>
        <w:rPr>
          <w:rFonts w:eastAsia="Calibri" w:cs="Calibri"/>
        </w:rPr>
      </w:pPr>
    </w:p>
    <w:p w14:paraId="6468EF49" w14:textId="5053A880" w:rsidR="006F2F6D" w:rsidRPr="006A561F" w:rsidRDefault="2E98ED59" w:rsidP="40E44CAF">
      <w:pPr>
        <w:pStyle w:val="ItadNormalText"/>
        <w:jc w:val="both"/>
        <w:rPr>
          <w:rFonts w:eastAsia="Calibri" w:cs="Calibri"/>
        </w:rPr>
      </w:pPr>
      <w:r w:rsidRPr="40E44CAF">
        <w:rPr>
          <w:rFonts w:eastAsia="Calibri" w:cs="Calibri"/>
          <w:lang w:val="en-US"/>
        </w:rPr>
        <w:t xml:space="preserve"> </w:t>
      </w:r>
      <w:r w:rsidR="68B844F5" w:rsidRPr="40E44CAF">
        <w:rPr>
          <w:rFonts w:eastAsia="Calibri" w:cs="Calibri"/>
          <w:lang w:val="en-US"/>
        </w:rPr>
        <w:t>T</w:t>
      </w:r>
      <w:r w:rsidRPr="40E44CAF">
        <w:rPr>
          <w:rFonts w:eastAsia="Calibri" w:cs="Calibri"/>
          <w:lang w:val="en-US"/>
        </w:rPr>
        <w:t>he objectives of th</w:t>
      </w:r>
      <w:r w:rsidR="001F7344">
        <w:rPr>
          <w:rFonts w:eastAsia="Calibri" w:cs="Calibri"/>
          <w:lang w:val="en-US"/>
        </w:rPr>
        <w:t>e</w:t>
      </w:r>
      <w:r w:rsidRPr="40E44CAF">
        <w:rPr>
          <w:rFonts w:eastAsia="Calibri" w:cs="Calibri"/>
          <w:lang w:val="en-US"/>
        </w:rPr>
        <w:t xml:space="preserve"> evaluation </w:t>
      </w:r>
      <w:r w:rsidR="74825842" w:rsidRPr="40E44CAF">
        <w:rPr>
          <w:rFonts w:eastAsia="Calibri" w:cs="Calibri"/>
          <w:lang w:val="en-US"/>
        </w:rPr>
        <w:t xml:space="preserve">were </w:t>
      </w:r>
      <w:r w:rsidRPr="40E44CAF">
        <w:rPr>
          <w:rFonts w:eastAsia="Calibri" w:cs="Calibri"/>
          <w:lang w:val="en-US"/>
        </w:rPr>
        <w:t>to:</w:t>
      </w:r>
    </w:p>
    <w:p w14:paraId="28B0BDA8" w14:textId="77777777" w:rsidR="006F2F6D" w:rsidRPr="006A561F" w:rsidRDefault="2E98ED59">
      <w:pPr>
        <w:pStyle w:val="ItadBullets"/>
        <w:numPr>
          <w:ilvl w:val="0"/>
          <w:numId w:val="3"/>
        </w:numPr>
        <w:jc w:val="both"/>
        <w:rPr>
          <w:rFonts w:eastAsia="Calibri" w:cs="Calibri"/>
        </w:rPr>
      </w:pPr>
      <w:proofErr w:type="spellStart"/>
      <w:r w:rsidRPr="40E44CAF">
        <w:rPr>
          <w:rFonts w:eastAsia="Calibri" w:cs="Calibri"/>
          <w:lang w:val="en-US"/>
        </w:rPr>
        <w:t>analyse</w:t>
      </w:r>
      <w:proofErr w:type="spellEnd"/>
      <w:r w:rsidRPr="40E44CAF">
        <w:rPr>
          <w:rFonts w:eastAsia="Calibri" w:cs="Calibri"/>
          <w:lang w:val="en-US"/>
        </w:rPr>
        <w:t xml:space="preserve"> the relevance of the </w:t>
      </w:r>
      <w:proofErr w:type="spellStart"/>
      <w:r w:rsidRPr="40E44CAF">
        <w:rPr>
          <w:rFonts w:eastAsia="Calibri" w:cs="Calibri"/>
          <w:lang w:val="en-US"/>
        </w:rPr>
        <w:t>programme</w:t>
      </w:r>
      <w:proofErr w:type="spellEnd"/>
      <w:r w:rsidRPr="40E44CAF">
        <w:rPr>
          <w:rFonts w:eastAsia="Calibri" w:cs="Calibri"/>
          <w:lang w:val="en-US"/>
        </w:rPr>
        <w:t xml:space="preserve"> objectives, intervention logic, </w:t>
      </w:r>
      <w:proofErr w:type="gramStart"/>
      <w:r w:rsidRPr="40E44CAF">
        <w:rPr>
          <w:rFonts w:eastAsia="Calibri" w:cs="Calibri"/>
          <w:lang w:val="en-US"/>
        </w:rPr>
        <w:t>strategy</w:t>
      </w:r>
      <w:proofErr w:type="gramEnd"/>
      <w:r w:rsidRPr="40E44CAF">
        <w:rPr>
          <w:rFonts w:eastAsia="Calibri" w:cs="Calibri"/>
          <w:lang w:val="en-US"/>
        </w:rPr>
        <w:t xml:space="preserve"> and approach at national and regional levels, as well as UN Women’s comparative advantage/added value in this area as compared with key partners. </w:t>
      </w:r>
    </w:p>
    <w:p w14:paraId="1F688C5B" w14:textId="77777777" w:rsidR="006F2F6D" w:rsidRPr="006A561F" w:rsidRDefault="2E98ED59">
      <w:pPr>
        <w:pStyle w:val="ItadBullets"/>
        <w:numPr>
          <w:ilvl w:val="0"/>
          <w:numId w:val="3"/>
        </w:numPr>
        <w:jc w:val="both"/>
        <w:rPr>
          <w:rFonts w:eastAsia="Calibri" w:cs="Calibri"/>
        </w:rPr>
      </w:pPr>
      <w:r w:rsidRPr="40E44CAF">
        <w:rPr>
          <w:rFonts w:eastAsia="Calibri" w:cs="Calibri"/>
          <w:lang w:val="en-US"/>
        </w:rPr>
        <w:t xml:space="preserve">assess </w:t>
      </w:r>
      <w:proofErr w:type="spellStart"/>
      <w:r w:rsidRPr="40E44CAF">
        <w:rPr>
          <w:rFonts w:eastAsia="Calibri" w:cs="Calibri"/>
          <w:lang w:val="en-US"/>
        </w:rPr>
        <w:t>organisational</w:t>
      </w:r>
      <w:proofErr w:type="spellEnd"/>
      <w:r w:rsidRPr="40E44CAF">
        <w:rPr>
          <w:rFonts w:eastAsia="Calibri" w:cs="Calibri"/>
          <w:lang w:val="en-US"/>
        </w:rPr>
        <w:t xml:space="preserve"> efficiency, </w:t>
      </w:r>
      <w:proofErr w:type="gramStart"/>
      <w:r w:rsidRPr="40E44CAF">
        <w:rPr>
          <w:rFonts w:eastAsia="Calibri" w:cs="Calibri"/>
          <w:lang w:val="en-US"/>
        </w:rPr>
        <w:t>partnerships</w:t>
      </w:r>
      <w:proofErr w:type="gramEnd"/>
      <w:r w:rsidRPr="40E44CAF">
        <w:rPr>
          <w:rFonts w:eastAsia="Calibri" w:cs="Calibri"/>
          <w:lang w:val="en-US"/>
        </w:rPr>
        <w:t xml:space="preserve"> and coordination mechanisms in progressing towards the achievement of the </w:t>
      </w:r>
      <w:proofErr w:type="spellStart"/>
      <w:r w:rsidRPr="40E44CAF">
        <w:rPr>
          <w:rFonts w:eastAsia="Calibri" w:cs="Calibri"/>
          <w:lang w:val="en-US"/>
        </w:rPr>
        <w:t>programme</w:t>
      </w:r>
      <w:proofErr w:type="spellEnd"/>
      <w:r w:rsidRPr="40E44CAF">
        <w:rPr>
          <w:rFonts w:eastAsia="Calibri" w:cs="Calibri"/>
          <w:lang w:val="en-US"/>
        </w:rPr>
        <w:t xml:space="preserve"> results.</w:t>
      </w:r>
    </w:p>
    <w:p w14:paraId="08DD4CFD" w14:textId="77777777" w:rsidR="006F2F6D" w:rsidRPr="006A561F" w:rsidRDefault="2E98ED59">
      <w:pPr>
        <w:pStyle w:val="ItadBullets"/>
        <w:numPr>
          <w:ilvl w:val="0"/>
          <w:numId w:val="3"/>
        </w:numPr>
        <w:jc w:val="both"/>
        <w:rPr>
          <w:rFonts w:eastAsia="Calibri" w:cs="Calibri"/>
        </w:rPr>
      </w:pPr>
      <w:r w:rsidRPr="40E44CAF">
        <w:rPr>
          <w:rFonts w:eastAsia="Calibri" w:cs="Calibri"/>
          <w:lang w:val="en-US"/>
        </w:rPr>
        <w:t>assess the connectedness and sustainability of the results and the intervention in advancing gender equality in the target countries.</w:t>
      </w:r>
    </w:p>
    <w:p w14:paraId="2CDF35CA" w14:textId="77777777" w:rsidR="006F2F6D" w:rsidRPr="006A561F" w:rsidRDefault="2E98ED59">
      <w:pPr>
        <w:pStyle w:val="ItadBullets"/>
        <w:numPr>
          <w:ilvl w:val="0"/>
          <w:numId w:val="3"/>
        </w:numPr>
        <w:jc w:val="both"/>
        <w:rPr>
          <w:rFonts w:eastAsia="Calibri" w:cs="Calibri"/>
        </w:rPr>
      </w:pPr>
      <w:r w:rsidRPr="40E44CAF">
        <w:rPr>
          <w:rFonts w:eastAsia="Calibri" w:cs="Calibri"/>
          <w:lang w:val="en-US"/>
        </w:rPr>
        <w:t xml:space="preserve">assess effectiveness and the likelihood of impact of the </w:t>
      </w:r>
      <w:proofErr w:type="spellStart"/>
      <w:r w:rsidRPr="40E44CAF">
        <w:rPr>
          <w:rFonts w:eastAsia="Calibri" w:cs="Calibri"/>
          <w:lang w:val="en-US"/>
        </w:rPr>
        <w:t>programme</w:t>
      </w:r>
      <w:proofErr w:type="spellEnd"/>
      <w:r w:rsidRPr="40E44CAF">
        <w:rPr>
          <w:rFonts w:eastAsia="Calibri" w:cs="Calibri"/>
          <w:lang w:val="en-US"/>
        </w:rPr>
        <w:t xml:space="preserve"> intervention on the target individuals, groups, </w:t>
      </w:r>
      <w:proofErr w:type="gramStart"/>
      <w:r w:rsidRPr="40E44CAF">
        <w:rPr>
          <w:rFonts w:eastAsia="Calibri" w:cs="Calibri"/>
          <w:lang w:val="en-US"/>
        </w:rPr>
        <w:t>communities</w:t>
      </w:r>
      <w:proofErr w:type="gramEnd"/>
      <w:r w:rsidRPr="40E44CAF">
        <w:rPr>
          <w:rFonts w:eastAsia="Calibri" w:cs="Calibri"/>
          <w:lang w:val="en-US"/>
        </w:rPr>
        <w:t xml:space="preserve"> and institutions. </w:t>
      </w:r>
    </w:p>
    <w:p w14:paraId="0A1F62D9" w14:textId="77777777" w:rsidR="006F2F6D" w:rsidRPr="006A561F" w:rsidRDefault="2E98ED59">
      <w:pPr>
        <w:pStyle w:val="ItadBullets"/>
        <w:numPr>
          <w:ilvl w:val="0"/>
          <w:numId w:val="3"/>
        </w:numPr>
        <w:jc w:val="both"/>
        <w:rPr>
          <w:rFonts w:eastAsia="Calibri" w:cs="Calibri"/>
        </w:rPr>
      </w:pPr>
      <w:r w:rsidRPr="40E44CAF">
        <w:rPr>
          <w:rFonts w:eastAsia="Calibri" w:cs="Calibri"/>
          <w:lang w:val="en-US"/>
        </w:rPr>
        <w:t xml:space="preserve">identify and document lessons learned, good practices and innovations, success stories and challenges within the </w:t>
      </w:r>
      <w:proofErr w:type="spellStart"/>
      <w:r w:rsidRPr="40E44CAF">
        <w:rPr>
          <w:rFonts w:eastAsia="Calibri" w:cs="Calibri"/>
          <w:lang w:val="en-US"/>
        </w:rPr>
        <w:t>programme</w:t>
      </w:r>
      <w:proofErr w:type="spellEnd"/>
      <w:r w:rsidRPr="40E44CAF">
        <w:rPr>
          <w:rFonts w:eastAsia="Calibri" w:cs="Calibri"/>
          <w:lang w:val="en-US"/>
        </w:rPr>
        <w:t xml:space="preserve">, to inform future work of UN Women to transform negative </w:t>
      </w:r>
      <w:proofErr w:type="spellStart"/>
      <w:r w:rsidRPr="40E44CAF">
        <w:rPr>
          <w:rFonts w:eastAsia="Calibri" w:cs="Calibri"/>
          <w:lang w:val="en-US"/>
        </w:rPr>
        <w:t>behaviours</w:t>
      </w:r>
      <w:proofErr w:type="spellEnd"/>
      <w:r w:rsidRPr="40E44CAF">
        <w:rPr>
          <w:rFonts w:eastAsia="Calibri" w:cs="Calibri"/>
          <w:lang w:val="en-US"/>
        </w:rPr>
        <w:t xml:space="preserve"> and challenge prevalent gender social norms, including by engaging men and boys.</w:t>
      </w:r>
    </w:p>
    <w:p w14:paraId="711FD7DA" w14:textId="77777777" w:rsidR="006F2F6D" w:rsidRPr="006A561F" w:rsidRDefault="006F2F6D" w:rsidP="40E44CAF">
      <w:pPr>
        <w:pStyle w:val="ItadNormalText"/>
      </w:pPr>
    </w:p>
    <w:p w14:paraId="6DA8A8CC" w14:textId="77777777" w:rsidR="006F2F6D" w:rsidRPr="006A561F" w:rsidRDefault="516DB142" w:rsidP="40E44CAF">
      <w:pPr>
        <w:pStyle w:val="ItadH3"/>
        <w:jc w:val="both"/>
        <w:rPr>
          <w:lang w:val="en-GB"/>
        </w:rPr>
      </w:pPr>
      <w:r w:rsidRPr="40E44CAF">
        <w:rPr>
          <w:lang w:val="en-GB"/>
        </w:rPr>
        <w:t xml:space="preserve">3.2 </w:t>
      </w:r>
      <w:r w:rsidR="2E98ED59" w:rsidRPr="40E44CAF">
        <w:rPr>
          <w:lang w:val="en-GB"/>
        </w:rPr>
        <w:t>Scope of the evaluation</w:t>
      </w:r>
    </w:p>
    <w:p w14:paraId="7A609BCF" w14:textId="77777777" w:rsidR="006F2F6D" w:rsidRPr="006A561F" w:rsidRDefault="42B7346E" w:rsidP="40E44CAF">
      <w:pPr>
        <w:pStyle w:val="ItadNormalText"/>
        <w:jc w:val="both"/>
      </w:pPr>
      <w:r>
        <w:t>The evaluation – conducted between September 2021 and April 2022 – cover</w:t>
      </w:r>
      <w:r w:rsidR="45D42813">
        <w:t>ed</w:t>
      </w:r>
      <w:r>
        <w:t xml:space="preserve"> interventions across both Phase I (January 2015–February 2019) and Phase II (March 2019–June 2022) of the </w:t>
      </w:r>
      <w:r w:rsidR="4BC3EDF0">
        <w:t>programme but</w:t>
      </w:r>
      <w:r>
        <w:t xml:space="preserve"> emphasise</w:t>
      </w:r>
      <w:r w:rsidR="49F1D110">
        <w:t>d</w:t>
      </w:r>
      <w:r>
        <w:t xml:space="preserve"> a deeper dive on Phase II interventions.</w:t>
      </w:r>
      <w:r w:rsidR="59E1A32F" w:rsidRPr="40E44CAF">
        <w:rPr>
          <w:vertAlign w:val="superscript"/>
        </w:rPr>
        <w:footnoteReference w:id="56"/>
      </w:r>
      <w:r>
        <w:t xml:space="preserve"> While the evaluation team agreed with UN Women that it would not consider new data/info/documents after December 2021, some emergent data and reports were nevertheless incorporated into the findings between January and March 2022.</w:t>
      </w:r>
    </w:p>
    <w:p w14:paraId="67463E38" w14:textId="77777777" w:rsidR="006F2F6D" w:rsidRPr="006A561F" w:rsidRDefault="2E98ED59" w:rsidP="40E44CAF">
      <w:pPr>
        <w:pStyle w:val="ItadNormalText"/>
        <w:jc w:val="both"/>
      </w:pPr>
      <w:r>
        <w:t>The evaluation cover</w:t>
      </w:r>
      <w:r w:rsidR="72CFCD6E">
        <w:t>ed</w:t>
      </w:r>
      <w:r>
        <w:t xml:space="preserve"> six UN Women country offices (COs) of the MENA region – Egypt, Jordan, Lebanon, Morocco, </w:t>
      </w:r>
      <w:proofErr w:type="gramStart"/>
      <w:r>
        <w:t>Palestine</w:t>
      </w:r>
      <w:proofErr w:type="gramEnd"/>
      <w:r>
        <w:t xml:space="preserve"> and Tunisia – as well as the interventions at the UN Women Regional Office for the Arab States (ROAS). A stand-alone case study was developed for each country, and the evaluation also undertook stand-alone thematic studies on knowledge management and uptake, social and gender norms, and a comparison of emergent best practices relating to programming on men and boys for gender equality.</w:t>
      </w:r>
    </w:p>
    <w:p w14:paraId="0CCDEB73" w14:textId="77777777" w:rsidR="006F2F6D" w:rsidRPr="006A561F" w:rsidRDefault="42B7346E" w:rsidP="40E44CAF">
      <w:pPr>
        <w:pStyle w:val="ItadNormalText"/>
        <w:jc w:val="both"/>
      </w:pPr>
      <w:r>
        <w:t>With regard to the specific areas of enquiry, the evaluation covered all dimensions of the Organisation for Economic Co-operation and Development’s Development Assistance Committee (OECD-DAC) criteria across nine evaluation questions (EQs),</w:t>
      </w:r>
      <w:r w:rsidR="59E1A32F" w:rsidRPr="40E44CAF">
        <w:rPr>
          <w:rStyle w:val="FootnoteReference"/>
          <w:sz w:val="22"/>
          <w:szCs w:val="22"/>
        </w:rPr>
        <w:footnoteReference w:id="57"/>
      </w:r>
      <w:r>
        <w:t xml:space="preserve"> with 28 sub-questions (see summary in </w:t>
      </w:r>
      <w:r w:rsidR="59E1A32F" w:rsidRPr="40E44CAF">
        <w:rPr>
          <w:color w:val="2B579A"/>
        </w:rPr>
        <w:fldChar w:fldCharType="begin"/>
      </w:r>
      <w:r w:rsidR="59E1A32F">
        <w:instrText xml:space="preserve"> REF _Ref98314799 \h  \* MERGEFORMAT </w:instrText>
      </w:r>
      <w:r w:rsidR="59E1A32F" w:rsidRPr="40E44CAF">
        <w:rPr>
          <w:color w:val="2B579A"/>
        </w:rPr>
      </w:r>
      <w:r w:rsidR="59E1A32F" w:rsidRPr="40E44CAF">
        <w:rPr>
          <w:color w:val="2B579A"/>
        </w:rPr>
        <w:fldChar w:fldCharType="separate"/>
      </w:r>
      <w:r>
        <w:t>Table 5</w:t>
      </w:r>
      <w:r w:rsidR="59E1A32F" w:rsidRPr="40E44CAF">
        <w:rPr>
          <w:color w:val="2B579A"/>
        </w:rPr>
        <w:fldChar w:fldCharType="end"/>
      </w:r>
      <w:r>
        <w:t xml:space="preserve"> below, and a full Evaluation matrix in Annex 10).</w:t>
      </w:r>
    </w:p>
    <w:p w14:paraId="52CE4CFA" w14:textId="77777777" w:rsidR="006F2F6D" w:rsidRPr="006A561F" w:rsidRDefault="437B15CF" w:rsidP="40E44CAF">
      <w:pPr>
        <w:pStyle w:val="ItadNormalText"/>
        <w:jc w:val="both"/>
      </w:pPr>
      <w:r>
        <w:t xml:space="preserve">More specifically, the evaluation </w:t>
      </w:r>
      <w:r w:rsidR="3D147F6B">
        <w:t xml:space="preserve">covered </w:t>
      </w:r>
      <w:r>
        <w:t xml:space="preserve">strategic functions, programmatic approaches, conceptual and design </w:t>
      </w:r>
      <w:proofErr w:type="gramStart"/>
      <w:r>
        <w:t>level</w:t>
      </w:r>
      <w:proofErr w:type="gramEnd"/>
      <w:r>
        <w:t xml:space="preserve"> and operational learning:</w:t>
      </w:r>
    </w:p>
    <w:p w14:paraId="4F6C077C" w14:textId="77777777" w:rsidR="006F2F6D" w:rsidRPr="006A561F" w:rsidRDefault="437B15CF" w:rsidP="40E44CAF">
      <w:pPr>
        <w:pStyle w:val="ItadNormalText"/>
        <w:jc w:val="both"/>
      </w:pPr>
      <w:r w:rsidRPr="40E44CAF">
        <w:rPr>
          <w:b/>
          <w:bCs/>
        </w:rPr>
        <w:t>Strategic level:</w:t>
      </w:r>
      <w:r>
        <w:t xml:space="preserve"> The evaluation covered several thematic areas and had a regional focus. Insights drawn in this report (and accompanying materials) therefore shed light on the connectedness of strategies that could inform UN Women’s global, </w:t>
      </w:r>
      <w:proofErr w:type="gramStart"/>
      <w:r>
        <w:t>regional</w:t>
      </w:r>
      <w:proofErr w:type="gramEnd"/>
      <w:r>
        <w:t xml:space="preserve"> and country-level operations addressing gender equality and women’s </w:t>
      </w:r>
      <w:r>
        <w:lastRenderedPageBreak/>
        <w:t>empowerment (GEWE) and how to engage men and boys effectively in these operations in MENA and elsewhere.</w:t>
      </w:r>
    </w:p>
    <w:p w14:paraId="7E67F2C4" w14:textId="77777777" w:rsidR="006F2F6D" w:rsidRPr="006A561F" w:rsidRDefault="437B15CF" w:rsidP="40E44CAF">
      <w:pPr>
        <w:pStyle w:val="ItadNormalText"/>
        <w:jc w:val="both"/>
        <w:rPr>
          <w:b/>
          <w:bCs/>
        </w:rPr>
      </w:pPr>
      <w:r w:rsidRPr="40E44CAF">
        <w:rPr>
          <w:b/>
          <w:bCs/>
        </w:rPr>
        <w:t xml:space="preserve">Programmatic and conceptual level: </w:t>
      </w:r>
      <w:r>
        <w:t xml:space="preserve">The evaluation examined various approaches utilised as part of the MWGE programme, including public awareness and advocacy campaigns, programming aimed at changing gender norms and practices, and promoting gender equitable understandings of Islam, and how well these worked in supporting each other. </w:t>
      </w:r>
    </w:p>
    <w:p w14:paraId="74D9376B" w14:textId="77777777" w:rsidR="006F2F6D" w:rsidRPr="006A561F" w:rsidRDefault="437B15CF" w:rsidP="40E44CAF">
      <w:pPr>
        <w:pStyle w:val="ItadNormalText"/>
        <w:jc w:val="both"/>
      </w:pPr>
      <w:r w:rsidRPr="40E44CAF">
        <w:rPr>
          <w:b/>
          <w:bCs/>
        </w:rPr>
        <w:t xml:space="preserve">Conceptual and design level: </w:t>
      </w:r>
      <w:r>
        <w:t>The evaluation assessed the programme’s contribution to intended and unintended outcomes, as well as likelihood of impacts and the prospect for sustainability in relation to a Theory of Change (</w:t>
      </w:r>
      <w:proofErr w:type="spellStart"/>
      <w:r>
        <w:t>ToC</w:t>
      </w:r>
      <w:proofErr w:type="spellEnd"/>
      <w:r>
        <w:t xml:space="preserve"> – see Annex 14). This served the purpose of facilitating accountability between the donor (the Swedish International Cooperation Agency - </w:t>
      </w:r>
      <w:proofErr w:type="spellStart"/>
      <w:r>
        <w:t>Sida</w:t>
      </w:r>
      <w:proofErr w:type="spellEnd"/>
      <w:r>
        <w:t xml:space="preserve">), UN Women and partners by providing evidence of whether the underpinning logic of the programme had influenced intended outcomes. Consequently, the evaluation tested the MWGE programme ‘concept’ and provided insights on conceptual approaches that needed to be maintained, </w:t>
      </w:r>
      <w:proofErr w:type="gramStart"/>
      <w:r>
        <w:t>refined</w:t>
      </w:r>
      <w:proofErr w:type="gramEnd"/>
      <w:r>
        <w:t xml:space="preserve"> or discarded.</w:t>
      </w:r>
    </w:p>
    <w:p w14:paraId="6A3891B7" w14:textId="61167253" w:rsidR="006F2F6D" w:rsidRPr="006A561F" w:rsidRDefault="515CFD7A" w:rsidP="40E44CAF">
      <w:pPr>
        <w:pStyle w:val="ItadNormalText"/>
        <w:jc w:val="both"/>
      </w:pPr>
      <w:r w:rsidRPr="40E44CAF">
        <w:rPr>
          <w:b/>
          <w:bCs/>
        </w:rPr>
        <w:t>Operational level:</w:t>
      </w:r>
      <w:r>
        <w:t xml:space="preserve"> In turn, the evaluation contributed to the evidence base on GEWE by generating operational lessons with respect to the inclusion of men and boys, as well as an understanding of patriarchal masculinities</w:t>
      </w:r>
      <w:r w:rsidR="59E1A32F" w:rsidRPr="40E44CAF">
        <w:rPr>
          <w:rStyle w:val="FootnoteReference"/>
        </w:rPr>
        <w:footnoteReference w:id="58"/>
      </w:r>
      <w:r>
        <w:t>. Since the report draws together two phases of programme interventions (with a relative emphasis on Phase II), it provided an opportunity to develop indicative guidance on developing and adapting similar programming models at country and regional level in MENA as well as in other operational contexts.</w:t>
      </w:r>
    </w:p>
    <w:p w14:paraId="173B03BB" w14:textId="77777777" w:rsidR="006F2F6D" w:rsidRPr="006A561F" w:rsidRDefault="72EC4D48" w:rsidP="40E44CAF">
      <w:pPr>
        <w:pStyle w:val="ItadH3"/>
        <w:rPr>
          <w:lang w:val="en-GB"/>
        </w:rPr>
      </w:pPr>
      <w:r w:rsidRPr="40E44CAF">
        <w:rPr>
          <w:lang w:val="en-GB"/>
        </w:rPr>
        <w:t xml:space="preserve">3.3 </w:t>
      </w:r>
      <w:r w:rsidR="2E98ED59" w:rsidRPr="40E44CAF">
        <w:rPr>
          <w:lang w:val="en-GB"/>
        </w:rPr>
        <w:t>Use and users of the evaluation</w:t>
      </w:r>
    </w:p>
    <w:p w14:paraId="4E0AE623" w14:textId="77777777" w:rsidR="006F2F6D" w:rsidRPr="003743EA" w:rsidRDefault="2E98ED59" w:rsidP="40E44CAF">
      <w:pPr>
        <w:pStyle w:val="ItadNormalText"/>
        <w:jc w:val="both"/>
      </w:pPr>
      <w:r w:rsidRPr="003743EA">
        <w:t xml:space="preserve">The primary stakeholders of the evaluation </w:t>
      </w:r>
      <w:r w:rsidR="7780A127" w:rsidRPr="003743EA">
        <w:t>were</w:t>
      </w:r>
      <w:r w:rsidRPr="003743EA">
        <w:t xml:space="preserve"> UN Women ROAS and respective UN Women COs, alongside the donor agency, </w:t>
      </w:r>
      <w:proofErr w:type="spellStart"/>
      <w:r w:rsidRPr="003743EA">
        <w:t>Sida</w:t>
      </w:r>
      <w:proofErr w:type="spellEnd"/>
      <w:r w:rsidRPr="003743EA">
        <w:t>. The secondary stakeholders consist</w:t>
      </w:r>
      <w:r w:rsidR="4CC6DFC4" w:rsidRPr="003743EA">
        <w:t>ed</w:t>
      </w:r>
      <w:r w:rsidRPr="003743EA">
        <w:t xml:space="preserve"> of the accompanying implementing partners (see Annex 9) as well as key regional and global players working on GEWE, particularly those that are interested in programming that purposefully integrates a focus on men and boys with the aim of furthering GEWE. The evaluation </w:t>
      </w:r>
      <w:r w:rsidR="7609BC81" w:rsidRPr="003743EA">
        <w:t>wa</w:t>
      </w:r>
      <w:r w:rsidRPr="003743EA">
        <w:t>s also expected to inform UN Women corporately, at Headquarters (HQ) and across other regions and countries, for programmatic and policy work in the areas of focus of the programme</w:t>
      </w:r>
      <w:r w:rsidR="26B05D0E" w:rsidRPr="003743EA">
        <w:t>-see</w:t>
      </w:r>
      <w:r w:rsidRPr="003743EA">
        <w:t xml:space="preserve"> </w:t>
      </w:r>
      <w:r w:rsidR="4791CB6A" w:rsidRPr="003743EA">
        <w:t>T</w:t>
      </w:r>
      <w:r w:rsidR="47381E8D" w:rsidRPr="003743EA">
        <w:t>able 6</w:t>
      </w:r>
      <w:r w:rsidR="59C17893" w:rsidRPr="003743EA">
        <w:t xml:space="preserve"> below</w:t>
      </w:r>
    </w:p>
    <w:p w14:paraId="132BB851" w14:textId="77777777" w:rsidR="006F2F6D" w:rsidRPr="006A561F" w:rsidRDefault="42B7346E" w:rsidP="40E44CAF">
      <w:pPr>
        <w:pStyle w:val="Itadtablestyle"/>
      </w:pPr>
      <w:bookmarkStart w:id="18" w:name="_Toc123126099"/>
      <w:r>
        <w:t>Stakeholder categories and use</w:t>
      </w:r>
      <w:bookmarkEnd w:id="1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6496"/>
      </w:tblGrid>
      <w:tr w:rsidR="40E44CAF" w14:paraId="4CD6AC6E" w14:textId="77777777" w:rsidTr="001F7344">
        <w:trPr>
          <w:trHeight w:val="300"/>
        </w:trPr>
        <w:tc>
          <w:tcPr>
            <w:tcW w:w="1696" w:type="dxa"/>
            <w:shd w:val="clear" w:color="auto" w:fill="588B46" w:themeFill="text2"/>
            <w:tcMar>
              <w:top w:w="0" w:type="dxa"/>
              <w:left w:w="108" w:type="dxa"/>
              <w:bottom w:w="0" w:type="dxa"/>
              <w:right w:w="108" w:type="dxa"/>
            </w:tcMar>
          </w:tcPr>
          <w:p w14:paraId="0F4AA89C" w14:textId="77777777" w:rsidR="40E44CAF" w:rsidRDefault="40E44CAF" w:rsidP="40E44CAF">
            <w:pPr>
              <w:tabs>
                <w:tab w:val="left" w:pos="1418"/>
              </w:tabs>
              <w:spacing w:before="40" w:after="40"/>
              <w:jc w:val="center"/>
              <w:rPr>
                <w:rFonts w:cs="Calibri"/>
                <w:b/>
                <w:bCs/>
                <w:color w:val="FFFFFF" w:themeColor="background1"/>
                <w:sz w:val="16"/>
                <w:szCs w:val="16"/>
              </w:rPr>
            </w:pPr>
            <w:r w:rsidRPr="40E44CAF">
              <w:rPr>
                <w:b/>
                <w:bCs/>
                <w:color w:val="FFFFFF" w:themeColor="background1"/>
                <w:sz w:val="16"/>
                <w:szCs w:val="16"/>
              </w:rPr>
              <w:t>Category</w:t>
            </w:r>
          </w:p>
        </w:tc>
        <w:tc>
          <w:tcPr>
            <w:tcW w:w="6496" w:type="dxa"/>
            <w:shd w:val="clear" w:color="auto" w:fill="588B46" w:themeFill="text2"/>
            <w:tcMar>
              <w:top w:w="0" w:type="dxa"/>
              <w:left w:w="108" w:type="dxa"/>
              <w:bottom w:w="0" w:type="dxa"/>
              <w:right w:w="108" w:type="dxa"/>
            </w:tcMar>
          </w:tcPr>
          <w:p w14:paraId="3E333074" w14:textId="77777777" w:rsidR="40E44CAF" w:rsidRDefault="40E44CAF" w:rsidP="40E44CAF">
            <w:pPr>
              <w:tabs>
                <w:tab w:val="left" w:pos="1418"/>
              </w:tabs>
              <w:spacing w:before="40" w:after="40"/>
              <w:jc w:val="center"/>
              <w:rPr>
                <w:b/>
                <w:bCs/>
                <w:color w:val="FFFFFF" w:themeColor="background1"/>
                <w:sz w:val="16"/>
                <w:szCs w:val="16"/>
              </w:rPr>
            </w:pPr>
            <w:r w:rsidRPr="40E44CAF">
              <w:rPr>
                <w:b/>
                <w:bCs/>
                <w:color w:val="FFFFFF" w:themeColor="background1"/>
                <w:sz w:val="16"/>
                <w:szCs w:val="16"/>
              </w:rPr>
              <w:t>Use</w:t>
            </w:r>
          </w:p>
        </w:tc>
      </w:tr>
      <w:tr w:rsidR="40E44CAF" w14:paraId="246590B9" w14:textId="77777777" w:rsidTr="001F7344">
        <w:trPr>
          <w:trHeight w:val="300"/>
        </w:trPr>
        <w:tc>
          <w:tcPr>
            <w:tcW w:w="1696" w:type="dxa"/>
            <w:tcMar>
              <w:top w:w="0" w:type="dxa"/>
              <w:left w:w="108" w:type="dxa"/>
              <w:bottom w:w="0" w:type="dxa"/>
              <w:right w:w="108" w:type="dxa"/>
            </w:tcMar>
          </w:tcPr>
          <w:p w14:paraId="62A1CD14" w14:textId="77777777" w:rsidR="40E44CAF" w:rsidRDefault="40E44CAF" w:rsidP="40E44CAF">
            <w:pPr>
              <w:tabs>
                <w:tab w:val="left" w:pos="1418"/>
              </w:tabs>
              <w:spacing w:before="40" w:after="40"/>
              <w:rPr>
                <w:color w:val="1D1D1E" w:themeColor="text1" w:themeShade="80"/>
                <w:sz w:val="16"/>
                <w:szCs w:val="16"/>
              </w:rPr>
            </w:pPr>
            <w:r w:rsidRPr="40E44CAF">
              <w:rPr>
                <w:color w:val="1D1D1E" w:themeColor="text1" w:themeShade="80"/>
                <w:sz w:val="16"/>
                <w:szCs w:val="16"/>
              </w:rPr>
              <w:t>UN Women staff (HQ, ROAS, COs)</w:t>
            </w:r>
          </w:p>
        </w:tc>
        <w:tc>
          <w:tcPr>
            <w:tcW w:w="6496" w:type="dxa"/>
            <w:shd w:val="clear" w:color="auto" w:fill="auto"/>
            <w:tcMar>
              <w:top w:w="0" w:type="dxa"/>
              <w:left w:w="108" w:type="dxa"/>
              <w:bottom w:w="0" w:type="dxa"/>
              <w:right w:w="108" w:type="dxa"/>
            </w:tcMar>
          </w:tcPr>
          <w:p w14:paraId="74455F4A" w14:textId="77777777" w:rsidR="40E44CAF" w:rsidRDefault="40E44CAF" w:rsidP="40E44CAF">
            <w:pPr>
              <w:tabs>
                <w:tab w:val="left" w:pos="1418"/>
              </w:tabs>
              <w:spacing w:before="40" w:after="40"/>
              <w:rPr>
                <w:color w:val="1D1D1E" w:themeColor="text1" w:themeShade="80"/>
                <w:sz w:val="16"/>
                <w:szCs w:val="16"/>
              </w:rPr>
            </w:pPr>
            <w:r w:rsidRPr="40E44CAF">
              <w:rPr>
                <w:color w:val="1D1D1E" w:themeColor="text1" w:themeShade="80"/>
                <w:sz w:val="16"/>
                <w:szCs w:val="16"/>
              </w:rPr>
              <w:t>UN Women staff will use the evaluation to inform future programming and decision making and to promote accountability. At country level the evaluation’s findings will be used to strengthen existing programming and support sustainability of results. The evaluation will be an important learning exercise at country, regional and corporate levels.</w:t>
            </w:r>
          </w:p>
        </w:tc>
      </w:tr>
      <w:tr w:rsidR="40E44CAF" w14:paraId="34F61877" w14:textId="77777777" w:rsidTr="001F7344">
        <w:trPr>
          <w:trHeight w:val="765"/>
        </w:trPr>
        <w:tc>
          <w:tcPr>
            <w:tcW w:w="1696" w:type="dxa"/>
            <w:tcMar>
              <w:top w:w="0" w:type="dxa"/>
              <w:left w:w="108" w:type="dxa"/>
              <w:bottom w:w="0" w:type="dxa"/>
              <w:right w:w="108" w:type="dxa"/>
            </w:tcMar>
          </w:tcPr>
          <w:p w14:paraId="676DBFFA" w14:textId="77777777" w:rsidR="40E44CAF" w:rsidRDefault="40E44CAF" w:rsidP="40E44CAF">
            <w:pPr>
              <w:tabs>
                <w:tab w:val="left" w:pos="1418"/>
              </w:tabs>
              <w:spacing w:before="40" w:after="40"/>
              <w:rPr>
                <w:color w:val="1D1D1E" w:themeColor="text1" w:themeShade="80"/>
                <w:sz w:val="16"/>
                <w:szCs w:val="16"/>
              </w:rPr>
            </w:pPr>
            <w:r w:rsidRPr="40E44CAF">
              <w:rPr>
                <w:color w:val="1D1D1E" w:themeColor="text1" w:themeShade="80"/>
                <w:sz w:val="16"/>
                <w:szCs w:val="16"/>
              </w:rPr>
              <w:t>Donors</w:t>
            </w:r>
          </w:p>
        </w:tc>
        <w:tc>
          <w:tcPr>
            <w:tcW w:w="6496" w:type="dxa"/>
            <w:shd w:val="clear" w:color="auto" w:fill="auto"/>
            <w:tcMar>
              <w:top w:w="0" w:type="dxa"/>
              <w:left w:w="108" w:type="dxa"/>
              <w:bottom w:w="0" w:type="dxa"/>
              <w:right w:w="108" w:type="dxa"/>
            </w:tcMar>
          </w:tcPr>
          <w:p w14:paraId="786AD18D" w14:textId="77777777" w:rsidR="40E44CAF" w:rsidRDefault="40E44CAF" w:rsidP="40E44CAF">
            <w:pPr>
              <w:tabs>
                <w:tab w:val="left" w:pos="1418"/>
              </w:tabs>
              <w:spacing w:before="40" w:after="40"/>
              <w:rPr>
                <w:color w:val="1D1D1E" w:themeColor="text1" w:themeShade="80"/>
                <w:sz w:val="16"/>
                <w:szCs w:val="16"/>
              </w:rPr>
            </w:pPr>
            <w:r w:rsidRPr="40E44CAF">
              <w:rPr>
                <w:color w:val="1D1D1E" w:themeColor="text1" w:themeShade="80"/>
                <w:sz w:val="16"/>
                <w:szCs w:val="16"/>
              </w:rPr>
              <w:t>The evaluation will play a key accountability function for donors to understand the extent to which the programme has achieved its intended results. Additionally, the evaluation can support donors’ own learning and future programming.</w:t>
            </w:r>
          </w:p>
        </w:tc>
      </w:tr>
      <w:tr w:rsidR="40E44CAF" w14:paraId="425010CA" w14:textId="77777777" w:rsidTr="001F7344">
        <w:trPr>
          <w:trHeight w:val="300"/>
        </w:trPr>
        <w:tc>
          <w:tcPr>
            <w:tcW w:w="1696" w:type="dxa"/>
            <w:tcMar>
              <w:top w:w="0" w:type="dxa"/>
              <w:left w:w="108" w:type="dxa"/>
              <w:bottom w:w="0" w:type="dxa"/>
              <w:right w:w="108" w:type="dxa"/>
            </w:tcMar>
          </w:tcPr>
          <w:p w14:paraId="60156C03" w14:textId="77777777" w:rsidR="40E44CAF" w:rsidRDefault="40E44CAF" w:rsidP="40E44CAF">
            <w:pPr>
              <w:tabs>
                <w:tab w:val="left" w:pos="1418"/>
              </w:tabs>
              <w:spacing w:before="40" w:after="40"/>
              <w:rPr>
                <w:color w:val="1D1D1E" w:themeColor="text1" w:themeShade="80"/>
                <w:sz w:val="16"/>
                <w:szCs w:val="16"/>
              </w:rPr>
            </w:pPr>
            <w:r w:rsidRPr="40E44CAF">
              <w:rPr>
                <w:color w:val="1D1D1E" w:themeColor="text1" w:themeShade="80"/>
                <w:sz w:val="16"/>
                <w:szCs w:val="16"/>
              </w:rPr>
              <w:t>Host government bodies</w:t>
            </w:r>
          </w:p>
        </w:tc>
        <w:tc>
          <w:tcPr>
            <w:tcW w:w="6496" w:type="dxa"/>
            <w:shd w:val="clear" w:color="auto" w:fill="auto"/>
            <w:tcMar>
              <w:top w:w="0" w:type="dxa"/>
              <w:left w:w="108" w:type="dxa"/>
              <w:bottom w:w="0" w:type="dxa"/>
              <w:right w:w="108" w:type="dxa"/>
            </w:tcMar>
          </w:tcPr>
          <w:p w14:paraId="30DDA6AD" w14:textId="77777777" w:rsidR="40E44CAF" w:rsidRDefault="40E44CAF" w:rsidP="40E44CAF">
            <w:pPr>
              <w:tabs>
                <w:tab w:val="left" w:pos="1418"/>
              </w:tabs>
              <w:spacing w:before="40" w:after="40"/>
              <w:rPr>
                <w:color w:val="1D1D1E" w:themeColor="text1" w:themeShade="80"/>
                <w:sz w:val="16"/>
                <w:szCs w:val="16"/>
              </w:rPr>
            </w:pPr>
            <w:r w:rsidRPr="40E44CAF">
              <w:rPr>
                <w:color w:val="1D1D1E" w:themeColor="text1" w:themeShade="80"/>
                <w:sz w:val="16"/>
                <w:szCs w:val="16"/>
              </w:rPr>
              <w:t>Different ministries have been key partners for the programme. The evaluation will support them to continue and improve their support to promoting gender equality.</w:t>
            </w:r>
          </w:p>
        </w:tc>
      </w:tr>
      <w:tr w:rsidR="40E44CAF" w14:paraId="5376D87E" w14:textId="77777777" w:rsidTr="001F7344">
        <w:trPr>
          <w:trHeight w:val="300"/>
        </w:trPr>
        <w:tc>
          <w:tcPr>
            <w:tcW w:w="1696" w:type="dxa"/>
            <w:tcMar>
              <w:top w:w="0" w:type="dxa"/>
              <w:left w:w="108" w:type="dxa"/>
              <w:bottom w:w="0" w:type="dxa"/>
              <w:right w:w="108" w:type="dxa"/>
            </w:tcMar>
          </w:tcPr>
          <w:p w14:paraId="14A0FC56" w14:textId="77777777" w:rsidR="40E44CAF" w:rsidRDefault="40E44CAF" w:rsidP="40E44CAF">
            <w:pPr>
              <w:tabs>
                <w:tab w:val="left" w:pos="1418"/>
              </w:tabs>
              <w:spacing w:before="40" w:after="40"/>
              <w:rPr>
                <w:color w:val="1D1D1E" w:themeColor="text1" w:themeShade="80"/>
                <w:sz w:val="16"/>
                <w:szCs w:val="16"/>
              </w:rPr>
            </w:pPr>
            <w:r w:rsidRPr="40E44CAF">
              <w:rPr>
                <w:color w:val="1D1D1E" w:themeColor="text1" w:themeShade="80"/>
                <w:sz w:val="16"/>
                <w:szCs w:val="16"/>
              </w:rPr>
              <w:t>Civil society organisations (CSOs)</w:t>
            </w:r>
          </w:p>
        </w:tc>
        <w:tc>
          <w:tcPr>
            <w:tcW w:w="6496" w:type="dxa"/>
            <w:shd w:val="clear" w:color="auto" w:fill="auto"/>
            <w:tcMar>
              <w:top w:w="0" w:type="dxa"/>
              <w:left w:w="108" w:type="dxa"/>
              <w:bottom w:w="0" w:type="dxa"/>
              <w:right w:w="108" w:type="dxa"/>
            </w:tcMar>
          </w:tcPr>
          <w:p w14:paraId="7EFD38BE" w14:textId="77777777" w:rsidR="40E44CAF" w:rsidRDefault="40E44CAF" w:rsidP="40E44CAF">
            <w:pPr>
              <w:tabs>
                <w:tab w:val="left" w:pos="1418"/>
              </w:tabs>
              <w:spacing w:before="40" w:after="40"/>
              <w:rPr>
                <w:color w:val="1D1D1E" w:themeColor="text1" w:themeShade="80"/>
                <w:sz w:val="16"/>
                <w:szCs w:val="16"/>
              </w:rPr>
            </w:pPr>
            <w:r w:rsidRPr="40E44CAF">
              <w:rPr>
                <w:color w:val="1D1D1E" w:themeColor="text1" w:themeShade="80"/>
                <w:sz w:val="16"/>
                <w:szCs w:val="16"/>
              </w:rPr>
              <w:t>CSOs have been a key partner over the course of the programme. CSOs will use this evaluation to continue and improve services and pursue advocacy for greater gender equality.</w:t>
            </w:r>
          </w:p>
        </w:tc>
      </w:tr>
      <w:tr w:rsidR="40E44CAF" w14:paraId="35AD0567" w14:textId="77777777" w:rsidTr="001F7344">
        <w:trPr>
          <w:trHeight w:val="300"/>
        </w:trPr>
        <w:tc>
          <w:tcPr>
            <w:tcW w:w="1696" w:type="dxa"/>
            <w:tcMar>
              <w:top w:w="0" w:type="dxa"/>
              <w:left w:w="108" w:type="dxa"/>
              <w:bottom w:w="0" w:type="dxa"/>
              <w:right w:w="108" w:type="dxa"/>
            </w:tcMar>
          </w:tcPr>
          <w:p w14:paraId="115C4333" w14:textId="77777777" w:rsidR="40E44CAF" w:rsidRDefault="40E44CAF" w:rsidP="40E44CAF">
            <w:pPr>
              <w:tabs>
                <w:tab w:val="left" w:pos="1418"/>
              </w:tabs>
              <w:spacing w:before="40" w:after="40"/>
              <w:rPr>
                <w:color w:val="1D1D1E" w:themeColor="text1" w:themeShade="80"/>
                <w:sz w:val="16"/>
                <w:szCs w:val="16"/>
              </w:rPr>
            </w:pPr>
            <w:r w:rsidRPr="40E44CAF">
              <w:rPr>
                <w:color w:val="1D1D1E" w:themeColor="text1" w:themeShade="80"/>
                <w:sz w:val="16"/>
                <w:szCs w:val="16"/>
              </w:rPr>
              <w:t>Academia/research institutions</w:t>
            </w:r>
          </w:p>
        </w:tc>
        <w:tc>
          <w:tcPr>
            <w:tcW w:w="6496" w:type="dxa"/>
            <w:shd w:val="clear" w:color="auto" w:fill="auto"/>
            <w:tcMar>
              <w:top w:w="0" w:type="dxa"/>
              <w:left w:w="108" w:type="dxa"/>
              <w:bottom w:w="0" w:type="dxa"/>
              <w:right w:w="108" w:type="dxa"/>
            </w:tcMar>
          </w:tcPr>
          <w:p w14:paraId="1B8AC4CF" w14:textId="77777777" w:rsidR="40E44CAF" w:rsidRDefault="40E44CAF" w:rsidP="40E44CAF">
            <w:pPr>
              <w:tabs>
                <w:tab w:val="left" w:pos="1418"/>
              </w:tabs>
              <w:spacing w:before="40" w:after="40"/>
              <w:rPr>
                <w:color w:val="1D1D1E" w:themeColor="text1" w:themeShade="80"/>
                <w:sz w:val="16"/>
                <w:szCs w:val="16"/>
              </w:rPr>
            </w:pPr>
            <w:r w:rsidRPr="40E44CAF">
              <w:rPr>
                <w:color w:val="1D1D1E" w:themeColor="text1" w:themeShade="80"/>
                <w:sz w:val="16"/>
                <w:szCs w:val="16"/>
              </w:rPr>
              <w:t>UN Women has worked with international and national academic institutions during the programme. The evaluation will support their future research and evidence generation activities.</w:t>
            </w:r>
          </w:p>
        </w:tc>
      </w:tr>
    </w:tbl>
    <w:p w14:paraId="3B8464A9" w14:textId="254643A9" w:rsidR="001F7344" w:rsidRDefault="001F7344" w:rsidP="00BA0B27">
      <w:pPr>
        <w:pStyle w:val="ItadNormalText"/>
      </w:pPr>
    </w:p>
    <w:p w14:paraId="139E7088" w14:textId="79A24B71" w:rsidR="003743EA" w:rsidRDefault="003743EA" w:rsidP="00BA0B27">
      <w:pPr>
        <w:pStyle w:val="ItadNormalText"/>
      </w:pPr>
    </w:p>
    <w:p w14:paraId="623525A2" w14:textId="77777777" w:rsidR="003743EA" w:rsidRPr="006A561F" w:rsidRDefault="003743EA" w:rsidP="00BA0B27">
      <w:pPr>
        <w:pStyle w:val="ItadNormalText"/>
      </w:pPr>
    </w:p>
    <w:p w14:paraId="422D99A0" w14:textId="77777777" w:rsidR="006F2F6D" w:rsidRPr="006A561F" w:rsidRDefault="5C4FDAF5" w:rsidP="40E44CAF">
      <w:pPr>
        <w:pStyle w:val="ItadH3"/>
        <w:rPr>
          <w:lang w:val="en-GB"/>
        </w:rPr>
      </w:pPr>
      <w:r w:rsidRPr="40E44CAF">
        <w:rPr>
          <w:lang w:val="en-GB"/>
        </w:rPr>
        <w:lastRenderedPageBreak/>
        <w:t xml:space="preserve">3.4 </w:t>
      </w:r>
      <w:r w:rsidR="2E98ED59" w:rsidRPr="40E44CAF">
        <w:rPr>
          <w:lang w:val="en-GB"/>
        </w:rPr>
        <w:t>Evaluation Management</w:t>
      </w:r>
    </w:p>
    <w:p w14:paraId="6A6B65E4" w14:textId="77777777" w:rsidR="006F2F6D" w:rsidRPr="006A561F" w:rsidRDefault="2E98ED59" w:rsidP="40E44CAF">
      <w:pPr>
        <w:pStyle w:val="ItadNormalText"/>
        <w:jc w:val="both"/>
      </w:pPr>
      <w:r>
        <w:t xml:space="preserve">The evaluation engaged with a range of functionalities in terms of ensuring accountability to key stakeholder groups in the evaluation (see annex 15). Firstly, the Evaluation Management Group (EMG) – consisting of eight UN WOMEN M&amp;E staff across ROAS and COs, were consulted in the scoping and data collection phases. This group ensured up-to-date M&amp;E data and overall alignment with the original TORs was maintained throughout the evaluation and provided quality assurance at key delivery stages with respect to due process and framing of evaluative methods. </w:t>
      </w:r>
    </w:p>
    <w:p w14:paraId="3530C2B5" w14:textId="77777777" w:rsidR="006F2F6D" w:rsidRPr="006A561F" w:rsidRDefault="2E98ED59" w:rsidP="40E44CAF">
      <w:pPr>
        <w:pStyle w:val="ItadNormalText"/>
        <w:jc w:val="both"/>
      </w:pPr>
      <w:r>
        <w:t>The Evaluation Steering Committee (ESC) consisting of ten members across UN WOMEN</w:t>
      </w:r>
      <w:r w:rsidR="609422EF">
        <w:t xml:space="preserve"> </w:t>
      </w:r>
      <w:r>
        <w:t xml:space="preserve">and </w:t>
      </w:r>
      <w:proofErr w:type="spellStart"/>
      <w:r>
        <w:t>Sida</w:t>
      </w:r>
      <w:proofErr w:type="spellEnd"/>
      <w:r>
        <w:t xml:space="preserve">, were also engaged both scoping and implementation stages to support on more content-oriented dimensions – such as articulating specific needs and interests on the evidence base, or any specific observed gaps in learning. </w:t>
      </w:r>
    </w:p>
    <w:p w14:paraId="2AAA5C4B" w14:textId="77777777" w:rsidR="006F2F6D" w:rsidRPr="006A561F" w:rsidRDefault="2E98ED59" w:rsidP="00BA0B27">
      <w:pPr>
        <w:pStyle w:val="ItadNormalText"/>
        <w:spacing w:before="0" w:after="0"/>
        <w:jc w:val="both"/>
      </w:pPr>
      <w:r>
        <w:t xml:space="preserve">In tandem, the Internal Evaluation Reference Group (ERG) – seven UN WOMEN staff members - provided ongoing access to national and regional level stakeholders and </w:t>
      </w:r>
      <w:r w:rsidR="6C8D3DA7">
        <w:t>provided quality assurance at various stages of the evaluation</w:t>
      </w:r>
      <w:r>
        <w:t>.  Finally, the external ERG provided an additional layer of quality assurance and feedback across the scoping stage, and in the final dialogues concerning findings, conclusions, and recommendations to ensure maximum utility and alignment of outputs to the MENA context.</w:t>
      </w:r>
    </w:p>
    <w:p w14:paraId="64A3681C" w14:textId="77777777" w:rsidR="006F2F6D" w:rsidRPr="006A561F" w:rsidRDefault="006F2F6D" w:rsidP="00BA0B27">
      <w:pPr>
        <w:pStyle w:val="ItadH1"/>
        <w:spacing w:before="0" w:after="0"/>
      </w:pPr>
    </w:p>
    <w:p w14:paraId="6BDDE338" w14:textId="77777777" w:rsidR="006F2F6D" w:rsidRPr="006A561F" w:rsidRDefault="40E44CAF" w:rsidP="00BA0B27">
      <w:pPr>
        <w:pStyle w:val="ItadH1"/>
        <w:spacing w:before="0" w:after="0"/>
      </w:pPr>
      <w:bookmarkStart w:id="19" w:name="_Toc123126197"/>
      <w:r>
        <w:t xml:space="preserve">4. </w:t>
      </w:r>
      <w:r w:rsidR="3D6481AB">
        <w:t xml:space="preserve">Evaluation </w:t>
      </w:r>
      <w:r w:rsidR="28FB9DA3">
        <w:t>Methodology and Limitations</w:t>
      </w:r>
      <w:bookmarkEnd w:id="19"/>
    </w:p>
    <w:p w14:paraId="3A62CE82" w14:textId="77777777" w:rsidR="006F2F6D" w:rsidRPr="006A561F" w:rsidRDefault="1B68964E" w:rsidP="40E44CAF">
      <w:pPr>
        <w:pStyle w:val="ItadH3"/>
        <w:rPr>
          <w:lang w:val="en-GB"/>
        </w:rPr>
      </w:pPr>
      <w:bookmarkStart w:id="20" w:name="_Toc86156011"/>
      <w:r w:rsidRPr="40E44CAF">
        <w:rPr>
          <w:lang w:val="en-GB"/>
        </w:rPr>
        <w:t xml:space="preserve">4.1 </w:t>
      </w:r>
      <w:r w:rsidR="3D2807EF" w:rsidRPr="40E44CAF">
        <w:rPr>
          <w:lang w:val="en-GB"/>
        </w:rPr>
        <w:t xml:space="preserve">Analytical </w:t>
      </w:r>
      <w:r w:rsidR="357DBE60" w:rsidRPr="40E44CAF">
        <w:rPr>
          <w:lang w:val="en-GB"/>
        </w:rPr>
        <w:t>a</w:t>
      </w:r>
      <w:r w:rsidR="3D2807EF" w:rsidRPr="40E44CAF">
        <w:rPr>
          <w:lang w:val="en-GB"/>
        </w:rPr>
        <w:t>pproach</w:t>
      </w:r>
      <w:bookmarkEnd w:id="20"/>
    </w:p>
    <w:p w14:paraId="7B99321B" w14:textId="20D5354D" w:rsidR="006F2F6D" w:rsidRPr="006A561F" w:rsidRDefault="4EAA50EC" w:rsidP="00EE069C">
      <w:pPr>
        <w:pStyle w:val="ItadNormalText"/>
        <w:jc w:val="both"/>
      </w:pPr>
      <w:r>
        <w:t xml:space="preserve">The evaluation design </w:t>
      </w:r>
      <w:r w:rsidR="7E5F8B61">
        <w:t>was</w:t>
      </w:r>
      <w:r>
        <w:t xml:space="preserve"> </w:t>
      </w:r>
      <w:r w:rsidR="003743EA">
        <w:t xml:space="preserve">gender </w:t>
      </w:r>
      <w:proofErr w:type="gramStart"/>
      <w:r w:rsidR="003743EA">
        <w:t xml:space="preserve">responsive,  </w:t>
      </w:r>
      <w:r w:rsidRPr="003743EA">
        <w:t>utilisation</w:t>
      </w:r>
      <w:proofErr w:type="gramEnd"/>
      <w:r w:rsidRPr="003743EA">
        <w:t>-focused</w:t>
      </w:r>
      <w:r w:rsidR="6B97D308" w:rsidRPr="003743EA">
        <w:t xml:space="preserve">, </w:t>
      </w:r>
      <w:r w:rsidR="003743EA" w:rsidRPr="003743EA">
        <w:t>and</w:t>
      </w:r>
      <w:r w:rsidR="003743EA">
        <w:rPr>
          <w:b/>
          <w:bCs/>
        </w:rPr>
        <w:t xml:space="preserve"> </w:t>
      </w:r>
      <w:r>
        <w:t>use</w:t>
      </w:r>
      <w:r w:rsidR="6112F12A">
        <w:t>d</w:t>
      </w:r>
      <w:r>
        <w:t xml:space="preserve"> a participatory approach throughout the evaluation cycle </w:t>
      </w:r>
      <w:r w:rsidR="55478A95">
        <w:t xml:space="preserve">to ensure ownership of the stakeholders and in the end to provide </w:t>
      </w:r>
      <w:r>
        <w:t xml:space="preserve">practical and operational recommendations that </w:t>
      </w:r>
      <w:r w:rsidR="46FAB1FD">
        <w:t xml:space="preserve">were </w:t>
      </w:r>
      <w:r>
        <w:t xml:space="preserve">co-produced by stakeholders and fit for context. The evaluation team </w:t>
      </w:r>
      <w:r w:rsidR="6D6AC99F">
        <w:t>w</w:t>
      </w:r>
      <w:r>
        <w:t>as therefore focused on wide and deep engagement and ownership of the process among the primary intended users within UN Women. The analytical framework for implementing th</w:t>
      </w:r>
      <w:r w:rsidR="5D277DD0">
        <w:t>e</w:t>
      </w:r>
      <w:r>
        <w:t xml:space="preserve"> evaluation </w:t>
      </w:r>
      <w:r w:rsidR="1EA60E9D">
        <w:t>wa</w:t>
      </w:r>
      <w:r>
        <w:t xml:space="preserve">s theory-driven in that programme design and performance </w:t>
      </w:r>
      <w:r w:rsidR="31049F75">
        <w:t>we</w:t>
      </w:r>
      <w:r>
        <w:t xml:space="preserve">re contrasted against existing the programme </w:t>
      </w:r>
      <w:proofErr w:type="spellStart"/>
      <w:r w:rsidR="73C2E71E">
        <w:t>ToC</w:t>
      </w:r>
      <w:proofErr w:type="spellEnd"/>
      <w:r>
        <w:t xml:space="preserve"> and its underlying key assumptions. Th</w:t>
      </w:r>
      <w:r w:rsidR="692235ED">
        <w:t>e</w:t>
      </w:r>
      <w:r>
        <w:t xml:space="preserve"> approach </w:t>
      </w:r>
      <w:r w:rsidR="68C7C0ED">
        <w:t>was</w:t>
      </w:r>
      <w:r>
        <w:t xml:space="preserve"> supported by a contribution analysis</w:t>
      </w:r>
      <w:r w:rsidRPr="4977AA67">
        <w:rPr>
          <w:b/>
          <w:bCs/>
        </w:rPr>
        <w:t xml:space="preserve"> </w:t>
      </w:r>
      <w:r>
        <w:t xml:space="preserve">method </w:t>
      </w:r>
      <w:r w:rsidR="4C541B82">
        <w:t>to</w:t>
      </w:r>
      <w:r>
        <w:t xml:space="preserve"> assess the extent to which the UN Women regional programme interventions taken </w:t>
      </w:r>
      <w:proofErr w:type="gramStart"/>
      <w:r>
        <w:t>as a whole</w:t>
      </w:r>
      <w:r w:rsidR="02FC0A23">
        <w:t xml:space="preserve"> </w:t>
      </w:r>
      <w:r>
        <w:t>contributed</w:t>
      </w:r>
      <w:proofErr w:type="gramEnd"/>
      <w:r>
        <w:t xml:space="preserve"> to the achievement of the expected results and outcomes.</w:t>
      </w:r>
    </w:p>
    <w:p w14:paraId="3F2430B1" w14:textId="77777777" w:rsidR="006F2F6D" w:rsidRPr="006A561F" w:rsidRDefault="0743636A" w:rsidP="00EE069C">
      <w:pPr>
        <w:pStyle w:val="ItadNormalText"/>
        <w:jc w:val="both"/>
      </w:pPr>
      <w:r w:rsidRPr="006A561F">
        <w:t>Furthermore, the evaluation interrogate</w:t>
      </w:r>
      <w:r w:rsidR="1C309DE8" w:rsidRPr="006A561F">
        <w:t>d</w:t>
      </w:r>
      <w:r w:rsidRPr="006A561F">
        <w:t xml:space="preserve"> pathways of learning to gauge the effect of the knowledge products on the three programme outcomes. To do this</w:t>
      </w:r>
      <w:r w:rsidR="3B7E75ED" w:rsidRPr="006A561F">
        <w:t>,</w:t>
      </w:r>
      <w:r w:rsidRPr="006A561F">
        <w:t xml:space="preserve"> the evaluation adopt</w:t>
      </w:r>
      <w:r w:rsidR="415E9ED0" w:rsidRPr="006A561F">
        <w:t>ed</w:t>
      </w:r>
      <w:r w:rsidRPr="006A561F">
        <w:t xml:space="preserve"> the </w:t>
      </w:r>
      <w:proofErr w:type="spellStart"/>
      <w:r w:rsidRPr="4977AA67">
        <w:t>Guskey</w:t>
      </w:r>
      <w:proofErr w:type="spellEnd"/>
      <w:r w:rsidRPr="4977AA67">
        <w:t>+ model</w:t>
      </w:r>
      <w:r w:rsidR="238C8B8B" w:rsidRPr="006A561F">
        <w:t>,</w:t>
      </w:r>
      <w:r w:rsidR="006F2F6D" w:rsidRPr="006A561F">
        <w:rPr>
          <w:vertAlign w:val="superscript"/>
        </w:rPr>
        <w:footnoteReference w:id="59"/>
      </w:r>
      <w:r w:rsidRPr="006A561F">
        <w:t xml:space="preserve"> which provide</w:t>
      </w:r>
      <w:r w:rsidR="6FD966D8" w:rsidRPr="006A561F">
        <w:t>d</w:t>
      </w:r>
      <w:r w:rsidRPr="006A561F">
        <w:t xml:space="preserve"> a framework to systematically analyse what effect – and how </w:t>
      </w:r>
      <w:r w:rsidR="238C8B8B" w:rsidRPr="006A561F">
        <w:t>–</w:t>
      </w:r>
      <w:r w:rsidRPr="006A561F">
        <w:t xml:space="preserve"> the knowledge products have had on practice and behaviour. The </w:t>
      </w:r>
      <w:proofErr w:type="spellStart"/>
      <w:r w:rsidRPr="006A561F">
        <w:t>Guskey</w:t>
      </w:r>
      <w:proofErr w:type="spellEnd"/>
      <w:r w:rsidRPr="006A561F">
        <w:t>+ model ha</w:t>
      </w:r>
      <w:r w:rsidR="5308C9EE" w:rsidRPr="006A561F">
        <w:t>d</w:t>
      </w:r>
      <w:r w:rsidRPr="006A561F">
        <w:t xml:space="preserve"> been adapted by introducing two additional steps: (</w:t>
      </w:r>
      <w:proofErr w:type="spellStart"/>
      <w:r w:rsidRPr="006A561F">
        <w:t>i</w:t>
      </w:r>
      <w:proofErr w:type="spellEnd"/>
      <w:r w:rsidRPr="006A561F">
        <w:t>) ‘outputs’</w:t>
      </w:r>
      <w:r w:rsidR="238C8B8B" w:rsidRPr="006A561F">
        <w:t>,</w:t>
      </w:r>
      <w:r w:rsidRPr="006A561F">
        <w:t xml:space="preserve"> to gather data on how many and what knowledge products ha</w:t>
      </w:r>
      <w:r w:rsidR="05FA775A" w:rsidRPr="006A561F">
        <w:t>d</w:t>
      </w:r>
      <w:r w:rsidRPr="006A561F">
        <w:t xml:space="preserve"> been produced; and (ii) ‘access’</w:t>
      </w:r>
      <w:r w:rsidR="238C8B8B" w:rsidRPr="006A561F">
        <w:t>,</w:t>
      </w:r>
      <w:r w:rsidRPr="006A561F">
        <w:t xml:space="preserve"> to understand if and how target stakeholders </w:t>
      </w:r>
      <w:r w:rsidR="6087DAAC" w:rsidRPr="006A561F">
        <w:t>we</w:t>
      </w:r>
      <w:r w:rsidRPr="006A561F">
        <w:t xml:space="preserve">re accessing products as intended. The adapted </w:t>
      </w:r>
      <w:proofErr w:type="spellStart"/>
      <w:r w:rsidRPr="006A561F">
        <w:t>Guskey</w:t>
      </w:r>
      <w:proofErr w:type="spellEnd"/>
      <w:r w:rsidRPr="006A561F">
        <w:t xml:space="preserve">+ model </w:t>
      </w:r>
      <w:r w:rsidR="4DB75EF3" w:rsidRPr="006A561F">
        <w:t>wa</w:t>
      </w:r>
      <w:r w:rsidRPr="006A561F">
        <w:t>s used in the knowledge exchange and learning thematic case study, and include</w:t>
      </w:r>
      <w:r w:rsidR="322A81A2" w:rsidRPr="006A561F">
        <w:t>d</w:t>
      </w:r>
      <w:r w:rsidRPr="006A561F">
        <w:t xml:space="preserve"> the following six steps:</w:t>
      </w:r>
    </w:p>
    <w:p w14:paraId="6A6CCBF1" w14:textId="77777777" w:rsidR="006F2F6D" w:rsidRPr="003743EA" w:rsidRDefault="006F2F6D" w:rsidP="003743EA">
      <w:pPr>
        <w:pStyle w:val="ItadNormalText"/>
        <w:numPr>
          <w:ilvl w:val="0"/>
          <w:numId w:val="24"/>
        </w:numPr>
        <w:spacing w:before="0" w:after="0"/>
        <w:ind w:left="714" w:hanging="357"/>
        <w:rPr>
          <w:color w:val="1D1D1E" w:themeColor="text1" w:themeShade="80"/>
          <w:sz w:val="20"/>
          <w:szCs w:val="20"/>
          <w:lang w:eastAsia="en-GB"/>
        </w:rPr>
      </w:pPr>
      <w:r w:rsidRPr="003743EA">
        <w:rPr>
          <w:b/>
          <w:bCs/>
          <w:color w:val="1D1D1E" w:themeColor="text1" w:themeShade="80"/>
          <w:sz w:val="20"/>
          <w:szCs w:val="20"/>
          <w:lang w:eastAsia="en-GB"/>
        </w:rPr>
        <w:t>Outputs</w:t>
      </w:r>
      <w:r w:rsidRPr="003743EA">
        <w:rPr>
          <w:color w:val="1D1D1E" w:themeColor="text1" w:themeShade="80"/>
          <w:sz w:val="20"/>
          <w:szCs w:val="20"/>
          <w:lang w:eastAsia="en-GB"/>
        </w:rPr>
        <w:t>: Evidence of knowledge product creation</w:t>
      </w:r>
    </w:p>
    <w:p w14:paraId="6AD8CDFD" w14:textId="77777777" w:rsidR="006F2F6D" w:rsidRPr="003743EA" w:rsidRDefault="006F2F6D" w:rsidP="003743EA">
      <w:pPr>
        <w:pStyle w:val="ItadNormalText"/>
        <w:numPr>
          <w:ilvl w:val="0"/>
          <w:numId w:val="24"/>
        </w:numPr>
        <w:spacing w:before="0" w:after="0"/>
        <w:ind w:left="714" w:hanging="357"/>
        <w:rPr>
          <w:color w:val="1D1D1E" w:themeColor="text1" w:themeShade="80"/>
          <w:sz w:val="20"/>
          <w:szCs w:val="20"/>
          <w:lang w:eastAsia="en-GB"/>
        </w:rPr>
      </w:pPr>
      <w:r w:rsidRPr="003743EA">
        <w:rPr>
          <w:b/>
          <w:bCs/>
          <w:color w:val="1D1D1E" w:themeColor="text1" w:themeShade="80"/>
          <w:sz w:val="20"/>
          <w:szCs w:val="20"/>
          <w:lang w:eastAsia="en-GB"/>
        </w:rPr>
        <w:t>Organisational support:</w:t>
      </w:r>
      <w:r w:rsidRPr="003743EA">
        <w:rPr>
          <w:color w:val="1D1D1E" w:themeColor="text1" w:themeShade="80"/>
          <w:sz w:val="20"/>
          <w:szCs w:val="20"/>
          <w:lang w:eastAsia="en-GB"/>
        </w:rPr>
        <w:t xml:space="preserve"> Evidence of effective knowledge sharing and dissemination mechanisms</w:t>
      </w:r>
    </w:p>
    <w:p w14:paraId="1A636344" w14:textId="77777777" w:rsidR="006F2F6D" w:rsidRPr="003743EA" w:rsidRDefault="006F2F6D" w:rsidP="003743EA">
      <w:pPr>
        <w:pStyle w:val="ItadNormalText"/>
        <w:numPr>
          <w:ilvl w:val="0"/>
          <w:numId w:val="24"/>
        </w:numPr>
        <w:spacing w:before="0" w:after="0"/>
        <w:ind w:left="714" w:hanging="357"/>
        <w:rPr>
          <w:color w:val="1D1D1E" w:themeColor="text1" w:themeShade="80"/>
          <w:sz w:val="20"/>
          <w:szCs w:val="20"/>
          <w:lang w:eastAsia="en-GB"/>
        </w:rPr>
      </w:pPr>
      <w:r w:rsidRPr="003743EA">
        <w:rPr>
          <w:b/>
          <w:bCs/>
          <w:color w:val="1D1D1E" w:themeColor="text1" w:themeShade="80"/>
          <w:sz w:val="20"/>
          <w:szCs w:val="20"/>
          <w:lang w:eastAsia="en-GB"/>
        </w:rPr>
        <w:t>Access:</w:t>
      </w:r>
      <w:r w:rsidRPr="003743EA">
        <w:rPr>
          <w:color w:val="1D1D1E" w:themeColor="text1" w:themeShade="80"/>
          <w:sz w:val="20"/>
          <w:szCs w:val="20"/>
          <w:lang w:eastAsia="en-GB"/>
        </w:rPr>
        <w:t xml:space="preserve"> Evidence that target audience </w:t>
      </w:r>
      <w:proofErr w:type="gramStart"/>
      <w:r w:rsidR="00A92ABD" w:rsidRPr="003743EA">
        <w:rPr>
          <w:color w:val="1D1D1E" w:themeColor="text1" w:themeShade="80"/>
          <w:sz w:val="20"/>
          <w:szCs w:val="20"/>
          <w:lang w:eastAsia="en-GB"/>
        </w:rPr>
        <w:t>is</w:t>
      </w:r>
      <w:r w:rsidRPr="003743EA">
        <w:rPr>
          <w:color w:val="1D1D1E" w:themeColor="text1" w:themeShade="80"/>
          <w:sz w:val="20"/>
          <w:szCs w:val="20"/>
          <w:lang w:eastAsia="en-GB"/>
        </w:rPr>
        <w:t xml:space="preserve"> able to</w:t>
      </w:r>
      <w:proofErr w:type="gramEnd"/>
      <w:r w:rsidRPr="003743EA">
        <w:rPr>
          <w:color w:val="1D1D1E" w:themeColor="text1" w:themeShade="80"/>
          <w:sz w:val="20"/>
          <w:szCs w:val="20"/>
          <w:lang w:eastAsia="en-GB"/>
        </w:rPr>
        <w:t xml:space="preserve"> access product</w:t>
      </w:r>
    </w:p>
    <w:p w14:paraId="71E3E105" w14:textId="77777777" w:rsidR="006F2F6D" w:rsidRPr="003743EA" w:rsidRDefault="006F2F6D" w:rsidP="003743EA">
      <w:pPr>
        <w:pStyle w:val="ItadNormalText"/>
        <w:numPr>
          <w:ilvl w:val="0"/>
          <w:numId w:val="24"/>
        </w:numPr>
        <w:spacing w:before="0" w:after="0"/>
        <w:ind w:left="714" w:hanging="357"/>
        <w:rPr>
          <w:color w:val="1D1D1E" w:themeColor="text1" w:themeShade="80"/>
          <w:sz w:val="20"/>
          <w:szCs w:val="20"/>
          <w:lang w:eastAsia="en-GB"/>
        </w:rPr>
      </w:pPr>
      <w:r w:rsidRPr="003743EA">
        <w:rPr>
          <w:b/>
          <w:bCs/>
          <w:color w:val="1D1D1E" w:themeColor="text1" w:themeShade="80"/>
          <w:sz w:val="20"/>
          <w:szCs w:val="20"/>
          <w:lang w:eastAsia="en-GB"/>
        </w:rPr>
        <w:t>Reaction:</w:t>
      </w:r>
      <w:r w:rsidRPr="003743EA">
        <w:rPr>
          <w:color w:val="1D1D1E" w:themeColor="text1" w:themeShade="80"/>
          <w:sz w:val="20"/>
          <w:szCs w:val="20"/>
          <w:lang w:eastAsia="en-GB"/>
        </w:rPr>
        <w:t xml:space="preserve"> Evidence that the product is engaging, relevant and useful to target audience</w:t>
      </w:r>
    </w:p>
    <w:p w14:paraId="4E3C7B4B" w14:textId="77777777" w:rsidR="006F2F6D" w:rsidRPr="003743EA" w:rsidRDefault="4D4B5955" w:rsidP="003743EA">
      <w:pPr>
        <w:pStyle w:val="ItadNormalText"/>
        <w:numPr>
          <w:ilvl w:val="0"/>
          <w:numId w:val="24"/>
        </w:numPr>
        <w:spacing w:before="0" w:after="0"/>
        <w:ind w:left="714" w:hanging="357"/>
        <w:rPr>
          <w:color w:val="1D1D1E" w:themeColor="text1" w:themeShade="80"/>
          <w:sz w:val="20"/>
          <w:szCs w:val="20"/>
          <w:lang w:eastAsia="en-GB"/>
        </w:rPr>
      </w:pPr>
      <w:r w:rsidRPr="003743EA">
        <w:rPr>
          <w:b/>
          <w:bCs/>
          <w:color w:val="1D1D1E" w:themeColor="text1" w:themeShade="80"/>
          <w:sz w:val="20"/>
          <w:szCs w:val="20"/>
          <w:lang w:eastAsia="en-GB"/>
        </w:rPr>
        <w:t>Learning:</w:t>
      </w:r>
      <w:r w:rsidRPr="003743EA">
        <w:rPr>
          <w:color w:val="1D1D1E" w:themeColor="text1" w:themeShade="80"/>
          <w:sz w:val="20"/>
          <w:szCs w:val="20"/>
          <w:lang w:eastAsia="en-GB"/>
        </w:rPr>
        <w:t xml:space="preserve"> Evidence that target groups have increased their knowledge/capacity </w:t>
      </w:r>
      <w:proofErr w:type="gramStart"/>
      <w:r w:rsidRPr="003743EA">
        <w:rPr>
          <w:color w:val="1D1D1E" w:themeColor="text1" w:themeShade="80"/>
          <w:sz w:val="20"/>
          <w:szCs w:val="20"/>
          <w:lang w:eastAsia="en-GB"/>
        </w:rPr>
        <w:t>as a result of</w:t>
      </w:r>
      <w:proofErr w:type="gramEnd"/>
      <w:r w:rsidRPr="003743EA">
        <w:rPr>
          <w:color w:val="1D1D1E" w:themeColor="text1" w:themeShade="80"/>
          <w:sz w:val="20"/>
          <w:szCs w:val="20"/>
          <w:lang w:eastAsia="en-GB"/>
        </w:rPr>
        <w:t xml:space="preserve"> product</w:t>
      </w:r>
    </w:p>
    <w:p w14:paraId="0152DD78" w14:textId="77777777" w:rsidR="006F2F6D" w:rsidRPr="003743EA" w:rsidRDefault="4D4B5955" w:rsidP="003743EA">
      <w:pPr>
        <w:pStyle w:val="ItadNormalText"/>
        <w:numPr>
          <w:ilvl w:val="0"/>
          <w:numId w:val="24"/>
        </w:numPr>
        <w:spacing w:before="0" w:after="0"/>
        <w:ind w:left="714" w:hanging="357"/>
        <w:rPr>
          <w:color w:val="1D1D1E" w:themeColor="text1" w:themeShade="80"/>
          <w:sz w:val="20"/>
          <w:szCs w:val="20"/>
          <w:lang w:eastAsia="en-GB"/>
        </w:rPr>
      </w:pPr>
      <w:r w:rsidRPr="003743EA">
        <w:rPr>
          <w:b/>
          <w:bCs/>
          <w:color w:val="1D1D1E" w:themeColor="text1" w:themeShade="80"/>
          <w:sz w:val="20"/>
          <w:szCs w:val="20"/>
          <w:lang w:eastAsia="en-GB"/>
        </w:rPr>
        <w:t>Use of knowledge and skills</w:t>
      </w:r>
      <w:r w:rsidRPr="003743EA">
        <w:rPr>
          <w:color w:val="1D1D1E" w:themeColor="text1" w:themeShade="80"/>
          <w:sz w:val="20"/>
          <w:szCs w:val="20"/>
          <w:lang w:eastAsia="en-GB"/>
        </w:rPr>
        <w:t xml:space="preserve">: Evidence that target audience have changed attitude, </w:t>
      </w:r>
      <w:proofErr w:type="gramStart"/>
      <w:r w:rsidRPr="003743EA">
        <w:rPr>
          <w:color w:val="1D1D1E" w:themeColor="text1" w:themeShade="80"/>
          <w:sz w:val="20"/>
          <w:szCs w:val="20"/>
          <w:lang w:eastAsia="en-GB"/>
        </w:rPr>
        <w:t>behaviour</w:t>
      </w:r>
      <w:proofErr w:type="gramEnd"/>
      <w:r w:rsidRPr="003743EA">
        <w:rPr>
          <w:color w:val="1D1D1E" w:themeColor="text1" w:themeShade="80"/>
          <w:sz w:val="20"/>
          <w:szCs w:val="20"/>
          <w:lang w:eastAsia="en-GB"/>
        </w:rPr>
        <w:t xml:space="preserve"> or evidence of institutional or policy change as a result of product</w:t>
      </w:r>
      <w:r w:rsidR="08B0DFA8" w:rsidRPr="003743EA">
        <w:rPr>
          <w:color w:val="1D1D1E" w:themeColor="text1" w:themeShade="80"/>
          <w:sz w:val="20"/>
          <w:szCs w:val="20"/>
          <w:lang w:eastAsia="en-GB"/>
        </w:rPr>
        <w:t>.</w:t>
      </w:r>
    </w:p>
    <w:p w14:paraId="6306E350" w14:textId="77777777" w:rsidR="006F2F6D" w:rsidRPr="006A561F" w:rsidRDefault="0743636A" w:rsidP="00EE069C">
      <w:pPr>
        <w:pStyle w:val="ItadNormalText"/>
        <w:jc w:val="both"/>
      </w:pPr>
      <w:r w:rsidRPr="006A561F">
        <w:t xml:space="preserve">From a behavioural change assessment perspective, the evaluation </w:t>
      </w:r>
      <w:r w:rsidRPr="003743EA">
        <w:t>use</w:t>
      </w:r>
      <w:r w:rsidR="18D14E81" w:rsidRPr="003743EA">
        <w:t>d</w:t>
      </w:r>
      <w:r w:rsidRPr="003743EA">
        <w:t xml:space="preserve"> UNICEF’s</w:t>
      </w:r>
      <w:r w:rsidRPr="40E44CAF">
        <w:t xml:space="preserve"> A</w:t>
      </w:r>
      <w:r w:rsidR="2CB5AA89" w:rsidRPr="40E44CAF">
        <w:t>CT</w:t>
      </w:r>
      <w:r w:rsidRPr="40E44CAF">
        <w:t xml:space="preserve"> Framework for Measuring Social Norm Change</w:t>
      </w:r>
      <w:r w:rsidRPr="006A561F">
        <w:t xml:space="preserve"> as the analytical framework to explore behaviour and social norm change. It is an enhanced version of the Knowledge, Attitudes and Practices (KAP) model, strengthened by including </w:t>
      </w:r>
      <w:r w:rsidRPr="006A561F">
        <w:lastRenderedPageBreak/>
        <w:t>social norms and self-efficacy to provide a fuller picture of the drivers of behaviour and social norm change.</w:t>
      </w:r>
      <w:r w:rsidR="006F2F6D" w:rsidRPr="006A561F">
        <w:rPr>
          <w:vertAlign w:val="superscript"/>
        </w:rPr>
        <w:footnoteReference w:id="60"/>
      </w:r>
      <w:r w:rsidRPr="006A561F">
        <w:t xml:space="preserve"> </w:t>
      </w:r>
      <w:r w:rsidR="2BCBCD02" w:rsidRPr="006A561F">
        <w:t>Its</w:t>
      </w:r>
      <w:r w:rsidRPr="006A561F">
        <w:t xml:space="preserve"> approach is consistent with the socioecological model</w:t>
      </w:r>
      <w:r w:rsidR="006F2F6D" w:rsidRPr="006A561F">
        <w:rPr>
          <w:vertAlign w:val="superscript"/>
        </w:rPr>
        <w:footnoteReference w:id="61"/>
      </w:r>
      <w:r w:rsidRPr="006A561F">
        <w:t xml:space="preserve"> and the MWGE </w:t>
      </w:r>
      <w:proofErr w:type="spellStart"/>
      <w:r w:rsidRPr="006A561F">
        <w:t>ToC</w:t>
      </w:r>
      <w:proofErr w:type="spellEnd"/>
      <w:r w:rsidRPr="006A561F">
        <w:t xml:space="preserve"> </w:t>
      </w:r>
      <w:r w:rsidR="238C8B8B" w:rsidRPr="006A561F">
        <w:t>(</w:t>
      </w:r>
      <w:r w:rsidRPr="006A561F">
        <w:t xml:space="preserve">see also Annex </w:t>
      </w:r>
      <w:r w:rsidR="21B5BAEE">
        <w:t>14</w:t>
      </w:r>
      <w:r w:rsidRPr="006A561F">
        <w:t>)</w:t>
      </w:r>
      <w:r w:rsidR="238C8B8B" w:rsidRPr="006A561F">
        <w:t>.</w:t>
      </w:r>
      <w:r w:rsidR="006F2F6D" w:rsidRPr="006A561F">
        <w:rPr>
          <w:vertAlign w:val="superscript"/>
        </w:rPr>
        <w:footnoteReference w:id="62"/>
      </w:r>
      <w:r w:rsidRPr="006A561F">
        <w:t xml:space="preserve"> The social norms and behaviour change case study falls at the micro level of the </w:t>
      </w:r>
      <w:proofErr w:type="spellStart"/>
      <w:r w:rsidRPr="006A561F">
        <w:t>ToC</w:t>
      </w:r>
      <w:proofErr w:type="spellEnd"/>
      <w:r w:rsidRPr="006A561F">
        <w:t xml:space="preserve"> and within the personal and community levels of the socioecological model. Th</w:t>
      </w:r>
      <w:r w:rsidR="4C856085" w:rsidRPr="006A561F">
        <w:t>e</w:t>
      </w:r>
      <w:r w:rsidRPr="006A561F">
        <w:t xml:space="preserve"> model’s primary focus area w</w:t>
      </w:r>
      <w:r w:rsidR="4DB7D8C5" w:rsidRPr="006A561F">
        <w:t>as</w:t>
      </w:r>
      <w:r w:rsidRPr="006A561F">
        <w:t xml:space="preserve"> on the thematic case study focused on social norms and behavioural change.</w:t>
      </w:r>
    </w:p>
    <w:p w14:paraId="1A4B600A" w14:textId="77777777" w:rsidR="006F2F6D" w:rsidRPr="006A561F" w:rsidRDefault="0C46233B" w:rsidP="00EE069C">
      <w:pPr>
        <w:pStyle w:val="ItadNormalText"/>
        <w:jc w:val="both"/>
        <w:rPr>
          <w:rFonts w:eastAsia="Calibri" w:cs="Times New Roman"/>
        </w:rPr>
      </w:pPr>
      <w:r w:rsidRPr="006A561F">
        <w:t>Finally, the evaluation ensure</w:t>
      </w:r>
      <w:r w:rsidR="7E814C43" w:rsidRPr="006A561F">
        <w:t>d</w:t>
      </w:r>
      <w:r w:rsidRPr="006A561F">
        <w:t xml:space="preserve"> that a human rights-based approach and gender sensitivity </w:t>
      </w:r>
      <w:r w:rsidR="465ADCA1" w:rsidRPr="006A561F">
        <w:t xml:space="preserve">were </w:t>
      </w:r>
      <w:r w:rsidRPr="006A561F">
        <w:t>followed</w:t>
      </w:r>
      <w:r w:rsidR="35DA526C" w:rsidRPr="006A561F">
        <w:t xml:space="preserve"> throughout</w:t>
      </w:r>
      <w:r w:rsidR="7B60B98A" w:rsidRPr="006A561F">
        <w:t xml:space="preserve"> by </w:t>
      </w:r>
      <w:r w:rsidR="74BC2236" w:rsidRPr="076A58FF">
        <w:rPr>
          <w:rFonts w:eastAsia="Calibri" w:cs="Times New Roman"/>
        </w:rPr>
        <w:t>putting</w:t>
      </w:r>
      <w:r w:rsidRPr="076A58FF">
        <w:rPr>
          <w:rFonts w:eastAsia="Calibri" w:cs="Times New Roman"/>
        </w:rPr>
        <w:t xml:space="preserve"> people at the centre of the evaluation as rights holders, highlighting the importance of empowerment and advocacy towards the securing of those rights. On a practical level, th</w:t>
      </w:r>
      <w:r w:rsidR="0F8C931A" w:rsidRPr="076A58FF">
        <w:rPr>
          <w:rFonts w:eastAsia="Calibri" w:cs="Times New Roman"/>
        </w:rPr>
        <w:t>e</w:t>
      </w:r>
      <w:r w:rsidRPr="076A58FF">
        <w:rPr>
          <w:rFonts w:eastAsia="Calibri" w:cs="Times New Roman"/>
        </w:rPr>
        <w:t xml:space="preserve"> approach is informed by the United Nations Evaluation Group (UNEG) guidance on integrating human rights and gender equality in evaluations</w:t>
      </w:r>
      <w:r w:rsidR="006F2F6D" w:rsidRPr="076A58FF">
        <w:rPr>
          <w:rStyle w:val="FootnoteReference"/>
          <w:rFonts w:eastAsia="Calibri"/>
          <w:color w:val="1D1D1E" w:themeColor="text1" w:themeShade="80"/>
          <w:sz w:val="22"/>
          <w:szCs w:val="22"/>
        </w:rPr>
        <w:footnoteReference w:id="63"/>
      </w:r>
      <w:r w:rsidR="11B99897" w:rsidRPr="40E44CAF">
        <w:rPr>
          <w:rFonts w:eastAsia="Calibri" w:cs="Times New Roman"/>
        </w:rPr>
        <w:t>.</w:t>
      </w:r>
    </w:p>
    <w:p w14:paraId="58B014C1" w14:textId="77777777" w:rsidR="006F2F6D" w:rsidRPr="006A561F" w:rsidRDefault="6DEDDC1E" w:rsidP="522E2469">
      <w:pPr>
        <w:pStyle w:val="ItadH3"/>
        <w:rPr>
          <w:lang w:val="en-GB"/>
        </w:rPr>
      </w:pPr>
      <w:bookmarkStart w:id="21" w:name="_Toc86156012"/>
      <w:r w:rsidRPr="40E44CAF">
        <w:rPr>
          <w:lang w:val="en-GB"/>
        </w:rPr>
        <w:t xml:space="preserve">4.2 </w:t>
      </w:r>
      <w:r w:rsidR="3D2807EF" w:rsidRPr="40E44CAF">
        <w:rPr>
          <w:lang w:val="en-GB"/>
        </w:rPr>
        <w:t>Methodology</w:t>
      </w:r>
      <w:bookmarkEnd w:id="21"/>
    </w:p>
    <w:p w14:paraId="761927FF" w14:textId="77777777" w:rsidR="006F2F6D" w:rsidRPr="000D46AB" w:rsidRDefault="006F2F6D" w:rsidP="00EE069C">
      <w:pPr>
        <w:pStyle w:val="ItadNormalText"/>
        <w:jc w:val="both"/>
      </w:pPr>
      <w:r>
        <w:t xml:space="preserve">In carrying out this evaluation, the </w:t>
      </w:r>
      <w:r w:rsidR="00023359">
        <w:t>e</w:t>
      </w:r>
      <w:r>
        <w:t xml:space="preserve">valuation </w:t>
      </w:r>
      <w:r w:rsidR="00023359">
        <w:t>t</w:t>
      </w:r>
      <w:r>
        <w:t>eam used a mixed</w:t>
      </w:r>
      <w:r w:rsidR="00023359">
        <w:t>-</w:t>
      </w:r>
      <w:r>
        <w:t>method approach in triangulating findings framed around an evaluation matrix (simplified in</w:t>
      </w:r>
      <w:r w:rsidR="00AC0286">
        <w:t xml:space="preserve"> Table 7</w:t>
      </w:r>
      <w:r>
        <w:t xml:space="preserve">). </w:t>
      </w:r>
      <w:r w:rsidR="01EE5DF0">
        <w:t>Evaluation questions</w:t>
      </w:r>
      <w:r w:rsidR="5024CE7A">
        <w:t xml:space="preserve"> (EQs)</w:t>
      </w:r>
      <w:r w:rsidR="01EE5DF0">
        <w:t xml:space="preserve"> were </w:t>
      </w:r>
      <w:r w:rsidR="62D45F84">
        <w:t>applied covering</w:t>
      </w:r>
      <w:r>
        <w:t xml:space="preserve"> the following OECD-DAC criteria: relevance, efficiency, effectiveness/likelihood of impact, and sustainability. A fifth criteri</w:t>
      </w:r>
      <w:r w:rsidR="00023359">
        <w:t>on,</w:t>
      </w:r>
      <w:r>
        <w:t xml:space="preserve"> on gender and human rights</w:t>
      </w:r>
      <w:r w:rsidR="00023359">
        <w:t>,</w:t>
      </w:r>
      <w:r>
        <w:t xml:space="preserve"> </w:t>
      </w:r>
      <w:r w:rsidR="23D0F74D">
        <w:t>wa</w:t>
      </w:r>
      <w:r>
        <w:t xml:space="preserve">s included to ensure that gender-disaggregated considerations are more clearly presented in the final evaluation and that inclusion of vulnerable groups </w:t>
      </w:r>
      <w:r w:rsidR="01493CBF">
        <w:t>wa</w:t>
      </w:r>
      <w:r>
        <w:t>s taken into consideration.</w:t>
      </w:r>
    </w:p>
    <w:p w14:paraId="3E205374" w14:textId="77777777" w:rsidR="006F2F6D" w:rsidRPr="006A561F" w:rsidRDefault="0743636A" w:rsidP="00EE069C">
      <w:pPr>
        <w:pStyle w:val="ItadNormalText"/>
        <w:jc w:val="both"/>
      </w:pPr>
      <w:proofErr w:type="gramStart"/>
      <w:r w:rsidRPr="000D46AB">
        <w:t>In order to</w:t>
      </w:r>
      <w:proofErr w:type="gramEnd"/>
      <w:r w:rsidRPr="000D46AB">
        <w:t xml:space="preserve"> ensure a </w:t>
      </w:r>
      <w:r w:rsidR="6279BECA" w:rsidRPr="000D46AB">
        <w:t>high-</w:t>
      </w:r>
      <w:r w:rsidRPr="000D46AB">
        <w:t xml:space="preserve">quality and readable evaluation report, the team streamlined and refocused some of the proposed questions. As a result, the total number of sub-questions addressed was 28 (instead of the 33 proposed in the </w:t>
      </w:r>
      <w:proofErr w:type="spellStart"/>
      <w:r w:rsidRPr="000D46AB">
        <w:t>ToR</w:t>
      </w:r>
      <w:proofErr w:type="spellEnd"/>
      <w:r w:rsidRPr="000D46AB">
        <w:t>).</w:t>
      </w:r>
      <w:r w:rsidR="006F2F6D" w:rsidRPr="4977AA67">
        <w:rPr>
          <w:rFonts w:asciiTheme="minorBidi" w:eastAsia="Times New Roman" w:hAnsiTheme="minorBidi"/>
          <w:vertAlign w:val="superscript"/>
        </w:rPr>
        <w:footnoteReference w:id="64"/>
      </w:r>
      <w:r w:rsidRPr="000D46AB">
        <w:t xml:space="preserve"> A more detailed </w:t>
      </w:r>
      <w:r w:rsidR="241125D1" w:rsidRPr="000D46AB">
        <w:t>e</w:t>
      </w:r>
      <w:r w:rsidRPr="000D46AB">
        <w:t xml:space="preserve">valuation </w:t>
      </w:r>
      <w:r w:rsidR="241125D1" w:rsidRPr="000D46AB">
        <w:t>m</w:t>
      </w:r>
      <w:r w:rsidRPr="000D46AB">
        <w:t>atrix is available (see Annex </w:t>
      </w:r>
      <w:r w:rsidR="4944D737" w:rsidRPr="000D46AB">
        <w:t>10</w:t>
      </w:r>
      <w:r w:rsidRPr="000D46AB">
        <w:t xml:space="preserve">), which includes sub-questions for each of the six main </w:t>
      </w:r>
      <w:r w:rsidR="2A218621" w:rsidRPr="000D46AB">
        <w:t>EQs</w:t>
      </w:r>
      <w:r w:rsidRPr="000D46AB">
        <w:t xml:space="preserve"> and associated sub-questions. A mapping of the EQs onto the </w:t>
      </w:r>
      <w:proofErr w:type="spellStart"/>
      <w:r w:rsidRPr="000D46AB">
        <w:t>ToC</w:t>
      </w:r>
      <w:proofErr w:type="spellEnd"/>
      <w:r w:rsidRPr="000D46AB">
        <w:t xml:space="preserve"> is included in Annex </w:t>
      </w:r>
      <w:r w:rsidR="1628D600" w:rsidRPr="000D46AB">
        <w:t>14</w:t>
      </w:r>
      <w:r w:rsidRPr="000D46AB">
        <w:t>.</w:t>
      </w:r>
    </w:p>
    <w:p w14:paraId="792E5FAE" w14:textId="77777777" w:rsidR="00643E27" w:rsidRPr="001F103C" w:rsidRDefault="0930167F" w:rsidP="001F103C">
      <w:pPr>
        <w:pStyle w:val="Itadtablestyle"/>
      </w:pPr>
      <w:bookmarkStart w:id="22" w:name="_Toc83314209"/>
      <w:bookmarkStart w:id="23" w:name="_Toc123126100"/>
      <w:bookmarkEnd w:id="22"/>
      <w:r>
        <w:t>Streamlined EQs</w:t>
      </w:r>
      <w:bookmarkEnd w:id="23"/>
    </w:p>
    <w:tbl>
      <w:tblPr>
        <w:tblW w:w="9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96"/>
        <w:gridCol w:w="7818"/>
      </w:tblGrid>
      <w:tr w:rsidR="006F2F6D" w:rsidRPr="003743EA" w14:paraId="39323953" w14:textId="77777777" w:rsidTr="00B21858">
        <w:trPr>
          <w:trHeight w:val="60"/>
          <w:tblHeader/>
        </w:trPr>
        <w:tc>
          <w:tcPr>
            <w:tcW w:w="1696" w:type="dxa"/>
            <w:shd w:val="clear" w:color="auto" w:fill="588B46" w:themeFill="text2"/>
            <w:tcMar>
              <w:top w:w="80" w:type="dxa"/>
              <w:left w:w="80" w:type="dxa"/>
              <w:bottom w:w="80" w:type="dxa"/>
              <w:right w:w="80" w:type="dxa"/>
            </w:tcMar>
          </w:tcPr>
          <w:p w14:paraId="03198E8D" w14:textId="77777777" w:rsidR="006F2F6D" w:rsidRPr="003743EA" w:rsidRDefault="096E9D01" w:rsidP="0D4BD307">
            <w:pPr>
              <w:tabs>
                <w:tab w:val="left" w:pos="1418"/>
              </w:tabs>
              <w:spacing w:before="60" w:after="60"/>
              <w:rPr>
                <w:color w:val="FFFFFF" w:themeColor="background1"/>
                <w:sz w:val="13"/>
                <w:szCs w:val="13"/>
              </w:rPr>
            </w:pPr>
            <w:r w:rsidRPr="003743EA">
              <w:rPr>
                <w:color w:val="FFFFFF" w:themeColor="background1"/>
                <w:sz w:val="13"/>
                <w:szCs w:val="13"/>
              </w:rPr>
              <w:t>Evaluation criteri</w:t>
            </w:r>
            <w:r w:rsidR="50F01640" w:rsidRPr="003743EA">
              <w:rPr>
                <w:color w:val="FFFFFF" w:themeColor="background1"/>
                <w:sz w:val="13"/>
                <w:szCs w:val="13"/>
              </w:rPr>
              <w:t>on</w:t>
            </w:r>
          </w:p>
        </w:tc>
        <w:tc>
          <w:tcPr>
            <w:tcW w:w="7818" w:type="dxa"/>
            <w:shd w:val="clear" w:color="auto" w:fill="588B46" w:themeFill="text2"/>
            <w:tcMar>
              <w:top w:w="80" w:type="dxa"/>
              <w:left w:w="80" w:type="dxa"/>
              <w:bottom w:w="80" w:type="dxa"/>
              <w:right w:w="80" w:type="dxa"/>
            </w:tcMar>
          </w:tcPr>
          <w:p w14:paraId="067E5FEA" w14:textId="77777777" w:rsidR="006F2F6D" w:rsidRPr="003743EA" w:rsidRDefault="096E9D01" w:rsidP="0D4BD307">
            <w:pPr>
              <w:tabs>
                <w:tab w:val="left" w:pos="1418"/>
              </w:tabs>
              <w:spacing w:before="60" w:after="60"/>
              <w:rPr>
                <w:color w:val="FFFFFF" w:themeColor="background1"/>
                <w:sz w:val="13"/>
                <w:szCs w:val="13"/>
              </w:rPr>
            </w:pPr>
            <w:r w:rsidRPr="003743EA">
              <w:rPr>
                <w:color w:val="FFFFFF" w:themeColor="background1"/>
                <w:sz w:val="13"/>
                <w:szCs w:val="13"/>
              </w:rPr>
              <w:t>Key question</w:t>
            </w:r>
          </w:p>
        </w:tc>
      </w:tr>
      <w:tr w:rsidR="006F2F6D" w:rsidRPr="003743EA" w14:paraId="388565F2" w14:textId="77777777" w:rsidTr="00B21858">
        <w:trPr>
          <w:trHeight w:val="60"/>
        </w:trPr>
        <w:tc>
          <w:tcPr>
            <w:tcW w:w="1696" w:type="dxa"/>
            <w:vMerge w:val="restart"/>
            <w:shd w:val="clear" w:color="auto" w:fill="auto"/>
            <w:tcMar>
              <w:top w:w="37" w:type="dxa"/>
              <w:left w:w="37" w:type="dxa"/>
              <w:bottom w:w="37" w:type="dxa"/>
              <w:right w:w="37" w:type="dxa"/>
            </w:tcMar>
            <w:vAlign w:val="center"/>
          </w:tcPr>
          <w:p w14:paraId="56CE0127" w14:textId="77777777" w:rsidR="006F2F6D" w:rsidRPr="003743EA" w:rsidRDefault="096E9D01" w:rsidP="0D4BD307">
            <w:pPr>
              <w:tabs>
                <w:tab w:val="left" w:pos="1418"/>
              </w:tabs>
              <w:spacing w:before="60" w:after="60"/>
              <w:rPr>
                <w:color w:val="3B3B3C" w:themeColor="text1"/>
                <w:sz w:val="13"/>
                <w:szCs w:val="13"/>
              </w:rPr>
            </w:pPr>
            <w:r w:rsidRPr="003743EA">
              <w:rPr>
                <w:color w:val="3B3B3C" w:themeColor="text1"/>
                <w:spacing w:val="-2"/>
                <w:sz w:val="13"/>
                <w:szCs w:val="13"/>
              </w:rPr>
              <w:t>Relevance and Alignment</w:t>
            </w:r>
          </w:p>
        </w:tc>
        <w:tc>
          <w:tcPr>
            <w:tcW w:w="7818" w:type="dxa"/>
            <w:shd w:val="clear" w:color="auto" w:fill="auto"/>
            <w:tcMar>
              <w:top w:w="37" w:type="dxa"/>
              <w:left w:w="37" w:type="dxa"/>
              <w:bottom w:w="37" w:type="dxa"/>
              <w:right w:w="37" w:type="dxa"/>
            </w:tcMar>
          </w:tcPr>
          <w:p w14:paraId="380F282F" w14:textId="77777777" w:rsidR="006F2F6D" w:rsidRPr="003743EA" w:rsidRDefault="096E9D01" w:rsidP="0D4BD307">
            <w:pPr>
              <w:tabs>
                <w:tab w:val="left" w:pos="1418"/>
              </w:tabs>
              <w:spacing w:before="60" w:after="60"/>
              <w:rPr>
                <w:color w:val="3B3B3C" w:themeColor="text1"/>
                <w:sz w:val="13"/>
                <w:szCs w:val="13"/>
              </w:rPr>
            </w:pPr>
            <w:r w:rsidRPr="003743EA">
              <w:rPr>
                <w:color w:val="3B3B3C" w:themeColor="text1"/>
                <w:sz w:val="13"/>
                <w:szCs w:val="13"/>
              </w:rPr>
              <w:t>EQ 1. To what extent are UN Women’s MWGE interventions aligned with regional and country contexts and addressing the priorities of stakeholders?</w:t>
            </w:r>
          </w:p>
        </w:tc>
      </w:tr>
      <w:tr w:rsidR="006F2F6D" w:rsidRPr="003743EA" w14:paraId="38040950" w14:textId="77777777" w:rsidTr="00B21858">
        <w:trPr>
          <w:trHeight w:val="60"/>
        </w:trPr>
        <w:tc>
          <w:tcPr>
            <w:tcW w:w="1696" w:type="dxa"/>
            <w:vMerge/>
            <w:tcMar>
              <w:top w:w="37" w:type="dxa"/>
              <w:left w:w="37" w:type="dxa"/>
              <w:bottom w:w="37" w:type="dxa"/>
              <w:right w:w="37" w:type="dxa"/>
            </w:tcMar>
          </w:tcPr>
          <w:p w14:paraId="70A4CAB4" w14:textId="77777777" w:rsidR="006F2F6D" w:rsidRPr="003743EA" w:rsidRDefault="006F2F6D" w:rsidP="007C0EEF">
            <w:pPr>
              <w:tabs>
                <w:tab w:val="left" w:pos="1418"/>
              </w:tabs>
              <w:spacing w:before="60" w:after="60"/>
              <w:rPr>
                <w:color w:val="3B3B3C" w:themeColor="text1"/>
                <w:spacing w:val="-2"/>
                <w:sz w:val="13"/>
                <w:szCs w:val="13"/>
              </w:rPr>
            </w:pPr>
          </w:p>
        </w:tc>
        <w:tc>
          <w:tcPr>
            <w:tcW w:w="7818" w:type="dxa"/>
            <w:shd w:val="clear" w:color="auto" w:fill="auto"/>
            <w:tcMar>
              <w:top w:w="37" w:type="dxa"/>
              <w:left w:w="37" w:type="dxa"/>
              <w:bottom w:w="37" w:type="dxa"/>
              <w:right w:w="37" w:type="dxa"/>
            </w:tcMar>
          </w:tcPr>
          <w:p w14:paraId="7D015AC4" w14:textId="77777777" w:rsidR="006F2F6D" w:rsidRPr="003743EA" w:rsidRDefault="096E9D01" w:rsidP="0D4BD307">
            <w:pPr>
              <w:tabs>
                <w:tab w:val="left" w:pos="1418"/>
              </w:tabs>
              <w:spacing w:before="60" w:after="60"/>
              <w:rPr>
                <w:color w:val="3B3B3C" w:themeColor="text1"/>
                <w:sz w:val="13"/>
                <w:szCs w:val="13"/>
              </w:rPr>
            </w:pPr>
            <w:r w:rsidRPr="003743EA">
              <w:rPr>
                <w:color w:val="3B3B3C" w:themeColor="text1"/>
                <w:sz w:val="13"/>
                <w:szCs w:val="13"/>
              </w:rPr>
              <w:t>EQ 2. To what extent did UN Women’s MWGE programme adapt to respond to changing contexts?</w:t>
            </w:r>
          </w:p>
        </w:tc>
      </w:tr>
      <w:tr w:rsidR="006F2F6D" w:rsidRPr="003743EA" w14:paraId="5718D0F4" w14:textId="77777777" w:rsidTr="00B21858">
        <w:trPr>
          <w:trHeight w:val="60"/>
        </w:trPr>
        <w:tc>
          <w:tcPr>
            <w:tcW w:w="1696" w:type="dxa"/>
            <w:vMerge/>
            <w:tcMar>
              <w:top w:w="37" w:type="dxa"/>
              <w:left w:w="37" w:type="dxa"/>
              <w:bottom w:w="37" w:type="dxa"/>
              <w:right w:w="37" w:type="dxa"/>
            </w:tcMar>
          </w:tcPr>
          <w:p w14:paraId="0DE62280" w14:textId="77777777" w:rsidR="006F2F6D" w:rsidRPr="003743EA" w:rsidRDefault="006F2F6D" w:rsidP="007C0EEF">
            <w:pPr>
              <w:tabs>
                <w:tab w:val="left" w:pos="1418"/>
              </w:tabs>
              <w:spacing w:before="60" w:after="60"/>
              <w:rPr>
                <w:color w:val="3B3B3C" w:themeColor="text1"/>
                <w:spacing w:val="-2"/>
                <w:sz w:val="13"/>
                <w:szCs w:val="13"/>
              </w:rPr>
            </w:pPr>
          </w:p>
        </w:tc>
        <w:tc>
          <w:tcPr>
            <w:tcW w:w="7818" w:type="dxa"/>
            <w:shd w:val="clear" w:color="auto" w:fill="auto"/>
            <w:tcMar>
              <w:top w:w="37" w:type="dxa"/>
              <w:left w:w="37" w:type="dxa"/>
              <w:bottom w:w="37" w:type="dxa"/>
              <w:right w:w="37" w:type="dxa"/>
            </w:tcMar>
          </w:tcPr>
          <w:p w14:paraId="50C63335" w14:textId="77777777" w:rsidR="006F2F6D" w:rsidRPr="003743EA" w:rsidRDefault="096E9D01" w:rsidP="0D4BD307">
            <w:pPr>
              <w:tabs>
                <w:tab w:val="left" w:pos="1418"/>
              </w:tabs>
              <w:spacing w:before="60" w:after="60"/>
              <w:rPr>
                <w:color w:val="3B3B3C" w:themeColor="text1"/>
                <w:sz w:val="13"/>
                <w:szCs w:val="13"/>
              </w:rPr>
            </w:pPr>
            <w:r w:rsidRPr="003743EA">
              <w:rPr>
                <w:color w:val="3B3B3C" w:themeColor="text1"/>
                <w:sz w:val="13"/>
                <w:szCs w:val="13"/>
              </w:rPr>
              <w:t>EQ 3. What is the comparative advantage of UN Women in leading the MWGE programme?</w:t>
            </w:r>
          </w:p>
          <w:p w14:paraId="5EA7669F" w14:textId="77777777" w:rsidR="006F2F6D" w:rsidRPr="003743EA" w:rsidRDefault="096E9D01" w:rsidP="0D4BD307">
            <w:pPr>
              <w:tabs>
                <w:tab w:val="left" w:pos="1418"/>
              </w:tabs>
              <w:spacing w:before="60" w:after="60"/>
              <w:rPr>
                <w:color w:val="3B3B3C" w:themeColor="text1"/>
                <w:sz w:val="13"/>
                <w:szCs w:val="13"/>
              </w:rPr>
            </w:pPr>
            <w:r w:rsidRPr="003743EA">
              <w:rPr>
                <w:color w:val="3B3B3C" w:themeColor="text1"/>
                <w:sz w:val="13"/>
                <w:szCs w:val="13"/>
              </w:rPr>
              <w:t xml:space="preserve">EQ 4. How relevant </w:t>
            </w:r>
            <w:r w:rsidR="36E8EB17" w:rsidRPr="003743EA">
              <w:rPr>
                <w:color w:val="3B3B3C" w:themeColor="text1"/>
                <w:sz w:val="13"/>
                <w:szCs w:val="13"/>
              </w:rPr>
              <w:t xml:space="preserve">are </w:t>
            </w:r>
            <w:r w:rsidRPr="003743EA">
              <w:rPr>
                <w:color w:val="3B3B3C" w:themeColor="text1"/>
                <w:sz w:val="13"/>
                <w:szCs w:val="13"/>
              </w:rPr>
              <w:t>the programme intervention logic and Theory of Change (</w:t>
            </w:r>
            <w:proofErr w:type="spellStart"/>
            <w:r w:rsidRPr="003743EA">
              <w:rPr>
                <w:color w:val="3B3B3C" w:themeColor="text1"/>
                <w:sz w:val="13"/>
                <w:szCs w:val="13"/>
              </w:rPr>
              <w:t>ToC</w:t>
            </w:r>
            <w:proofErr w:type="spellEnd"/>
            <w:r w:rsidRPr="003743EA">
              <w:rPr>
                <w:color w:val="3B3B3C" w:themeColor="text1"/>
                <w:sz w:val="13"/>
                <w:szCs w:val="13"/>
              </w:rPr>
              <w:t xml:space="preserve">)? To what extent are the </w:t>
            </w:r>
            <w:proofErr w:type="spellStart"/>
            <w:r w:rsidRPr="003743EA">
              <w:rPr>
                <w:color w:val="3B3B3C" w:themeColor="text1"/>
                <w:sz w:val="13"/>
                <w:szCs w:val="13"/>
              </w:rPr>
              <w:t>ToC’s</w:t>
            </w:r>
            <w:proofErr w:type="spellEnd"/>
            <w:r w:rsidRPr="003743EA">
              <w:rPr>
                <w:color w:val="3B3B3C" w:themeColor="text1"/>
                <w:sz w:val="13"/>
                <w:szCs w:val="13"/>
              </w:rPr>
              <w:t xml:space="preserve"> underlying assumptions still valid?</w:t>
            </w:r>
          </w:p>
        </w:tc>
      </w:tr>
      <w:tr w:rsidR="006F2F6D" w:rsidRPr="003743EA" w14:paraId="601C7F8B" w14:textId="77777777" w:rsidTr="00B21858">
        <w:trPr>
          <w:trHeight w:val="237"/>
        </w:trPr>
        <w:tc>
          <w:tcPr>
            <w:tcW w:w="1696" w:type="dxa"/>
            <w:shd w:val="clear" w:color="auto" w:fill="auto"/>
            <w:tcMar>
              <w:top w:w="37" w:type="dxa"/>
              <w:left w:w="37" w:type="dxa"/>
              <w:bottom w:w="37" w:type="dxa"/>
              <w:right w:w="37" w:type="dxa"/>
            </w:tcMar>
          </w:tcPr>
          <w:p w14:paraId="6E150FC2" w14:textId="77777777" w:rsidR="006F2F6D" w:rsidRPr="003743EA" w:rsidRDefault="096E9D01" w:rsidP="0D4BD307">
            <w:pPr>
              <w:tabs>
                <w:tab w:val="left" w:pos="1418"/>
              </w:tabs>
              <w:spacing w:before="60" w:after="60"/>
              <w:rPr>
                <w:color w:val="3B3B3C" w:themeColor="text1"/>
                <w:sz w:val="13"/>
                <w:szCs w:val="13"/>
              </w:rPr>
            </w:pPr>
            <w:r w:rsidRPr="003743EA">
              <w:rPr>
                <w:color w:val="3B3B3C" w:themeColor="text1"/>
                <w:sz w:val="13"/>
                <w:szCs w:val="13"/>
              </w:rPr>
              <w:t>Effectiveness/Likelihood of Impact</w:t>
            </w:r>
          </w:p>
        </w:tc>
        <w:tc>
          <w:tcPr>
            <w:tcW w:w="7818" w:type="dxa"/>
            <w:shd w:val="clear" w:color="auto" w:fill="auto"/>
            <w:tcMar>
              <w:top w:w="37" w:type="dxa"/>
              <w:left w:w="37" w:type="dxa"/>
              <w:bottom w:w="37" w:type="dxa"/>
              <w:right w:w="37" w:type="dxa"/>
            </w:tcMar>
          </w:tcPr>
          <w:p w14:paraId="390A6DA1" w14:textId="77777777" w:rsidR="006F2F6D" w:rsidRPr="003743EA" w:rsidRDefault="096E9D01" w:rsidP="0D4BD307">
            <w:pPr>
              <w:tabs>
                <w:tab w:val="left" w:pos="1418"/>
              </w:tabs>
              <w:spacing w:before="60" w:after="60"/>
              <w:rPr>
                <w:color w:val="3B3B3C" w:themeColor="text1"/>
                <w:sz w:val="13"/>
                <w:szCs w:val="13"/>
              </w:rPr>
            </w:pPr>
            <w:r w:rsidRPr="003743EA">
              <w:rPr>
                <w:color w:val="3B3B3C" w:themeColor="text1"/>
                <w:sz w:val="13"/>
                <w:szCs w:val="13"/>
              </w:rPr>
              <w:t xml:space="preserve">EQ 5. To what extent has the MWGE programme contributed to behaviour and policy change, institutional and national capacity development, </w:t>
            </w:r>
            <w:proofErr w:type="gramStart"/>
            <w:r w:rsidRPr="003743EA">
              <w:rPr>
                <w:color w:val="3B3B3C" w:themeColor="text1"/>
                <w:sz w:val="13"/>
                <w:szCs w:val="13"/>
              </w:rPr>
              <w:t>information</w:t>
            </w:r>
            <w:proofErr w:type="gramEnd"/>
            <w:r w:rsidRPr="003743EA">
              <w:rPr>
                <w:color w:val="3B3B3C" w:themeColor="text1"/>
                <w:sz w:val="13"/>
                <w:szCs w:val="13"/>
              </w:rPr>
              <w:t xml:space="preserve"> and knowledge sharing, to promote GEWE across different settings?</w:t>
            </w:r>
          </w:p>
        </w:tc>
      </w:tr>
      <w:tr w:rsidR="006F2F6D" w:rsidRPr="003743EA" w14:paraId="015F06B7" w14:textId="77777777" w:rsidTr="00B21858">
        <w:trPr>
          <w:trHeight w:val="428"/>
        </w:trPr>
        <w:tc>
          <w:tcPr>
            <w:tcW w:w="1696" w:type="dxa"/>
            <w:shd w:val="clear" w:color="auto" w:fill="auto"/>
            <w:tcMar>
              <w:top w:w="80" w:type="dxa"/>
              <w:left w:w="80" w:type="dxa"/>
              <w:bottom w:w="80" w:type="dxa"/>
              <w:right w:w="80" w:type="dxa"/>
            </w:tcMar>
          </w:tcPr>
          <w:p w14:paraId="4055F154" w14:textId="77777777" w:rsidR="006F2F6D" w:rsidRPr="003743EA" w:rsidRDefault="096E9D01" w:rsidP="0D4BD307">
            <w:pPr>
              <w:tabs>
                <w:tab w:val="left" w:pos="1418"/>
              </w:tabs>
              <w:spacing w:before="60" w:after="60"/>
              <w:rPr>
                <w:color w:val="3B3B3C" w:themeColor="text1"/>
                <w:sz w:val="13"/>
                <w:szCs w:val="13"/>
              </w:rPr>
            </w:pPr>
            <w:r w:rsidRPr="003743EA">
              <w:rPr>
                <w:color w:val="3B3B3C" w:themeColor="text1"/>
                <w:sz w:val="13"/>
                <w:szCs w:val="13"/>
              </w:rPr>
              <w:t>Efficiency</w:t>
            </w:r>
          </w:p>
        </w:tc>
        <w:tc>
          <w:tcPr>
            <w:tcW w:w="7818" w:type="dxa"/>
            <w:shd w:val="clear" w:color="auto" w:fill="auto"/>
            <w:tcMar>
              <w:top w:w="80" w:type="dxa"/>
              <w:left w:w="80" w:type="dxa"/>
              <w:bottom w:w="80" w:type="dxa"/>
              <w:right w:w="80" w:type="dxa"/>
            </w:tcMar>
          </w:tcPr>
          <w:p w14:paraId="3C180AB1" w14:textId="77777777" w:rsidR="006F2F6D" w:rsidRPr="003743EA" w:rsidRDefault="096E9D01" w:rsidP="0D4BD307">
            <w:pPr>
              <w:tabs>
                <w:tab w:val="left" w:pos="1418"/>
              </w:tabs>
              <w:spacing w:before="60" w:after="60"/>
              <w:rPr>
                <w:color w:val="3B3B3C" w:themeColor="text1"/>
                <w:sz w:val="13"/>
                <w:szCs w:val="13"/>
              </w:rPr>
            </w:pPr>
            <w:r w:rsidRPr="003743EA">
              <w:rPr>
                <w:color w:val="3B3B3C" w:themeColor="text1"/>
                <w:sz w:val="13"/>
                <w:szCs w:val="13"/>
              </w:rPr>
              <w:t>EQ 6. Has MWGE been efficient, achieving high</w:t>
            </w:r>
            <w:r w:rsidR="36E8EB17" w:rsidRPr="003743EA">
              <w:rPr>
                <w:color w:val="3B3B3C" w:themeColor="text1"/>
                <w:sz w:val="13"/>
                <w:szCs w:val="13"/>
              </w:rPr>
              <w:t>-</w:t>
            </w:r>
            <w:r w:rsidRPr="003743EA">
              <w:rPr>
                <w:color w:val="3B3B3C" w:themeColor="text1"/>
                <w:sz w:val="13"/>
                <w:szCs w:val="13"/>
              </w:rPr>
              <w:t>impact work at the lowest possible cost, while using processes and systems to enable sufficient resources are made available in a timely manner to achieve planned results?</w:t>
            </w:r>
          </w:p>
        </w:tc>
      </w:tr>
      <w:tr w:rsidR="006F2F6D" w:rsidRPr="003743EA" w14:paraId="538F8E23" w14:textId="77777777" w:rsidTr="00B21858">
        <w:trPr>
          <w:trHeight w:val="374"/>
        </w:trPr>
        <w:tc>
          <w:tcPr>
            <w:tcW w:w="1696" w:type="dxa"/>
            <w:shd w:val="clear" w:color="auto" w:fill="auto"/>
            <w:tcMar>
              <w:top w:w="80" w:type="dxa"/>
              <w:left w:w="80" w:type="dxa"/>
              <w:bottom w:w="80" w:type="dxa"/>
              <w:right w:w="80" w:type="dxa"/>
            </w:tcMar>
          </w:tcPr>
          <w:p w14:paraId="359148DD" w14:textId="77777777" w:rsidR="006F2F6D" w:rsidRPr="003743EA" w:rsidRDefault="096E9D01" w:rsidP="0D4BD307">
            <w:pPr>
              <w:tabs>
                <w:tab w:val="left" w:pos="1418"/>
              </w:tabs>
              <w:spacing w:before="60" w:after="60"/>
              <w:rPr>
                <w:color w:val="3B3B3C" w:themeColor="text1"/>
                <w:sz w:val="13"/>
                <w:szCs w:val="13"/>
              </w:rPr>
            </w:pPr>
            <w:r w:rsidRPr="003743EA">
              <w:rPr>
                <w:color w:val="3B3B3C" w:themeColor="text1"/>
                <w:sz w:val="13"/>
                <w:szCs w:val="13"/>
              </w:rPr>
              <w:t>Gender and Human Rights</w:t>
            </w:r>
          </w:p>
        </w:tc>
        <w:tc>
          <w:tcPr>
            <w:tcW w:w="7818" w:type="dxa"/>
            <w:shd w:val="clear" w:color="auto" w:fill="auto"/>
            <w:tcMar>
              <w:top w:w="80" w:type="dxa"/>
              <w:left w:w="80" w:type="dxa"/>
              <w:bottom w:w="80" w:type="dxa"/>
              <w:right w:w="80" w:type="dxa"/>
            </w:tcMar>
          </w:tcPr>
          <w:p w14:paraId="21A50A79" w14:textId="77777777" w:rsidR="006F2F6D" w:rsidRPr="003743EA" w:rsidRDefault="096E9D01" w:rsidP="0D4BD307">
            <w:pPr>
              <w:tabs>
                <w:tab w:val="left" w:pos="1418"/>
              </w:tabs>
              <w:spacing w:before="60" w:after="60"/>
              <w:rPr>
                <w:color w:val="3B3B3C" w:themeColor="text1"/>
                <w:sz w:val="13"/>
                <w:szCs w:val="13"/>
              </w:rPr>
            </w:pPr>
            <w:r w:rsidRPr="003743EA">
              <w:rPr>
                <w:color w:val="3B3B3C" w:themeColor="text1"/>
                <w:sz w:val="13"/>
                <w:szCs w:val="13"/>
              </w:rPr>
              <w:t>EQ7. To what extent was a human rights-based and gender transformative approach incorporated in the design and implementation of the programme?</w:t>
            </w:r>
          </w:p>
        </w:tc>
      </w:tr>
      <w:tr w:rsidR="006F2F6D" w:rsidRPr="003743EA" w14:paraId="19193636" w14:textId="77777777" w:rsidTr="00B21858">
        <w:trPr>
          <w:trHeight w:val="68"/>
        </w:trPr>
        <w:tc>
          <w:tcPr>
            <w:tcW w:w="1696" w:type="dxa"/>
            <w:shd w:val="clear" w:color="auto" w:fill="auto"/>
            <w:tcMar>
              <w:top w:w="80" w:type="dxa"/>
              <w:left w:w="80" w:type="dxa"/>
              <w:bottom w:w="80" w:type="dxa"/>
              <w:right w:w="80" w:type="dxa"/>
            </w:tcMar>
          </w:tcPr>
          <w:p w14:paraId="454CA7CF" w14:textId="77777777" w:rsidR="006F2F6D" w:rsidRPr="003743EA" w:rsidRDefault="096E9D01" w:rsidP="0D4BD307">
            <w:pPr>
              <w:tabs>
                <w:tab w:val="left" w:pos="1418"/>
              </w:tabs>
              <w:spacing w:before="60" w:after="60"/>
              <w:rPr>
                <w:color w:val="3B3B3C" w:themeColor="text1"/>
                <w:sz w:val="13"/>
                <w:szCs w:val="13"/>
              </w:rPr>
            </w:pPr>
            <w:r w:rsidRPr="003743EA">
              <w:rPr>
                <w:color w:val="3B3B3C" w:themeColor="text1"/>
                <w:sz w:val="13"/>
                <w:szCs w:val="13"/>
              </w:rPr>
              <w:t>Sustainability</w:t>
            </w:r>
          </w:p>
        </w:tc>
        <w:tc>
          <w:tcPr>
            <w:tcW w:w="7818" w:type="dxa"/>
            <w:shd w:val="clear" w:color="auto" w:fill="auto"/>
            <w:tcMar>
              <w:top w:w="80" w:type="dxa"/>
              <w:left w:w="80" w:type="dxa"/>
              <w:bottom w:w="80" w:type="dxa"/>
              <w:right w:w="80" w:type="dxa"/>
            </w:tcMar>
          </w:tcPr>
          <w:p w14:paraId="28CE9AE6" w14:textId="77777777" w:rsidR="006F2F6D" w:rsidRPr="003743EA" w:rsidRDefault="096E9D01" w:rsidP="0D4BD307">
            <w:pPr>
              <w:tabs>
                <w:tab w:val="left" w:pos="1418"/>
              </w:tabs>
              <w:spacing w:before="60" w:after="60"/>
              <w:rPr>
                <w:color w:val="3B3B3C" w:themeColor="text1"/>
                <w:sz w:val="13"/>
                <w:szCs w:val="13"/>
              </w:rPr>
            </w:pPr>
            <w:r w:rsidRPr="003743EA">
              <w:rPr>
                <w:color w:val="3B3B3C" w:themeColor="text1"/>
                <w:sz w:val="13"/>
                <w:szCs w:val="13"/>
              </w:rPr>
              <w:t>EQ 8. What are the indications that MWGE’s interventions and approaches will be sustained?</w:t>
            </w:r>
          </w:p>
        </w:tc>
      </w:tr>
      <w:tr w:rsidR="006F2F6D" w:rsidRPr="003743EA" w14:paraId="141A50F7" w14:textId="77777777" w:rsidTr="00B21858">
        <w:trPr>
          <w:trHeight w:val="654"/>
        </w:trPr>
        <w:tc>
          <w:tcPr>
            <w:tcW w:w="1696" w:type="dxa"/>
            <w:shd w:val="clear" w:color="auto" w:fill="auto"/>
            <w:tcMar>
              <w:top w:w="80" w:type="dxa"/>
              <w:left w:w="80" w:type="dxa"/>
              <w:bottom w:w="80" w:type="dxa"/>
              <w:right w:w="80" w:type="dxa"/>
            </w:tcMar>
          </w:tcPr>
          <w:p w14:paraId="7741621F" w14:textId="77777777" w:rsidR="006F2F6D" w:rsidRPr="003743EA" w:rsidRDefault="096E9D01" w:rsidP="0D4BD307">
            <w:pPr>
              <w:tabs>
                <w:tab w:val="left" w:pos="1418"/>
              </w:tabs>
              <w:spacing w:before="60" w:after="60"/>
              <w:rPr>
                <w:color w:val="3B3B3C" w:themeColor="text1"/>
                <w:sz w:val="13"/>
                <w:szCs w:val="13"/>
              </w:rPr>
            </w:pPr>
            <w:r w:rsidRPr="003743EA">
              <w:rPr>
                <w:color w:val="3B3B3C" w:themeColor="text1"/>
                <w:sz w:val="13"/>
                <w:szCs w:val="13"/>
              </w:rPr>
              <w:t xml:space="preserve">Evidence, </w:t>
            </w:r>
            <w:r w:rsidR="36E8EB17" w:rsidRPr="003743EA">
              <w:rPr>
                <w:color w:val="3B3B3C" w:themeColor="text1"/>
                <w:sz w:val="13"/>
                <w:szCs w:val="13"/>
              </w:rPr>
              <w:t>L</w:t>
            </w:r>
            <w:r w:rsidRPr="003743EA">
              <w:rPr>
                <w:color w:val="3B3B3C" w:themeColor="text1"/>
                <w:sz w:val="13"/>
                <w:szCs w:val="13"/>
              </w:rPr>
              <w:t xml:space="preserve">earning and </w:t>
            </w:r>
            <w:r w:rsidR="36E8EB17" w:rsidRPr="003743EA">
              <w:rPr>
                <w:color w:val="3B3B3C" w:themeColor="text1"/>
                <w:sz w:val="13"/>
                <w:szCs w:val="13"/>
              </w:rPr>
              <w:t>K</w:t>
            </w:r>
            <w:r w:rsidRPr="003743EA">
              <w:rPr>
                <w:color w:val="3B3B3C" w:themeColor="text1"/>
                <w:sz w:val="13"/>
                <w:szCs w:val="13"/>
              </w:rPr>
              <w:t xml:space="preserve">nowledge </w:t>
            </w:r>
            <w:r w:rsidR="36E8EB17" w:rsidRPr="003743EA">
              <w:rPr>
                <w:color w:val="3B3B3C" w:themeColor="text1"/>
                <w:sz w:val="13"/>
                <w:szCs w:val="13"/>
              </w:rPr>
              <w:t>M</w:t>
            </w:r>
            <w:r w:rsidRPr="003743EA">
              <w:rPr>
                <w:color w:val="3B3B3C" w:themeColor="text1"/>
                <w:sz w:val="13"/>
                <w:szCs w:val="13"/>
              </w:rPr>
              <w:t>anagement</w:t>
            </w:r>
          </w:p>
        </w:tc>
        <w:tc>
          <w:tcPr>
            <w:tcW w:w="7818" w:type="dxa"/>
            <w:shd w:val="clear" w:color="auto" w:fill="auto"/>
            <w:tcMar>
              <w:top w:w="80" w:type="dxa"/>
              <w:left w:w="80" w:type="dxa"/>
              <w:bottom w:w="80" w:type="dxa"/>
              <w:right w:w="80" w:type="dxa"/>
            </w:tcMar>
          </w:tcPr>
          <w:p w14:paraId="225E3B6C" w14:textId="77777777" w:rsidR="006F2F6D" w:rsidRPr="003743EA" w:rsidRDefault="096E9D01" w:rsidP="0D4BD307">
            <w:pPr>
              <w:tabs>
                <w:tab w:val="left" w:pos="1418"/>
              </w:tabs>
              <w:spacing w:before="60" w:after="60"/>
              <w:rPr>
                <w:color w:val="3B3B3C" w:themeColor="text1"/>
                <w:sz w:val="13"/>
                <w:szCs w:val="13"/>
              </w:rPr>
            </w:pPr>
            <w:r w:rsidRPr="003743EA">
              <w:rPr>
                <w:color w:val="3B3B3C" w:themeColor="text1"/>
                <w:sz w:val="13"/>
                <w:szCs w:val="13"/>
              </w:rPr>
              <w:t xml:space="preserve">EQ 9. How is the programme generating, </w:t>
            </w:r>
            <w:proofErr w:type="gramStart"/>
            <w:r w:rsidRPr="003743EA">
              <w:rPr>
                <w:color w:val="3B3B3C" w:themeColor="text1"/>
                <w:sz w:val="13"/>
                <w:szCs w:val="13"/>
              </w:rPr>
              <w:t>utili</w:t>
            </w:r>
            <w:r w:rsidR="36E8EB17" w:rsidRPr="003743EA">
              <w:rPr>
                <w:color w:val="3B3B3C" w:themeColor="text1"/>
                <w:sz w:val="13"/>
                <w:szCs w:val="13"/>
              </w:rPr>
              <w:t>s</w:t>
            </w:r>
            <w:r w:rsidRPr="003743EA">
              <w:rPr>
                <w:color w:val="3B3B3C" w:themeColor="text1"/>
                <w:sz w:val="13"/>
                <w:szCs w:val="13"/>
              </w:rPr>
              <w:t>ing</w:t>
            </w:r>
            <w:proofErr w:type="gramEnd"/>
            <w:r w:rsidRPr="003743EA">
              <w:rPr>
                <w:color w:val="3B3B3C" w:themeColor="text1"/>
                <w:sz w:val="13"/>
                <w:szCs w:val="13"/>
              </w:rPr>
              <w:t xml:space="preserve"> and sharing lessons and knowledge?</w:t>
            </w:r>
          </w:p>
        </w:tc>
      </w:tr>
    </w:tbl>
    <w:p w14:paraId="50A0C615" w14:textId="77777777" w:rsidR="006F2F6D" w:rsidRPr="006A561F" w:rsidRDefault="006F2F6D" w:rsidP="006F2F6D">
      <w:pPr>
        <w:ind w:left="426" w:hanging="360"/>
        <w:rPr>
          <w:rFonts w:eastAsia="Calibri" w:cs="Times New Roman"/>
          <w:b/>
          <w:szCs w:val="20"/>
        </w:rPr>
      </w:pPr>
    </w:p>
    <w:p w14:paraId="42DBEFDE" w14:textId="77777777" w:rsidR="006F2F6D" w:rsidRPr="006A561F" w:rsidRDefault="006F2F6D" w:rsidP="00EE069C">
      <w:pPr>
        <w:pStyle w:val="ItadNormalText"/>
        <w:jc w:val="both"/>
      </w:pPr>
      <w:r>
        <w:lastRenderedPageBreak/>
        <w:t xml:space="preserve">The evaluation matrix questions were applied across two broad areas: country case studies (and associated comparisons) </w:t>
      </w:r>
      <w:r w:rsidR="00FF6A5B">
        <w:t>and</w:t>
      </w:r>
      <w:r>
        <w:t xml:space="preserve"> thematic case studies. The six </w:t>
      </w:r>
      <w:r w:rsidR="00FF6A5B">
        <w:t>c</w:t>
      </w:r>
      <w:r>
        <w:t xml:space="preserve">ountry </w:t>
      </w:r>
      <w:r w:rsidR="00FF6A5B">
        <w:t>c</w:t>
      </w:r>
      <w:r>
        <w:t>ase studies (stand</w:t>
      </w:r>
      <w:r w:rsidR="00FF6A5B">
        <w:t>-</w:t>
      </w:r>
      <w:r>
        <w:t xml:space="preserve">alone deliverables) focused primarily </w:t>
      </w:r>
      <w:r w:rsidR="00FF6A5B">
        <w:t>on</w:t>
      </w:r>
      <w:r>
        <w:t xml:space="preserve"> national and sub-national programme performance but</w:t>
      </w:r>
      <w:r w:rsidR="00FF6A5B">
        <w:t xml:space="preserve"> also</w:t>
      </w:r>
      <w:r>
        <w:t xml:space="preserve"> included reflections vis-</w:t>
      </w:r>
      <w:r w:rsidRPr="40E44CAF">
        <w:rPr>
          <w:rFonts w:cs="Calibri"/>
        </w:rPr>
        <w:t>à</w:t>
      </w:r>
      <w:r>
        <w:t>-vis dynamics at regional (ROAS) level. The more recently engaged countries (Jordan and Tunisia) were largely omitted from effectiveness and sustainability categories of analysis</w:t>
      </w:r>
      <w:r w:rsidR="00FF6A5B">
        <w:t>,</w:t>
      </w:r>
      <w:r>
        <w:t xml:space="preserve"> given the relatively embryonic nature of engagements.</w:t>
      </w:r>
    </w:p>
    <w:p w14:paraId="0A8DE221" w14:textId="77777777" w:rsidR="006F2F6D" w:rsidRPr="006A561F" w:rsidRDefault="0743636A" w:rsidP="00EE069C">
      <w:pPr>
        <w:pStyle w:val="ItadNormalText"/>
        <w:jc w:val="both"/>
      </w:pPr>
      <w:r w:rsidRPr="006A561F">
        <w:t>Due to the complex, interconnected, multifaceted nature of the programme, the evaluation also undertook</w:t>
      </w:r>
      <w:r w:rsidRPr="0D4BD307">
        <w:rPr>
          <w:b/>
          <w:bCs/>
        </w:rPr>
        <w:t xml:space="preserve"> </w:t>
      </w:r>
      <w:r w:rsidRPr="40E44CAF">
        <w:t>cross-cutting studies in two thematic areas</w:t>
      </w:r>
      <w:r w:rsidRPr="006A561F">
        <w:t>.</w:t>
      </w:r>
      <w:r w:rsidR="006F2F6D" w:rsidRPr="4977AA67">
        <w:rPr>
          <w:rFonts w:asciiTheme="minorBidi" w:eastAsia="Times New Roman" w:hAnsiTheme="minorBidi"/>
          <w:vertAlign w:val="superscript"/>
        </w:rPr>
        <w:footnoteReference w:id="65"/>
      </w:r>
      <w:r w:rsidRPr="006A561F">
        <w:t xml:space="preserve"> One </w:t>
      </w:r>
      <w:r w:rsidR="189D8A63" w:rsidRPr="006A561F">
        <w:t>case study</w:t>
      </w:r>
      <w:r w:rsidRPr="006A561F">
        <w:t xml:space="preserve"> examined the behavioural and social norms change aspects of the programme. The second </w:t>
      </w:r>
      <w:r w:rsidR="189D8A63" w:rsidRPr="006A561F">
        <w:t xml:space="preserve">case study </w:t>
      </w:r>
      <w:r w:rsidRPr="006A561F">
        <w:t xml:space="preserve">focused on the programme’s evidence and learning portfolio </w:t>
      </w:r>
      <w:r w:rsidR="4BAE46C9" w:rsidRPr="006A561F">
        <w:t>–</w:t>
      </w:r>
      <w:r w:rsidRPr="006A561F">
        <w:t xml:space="preserve"> aimed at filling the evidence gap and ensuring utili</w:t>
      </w:r>
      <w:r w:rsidR="4BAE46C9" w:rsidRPr="006A561F">
        <w:t>s</w:t>
      </w:r>
      <w:r w:rsidRPr="006A561F">
        <w:t xml:space="preserve">ation by stakeholders of the evidence, knowledge products and good practices generated by the programme. </w:t>
      </w:r>
      <w:r w:rsidRPr="000E3EAB">
        <w:t xml:space="preserve">Annex </w:t>
      </w:r>
      <w:r w:rsidR="2451A23F" w:rsidRPr="000E3EAB">
        <w:t>7</w:t>
      </w:r>
      <w:r w:rsidRPr="000E3EAB">
        <w:t xml:space="preserve"> provide</w:t>
      </w:r>
      <w:r w:rsidR="05C1C587">
        <w:t xml:space="preserve">s </w:t>
      </w:r>
      <w:r w:rsidRPr="000E3EAB">
        <w:t>detailed outlines and methodologies for these.</w:t>
      </w:r>
    </w:p>
    <w:p w14:paraId="0028D499" w14:textId="77777777" w:rsidR="006F2F6D" w:rsidRPr="006A561F" w:rsidRDefault="0C46233B" w:rsidP="00EE069C">
      <w:pPr>
        <w:pStyle w:val="ItadNormalText"/>
        <w:jc w:val="both"/>
      </w:pPr>
      <w:r w:rsidRPr="006A561F">
        <w:rPr>
          <w:b/>
          <w:bCs/>
        </w:rPr>
        <w:t>A comparator study</w:t>
      </w:r>
      <w:r w:rsidRPr="006A561F">
        <w:t xml:space="preserve"> </w:t>
      </w:r>
      <w:r w:rsidR="59F7CB4A" w:rsidRPr="006A561F">
        <w:t xml:space="preserve">was </w:t>
      </w:r>
      <w:r w:rsidRPr="006A561F">
        <w:t>also undertaken to inform the findings from a global ‘best practice on masculinity and social norms programming’ perspective. The study interviewed experts and leading agencies (Rwanda Men’s Resource Centre, RWAMREC</w:t>
      </w:r>
      <w:r w:rsidR="006F2F6D" w:rsidRPr="076A58FF">
        <w:rPr>
          <w:rStyle w:val="FootnoteReference"/>
          <w:sz w:val="22"/>
          <w:szCs w:val="22"/>
        </w:rPr>
        <w:footnoteReference w:id="66"/>
      </w:r>
      <w:r w:rsidRPr="006A561F">
        <w:t xml:space="preserve">, </w:t>
      </w:r>
      <w:proofErr w:type="spellStart"/>
      <w:r w:rsidRPr="006A561F">
        <w:t>Sonke</w:t>
      </w:r>
      <w:proofErr w:type="spellEnd"/>
      <w:r w:rsidRPr="006A561F">
        <w:t xml:space="preserve"> Gender Justice</w:t>
      </w:r>
      <w:r w:rsidR="006F2F6D" w:rsidRPr="076A58FF">
        <w:rPr>
          <w:rStyle w:val="FootnoteReference"/>
          <w:sz w:val="22"/>
          <w:szCs w:val="22"/>
        </w:rPr>
        <w:footnoteReference w:id="67"/>
      </w:r>
      <w:r w:rsidRPr="006A561F">
        <w:t xml:space="preserve"> and the </w:t>
      </w:r>
      <w:proofErr w:type="spellStart"/>
      <w:r w:rsidRPr="006A561F">
        <w:t>MenEngage</w:t>
      </w:r>
      <w:proofErr w:type="spellEnd"/>
      <w:r w:rsidRPr="006A561F">
        <w:t xml:space="preserve"> Alliance</w:t>
      </w:r>
      <w:r w:rsidR="006F2F6D" w:rsidRPr="076A58FF">
        <w:rPr>
          <w:rStyle w:val="FootnoteReference"/>
          <w:sz w:val="22"/>
          <w:szCs w:val="22"/>
        </w:rPr>
        <w:footnoteReference w:id="68"/>
      </w:r>
      <w:r w:rsidRPr="006A561F">
        <w:t>) with a view to identifying examples of best practice related to the thematic focus of MWGE from around the world. Programmes were selected and compared with MWGE to identify the strengths and innovations of the MWGE programme.</w:t>
      </w:r>
    </w:p>
    <w:p w14:paraId="3970A56F" w14:textId="1A1C94C0" w:rsidR="006F2F6D" w:rsidRPr="006A561F" w:rsidRDefault="001F7344" w:rsidP="522E2469">
      <w:pPr>
        <w:pStyle w:val="ItadH3"/>
        <w:rPr>
          <w:lang w:val="en-GB"/>
        </w:rPr>
      </w:pPr>
      <w:r w:rsidRPr="40E44CAF">
        <w:rPr>
          <w:lang w:val="en-GB"/>
        </w:rPr>
        <w:t>4.3 Data</w:t>
      </w:r>
      <w:r w:rsidR="3D2807EF" w:rsidRPr="40E44CAF">
        <w:rPr>
          <w:lang w:val="en-GB"/>
        </w:rPr>
        <w:t xml:space="preserve"> </w:t>
      </w:r>
      <w:r w:rsidR="3BC73117" w:rsidRPr="40E44CAF">
        <w:rPr>
          <w:lang w:val="en-GB"/>
        </w:rPr>
        <w:t>c</w:t>
      </w:r>
      <w:r w:rsidR="3D2807EF" w:rsidRPr="40E44CAF">
        <w:rPr>
          <w:lang w:val="en-GB"/>
        </w:rPr>
        <w:t>ollection</w:t>
      </w:r>
      <w:r w:rsidR="641A9891" w:rsidRPr="40E44CAF">
        <w:rPr>
          <w:lang w:val="en-GB"/>
        </w:rPr>
        <w:t>,</w:t>
      </w:r>
      <w:r w:rsidR="3D2807EF" w:rsidRPr="40E44CAF">
        <w:rPr>
          <w:lang w:val="en-GB"/>
        </w:rPr>
        <w:t xml:space="preserve"> </w:t>
      </w:r>
      <w:proofErr w:type="gramStart"/>
      <w:r w:rsidR="3D2807EF" w:rsidRPr="40E44CAF">
        <w:rPr>
          <w:lang w:val="en-GB"/>
        </w:rPr>
        <w:t>analysis</w:t>
      </w:r>
      <w:proofErr w:type="gramEnd"/>
      <w:r w:rsidR="3D2807EF" w:rsidRPr="40E44CAF">
        <w:rPr>
          <w:lang w:val="en-GB"/>
        </w:rPr>
        <w:t xml:space="preserve"> and sampling </w:t>
      </w:r>
    </w:p>
    <w:p w14:paraId="3187617A" w14:textId="77777777" w:rsidR="006F2F6D" w:rsidRPr="006A561F" w:rsidRDefault="59E1A32F" w:rsidP="00034CBF">
      <w:pPr>
        <w:jc w:val="both"/>
        <w:rPr>
          <w:rFonts w:eastAsia="Calibri" w:cs="Times New Roman"/>
        </w:rPr>
      </w:pPr>
      <w:r w:rsidRPr="076A58FF">
        <w:rPr>
          <w:rFonts w:eastAsia="Calibri" w:cs="Times New Roman"/>
        </w:rPr>
        <w:t xml:space="preserve">In delivering the methodology, the evaluation team undertook a desk review and content analysis, </w:t>
      </w:r>
      <w:r w:rsidR="7C4BBC1B" w:rsidRPr="076A58FF">
        <w:rPr>
          <w:rFonts w:eastAsia="Calibri" w:cs="Times New Roman"/>
        </w:rPr>
        <w:t>k</w:t>
      </w:r>
      <w:r w:rsidRPr="076A58FF">
        <w:rPr>
          <w:rFonts w:eastAsia="Calibri" w:cs="Times New Roman"/>
        </w:rPr>
        <w:t>ey informant interviews</w:t>
      </w:r>
      <w:r w:rsidR="47A8BAEF" w:rsidRPr="076A58FF">
        <w:rPr>
          <w:rFonts w:eastAsia="Calibri" w:cs="Times New Roman"/>
        </w:rPr>
        <w:t xml:space="preserve"> (KIIs)</w:t>
      </w:r>
      <w:r w:rsidRPr="076A58FF">
        <w:rPr>
          <w:rFonts w:eastAsia="Calibri" w:cs="Times New Roman"/>
        </w:rPr>
        <w:t>, focus group discussions</w:t>
      </w:r>
      <w:r w:rsidR="47A8BAEF" w:rsidRPr="076A58FF">
        <w:rPr>
          <w:rFonts w:eastAsia="Calibri" w:cs="Times New Roman"/>
        </w:rPr>
        <w:t xml:space="preserve"> (FGDs)</w:t>
      </w:r>
      <w:r w:rsidRPr="076A58FF">
        <w:rPr>
          <w:rFonts w:eastAsia="Calibri" w:cs="Times New Roman"/>
        </w:rPr>
        <w:t xml:space="preserve"> (in a sub-selection of countries)</w:t>
      </w:r>
      <w:r w:rsidR="7C4BBC1B" w:rsidRPr="076A58FF">
        <w:rPr>
          <w:rFonts w:eastAsia="Calibri" w:cs="Times New Roman"/>
        </w:rPr>
        <w:t xml:space="preserve"> and</w:t>
      </w:r>
      <w:r w:rsidRPr="076A58FF">
        <w:rPr>
          <w:rFonts w:eastAsia="Calibri" w:cs="Times New Roman"/>
        </w:rPr>
        <w:t xml:space="preserve"> a remote survey with CBOs, and undertook preliminary findings/validation presentations at the country level as well as at the regional level:</w:t>
      </w:r>
    </w:p>
    <w:p w14:paraId="31B3587E" w14:textId="77777777" w:rsidR="006F2F6D" w:rsidRPr="006A561F" w:rsidRDefault="0C46233B" w:rsidP="00034CBF">
      <w:pPr>
        <w:pStyle w:val="ItadNormalText"/>
        <w:jc w:val="both"/>
      </w:pPr>
      <w:r w:rsidRPr="076A58FF">
        <w:rPr>
          <w:b/>
          <w:bCs/>
        </w:rPr>
        <w:t xml:space="preserve">Desk </w:t>
      </w:r>
      <w:r w:rsidR="22479C88" w:rsidRPr="076A58FF">
        <w:rPr>
          <w:b/>
          <w:bCs/>
        </w:rPr>
        <w:t>r</w:t>
      </w:r>
      <w:r w:rsidRPr="076A58FF">
        <w:rPr>
          <w:b/>
          <w:bCs/>
        </w:rPr>
        <w:t xml:space="preserve">eview and </w:t>
      </w:r>
      <w:r w:rsidR="22479C88" w:rsidRPr="076A58FF">
        <w:rPr>
          <w:b/>
          <w:bCs/>
        </w:rPr>
        <w:t>c</w:t>
      </w:r>
      <w:r w:rsidRPr="076A58FF">
        <w:rPr>
          <w:b/>
          <w:bCs/>
        </w:rPr>
        <w:t xml:space="preserve">ontent </w:t>
      </w:r>
      <w:r w:rsidR="22479C88" w:rsidRPr="076A58FF">
        <w:rPr>
          <w:b/>
          <w:bCs/>
        </w:rPr>
        <w:t>a</w:t>
      </w:r>
      <w:r w:rsidRPr="076A58FF">
        <w:rPr>
          <w:b/>
          <w:bCs/>
        </w:rPr>
        <w:t>nalysis</w:t>
      </w:r>
      <w:r w:rsidRPr="006A561F">
        <w:rPr>
          <w:b/>
          <w:bCs/>
        </w:rPr>
        <w:t>:</w:t>
      </w:r>
      <w:r w:rsidRPr="006A561F">
        <w:t xml:space="preserve"> As part of the inception phase, the </w:t>
      </w:r>
      <w:r w:rsidR="22479C88" w:rsidRPr="006A561F">
        <w:t xml:space="preserve">evaluation team </w:t>
      </w:r>
      <w:r w:rsidRPr="006A561F">
        <w:t>conducted a thorough document review and content analysis of key qualitative and quantitative data and critical information available, including administrative and financial data and previous evaluations</w:t>
      </w:r>
      <w:r w:rsidR="5BEA8717">
        <w:t xml:space="preserve"> – ultimately formally referencing 183</w:t>
      </w:r>
      <w:r w:rsidR="76E90721">
        <w:t xml:space="preserve"> documents</w:t>
      </w:r>
      <w:r w:rsidRPr="006A561F">
        <w:t>. The desk review provided the team with a detailed account of the approaches developed to design and implement the MWGE programme in the six countries and</w:t>
      </w:r>
      <w:r w:rsidR="22479C88" w:rsidRPr="006A561F">
        <w:t xml:space="preserve"> of</w:t>
      </w:r>
      <w:r w:rsidRPr="006A561F">
        <w:t xml:space="preserve"> its main achievements</w:t>
      </w:r>
      <w:r w:rsidR="22479C88" w:rsidRPr="006A561F">
        <w:t>.</w:t>
      </w:r>
      <w:r w:rsidR="006F2F6D" w:rsidRPr="076A58FF">
        <w:rPr>
          <w:rStyle w:val="FootnoteReference"/>
          <w:sz w:val="22"/>
          <w:szCs w:val="22"/>
        </w:rPr>
        <w:footnoteReference w:id="69"/>
      </w:r>
    </w:p>
    <w:p w14:paraId="059DE74B" w14:textId="42E46C86" w:rsidR="00BF5D79" w:rsidRDefault="4B628620" w:rsidP="001F7344">
      <w:pPr>
        <w:pStyle w:val="ItadNormalText"/>
        <w:jc w:val="both"/>
        <w:rPr>
          <w:rFonts w:eastAsia="Calibri" w:cs="Times New Roman"/>
        </w:rPr>
      </w:pPr>
      <w:r w:rsidRPr="006A561F">
        <w:rPr>
          <w:b/>
          <w:bCs/>
        </w:rPr>
        <w:t>K</w:t>
      </w:r>
      <w:r w:rsidR="1DD7B0B5" w:rsidRPr="006A561F">
        <w:rPr>
          <w:b/>
          <w:bCs/>
        </w:rPr>
        <w:t xml:space="preserve">ey </w:t>
      </w:r>
      <w:r w:rsidR="1DE07415" w:rsidRPr="006A561F">
        <w:rPr>
          <w:b/>
          <w:bCs/>
        </w:rPr>
        <w:t>Informants</w:t>
      </w:r>
      <w:r w:rsidR="2EE86F88" w:rsidRPr="006A561F">
        <w:rPr>
          <w:b/>
          <w:bCs/>
        </w:rPr>
        <w:t xml:space="preserve"> </w:t>
      </w:r>
      <w:r w:rsidRPr="006A561F">
        <w:rPr>
          <w:b/>
          <w:bCs/>
        </w:rPr>
        <w:t>I</w:t>
      </w:r>
      <w:r w:rsidR="07FC3140" w:rsidRPr="006A561F">
        <w:rPr>
          <w:b/>
          <w:bCs/>
        </w:rPr>
        <w:t>nterview</w:t>
      </w:r>
      <w:r w:rsidRPr="006A561F">
        <w:rPr>
          <w:b/>
          <w:bCs/>
        </w:rPr>
        <w:t>s</w:t>
      </w:r>
      <w:r w:rsidR="0C46233B" w:rsidRPr="006A561F">
        <w:rPr>
          <w:b/>
          <w:bCs/>
        </w:rPr>
        <w:t>:</w:t>
      </w:r>
      <w:r w:rsidR="0C46233B" w:rsidRPr="006A561F">
        <w:t xml:space="preserve"> </w:t>
      </w:r>
      <w:r w:rsidR="0C46233B" w:rsidRPr="076A58FF">
        <w:rPr>
          <w:rFonts w:eastAsia="Calibri" w:cs="Times New Roman"/>
        </w:rPr>
        <w:t>Based on the stakeholder mapping undertaken in the inception phase and</w:t>
      </w:r>
      <w:r w:rsidRPr="076A58FF">
        <w:rPr>
          <w:rFonts w:eastAsia="Calibri" w:cs="Times New Roman"/>
        </w:rPr>
        <w:t xml:space="preserve"> the</w:t>
      </w:r>
      <w:r w:rsidR="0C46233B" w:rsidRPr="076A58FF">
        <w:rPr>
          <w:rFonts w:eastAsia="Calibri" w:cs="Times New Roman"/>
        </w:rPr>
        <w:t xml:space="preserve"> ongoing ‘snowballing’ of key contacts, the evaluation team held (remotely and in person</w:t>
      </w:r>
      <w:r w:rsidR="3E49D255" w:rsidRPr="076A58FF">
        <w:rPr>
          <w:rFonts w:eastAsia="Calibri" w:cs="Times New Roman"/>
        </w:rPr>
        <w:t>,</w:t>
      </w:r>
      <w:r w:rsidR="0C46233B" w:rsidRPr="076A58FF">
        <w:rPr>
          <w:rFonts w:eastAsia="Calibri" w:cs="Times New Roman"/>
        </w:rPr>
        <w:t xml:space="preserve"> COVID-19 restrictions permitting) a series of informal and semi-structured interviews with the main information sources for the evaluation. Cohorts included UN Women regional and </w:t>
      </w:r>
      <w:r w:rsidRPr="076A58FF">
        <w:rPr>
          <w:rFonts w:eastAsia="Calibri" w:cs="Times New Roman"/>
        </w:rPr>
        <w:t>CO</w:t>
      </w:r>
      <w:r w:rsidR="0C46233B" w:rsidRPr="076A58FF">
        <w:rPr>
          <w:rFonts w:eastAsia="Calibri" w:cs="Times New Roman"/>
        </w:rPr>
        <w:t xml:space="preserve"> staff, government staff at technical and decision-making level</w:t>
      </w:r>
      <w:r w:rsidRPr="076A58FF">
        <w:rPr>
          <w:rFonts w:eastAsia="Calibri" w:cs="Times New Roman"/>
        </w:rPr>
        <w:t>s</w:t>
      </w:r>
      <w:r w:rsidR="0C46233B" w:rsidRPr="076A58FF">
        <w:rPr>
          <w:rFonts w:eastAsia="Calibri" w:cs="Times New Roman"/>
        </w:rPr>
        <w:t xml:space="preserve">, UN partners, civil society partners, private sector representatives, and donors (see Annex </w:t>
      </w:r>
      <w:r w:rsidR="54997B1E" w:rsidRPr="076A58FF">
        <w:rPr>
          <w:rFonts w:eastAsia="Calibri" w:cs="Times New Roman"/>
        </w:rPr>
        <w:t>1</w:t>
      </w:r>
      <w:r w:rsidR="3071D347" w:rsidRPr="076A58FF">
        <w:rPr>
          <w:rFonts w:eastAsia="Calibri" w:cs="Times New Roman"/>
        </w:rPr>
        <w:t>2</w:t>
      </w:r>
      <w:r w:rsidR="0C46233B" w:rsidRPr="076A58FF">
        <w:rPr>
          <w:rFonts w:eastAsia="Calibri" w:cs="Times New Roman"/>
        </w:rPr>
        <w:t xml:space="preserve"> for the semi-structured KII protocol </w:t>
      </w:r>
      <w:r w:rsidR="72DA419A" w:rsidRPr="076A58FF">
        <w:rPr>
          <w:rFonts w:eastAsia="Calibri" w:cs="Times New Roman"/>
        </w:rPr>
        <w:t xml:space="preserve">and </w:t>
      </w:r>
      <w:r w:rsidR="0C46233B" w:rsidRPr="076A58FF">
        <w:rPr>
          <w:rFonts w:eastAsia="Calibri" w:cs="Times New Roman"/>
        </w:rPr>
        <w:t xml:space="preserve">for the sub-questions to be addressed </w:t>
      </w:r>
      <w:r w:rsidRPr="076A58FF">
        <w:rPr>
          <w:rFonts w:eastAsia="Calibri" w:cs="Times New Roman"/>
        </w:rPr>
        <w:t>for</w:t>
      </w:r>
      <w:r w:rsidR="0C46233B" w:rsidRPr="076A58FF">
        <w:rPr>
          <w:rFonts w:eastAsia="Calibri" w:cs="Times New Roman"/>
        </w:rPr>
        <w:t xml:space="preserve"> each type of stakeholder). The evaluation team undertook 10</w:t>
      </w:r>
      <w:r w:rsidR="0F4EE487">
        <w:rPr>
          <w:rFonts w:eastAsia="Calibri" w:cs="Times New Roman"/>
        </w:rPr>
        <w:t>4</w:t>
      </w:r>
      <w:r w:rsidR="0C46233B" w:rsidRPr="076A58FF">
        <w:rPr>
          <w:rFonts w:eastAsia="Calibri" w:cs="Times New Roman"/>
        </w:rPr>
        <w:t xml:space="preserve"> KIIs – from a target of 72</w:t>
      </w:r>
      <w:r w:rsidR="273D8699">
        <w:rPr>
          <w:rFonts w:eastAsia="Calibri" w:cs="Times New Roman"/>
        </w:rPr>
        <w:t xml:space="preserve"> – with a sex-disaggregation </w:t>
      </w:r>
      <w:r w:rsidR="1B6A5D28">
        <w:rPr>
          <w:rFonts w:eastAsia="Calibri" w:cs="Times New Roman"/>
        </w:rPr>
        <w:t xml:space="preserve">ratio of 1.85 (F/M) </w:t>
      </w:r>
      <w:r w:rsidR="00D9050C">
        <w:rPr>
          <w:rStyle w:val="FootnoteReference"/>
          <w:rFonts w:eastAsia="Calibri"/>
        </w:rPr>
        <w:footnoteReference w:id="70"/>
      </w:r>
      <w:r w:rsidR="273D8699">
        <w:rPr>
          <w:rFonts w:eastAsia="Calibri" w:cs="Times New Roman"/>
        </w:rPr>
        <w:t xml:space="preserve"> </w:t>
      </w:r>
      <w:r w:rsidR="0C46233B" w:rsidRPr="076A58FF">
        <w:rPr>
          <w:rFonts w:eastAsia="Calibri" w:cs="Times New Roman"/>
        </w:rPr>
        <w:t>(</w:t>
      </w:r>
      <w:r w:rsidRPr="076A58FF">
        <w:rPr>
          <w:rFonts w:eastAsia="Calibri" w:cs="Times New Roman"/>
        </w:rPr>
        <w:t>s</w:t>
      </w:r>
      <w:r w:rsidR="0C46233B" w:rsidRPr="076A58FF">
        <w:rPr>
          <w:rFonts w:eastAsia="Calibri" w:cs="Times New Roman"/>
        </w:rPr>
        <w:t xml:space="preserve">ee </w:t>
      </w:r>
      <w:r w:rsidR="4DD2CF3E">
        <w:rPr>
          <w:rFonts w:eastAsia="Calibri" w:cs="Times New Roman"/>
          <w:color w:val="2B579A"/>
          <w:shd w:val="clear" w:color="auto" w:fill="E6E6E6"/>
        </w:rPr>
        <w:t>figure</w:t>
      </w:r>
      <w:r w:rsidR="3CA12D81">
        <w:rPr>
          <w:rFonts w:eastAsia="Calibri" w:cs="Times New Roman"/>
          <w:color w:val="2B579A"/>
          <w:shd w:val="clear" w:color="auto" w:fill="E6E6E6"/>
        </w:rPr>
        <w:t xml:space="preserve"> 2 </w:t>
      </w:r>
      <w:r w:rsidR="0C46233B" w:rsidRPr="076A58FF">
        <w:rPr>
          <w:rFonts w:eastAsia="Calibri" w:cs="Times New Roman"/>
        </w:rPr>
        <w:t>for details).</w:t>
      </w:r>
      <w:r w:rsidR="66564B7B">
        <w:rPr>
          <w:rFonts w:eastAsia="Calibri" w:cs="Times New Roman"/>
        </w:rPr>
        <w:t xml:space="preserve"> </w:t>
      </w:r>
    </w:p>
    <w:p w14:paraId="502433A9" w14:textId="77777777" w:rsidR="00BA0B27" w:rsidRPr="001F7344" w:rsidRDefault="00BA0B27" w:rsidP="001F7344">
      <w:pPr>
        <w:pStyle w:val="ItadNormalText"/>
        <w:jc w:val="both"/>
        <w:rPr>
          <w:rFonts w:eastAsia="Calibri" w:cs="Times New Roman"/>
        </w:rPr>
      </w:pPr>
    </w:p>
    <w:p w14:paraId="15BED581" w14:textId="77777777" w:rsidR="002D793C" w:rsidRPr="00CC084C" w:rsidRDefault="328080B5" w:rsidP="00C80D78">
      <w:pPr>
        <w:pStyle w:val="ItadFigureText"/>
      </w:pPr>
      <w:bookmarkStart w:id="24" w:name="_Toc123126146"/>
      <w:r>
        <w:lastRenderedPageBreak/>
        <w:t>KIIs per UN Office / location, in relation to total target</w:t>
      </w:r>
      <w:bookmarkEnd w:id="24"/>
    </w:p>
    <w:p w14:paraId="5511849D" w14:textId="77777777" w:rsidR="002D793C" w:rsidRPr="006A561F" w:rsidRDefault="002D793C" w:rsidP="002D793C">
      <w:r>
        <w:rPr>
          <w:noProof/>
        </w:rPr>
        <mc:AlternateContent>
          <mc:Choice Requires="cx1">
            <w:drawing>
              <wp:inline distT="0" distB="0" distL="0" distR="0" wp14:anchorId="64380263" wp14:editId="53C069F4">
                <wp:extent cx="5867400" cy="3571875"/>
                <wp:effectExtent l="0" t="0" r="0" b="9525"/>
                <wp:docPr id="13" name="Chart 13">
                  <a:extLst xmlns:a="http://schemas.openxmlformats.org/drawingml/2006/main">
                    <a:ext uri="{FF2B5EF4-FFF2-40B4-BE49-F238E27FC236}">
                      <a16:creationId xmlns:a16="http://schemas.microsoft.com/office/drawing/2014/main" id="{8C10766C-68AF-46C6-91E9-184FD26E1DCC}"/>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9"/>
                  </a:graphicData>
                </a:graphic>
              </wp:inline>
            </w:drawing>
          </mc:Choice>
          <mc:Fallback xmlns:a="http://schemas.openxmlformats.org/drawingml/2006/main" xmlns:pic="http://schemas.openxmlformats.org/drawingml/2006/picture" xmlns:a14="http://schemas.microsoft.com/office/drawing/2010/main" xmlns:a16="http://schemas.microsoft.com/office/drawing/2014/main" xmlns:c="http://schemas.openxmlformats.org/drawingml/2006/chart">
            <w:drawing>
              <wp:inline distT="0" distB="0" distL="0" distR="0" wp14:anchorId="1A46CE4E" wp14:editId="3A6E2AEB">
                <wp:extent cx="5867400" cy="3571875"/>
                <wp:effectExtent l="0" t="0" r="0" b="9525"/>
                <wp:docPr id="1272965408" name="Chart 13">
                  <a:extLst xmlns:a="http://schemas.openxmlformats.org/drawingml/2006/main">
                    <a:ext uri="{FF2B5EF4-FFF2-40B4-BE49-F238E27FC236}">
                      <a16:creationId xmlns:a16="http://schemas.microsoft.com/office/drawing/2014/main" id="{8C10766C-68AF-46C6-91E9-184FD26E1DCC}"/>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3" name="Chart 13">
                          <a:extLst>
                            <a:ext uri="{FF2B5EF4-FFF2-40B4-BE49-F238E27FC236}">
                              <a16:creationId xmlns:a16="http://schemas.microsoft.com/office/drawing/2014/main" id="{8C10766C-68AF-46C6-91E9-184FD26E1DCC}"/>
                            </a:ext>
                          </a:extLst>
                        </pic:cNvPr>
                        <pic:cNvPicPr>
                          <a:picLocks noGrp="1" noRot="1" noChangeAspect="1" noMove="1" noResize="1" noEditPoints="1" noAdjustHandles="1" noChangeArrowheads="1" noChangeShapeType="1"/>
                        </pic:cNvPicPr>
                      </pic:nvPicPr>
                      <pic:blipFill>
                        <a:blip r:embed="rId25"/>
                        <a:stretch>
                          <a:fillRect/>
                        </a:stretch>
                      </pic:blipFill>
                      <pic:spPr>
                        <a:xfrm>
                          <a:off x="0" y="0"/>
                          <a:ext cx="5867400" cy="3571875"/>
                        </a:xfrm>
                        <a:prstGeom prst="rect">
                          <a:avLst/>
                        </a:prstGeom>
                      </pic:spPr>
                    </pic:pic>
                  </a:graphicData>
                </a:graphic>
              </wp:inline>
            </w:drawing>
          </mc:Fallback>
        </mc:AlternateContent>
      </w:r>
    </w:p>
    <w:p w14:paraId="1C195135" w14:textId="77777777" w:rsidR="006F2F6D" w:rsidRPr="006A561F" w:rsidRDefault="006F2F6D" w:rsidP="006F2F6D">
      <w:pPr>
        <w:pStyle w:val="ItadNormalText"/>
      </w:pPr>
    </w:p>
    <w:p w14:paraId="124D0D63" w14:textId="77777777" w:rsidR="006F2F6D" w:rsidRDefault="4CA27C99" w:rsidP="40E44CAF">
      <w:pPr>
        <w:pStyle w:val="ItadNormalText"/>
        <w:jc w:val="both"/>
        <w:rPr>
          <w:rFonts w:eastAsia="Calibri" w:cs="Times New Roman"/>
        </w:rPr>
      </w:pPr>
      <w:r w:rsidRPr="006A561F">
        <w:rPr>
          <w:b/>
          <w:bCs/>
        </w:rPr>
        <w:t>F</w:t>
      </w:r>
      <w:r w:rsidR="13FFF871" w:rsidRPr="006A561F">
        <w:rPr>
          <w:b/>
          <w:bCs/>
        </w:rPr>
        <w:t xml:space="preserve">ocused </w:t>
      </w:r>
      <w:r w:rsidRPr="006A561F">
        <w:rPr>
          <w:b/>
          <w:bCs/>
        </w:rPr>
        <w:t>G</w:t>
      </w:r>
      <w:r w:rsidR="5E1FCE41" w:rsidRPr="006A561F">
        <w:rPr>
          <w:b/>
          <w:bCs/>
        </w:rPr>
        <w:t xml:space="preserve">roup </w:t>
      </w:r>
      <w:r w:rsidRPr="006A561F">
        <w:rPr>
          <w:b/>
          <w:bCs/>
        </w:rPr>
        <w:t>D</w:t>
      </w:r>
      <w:r w:rsidR="708F0B23" w:rsidRPr="006A561F">
        <w:rPr>
          <w:b/>
          <w:bCs/>
        </w:rPr>
        <w:t>iscussion</w:t>
      </w:r>
      <w:r w:rsidRPr="006A561F">
        <w:rPr>
          <w:b/>
          <w:bCs/>
        </w:rPr>
        <w:t>s</w:t>
      </w:r>
      <w:r w:rsidR="61E95188" w:rsidRPr="006A561F">
        <w:rPr>
          <w:b/>
          <w:bCs/>
        </w:rPr>
        <w:t xml:space="preserve"> (FGDs)</w:t>
      </w:r>
      <w:r w:rsidR="0743636A" w:rsidRPr="006A561F">
        <w:rPr>
          <w:b/>
          <w:bCs/>
        </w:rPr>
        <w:t>:</w:t>
      </w:r>
      <w:r w:rsidR="0743636A" w:rsidRPr="006A561F">
        <w:t xml:space="preserve"> </w:t>
      </w:r>
      <w:r w:rsidR="0743636A" w:rsidRPr="0D4BD307">
        <w:rPr>
          <w:rFonts w:eastAsia="Calibri" w:cs="Times New Roman"/>
        </w:rPr>
        <w:t xml:space="preserve">The </w:t>
      </w:r>
      <w:r w:rsidRPr="0D4BD307">
        <w:rPr>
          <w:rFonts w:eastAsia="Calibri" w:cs="Times New Roman"/>
        </w:rPr>
        <w:t>e</w:t>
      </w:r>
      <w:r w:rsidR="0743636A" w:rsidRPr="0D4BD307">
        <w:rPr>
          <w:rFonts w:eastAsia="Calibri" w:cs="Times New Roman"/>
        </w:rPr>
        <w:t xml:space="preserve">valuation </w:t>
      </w:r>
      <w:r w:rsidRPr="0D4BD307">
        <w:rPr>
          <w:rFonts w:eastAsia="Calibri" w:cs="Times New Roman"/>
        </w:rPr>
        <w:t>t</w:t>
      </w:r>
      <w:r w:rsidR="0743636A" w:rsidRPr="0D4BD307">
        <w:rPr>
          <w:rFonts w:eastAsia="Calibri" w:cs="Times New Roman"/>
        </w:rPr>
        <w:t xml:space="preserve">eam carried out 18 FGDs in three countries (Egypt, </w:t>
      </w:r>
      <w:proofErr w:type="gramStart"/>
      <w:r w:rsidR="0743636A" w:rsidRPr="0D4BD307">
        <w:rPr>
          <w:rFonts w:eastAsia="Calibri" w:cs="Times New Roman"/>
        </w:rPr>
        <w:t>Morocco</w:t>
      </w:r>
      <w:proofErr w:type="gramEnd"/>
      <w:r w:rsidR="0743636A" w:rsidRPr="0D4BD307">
        <w:rPr>
          <w:rFonts w:eastAsia="Calibri" w:cs="Times New Roman"/>
        </w:rPr>
        <w:t xml:space="preserve"> and Palestine</w:t>
      </w:r>
      <w:r w:rsidR="006F2F6D" w:rsidRPr="0D4BD307">
        <w:rPr>
          <w:rStyle w:val="FootnoteReference"/>
          <w:rFonts w:eastAsia="Calibri"/>
          <w:sz w:val="22"/>
          <w:szCs w:val="22"/>
        </w:rPr>
        <w:footnoteReference w:id="71"/>
      </w:r>
      <w:r w:rsidR="0743636A" w:rsidRPr="0D4BD307">
        <w:rPr>
          <w:rFonts w:eastAsia="Calibri" w:cs="Times New Roman"/>
        </w:rPr>
        <w:t>)</w:t>
      </w:r>
      <w:r w:rsidRPr="0D4BD307">
        <w:rPr>
          <w:rFonts w:eastAsia="Calibri" w:cs="Times New Roman"/>
        </w:rPr>
        <w:t>,</w:t>
      </w:r>
      <w:r w:rsidR="0743636A" w:rsidRPr="0D4BD307">
        <w:rPr>
          <w:rFonts w:eastAsia="Calibri" w:cs="Times New Roman"/>
        </w:rPr>
        <w:t xml:space="preserve"> which provided insights into the overall effectiveness of the social norms and behaviour change activities primarily (see </w:t>
      </w:r>
      <w:r w:rsidRPr="0D4BD307">
        <w:rPr>
          <w:rFonts w:eastAsia="Calibri" w:cs="Times New Roman"/>
        </w:rPr>
        <w:t>T</w:t>
      </w:r>
      <w:r w:rsidR="0743636A" w:rsidRPr="0D4BD307">
        <w:rPr>
          <w:rFonts w:eastAsia="Calibri" w:cs="Times New Roman"/>
        </w:rPr>
        <w:t xml:space="preserve">able </w:t>
      </w:r>
      <w:r w:rsidR="17430375" w:rsidRPr="0D4BD307">
        <w:rPr>
          <w:rFonts w:eastAsia="Calibri" w:cs="Times New Roman"/>
        </w:rPr>
        <w:t>8</w:t>
      </w:r>
      <w:r w:rsidR="0743636A" w:rsidRPr="0D4BD307">
        <w:rPr>
          <w:rFonts w:eastAsia="Calibri" w:cs="Times New Roman"/>
        </w:rPr>
        <w:t xml:space="preserve"> for details on the sex and age of participants). FGDs in Lebanon were not possible</w:t>
      </w:r>
      <w:r w:rsidRPr="0D4BD307">
        <w:rPr>
          <w:rFonts w:eastAsia="Calibri" w:cs="Times New Roman"/>
        </w:rPr>
        <w:t>,</w:t>
      </w:r>
      <w:r w:rsidR="0743636A" w:rsidRPr="0D4BD307">
        <w:rPr>
          <w:rFonts w:eastAsia="Calibri" w:cs="Times New Roman"/>
        </w:rPr>
        <w:t xml:space="preserve"> </w:t>
      </w:r>
      <w:r w:rsidRPr="0D4BD307">
        <w:rPr>
          <w:rFonts w:eastAsia="Calibri" w:cs="Times New Roman"/>
        </w:rPr>
        <w:t>owing</w:t>
      </w:r>
      <w:r w:rsidR="0743636A" w:rsidRPr="0D4BD307">
        <w:rPr>
          <w:rFonts w:eastAsia="Calibri" w:cs="Times New Roman"/>
        </w:rPr>
        <w:t xml:space="preserve"> to access issues. The relative emergent status of Jordan and Tunisia, where no activities beyond the IMAGES study ha</w:t>
      </w:r>
      <w:r w:rsidR="2395D8D2" w:rsidRPr="0D4BD307">
        <w:rPr>
          <w:rFonts w:eastAsia="Calibri" w:cs="Times New Roman"/>
        </w:rPr>
        <w:t>d</w:t>
      </w:r>
      <w:r w:rsidR="0743636A" w:rsidRPr="0D4BD307">
        <w:rPr>
          <w:rFonts w:eastAsia="Calibri" w:cs="Times New Roman"/>
        </w:rPr>
        <w:t xml:space="preserve"> been carried out, meant that there were no beneficiaries who could have taken part in the FGDs.</w:t>
      </w:r>
    </w:p>
    <w:p w14:paraId="31074C1C" w14:textId="77777777" w:rsidR="002D793C" w:rsidRPr="006A561F" w:rsidRDefault="401DBC62" w:rsidP="001F103C">
      <w:pPr>
        <w:pStyle w:val="Itadtablestyle"/>
        <w:rPr>
          <w:color w:val="3B3B3C"/>
        </w:rPr>
      </w:pPr>
      <w:bookmarkStart w:id="25" w:name="_Toc123126101"/>
      <w:r>
        <w:t>Sex and age disaggregation of FGD participants</w:t>
      </w:r>
      <w:bookmarkEnd w:id="25"/>
    </w:p>
    <w:tbl>
      <w:tblPr>
        <w:tblStyle w:val="Itademphasiseheaderandfirstcolumn"/>
        <w:tblW w:w="5240" w:type="dxa"/>
        <w:tblInd w:w="0" w:type="dxa"/>
        <w:tblLook w:val="04A0" w:firstRow="1" w:lastRow="0" w:firstColumn="1" w:lastColumn="0" w:noHBand="0" w:noVBand="1"/>
      </w:tblPr>
      <w:tblGrid>
        <w:gridCol w:w="1022"/>
        <w:gridCol w:w="958"/>
        <w:gridCol w:w="850"/>
        <w:gridCol w:w="851"/>
        <w:gridCol w:w="850"/>
        <w:gridCol w:w="709"/>
      </w:tblGrid>
      <w:tr w:rsidR="002D793C" w:rsidRPr="006A561F" w14:paraId="47C1FE54" w14:textId="77777777" w:rsidTr="003743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2" w:type="dxa"/>
          </w:tcPr>
          <w:p w14:paraId="7FFF8A09" w14:textId="77777777" w:rsidR="002D793C" w:rsidRPr="006A561F" w:rsidRDefault="002D793C" w:rsidP="0D4BD307">
            <w:pPr>
              <w:tabs>
                <w:tab w:val="left" w:pos="1418"/>
              </w:tabs>
              <w:rPr>
                <w:sz w:val="16"/>
                <w:szCs w:val="16"/>
              </w:rPr>
            </w:pPr>
          </w:p>
        </w:tc>
        <w:tc>
          <w:tcPr>
            <w:tcW w:w="1808" w:type="dxa"/>
            <w:gridSpan w:val="2"/>
          </w:tcPr>
          <w:p w14:paraId="095F807F" w14:textId="77777777" w:rsidR="002D793C" w:rsidRPr="006A561F" w:rsidRDefault="328080B5" w:rsidP="0D4BD307">
            <w:pPr>
              <w:tabs>
                <w:tab w:val="left" w:pos="1418"/>
              </w:tabs>
              <w:cnfStyle w:val="100000000000" w:firstRow="1" w:lastRow="0" w:firstColumn="0" w:lastColumn="0" w:oddVBand="0" w:evenVBand="0" w:oddHBand="0" w:evenHBand="0" w:firstRowFirstColumn="0" w:firstRowLastColumn="0" w:lastRowFirstColumn="0" w:lastRowLastColumn="0"/>
              <w:rPr>
                <w:sz w:val="16"/>
                <w:szCs w:val="16"/>
              </w:rPr>
            </w:pPr>
            <w:r w:rsidRPr="0D4BD307">
              <w:rPr>
                <w:sz w:val="16"/>
                <w:szCs w:val="16"/>
              </w:rPr>
              <w:t>Women</w:t>
            </w:r>
          </w:p>
        </w:tc>
        <w:tc>
          <w:tcPr>
            <w:tcW w:w="1701" w:type="dxa"/>
            <w:gridSpan w:val="2"/>
          </w:tcPr>
          <w:p w14:paraId="2FD13A1D" w14:textId="77777777" w:rsidR="002D793C" w:rsidRPr="006A561F" w:rsidRDefault="328080B5" w:rsidP="0D4BD307">
            <w:pPr>
              <w:tabs>
                <w:tab w:val="left" w:pos="1418"/>
              </w:tabs>
              <w:cnfStyle w:val="100000000000" w:firstRow="1" w:lastRow="0" w:firstColumn="0" w:lastColumn="0" w:oddVBand="0" w:evenVBand="0" w:oddHBand="0" w:evenHBand="0" w:firstRowFirstColumn="0" w:firstRowLastColumn="0" w:lastRowFirstColumn="0" w:lastRowLastColumn="0"/>
              <w:rPr>
                <w:sz w:val="16"/>
                <w:szCs w:val="16"/>
              </w:rPr>
            </w:pPr>
            <w:r w:rsidRPr="0D4BD307">
              <w:rPr>
                <w:sz w:val="16"/>
                <w:szCs w:val="16"/>
              </w:rPr>
              <w:t>Men</w:t>
            </w:r>
          </w:p>
        </w:tc>
        <w:tc>
          <w:tcPr>
            <w:tcW w:w="709" w:type="dxa"/>
          </w:tcPr>
          <w:p w14:paraId="08AF4A4C" w14:textId="77777777" w:rsidR="002D793C" w:rsidRPr="006A561F" w:rsidRDefault="328080B5" w:rsidP="0D4BD307">
            <w:pPr>
              <w:tabs>
                <w:tab w:val="left" w:pos="1418"/>
              </w:tabs>
              <w:cnfStyle w:val="100000000000" w:firstRow="1" w:lastRow="0" w:firstColumn="0" w:lastColumn="0" w:oddVBand="0" w:evenVBand="0" w:oddHBand="0" w:evenHBand="0" w:firstRowFirstColumn="0" w:firstRowLastColumn="0" w:lastRowFirstColumn="0" w:lastRowLastColumn="0"/>
              <w:rPr>
                <w:sz w:val="16"/>
                <w:szCs w:val="16"/>
              </w:rPr>
            </w:pPr>
            <w:r w:rsidRPr="0D4BD307">
              <w:rPr>
                <w:sz w:val="16"/>
                <w:szCs w:val="16"/>
              </w:rPr>
              <w:t>Total</w:t>
            </w:r>
          </w:p>
        </w:tc>
      </w:tr>
      <w:tr w:rsidR="002D793C" w:rsidRPr="006A561F" w14:paraId="36A18633" w14:textId="77777777" w:rsidTr="003743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2" w:type="dxa"/>
          </w:tcPr>
          <w:p w14:paraId="7846C99C" w14:textId="77777777" w:rsidR="002D793C" w:rsidRPr="006A561F" w:rsidRDefault="002D793C" w:rsidP="0D4BD307">
            <w:pPr>
              <w:tabs>
                <w:tab w:val="left" w:pos="1418"/>
              </w:tabs>
              <w:spacing w:before="60" w:after="60"/>
              <w:rPr>
                <w:color w:val="FFFFFF" w:themeColor="background1"/>
                <w:sz w:val="16"/>
                <w:szCs w:val="16"/>
              </w:rPr>
            </w:pPr>
          </w:p>
        </w:tc>
        <w:tc>
          <w:tcPr>
            <w:tcW w:w="958" w:type="dxa"/>
          </w:tcPr>
          <w:p w14:paraId="4EB1517E" w14:textId="77777777" w:rsidR="002D793C" w:rsidRPr="006A561F" w:rsidRDefault="328080B5" w:rsidP="0D4BD307">
            <w:pPr>
              <w:tabs>
                <w:tab w:val="left" w:pos="1418"/>
              </w:tabs>
              <w:spacing w:before="60" w:after="60"/>
              <w:ind w:left="58" w:right="58"/>
              <w:cnfStyle w:val="000000100000" w:firstRow="0" w:lastRow="0" w:firstColumn="0" w:lastColumn="0" w:oddVBand="0" w:evenVBand="0" w:oddHBand="1" w:evenHBand="0" w:firstRowFirstColumn="0" w:firstRowLastColumn="0" w:lastRowFirstColumn="0" w:lastRowLastColumn="0"/>
              <w:rPr>
                <w:color w:val="3B3B3C" w:themeColor="text1"/>
                <w:sz w:val="16"/>
                <w:szCs w:val="16"/>
              </w:rPr>
            </w:pPr>
            <w:r w:rsidRPr="0D4BD307">
              <w:rPr>
                <w:color w:val="3B3B3C" w:themeColor="text1"/>
                <w:sz w:val="16"/>
                <w:szCs w:val="16"/>
              </w:rPr>
              <w:t>18–24 years</w:t>
            </w:r>
          </w:p>
        </w:tc>
        <w:tc>
          <w:tcPr>
            <w:tcW w:w="850" w:type="dxa"/>
          </w:tcPr>
          <w:p w14:paraId="0390374D" w14:textId="77777777" w:rsidR="002D793C" w:rsidRPr="006A561F" w:rsidRDefault="328080B5" w:rsidP="0D4BD307">
            <w:pPr>
              <w:tabs>
                <w:tab w:val="left" w:pos="1418"/>
              </w:tabs>
              <w:spacing w:before="60" w:after="60"/>
              <w:ind w:left="58" w:right="58"/>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r w:rsidRPr="0D4BD307">
              <w:rPr>
                <w:color w:val="3B3B3C" w:themeColor="text1"/>
                <w:sz w:val="16"/>
                <w:szCs w:val="16"/>
              </w:rPr>
              <w:t>25–36 years</w:t>
            </w:r>
            <w:r w:rsidRPr="0D4BD307">
              <w:rPr>
                <w:color w:val="FFFFFF" w:themeColor="background1"/>
                <w:sz w:val="16"/>
                <w:szCs w:val="16"/>
              </w:rPr>
              <w:t>25</w:t>
            </w:r>
          </w:p>
        </w:tc>
        <w:tc>
          <w:tcPr>
            <w:tcW w:w="851" w:type="dxa"/>
          </w:tcPr>
          <w:p w14:paraId="4EA6475C" w14:textId="77777777" w:rsidR="002D793C" w:rsidRPr="006A561F" w:rsidRDefault="328080B5" w:rsidP="0D4BD307">
            <w:pPr>
              <w:tabs>
                <w:tab w:val="left" w:pos="1418"/>
              </w:tabs>
              <w:spacing w:before="60" w:after="60"/>
              <w:ind w:left="58" w:right="58"/>
              <w:cnfStyle w:val="000000100000" w:firstRow="0" w:lastRow="0" w:firstColumn="0" w:lastColumn="0" w:oddVBand="0" w:evenVBand="0" w:oddHBand="1" w:evenHBand="0" w:firstRowFirstColumn="0" w:firstRowLastColumn="0" w:lastRowFirstColumn="0" w:lastRowLastColumn="0"/>
              <w:rPr>
                <w:color w:val="3B3B3C" w:themeColor="text1"/>
                <w:sz w:val="16"/>
                <w:szCs w:val="16"/>
              </w:rPr>
            </w:pPr>
            <w:r w:rsidRPr="0D4BD307">
              <w:rPr>
                <w:color w:val="3B3B3C" w:themeColor="text1"/>
                <w:sz w:val="16"/>
                <w:szCs w:val="16"/>
              </w:rPr>
              <w:t>18–24 years</w:t>
            </w:r>
          </w:p>
        </w:tc>
        <w:tc>
          <w:tcPr>
            <w:tcW w:w="850" w:type="dxa"/>
          </w:tcPr>
          <w:p w14:paraId="5C0C6BB6" w14:textId="77777777" w:rsidR="002D793C" w:rsidRPr="006A561F" w:rsidRDefault="328080B5" w:rsidP="0D4BD307">
            <w:pPr>
              <w:tabs>
                <w:tab w:val="left" w:pos="1418"/>
              </w:tabs>
              <w:spacing w:before="60" w:after="60"/>
              <w:ind w:left="58" w:right="58"/>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r w:rsidRPr="0D4BD307">
              <w:rPr>
                <w:color w:val="3B3B3C" w:themeColor="text1"/>
                <w:sz w:val="16"/>
                <w:szCs w:val="16"/>
              </w:rPr>
              <w:t>25–36 years</w:t>
            </w:r>
            <w:r w:rsidRPr="0D4BD307">
              <w:rPr>
                <w:color w:val="FFFFFF" w:themeColor="background1"/>
                <w:sz w:val="16"/>
                <w:szCs w:val="16"/>
              </w:rPr>
              <w:t>5</w:t>
            </w:r>
          </w:p>
        </w:tc>
        <w:tc>
          <w:tcPr>
            <w:tcW w:w="709" w:type="dxa"/>
          </w:tcPr>
          <w:p w14:paraId="638D1668" w14:textId="77777777" w:rsidR="002D793C" w:rsidRPr="006A561F" w:rsidRDefault="002D793C" w:rsidP="0D4BD307">
            <w:pPr>
              <w:tabs>
                <w:tab w:val="left" w:pos="1418"/>
              </w:tabs>
              <w:spacing w:before="60" w:after="60"/>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r>
      <w:tr w:rsidR="002D793C" w:rsidRPr="006A561F" w14:paraId="1F38A299" w14:textId="77777777" w:rsidTr="003743E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2" w:type="dxa"/>
          </w:tcPr>
          <w:p w14:paraId="6DA61403" w14:textId="77777777" w:rsidR="002D793C" w:rsidRPr="006A561F" w:rsidRDefault="328080B5" w:rsidP="0D4BD307">
            <w:pPr>
              <w:tabs>
                <w:tab w:val="left" w:pos="1418"/>
              </w:tabs>
              <w:spacing w:before="60" w:after="60"/>
              <w:rPr>
                <w:sz w:val="16"/>
                <w:szCs w:val="16"/>
              </w:rPr>
            </w:pPr>
            <w:r w:rsidRPr="0D4BD307">
              <w:rPr>
                <w:sz w:val="16"/>
                <w:szCs w:val="16"/>
              </w:rPr>
              <w:t>Egypt</w:t>
            </w:r>
          </w:p>
        </w:tc>
        <w:tc>
          <w:tcPr>
            <w:tcW w:w="958" w:type="dxa"/>
          </w:tcPr>
          <w:p w14:paraId="175AADDB" w14:textId="77777777" w:rsidR="002D793C" w:rsidRPr="006A561F" w:rsidRDefault="328080B5" w:rsidP="0D4BD307">
            <w:pPr>
              <w:tabs>
                <w:tab w:val="left" w:pos="1418"/>
              </w:tabs>
              <w:spacing w:before="60" w:after="60"/>
              <w:jc w:val="right"/>
              <w:cnfStyle w:val="000000010000" w:firstRow="0" w:lastRow="0" w:firstColumn="0" w:lastColumn="0" w:oddVBand="0" w:evenVBand="0" w:oddHBand="0" w:evenHBand="1" w:firstRowFirstColumn="0" w:firstRowLastColumn="0" w:lastRowFirstColumn="0" w:lastRowLastColumn="0"/>
              <w:rPr>
                <w:color w:val="3B3B3C" w:themeColor="text1"/>
                <w:sz w:val="16"/>
                <w:szCs w:val="16"/>
              </w:rPr>
            </w:pPr>
            <w:r w:rsidRPr="0D4BD307">
              <w:rPr>
                <w:color w:val="3B3B3C" w:themeColor="text1"/>
                <w:sz w:val="16"/>
                <w:szCs w:val="16"/>
              </w:rPr>
              <w:t>0</w:t>
            </w:r>
          </w:p>
        </w:tc>
        <w:tc>
          <w:tcPr>
            <w:tcW w:w="850" w:type="dxa"/>
          </w:tcPr>
          <w:p w14:paraId="0CCC5A4B" w14:textId="77777777" w:rsidR="002D793C" w:rsidRPr="006A561F" w:rsidRDefault="328080B5" w:rsidP="0D4BD307">
            <w:pPr>
              <w:tabs>
                <w:tab w:val="left" w:pos="1418"/>
              </w:tabs>
              <w:spacing w:before="60" w:after="60"/>
              <w:jc w:val="right"/>
              <w:cnfStyle w:val="000000010000" w:firstRow="0" w:lastRow="0" w:firstColumn="0" w:lastColumn="0" w:oddVBand="0" w:evenVBand="0" w:oddHBand="0" w:evenHBand="1" w:firstRowFirstColumn="0" w:firstRowLastColumn="0" w:lastRowFirstColumn="0" w:lastRowLastColumn="0"/>
              <w:rPr>
                <w:color w:val="3B3B3C" w:themeColor="text1"/>
                <w:sz w:val="16"/>
                <w:szCs w:val="16"/>
              </w:rPr>
            </w:pPr>
            <w:r w:rsidRPr="0D4BD307">
              <w:rPr>
                <w:color w:val="3B3B3C" w:themeColor="text1"/>
                <w:sz w:val="16"/>
                <w:szCs w:val="16"/>
              </w:rPr>
              <w:t>3</w:t>
            </w:r>
          </w:p>
        </w:tc>
        <w:tc>
          <w:tcPr>
            <w:tcW w:w="851" w:type="dxa"/>
          </w:tcPr>
          <w:p w14:paraId="16B09769" w14:textId="77777777" w:rsidR="002D793C" w:rsidRPr="006A561F" w:rsidRDefault="328080B5" w:rsidP="0D4BD307">
            <w:pPr>
              <w:tabs>
                <w:tab w:val="left" w:pos="1418"/>
              </w:tabs>
              <w:spacing w:before="60" w:after="60"/>
              <w:jc w:val="right"/>
              <w:cnfStyle w:val="000000010000" w:firstRow="0" w:lastRow="0" w:firstColumn="0" w:lastColumn="0" w:oddVBand="0" w:evenVBand="0" w:oddHBand="0" w:evenHBand="1" w:firstRowFirstColumn="0" w:firstRowLastColumn="0" w:lastRowFirstColumn="0" w:lastRowLastColumn="0"/>
              <w:rPr>
                <w:color w:val="3B3B3C" w:themeColor="text1"/>
                <w:sz w:val="16"/>
                <w:szCs w:val="16"/>
              </w:rPr>
            </w:pPr>
            <w:r w:rsidRPr="0D4BD307">
              <w:rPr>
                <w:color w:val="3B3B3C" w:themeColor="text1"/>
                <w:sz w:val="16"/>
                <w:szCs w:val="16"/>
              </w:rPr>
              <w:t>3</w:t>
            </w:r>
          </w:p>
        </w:tc>
        <w:tc>
          <w:tcPr>
            <w:tcW w:w="850" w:type="dxa"/>
          </w:tcPr>
          <w:p w14:paraId="0FAD5869" w14:textId="77777777" w:rsidR="002D793C" w:rsidRPr="006A561F" w:rsidRDefault="328080B5" w:rsidP="0D4BD307">
            <w:pPr>
              <w:tabs>
                <w:tab w:val="left" w:pos="1418"/>
              </w:tabs>
              <w:spacing w:before="60" w:after="60"/>
              <w:jc w:val="right"/>
              <w:cnfStyle w:val="000000010000" w:firstRow="0" w:lastRow="0" w:firstColumn="0" w:lastColumn="0" w:oddVBand="0" w:evenVBand="0" w:oddHBand="0" w:evenHBand="1" w:firstRowFirstColumn="0" w:firstRowLastColumn="0" w:lastRowFirstColumn="0" w:lastRowLastColumn="0"/>
              <w:rPr>
                <w:color w:val="3B3B3C" w:themeColor="text1"/>
                <w:sz w:val="16"/>
                <w:szCs w:val="16"/>
              </w:rPr>
            </w:pPr>
            <w:r w:rsidRPr="0D4BD307">
              <w:rPr>
                <w:color w:val="3B3B3C" w:themeColor="text1"/>
                <w:sz w:val="16"/>
                <w:szCs w:val="16"/>
              </w:rPr>
              <w:t>2</w:t>
            </w:r>
          </w:p>
        </w:tc>
        <w:tc>
          <w:tcPr>
            <w:tcW w:w="709" w:type="dxa"/>
          </w:tcPr>
          <w:p w14:paraId="08256FA4" w14:textId="77777777" w:rsidR="002D793C" w:rsidRPr="006A561F" w:rsidRDefault="328080B5" w:rsidP="0D4BD307">
            <w:pPr>
              <w:tabs>
                <w:tab w:val="left" w:pos="1418"/>
              </w:tabs>
              <w:spacing w:before="60" w:after="60"/>
              <w:jc w:val="right"/>
              <w:cnfStyle w:val="000000010000" w:firstRow="0" w:lastRow="0" w:firstColumn="0" w:lastColumn="0" w:oddVBand="0" w:evenVBand="0" w:oddHBand="0" w:evenHBand="1" w:firstRowFirstColumn="0" w:firstRowLastColumn="0" w:lastRowFirstColumn="0" w:lastRowLastColumn="0"/>
              <w:rPr>
                <w:color w:val="3B3B3C" w:themeColor="text1"/>
                <w:sz w:val="16"/>
                <w:szCs w:val="16"/>
              </w:rPr>
            </w:pPr>
            <w:r w:rsidRPr="0D4BD307">
              <w:rPr>
                <w:color w:val="3B3B3C" w:themeColor="text1"/>
                <w:sz w:val="16"/>
                <w:szCs w:val="16"/>
              </w:rPr>
              <w:t>8</w:t>
            </w:r>
          </w:p>
        </w:tc>
      </w:tr>
      <w:tr w:rsidR="002D793C" w:rsidRPr="006A561F" w14:paraId="19B883F0" w14:textId="77777777" w:rsidTr="003743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2" w:type="dxa"/>
          </w:tcPr>
          <w:p w14:paraId="5AC28E03" w14:textId="77777777" w:rsidR="002D793C" w:rsidRPr="006A561F" w:rsidRDefault="328080B5" w:rsidP="0D4BD307">
            <w:pPr>
              <w:tabs>
                <w:tab w:val="left" w:pos="1418"/>
              </w:tabs>
              <w:spacing w:before="60" w:after="60"/>
              <w:rPr>
                <w:sz w:val="16"/>
                <w:szCs w:val="16"/>
              </w:rPr>
            </w:pPr>
            <w:r w:rsidRPr="0D4BD307">
              <w:rPr>
                <w:sz w:val="16"/>
                <w:szCs w:val="16"/>
              </w:rPr>
              <w:t>Morocco</w:t>
            </w:r>
          </w:p>
        </w:tc>
        <w:tc>
          <w:tcPr>
            <w:tcW w:w="958" w:type="dxa"/>
          </w:tcPr>
          <w:p w14:paraId="74CEFF66" w14:textId="77777777" w:rsidR="002D793C" w:rsidRPr="006A561F" w:rsidRDefault="328080B5" w:rsidP="0D4BD307">
            <w:pPr>
              <w:tabs>
                <w:tab w:val="left" w:pos="1418"/>
              </w:tabs>
              <w:spacing w:before="60" w:after="60"/>
              <w:jc w:val="right"/>
              <w:cnfStyle w:val="000000100000" w:firstRow="0" w:lastRow="0" w:firstColumn="0" w:lastColumn="0" w:oddVBand="0" w:evenVBand="0" w:oddHBand="1" w:evenHBand="0" w:firstRowFirstColumn="0" w:firstRowLastColumn="0" w:lastRowFirstColumn="0" w:lastRowLastColumn="0"/>
              <w:rPr>
                <w:color w:val="3B3B3C" w:themeColor="text1"/>
                <w:sz w:val="16"/>
                <w:szCs w:val="16"/>
              </w:rPr>
            </w:pPr>
            <w:r w:rsidRPr="0D4BD307">
              <w:rPr>
                <w:color w:val="3B3B3C" w:themeColor="text1"/>
                <w:sz w:val="16"/>
                <w:szCs w:val="16"/>
              </w:rPr>
              <w:t>2</w:t>
            </w:r>
          </w:p>
        </w:tc>
        <w:tc>
          <w:tcPr>
            <w:tcW w:w="850" w:type="dxa"/>
          </w:tcPr>
          <w:p w14:paraId="4428E4FD" w14:textId="77777777" w:rsidR="002D793C" w:rsidRPr="006A561F" w:rsidRDefault="328080B5" w:rsidP="0D4BD307">
            <w:pPr>
              <w:tabs>
                <w:tab w:val="left" w:pos="1418"/>
              </w:tabs>
              <w:spacing w:before="60" w:after="60"/>
              <w:jc w:val="right"/>
              <w:cnfStyle w:val="000000100000" w:firstRow="0" w:lastRow="0" w:firstColumn="0" w:lastColumn="0" w:oddVBand="0" w:evenVBand="0" w:oddHBand="1" w:evenHBand="0" w:firstRowFirstColumn="0" w:firstRowLastColumn="0" w:lastRowFirstColumn="0" w:lastRowLastColumn="0"/>
              <w:rPr>
                <w:color w:val="3B3B3C" w:themeColor="text1"/>
                <w:sz w:val="16"/>
                <w:szCs w:val="16"/>
              </w:rPr>
            </w:pPr>
            <w:r w:rsidRPr="0D4BD307">
              <w:rPr>
                <w:color w:val="3B3B3C" w:themeColor="text1"/>
                <w:sz w:val="16"/>
                <w:szCs w:val="16"/>
              </w:rPr>
              <w:t>1</w:t>
            </w:r>
          </w:p>
        </w:tc>
        <w:tc>
          <w:tcPr>
            <w:tcW w:w="851" w:type="dxa"/>
          </w:tcPr>
          <w:p w14:paraId="6FE59E57" w14:textId="77777777" w:rsidR="002D793C" w:rsidRPr="006A561F" w:rsidRDefault="328080B5" w:rsidP="0D4BD307">
            <w:pPr>
              <w:tabs>
                <w:tab w:val="left" w:pos="1418"/>
              </w:tabs>
              <w:spacing w:before="60" w:after="60"/>
              <w:jc w:val="right"/>
              <w:cnfStyle w:val="000000100000" w:firstRow="0" w:lastRow="0" w:firstColumn="0" w:lastColumn="0" w:oddVBand="0" w:evenVBand="0" w:oddHBand="1" w:evenHBand="0" w:firstRowFirstColumn="0" w:firstRowLastColumn="0" w:lastRowFirstColumn="0" w:lastRowLastColumn="0"/>
              <w:rPr>
                <w:color w:val="3B3B3C" w:themeColor="text1"/>
                <w:sz w:val="16"/>
                <w:szCs w:val="16"/>
              </w:rPr>
            </w:pPr>
            <w:r w:rsidRPr="0D4BD307">
              <w:rPr>
                <w:color w:val="3B3B3C" w:themeColor="text1"/>
                <w:sz w:val="16"/>
                <w:szCs w:val="16"/>
              </w:rPr>
              <w:t>1</w:t>
            </w:r>
          </w:p>
        </w:tc>
        <w:tc>
          <w:tcPr>
            <w:tcW w:w="850" w:type="dxa"/>
          </w:tcPr>
          <w:p w14:paraId="56F8670A" w14:textId="77777777" w:rsidR="002D793C" w:rsidRPr="006A561F" w:rsidRDefault="328080B5" w:rsidP="0D4BD307">
            <w:pPr>
              <w:tabs>
                <w:tab w:val="left" w:pos="1418"/>
              </w:tabs>
              <w:spacing w:before="60" w:after="60"/>
              <w:jc w:val="right"/>
              <w:cnfStyle w:val="000000100000" w:firstRow="0" w:lastRow="0" w:firstColumn="0" w:lastColumn="0" w:oddVBand="0" w:evenVBand="0" w:oddHBand="1" w:evenHBand="0" w:firstRowFirstColumn="0" w:firstRowLastColumn="0" w:lastRowFirstColumn="0" w:lastRowLastColumn="0"/>
              <w:rPr>
                <w:color w:val="3B3B3C" w:themeColor="text1"/>
                <w:sz w:val="16"/>
                <w:szCs w:val="16"/>
              </w:rPr>
            </w:pPr>
            <w:r w:rsidRPr="0D4BD307">
              <w:rPr>
                <w:color w:val="3B3B3C" w:themeColor="text1"/>
                <w:sz w:val="16"/>
                <w:szCs w:val="16"/>
              </w:rPr>
              <w:t>0</w:t>
            </w:r>
          </w:p>
        </w:tc>
        <w:tc>
          <w:tcPr>
            <w:tcW w:w="709" w:type="dxa"/>
          </w:tcPr>
          <w:p w14:paraId="1295D928" w14:textId="77777777" w:rsidR="002D793C" w:rsidRPr="006A561F" w:rsidRDefault="328080B5" w:rsidP="0D4BD307">
            <w:pPr>
              <w:tabs>
                <w:tab w:val="left" w:pos="1418"/>
              </w:tabs>
              <w:spacing w:before="60" w:after="60"/>
              <w:jc w:val="right"/>
              <w:cnfStyle w:val="000000100000" w:firstRow="0" w:lastRow="0" w:firstColumn="0" w:lastColumn="0" w:oddVBand="0" w:evenVBand="0" w:oddHBand="1" w:evenHBand="0" w:firstRowFirstColumn="0" w:firstRowLastColumn="0" w:lastRowFirstColumn="0" w:lastRowLastColumn="0"/>
              <w:rPr>
                <w:color w:val="3B3B3C" w:themeColor="text1"/>
                <w:sz w:val="16"/>
                <w:szCs w:val="16"/>
              </w:rPr>
            </w:pPr>
            <w:r w:rsidRPr="0D4BD307">
              <w:rPr>
                <w:color w:val="3B3B3C" w:themeColor="text1"/>
                <w:sz w:val="16"/>
                <w:szCs w:val="16"/>
              </w:rPr>
              <w:t>4</w:t>
            </w:r>
          </w:p>
        </w:tc>
      </w:tr>
      <w:tr w:rsidR="002D793C" w:rsidRPr="006A561F" w14:paraId="353A2CB9" w14:textId="77777777" w:rsidTr="003743E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2" w:type="dxa"/>
          </w:tcPr>
          <w:p w14:paraId="56AA4EB3" w14:textId="77777777" w:rsidR="002D793C" w:rsidRPr="006A561F" w:rsidRDefault="328080B5" w:rsidP="0D4BD307">
            <w:pPr>
              <w:tabs>
                <w:tab w:val="left" w:pos="1418"/>
              </w:tabs>
              <w:spacing w:before="60" w:after="60"/>
              <w:rPr>
                <w:sz w:val="16"/>
                <w:szCs w:val="16"/>
              </w:rPr>
            </w:pPr>
            <w:r w:rsidRPr="0D4BD307">
              <w:rPr>
                <w:sz w:val="16"/>
                <w:szCs w:val="16"/>
              </w:rPr>
              <w:t>Palestine</w:t>
            </w:r>
          </w:p>
        </w:tc>
        <w:tc>
          <w:tcPr>
            <w:tcW w:w="958" w:type="dxa"/>
          </w:tcPr>
          <w:p w14:paraId="5E9A11ED" w14:textId="77777777" w:rsidR="002D793C" w:rsidRPr="006A561F" w:rsidRDefault="328080B5" w:rsidP="0D4BD307">
            <w:pPr>
              <w:tabs>
                <w:tab w:val="left" w:pos="1418"/>
              </w:tabs>
              <w:spacing w:before="60" w:after="60"/>
              <w:jc w:val="right"/>
              <w:cnfStyle w:val="000000010000" w:firstRow="0" w:lastRow="0" w:firstColumn="0" w:lastColumn="0" w:oddVBand="0" w:evenVBand="0" w:oddHBand="0" w:evenHBand="1" w:firstRowFirstColumn="0" w:firstRowLastColumn="0" w:lastRowFirstColumn="0" w:lastRowLastColumn="0"/>
              <w:rPr>
                <w:color w:val="3B3B3C" w:themeColor="text1"/>
                <w:sz w:val="16"/>
                <w:szCs w:val="16"/>
              </w:rPr>
            </w:pPr>
            <w:r w:rsidRPr="0D4BD307">
              <w:rPr>
                <w:color w:val="3B3B3C" w:themeColor="text1"/>
                <w:sz w:val="16"/>
                <w:szCs w:val="16"/>
              </w:rPr>
              <w:t>1</w:t>
            </w:r>
          </w:p>
        </w:tc>
        <w:tc>
          <w:tcPr>
            <w:tcW w:w="850" w:type="dxa"/>
          </w:tcPr>
          <w:p w14:paraId="57AE9653" w14:textId="77777777" w:rsidR="002D793C" w:rsidRPr="006A561F" w:rsidRDefault="328080B5" w:rsidP="0D4BD307">
            <w:pPr>
              <w:tabs>
                <w:tab w:val="left" w:pos="1418"/>
              </w:tabs>
              <w:spacing w:before="60" w:after="60"/>
              <w:jc w:val="right"/>
              <w:cnfStyle w:val="000000010000" w:firstRow="0" w:lastRow="0" w:firstColumn="0" w:lastColumn="0" w:oddVBand="0" w:evenVBand="0" w:oddHBand="0" w:evenHBand="1" w:firstRowFirstColumn="0" w:firstRowLastColumn="0" w:lastRowFirstColumn="0" w:lastRowLastColumn="0"/>
              <w:rPr>
                <w:color w:val="3B3B3C" w:themeColor="text1"/>
                <w:sz w:val="16"/>
                <w:szCs w:val="16"/>
              </w:rPr>
            </w:pPr>
            <w:r w:rsidRPr="0D4BD307">
              <w:rPr>
                <w:color w:val="3B3B3C" w:themeColor="text1"/>
                <w:sz w:val="16"/>
                <w:szCs w:val="16"/>
              </w:rPr>
              <w:t>2</w:t>
            </w:r>
          </w:p>
        </w:tc>
        <w:tc>
          <w:tcPr>
            <w:tcW w:w="851" w:type="dxa"/>
          </w:tcPr>
          <w:p w14:paraId="5FC9D733" w14:textId="77777777" w:rsidR="002D793C" w:rsidRPr="006A561F" w:rsidRDefault="328080B5" w:rsidP="0D4BD307">
            <w:pPr>
              <w:tabs>
                <w:tab w:val="left" w:pos="1418"/>
              </w:tabs>
              <w:spacing w:before="60" w:after="60"/>
              <w:jc w:val="right"/>
              <w:cnfStyle w:val="000000010000" w:firstRow="0" w:lastRow="0" w:firstColumn="0" w:lastColumn="0" w:oddVBand="0" w:evenVBand="0" w:oddHBand="0" w:evenHBand="1" w:firstRowFirstColumn="0" w:firstRowLastColumn="0" w:lastRowFirstColumn="0" w:lastRowLastColumn="0"/>
              <w:rPr>
                <w:color w:val="3B3B3C" w:themeColor="text1"/>
                <w:sz w:val="16"/>
                <w:szCs w:val="16"/>
              </w:rPr>
            </w:pPr>
            <w:r w:rsidRPr="0D4BD307">
              <w:rPr>
                <w:color w:val="3B3B3C" w:themeColor="text1"/>
                <w:sz w:val="16"/>
                <w:szCs w:val="16"/>
              </w:rPr>
              <w:t>1</w:t>
            </w:r>
          </w:p>
        </w:tc>
        <w:tc>
          <w:tcPr>
            <w:tcW w:w="850" w:type="dxa"/>
          </w:tcPr>
          <w:p w14:paraId="5D51B2B1" w14:textId="77777777" w:rsidR="002D793C" w:rsidRPr="006A561F" w:rsidRDefault="328080B5" w:rsidP="0D4BD307">
            <w:pPr>
              <w:tabs>
                <w:tab w:val="left" w:pos="1418"/>
              </w:tabs>
              <w:spacing w:before="60" w:after="60"/>
              <w:jc w:val="right"/>
              <w:cnfStyle w:val="000000010000" w:firstRow="0" w:lastRow="0" w:firstColumn="0" w:lastColumn="0" w:oddVBand="0" w:evenVBand="0" w:oddHBand="0" w:evenHBand="1" w:firstRowFirstColumn="0" w:firstRowLastColumn="0" w:lastRowFirstColumn="0" w:lastRowLastColumn="0"/>
              <w:rPr>
                <w:color w:val="3B3B3C" w:themeColor="text1"/>
                <w:sz w:val="16"/>
                <w:szCs w:val="16"/>
              </w:rPr>
            </w:pPr>
            <w:r w:rsidRPr="0D4BD307">
              <w:rPr>
                <w:color w:val="3B3B3C" w:themeColor="text1"/>
                <w:sz w:val="16"/>
                <w:szCs w:val="16"/>
              </w:rPr>
              <w:t>2</w:t>
            </w:r>
          </w:p>
        </w:tc>
        <w:tc>
          <w:tcPr>
            <w:tcW w:w="709" w:type="dxa"/>
          </w:tcPr>
          <w:p w14:paraId="2241111C" w14:textId="77777777" w:rsidR="002D793C" w:rsidRPr="006A561F" w:rsidRDefault="328080B5" w:rsidP="0D4BD307">
            <w:pPr>
              <w:tabs>
                <w:tab w:val="left" w:pos="1418"/>
              </w:tabs>
              <w:spacing w:before="60" w:after="60"/>
              <w:jc w:val="right"/>
              <w:cnfStyle w:val="000000010000" w:firstRow="0" w:lastRow="0" w:firstColumn="0" w:lastColumn="0" w:oddVBand="0" w:evenVBand="0" w:oddHBand="0" w:evenHBand="1" w:firstRowFirstColumn="0" w:firstRowLastColumn="0" w:lastRowFirstColumn="0" w:lastRowLastColumn="0"/>
              <w:rPr>
                <w:color w:val="3B3B3C" w:themeColor="text1"/>
                <w:sz w:val="16"/>
                <w:szCs w:val="16"/>
              </w:rPr>
            </w:pPr>
            <w:r w:rsidRPr="0D4BD307">
              <w:rPr>
                <w:color w:val="3B3B3C" w:themeColor="text1"/>
                <w:sz w:val="16"/>
                <w:szCs w:val="16"/>
              </w:rPr>
              <w:t>6</w:t>
            </w:r>
          </w:p>
        </w:tc>
      </w:tr>
      <w:tr w:rsidR="002D793C" w:rsidRPr="006A561F" w14:paraId="15C40044" w14:textId="77777777" w:rsidTr="003743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2" w:type="dxa"/>
          </w:tcPr>
          <w:p w14:paraId="13D28EF9" w14:textId="77777777" w:rsidR="002D793C" w:rsidRPr="006A561F" w:rsidRDefault="328080B5" w:rsidP="0D4BD307">
            <w:pPr>
              <w:tabs>
                <w:tab w:val="left" w:pos="1418"/>
              </w:tabs>
              <w:spacing w:before="60" w:after="60"/>
              <w:rPr>
                <w:b/>
                <w:bCs/>
                <w:sz w:val="16"/>
                <w:szCs w:val="16"/>
              </w:rPr>
            </w:pPr>
            <w:r w:rsidRPr="0D4BD307">
              <w:rPr>
                <w:b/>
                <w:bCs/>
                <w:sz w:val="16"/>
                <w:szCs w:val="16"/>
              </w:rPr>
              <w:t>Total</w:t>
            </w:r>
          </w:p>
        </w:tc>
        <w:tc>
          <w:tcPr>
            <w:tcW w:w="958" w:type="dxa"/>
          </w:tcPr>
          <w:p w14:paraId="0FC3B12A" w14:textId="77777777" w:rsidR="002D793C" w:rsidRPr="006A561F" w:rsidRDefault="328080B5" w:rsidP="0D4BD307">
            <w:pPr>
              <w:tabs>
                <w:tab w:val="left" w:pos="1418"/>
              </w:tabs>
              <w:spacing w:before="60" w:after="60"/>
              <w:jc w:val="right"/>
              <w:cnfStyle w:val="000000100000" w:firstRow="0" w:lastRow="0" w:firstColumn="0" w:lastColumn="0" w:oddVBand="0" w:evenVBand="0" w:oddHBand="1" w:evenHBand="0" w:firstRowFirstColumn="0" w:firstRowLastColumn="0" w:lastRowFirstColumn="0" w:lastRowLastColumn="0"/>
              <w:rPr>
                <w:color w:val="3B3B3C" w:themeColor="text1"/>
                <w:sz w:val="16"/>
                <w:szCs w:val="16"/>
              </w:rPr>
            </w:pPr>
            <w:r w:rsidRPr="0D4BD307">
              <w:rPr>
                <w:color w:val="3B3B3C" w:themeColor="text1"/>
                <w:sz w:val="16"/>
                <w:szCs w:val="16"/>
              </w:rPr>
              <w:t>3</w:t>
            </w:r>
          </w:p>
        </w:tc>
        <w:tc>
          <w:tcPr>
            <w:tcW w:w="850" w:type="dxa"/>
          </w:tcPr>
          <w:p w14:paraId="61704F67" w14:textId="77777777" w:rsidR="002D793C" w:rsidRPr="006A561F" w:rsidRDefault="328080B5" w:rsidP="0D4BD307">
            <w:pPr>
              <w:tabs>
                <w:tab w:val="left" w:pos="1418"/>
              </w:tabs>
              <w:spacing w:before="60" w:after="60"/>
              <w:jc w:val="right"/>
              <w:cnfStyle w:val="000000100000" w:firstRow="0" w:lastRow="0" w:firstColumn="0" w:lastColumn="0" w:oddVBand="0" w:evenVBand="0" w:oddHBand="1" w:evenHBand="0" w:firstRowFirstColumn="0" w:firstRowLastColumn="0" w:lastRowFirstColumn="0" w:lastRowLastColumn="0"/>
              <w:rPr>
                <w:color w:val="3B3B3C" w:themeColor="text1"/>
                <w:sz w:val="16"/>
                <w:szCs w:val="16"/>
              </w:rPr>
            </w:pPr>
            <w:r w:rsidRPr="0D4BD307">
              <w:rPr>
                <w:color w:val="3B3B3C" w:themeColor="text1"/>
                <w:sz w:val="16"/>
                <w:szCs w:val="16"/>
              </w:rPr>
              <w:t>6</w:t>
            </w:r>
          </w:p>
        </w:tc>
        <w:tc>
          <w:tcPr>
            <w:tcW w:w="851" w:type="dxa"/>
          </w:tcPr>
          <w:p w14:paraId="2CA316A2" w14:textId="77777777" w:rsidR="002D793C" w:rsidRPr="006A561F" w:rsidRDefault="328080B5" w:rsidP="0D4BD307">
            <w:pPr>
              <w:tabs>
                <w:tab w:val="left" w:pos="1418"/>
              </w:tabs>
              <w:spacing w:before="60" w:after="60"/>
              <w:jc w:val="right"/>
              <w:cnfStyle w:val="000000100000" w:firstRow="0" w:lastRow="0" w:firstColumn="0" w:lastColumn="0" w:oddVBand="0" w:evenVBand="0" w:oddHBand="1" w:evenHBand="0" w:firstRowFirstColumn="0" w:firstRowLastColumn="0" w:lastRowFirstColumn="0" w:lastRowLastColumn="0"/>
              <w:rPr>
                <w:color w:val="3B3B3C" w:themeColor="text1"/>
                <w:sz w:val="16"/>
                <w:szCs w:val="16"/>
              </w:rPr>
            </w:pPr>
            <w:r w:rsidRPr="0D4BD307">
              <w:rPr>
                <w:color w:val="3B3B3C" w:themeColor="text1"/>
                <w:sz w:val="16"/>
                <w:szCs w:val="16"/>
              </w:rPr>
              <w:t>5</w:t>
            </w:r>
          </w:p>
        </w:tc>
        <w:tc>
          <w:tcPr>
            <w:tcW w:w="850" w:type="dxa"/>
          </w:tcPr>
          <w:p w14:paraId="07A81421" w14:textId="77777777" w:rsidR="002D793C" w:rsidRPr="006A561F" w:rsidRDefault="328080B5" w:rsidP="0D4BD307">
            <w:pPr>
              <w:tabs>
                <w:tab w:val="left" w:pos="1418"/>
              </w:tabs>
              <w:spacing w:before="60" w:after="60"/>
              <w:jc w:val="right"/>
              <w:cnfStyle w:val="000000100000" w:firstRow="0" w:lastRow="0" w:firstColumn="0" w:lastColumn="0" w:oddVBand="0" w:evenVBand="0" w:oddHBand="1" w:evenHBand="0" w:firstRowFirstColumn="0" w:firstRowLastColumn="0" w:lastRowFirstColumn="0" w:lastRowLastColumn="0"/>
              <w:rPr>
                <w:color w:val="3B3B3C" w:themeColor="text1"/>
                <w:sz w:val="16"/>
                <w:szCs w:val="16"/>
              </w:rPr>
            </w:pPr>
            <w:r w:rsidRPr="0D4BD307">
              <w:rPr>
                <w:color w:val="3B3B3C" w:themeColor="text1"/>
                <w:sz w:val="16"/>
                <w:szCs w:val="16"/>
              </w:rPr>
              <w:t>4</w:t>
            </w:r>
          </w:p>
        </w:tc>
        <w:tc>
          <w:tcPr>
            <w:tcW w:w="709" w:type="dxa"/>
          </w:tcPr>
          <w:p w14:paraId="5618F035" w14:textId="77777777" w:rsidR="002D793C" w:rsidRPr="006A561F" w:rsidRDefault="328080B5" w:rsidP="0D4BD307">
            <w:pPr>
              <w:tabs>
                <w:tab w:val="left" w:pos="1418"/>
              </w:tabs>
              <w:spacing w:before="60" w:after="60"/>
              <w:jc w:val="right"/>
              <w:cnfStyle w:val="000000100000" w:firstRow="0" w:lastRow="0" w:firstColumn="0" w:lastColumn="0" w:oddVBand="0" w:evenVBand="0" w:oddHBand="1" w:evenHBand="0" w:firstRowFirstColumn="0" w:firstRowLastColumn="0" w:lastRowFirstColumn="0" w:lastRowLastColumn="0"/>
              <w:rPr>
                <w:color w:val="3B3B3C" w:themeColor="text1"/>
                <w:sz w:val="16"/>
                <w:szCs w:val="16"/>
              </w:rPr>
            </w:pPr>
            <w:r w:rsidRPr="0D4BD307">
              <w:rPr>
                <w:color w:val="3B3B3C" w:themeColor="text1"/>
                <w:sz w:val="16"/>
                <w:szCs w:val="16"/>
              </w:rPr>
              <w:t>18</w:t>
            </w:r>
          </w:p>
        </w:tc>
      </w:tr>
    </w:tbl>
    <w:p w14:paraId="1B4AF078" w14:textId="77777777" w:rsidR="002D793C" w:rsidRDefault="002D793C" w:rsidP="002D793C">
      <w:pPr>
        <w:pStyle w:val="ItadNormalText"/>
        <w:rPr>
          <w:b/>
          <w:bCs/>
        </w:rPr>
      </w:pPr>
    </w:p>
    <w:p w14:paraId="24F7F52D" w14:textId="77777777" w:rsidR="00177915" w:rsidRPr="00177915" w:rsidRDefault="296692AB" w:rsidP="522E2469">
      <w:pPr>
        <w:pStyle w:val="ItadH3"/>
        <w:rPr>
          <w:lang w:val="en-GB"/>
        </w:rPr>
      </w:pPr>
      <w:r>
        <w:t xml:space="preserve">4.4 </w:t>
      </w:r>
      <w:proofErr w:type="spellStart"/>
      <w:r w:rsidR="0004AA62">
        <w:t>Remote</w:t>
      </w:r>
      <w:proofErr w:type="spellEnd"/>
      <w:r w:rsidR="0004AA62">
        <w:t xml:space="preserve"> </w:t>
      </w:r>
      <w:proofErr w:type="spellStart"/>
      <w:r w:rsidR="0004AA62">
        <w:t>survey</w:t>
      </w:r>
      <w:proofErr w:type="spellEnd"/>
      <w:r w:rsidR="0004AA62">
        <w:t xml:space="preserve"> of </w:t>
      </w:r>
      <w:proofErr w:type="spellStart"/>
      <w:r w:rsidR="0004AA62">
        <w:t>CBOs</w:t>
      </w:r>
      <w:proofErr w:type="spellEnd"/>
    </w:p>
    <w:p w14:paraId="5785810F" w14:textId="696A9576" w:rsidR="00177915" w:rsidRDefault="006F2F6D" w:rsidP="00BF5D79">
      <w:pPr>
        <w:pStyle w:val="ItadNormalText"/>
        <w:jc w:val="both"/>
      </w:pPr>
      <w:r>
        <w:t>The survey was directed to all the CBOs who benefited from capacity building from ‘umbrella NGOs’ during Phase</w:t>
      </w:r>
      <w:r w:rsidR="00E045AE">
        <w:t>s</w:t>
      </w:r>
      <w:r>
        <w:t xml:space="preserve"> I &amp; II</w:t>
      </w:r>
      <w:r w:rsidRPr="40E44CAF">
        <w:rPr>
          <w:rFonts w:asciiTheme="minorBidi" w:eastAsia="Times New Roman" w:hAnsiTheme="minorBidi"/>
          <w:vertAlign w:val="superscript"/>
        </w:rPr>
        <w:t xml:space="preserve"> </w:t>
      </w:r>
      <w:r>
        <w:t xml:space="preserve">in the four countries (Egypt, Lebanon, </w:t>
      </w:r>
      <w:proofErr w:type="gramStart"/>
      <w:r>
        <w:t>Palestine</w:t>
      </w:r>
      <w:proofErr w:type="gramEnd"/>
      <w:r>
        <w:t xml:space="preserve"> and Morocco). An outreach to 54 CBOs was undertaken, with a response rate of 28 (from 30 CBOs). The survey sought specifically to obtain information regarding policy influencing and advocacy capacities. Annex </w:t>
      </w:r>
      <w:r w:rsidR="0007255A">
        <w:t>13</w:t>
      </w:r>
      <w:r>
        <w:t xml:space="preserve"> includes the </w:t>
      </w:r>
      <w:r w:rsidR="001F7344">
        <w:t>questionnaire used</w:t>
      </w:r>
      <w:r>
        <w:t>.</w:t>
      </w:r>
    </w:p>
    <w:p w14:paraId="37B501C1" w14:textId="27B36834" w:rsidR="00BF5D79" w:rsidRDefault="00BF5D79" w:rsidP="00BF5D79">
      <w:pPr>
        <w:pStyle w:val="ItadNormalText"/>
        <w:jc w:val="both"/>
      </w:pPr>
    </w:p>
    <w:p w14:paraId="28B16756" w14:textId="77777777" w:rsidR="003743EA" w:rsidRDefault="003743EA" w:rsidP="00BF5D79">
      <w:pPr>
        <w:pStyle w:val="ItadNormalText"/>
        <w:jc w:val="both"/>
      </w:pPr>
    </w:p>
    <w:p w14:paraId="361112C5" w14:textId="77777777" w:rsidR="006F2F6D" w:rsidRPr="001F7344" w:rsidRDefault="3D86478C" w:rsidP="522E2469">
      <w:pPr>
        <w:pStyle w:val="ItadH3"/>
        <w:rPr>
          <w:lang w:val="en-GB"/>
        </w:rPr>
      </w:pPr>
      <w:r w:rsidRPr="001F7344">
        <w:rPr>
          <w:lang w:val="en-GB"/>
        </w:rPr>
        <w:lastRenderedPageBreak/>
        <w:t xml:space="preserve">4.5 </w:t>
      </w:r>
      <w:r w:rsidR="3D2807EF" w:rsidRPr="001F7344">
        <w:rPr>
          <w:lang w:val="en-GB"/>
        </w:rPr>
        <w:t>Strength of evidence</w:t>
      </w:r>
    </w:p>
    <w:p w14:paraId="4809D83F" w14:textId="77777777" w:rsidR="006F2F6D" w:rsidRPr="006A561F" w:rsidRDefault="59E1A32F" w:rsidP="00BF5D79">
      <w:pPr>
        <w:jc w:val="both"/>
        <w:rPr>
          <w:rFonts w:cstheme="minorBidi"/>
        </w:rPr>
      </w:pPr>
      <w:proofErr w:type="gramStart"/>
      <w:r w:rsidRPr="076A58FF">
        <w:rPr>
          <w:rFonts w:cstheme="minorBidi"/>
        </w:rPr>
        <w:t>In order to</w:t>
      </w:r>
      <w:proofErr w:type="gramEnd"/>
      <w:r w:rsidRPr="076A58FF">
        <w:rPr>
          <w:rFonts w:cstheme="minorBidi"/>
        </w:rPr>
        <w:t xml:space="preserve"> give the reader a better sense of the degree of triangulation and strength of evidence, the evaluation report includes a</w:t>
      </w:r>
      <w:r w:rsidR="002D793C">
        <w:rPr>
          <w:rFonts w:cstheme="minorBidi"/>
        </w:rPr>
        <w:t xml:space="preserve"> </w:t>
      </w:r>
      <w:r w:rsidRPr="076A58FF">
        <w:rPr>
          <w:rFonts w:cstheme="minorBidi"/>
        </w:rPr>
        <w:t xml:space="preserve">colour-coding of the findings. The </w:t>
      </w:r>
      <w:r w:rsidR="04159A5D" w:rsidRPr="076A58FF">
        <w:rPr>
          <w:rFonts w:cstheme="minorBidi"/>
        </w:rPr>
        <w:t>g</w:t>
      </w:r>
      <w:r w:rsidRPr="076A58FF">
        <w:rPr>
          <w:rFonts w:cstheme="minorBidi"/>
        </w:rPr>
        <w:t xml:space="preserve">reen, </w:t>
      </w:r>
      <w:proofErr w:type="gramStart"/>
      <w:r w:rsidR="04159A5D" w:rsidRPr="076A58FF">
        <w:rPr>
          <w:rFonts w:cstheme="minorBidi"/>
        </w:rPr>
        <w:t>o</w:t>
      </w:r>
      <w:r w:rsidRPr="076A58FF">
        <w:rPr>
          <w:rFonts w:cstheme="minorBidi"/>
        </w:rPr>
        <w:t>range</w:t>
      </w:r>
      <w:proofErr w:type="gramEnd"/>
      <w:r w:rsidRPr="076A58FF">
        <w:rPr>
          <w:rFonts w:cstheme="minorBidi"/>
        </w:rPr>
        <w:t xml:space="preserve"> and </w:t>
      </w:r>
      <w:r w:rsidR="04159A5D" w:rsidRPr="076A58FF">
        <w:rPr>
          <w:rFonts w:cstheme="minorBidi"/>
        </w:rPr>
        <w:t>r</w:t>
      </w:r>
      <w:r w:rsidRPr="076A58FF">
        <w:rPr>
          <w:rFonts w:cstheme="minorBidi"/>
        </w:rPr>
        <w:t>ed ratings refer to the strength of evidence, and not to</w:t>
      </w:r>
      <w:r w:rsidRPr="076A58FF">
        <w:rPr>
          <w:rFonts w:cstheme="minorBidi"/>
          <w:b/>
          <w:bCs/>
        </w:rPr>
        <w:t xml:space="preserve"> </w:t>
      </w:r>
      <w:r w:rsidRPr="076A58FF">
        <w:rPr>
          <w:rFonts w:cstheme="minorBidi"/>
        </w:rPr>
        <w:t xml:space="preserve">a judgement concerning performance of objectives: </w:t>
      </w:r>
    </w:p>
    <w:p w14:paraId="3CB9CA12" w14:textId="77777777" w:rsidR="006F2F6D" w:rsidRPr="006A561F" w:rsidRDefault="59E1A32F">
      <w:pPr>
        <w:pStyle w:val="ItadNormalText"/>
        <w:numPr>
          <w:ilvl w:val="0"/>
          <w:numId w:val="26"/>
        </w:numPr>
        <w:jc w:val="both"/>
      </w:pPr>
      <w:r w:rsidRPr="076A58FF">
        <w:rPr>
          <w:b/>
          <w:bCs/>
          <w:color w:val="588B46" w:themeColor="text2"/>
        </w:rPr>
        <w:t>Green evidence</w:t>
      </w:r>
      <w:r w:rsidRPr="076A58FF">
        <w:rPr>
          <w:color w:val="588B46" w:themeColor="text2"/>
        </w:rPr>
        <w:t xml:space="preserve"> </w:t>
      </w:r>
      <w:r>
        <w:t>reflects</w:t>
      </w:r>
      <w:r w:rsidR="0060422D">
        <w:t xml:space="preserve"> </w:t>
      </w:r>
      <w:r>
        <w:t>data gathered from multiple sources such as desk review, FGD and KII with key stakeholders engaged in the program</w:t>
      </w:r>
      <w:r w:rsidR="04159A5D">
        <w:t>me</w:t>
      </w:r>
      <w:r>
        <w:t xml:space="preserve"> </w:t>
      </w:r>
      <w:r w:rsidR="04159A5D">
        <w:t>(</w:t>
      </w:r>
      <w:r>
        <w:t>good triangulation</w:t>
      </w:r>
      <w:r w:rsidR="04159A5D">
        <w:t>)</w:t>
      </w:r>
      <w:r w:rsidR="1C0DA4CF">
        <w:t>.</w:t>
      </w:r>
    </w:p>
    <w:p w14:paraId="3E89DE92" w14:textId="77777777" w:rsidR="006F2F6D" w:rsidRPr="006A561F" w:rsidRDefault="006F2F6D">
      <w:pPr>
        <w:pStyle w:val="ItadNormalText"/>
        <w:numPr>
          <w:ilvl w:val="0"/>
          <w:numId w:val="26"/>
        </w:numPr>
        <w:jc w:val="both"/>
      </w:pPr>
      <w:r w:rsidRPr="40E44CAF">
        <w:rPr>
          <w:b/>
          <w:bCs/>
          <w:color w:val="E37230" w:themeColor="accent2"/>
        </w:rPr>
        <w:t xml:space="preserve">Orange evidence </w:t>
      </w:r>
      <w:r>
        <w:t xml:space="preserve">comes from multiple data sources (good triangulation) of lesser quality, or the finding is supported by fewer data sources (limited triangulation, </w:t>
      </w:r>
      <w:proofErr w:type="gramStart"/>
      <w:r>
        <w:t>e.g.</w:t>
      </w:r>
      <w:proofErr w:type="gramEnd"/>
      <w:r>
        <w:t xml:space="preserve"> </w:t>
      </w:r>
      <w:r w:rsidR="4FAED572">
        <w:t xml:space="preserve">from </w:t>
      </w:r>
      <w:r>
        <w:t>documents</w:t>
      </w:r>
      <w:r w:rsidR="003B01A3">
        <w:t xml:space="preserve"> </w:t>
      </w:r>
      <w:r>
        <w:t xml:space="preserve">or KIIs </w:t>
      </w:r>
      <w:r w:rsidR="003B01A3">
        <w:t>with only one</w:t>
      </w:r>
      <w:r>
        <w:t xml:space="preserve"> stakeholder category) of decent quality.</w:t>
      </w:r>
    </w:p>
    <w:p w14:paraId="4A2C4C33" w14:textId="77777777" w:rsidR="006F2F6D" w:rsidRPr="006A561F" w:rsidRDefault="006F2F6D">
      <w:pPr>
        <w:pStyle w:val="ItadNormalText"/>
        <w:numPr>
          <w:ilvl w:val="0"/>
          <w:numId w:val="26"/>
        </w:numPr>
        <w:jc w:val="both"/>
      </w:pPr>
      <w:r w:rsidRPr="006A561F">
        <w:rPr>
          <w:b/>
          <w:bCs/>
          <w:color w:val="FF0000"/>
        </w:rPr>
        <w:t>Red evidence</w:t>
      </w:r>
      <w:r w:rsidRPr="006A561F">
        <w:rPr>
          <w:color w:val="FF0000"/>
        </w:rPr>
        <w:t xml:space="preserve"> </w:t>
      </w:r>
      <w:r w:rsidRPr="006A561F">
        <w:t>comprises few data sources across limited stakeholder groups (limited triangulation) and is perception-based, or generally based on data sources that are viewed as being of lesser quality.</w:t>
      </w:r>
    </w:p>
    <w:p w14:paraId="20740D1B" w14:textId="77777777" w:rsidR="006F2F6D" w:rsidRPr="006A561F" w:rsidRDefault="58003626" w:rsidP="522E2469">
      <w:pPr>
        <w:pStyle w:val="ItadH3"/>
        <w:rPr>
          <w:lang w:val="en-GB"/>
        </w:rPr>
      </w:pPr>
      <w:r w:rsidRPr="40E44CAF">
        <w:rPr>
          <w:lang w:val="en-GB"/>
        </w:rPr>
        <w:t>4</w:t>
      </w:r>
      <w:r w:rsidR="3BB95CE0" w:rsidRPr="40E44CAF">
        <w:rPr>
          <w:lang w:val="en-GB"/>
        </w:rPr>
        <w:t xml:space="preserve">.6 </w:t>
      </w:r>
      <w:r w:rsidR="3D2807EF" w:rsidRPr="40E44CAF">
        <w:rPr>
          <w:lang w:val="en-GB"/>
        </w:rPr>
        <w:t>Limitations</w:t>
      </w:r>
    </w:p>
    <w:p w14:paraId="1F2790B7" w14:textId="77777777" w:rsidR="006F2F6D" w:rsidRPr="006A561F" w:rsidRDefault="59E1A32F" w:rsidP="00034CBF">
      <w:pPr>
        <w:pStyle w:val="ItadNormalText"/>
        <w:jc w:val="both"/>
      </w:pPr>
      <w:r>
        <w:t xml:space="preserve">The evaluation team sought to minimise the evaluation limitations by triangulating findings as well as possible, drawing on as many sources as possible. Nonetheless, the key limitations identified and managed by the evaluation team includes: </w:t>
      </w:r>
    </w:p>
    <w:p w14:paraId="4BE77008" w14:textId="77777777" w:rsidR="006F2F6D" w:rsidRPr="006A561F" w:rsidRDefault="59E1A32F" w:rsidP="00034CBF">
      <w:pPr>
        <w:pStyle w:val="ItadNormalText"/>
        <w:jc w:val="both"/>
      </w:pPr>
      <w:r>
        <w:t xml:space="preserve">The COVID-19 pandemic: it not only affected the team but also meant that a small number of planned FGDs and KIIs could not be carried out. Furthermore, some implementing partners and beneficiaries could not be reached, especially from Phase </w:t>
      </w:r>
      <w:r w:rsidR="04159A5D">
        <w:t>I</w:t>
      </w:r>
      <w:r>
        <w:t xml:space="preserve">. Some interviewees cancelled </w:t>
      </w:r>
      <w:r w:rsidR="04159A5D">
        <w:t xml:space="preserve">for </w:t>
      </w:r>
      <w:r>
        <w:t>personal</w:t>
      </w:r>
      <w:r w:rsidR="1595A387">
        <w:t xml:space="preserve"> </w:t>
      </w:r>
      <w:r>
        <w:t xml:space="preserve">reasons. </w:t>
      </w:r>
      <w:proofErr w:type="gramStart"/>
      <w:r w:rsidR="1595A387">
        <w:t>With regard to</w:t>
      </w:r>
      <w:proofErr w:type="gramEnd"/>
      <w:r>
        <w:t xml:space="preserve"> the </w:t>
      </w:r>
      <w:r w:rsidR="00034CBF">
        <w:t>FGDs, a</w:t>
      </w:r>
      <w:r>
        <w:t xml:space="preserve"> small sample of participants were reached, so the findings may not be representative of all beneficiaries. At 50%, the survey response rate was lower than hoped for, and this was mainly </w:t>
      </w:r>
      <w:r w:rsidR="1595A387">
        <w:t>because of</w:t>
      </w:r>
      <w:r>
        <w:t xml:space="preserve"> a lack of responses from Phase I CBOs wh</w:t>
      </w:r>
      <w:r w:rsidR="52E93D31">
        <w:t>o</w:t>
      </w:r>
      <w:r>
        <w:t xml:space="preserve"> were no longer engaged with the programme.</w:t>
      </w:r>
    </w:p>
    <w:p w14:paraId="08C1BB8D" w14:textId="77777777" w:rsidR="00DA2435" w:rsidRDefault="0C46233B" w:rsidP="00034CBF">
      <w:pPr>
        <w:pStyle w:val="ItadNormalText"/>
        <w:jc w:val="both"/>
      </w:pPr>
      <w:r w:rsidRPr="006A561F">
        <w:t xml:space="preserve">The evaluation was also limited by the data which the </w:t>
      </w:r>
      <w:r w:rsidR="1C01ABA2" w:rsidRPr="006A561F">
        <w:t>e</w:t>
      </w:r>
      <w:r w:rsidRPr="006A561F">
        <w:t xml:space="preserve">valuation </w:t>
      </w:r>
      <w:r w:rsidR="1C01ABA2" w:rsidRPr="006A561F">
        <w:t>t</w:t>
      </w:r>
      <w:r w:rsidRPr="006A561F">
        <w:t>eam was able to access</w:t>
      </w:r>
      <w:r w:rsidR="441B42D6">
        <w:t xml:space="preserve"> </w:t>
      </w:r>
      <w:r w:rsidRPr="006A561F">
        <w:t xml:space="preserve">and there </w:t>
      </w:r>
      <w:r w:rsidR="70135544" w:rsidRPr="006A561F">
        <w:t>were</w:t>
      </w:r>
      <w:r w:rsidRPr="006A561F">
        <w:t xml:space="preserve"> some gaps and weaknesses in this data. </w:t>
      </w:r>
      <w:r w:rsidRPr="006A561F">
        <w:rPr>
          <w:color w:val="3B3B3C"/>
        </w:rPr>
        <w:t>Phase I data/evidence is limited to the external Mid-Term Report</w:t>
      </w:r>
      <w:r w:rsidR="006F2F6D" w:rsidRPr="65017676">
        <w:rPr>
          <w:rStyle w:val="FootnoteReference"/>
          <w:color w:val="3B3B3C"/>
          <w:sz w:val="22"/>
          <w:szCs w:val="22"/>
        </w:rPr>
        <w:footnoteReference w:id="72"/>
      </w:r>
      <w:r w:rsidRPr="006A561F">
        <w:rPr>
          <w:color w:val="3B3B3C"/>
        </w:rPr>
        <w:t xml:space="preserve"> as well as Annual Reports prepared by ROAS to evaluate Phase I. </w:t>
      </w:r>
      <w:r w:rsidRPr="006A561F">
        <w:t>The main source of data on social norm change c</w:t>
      </w:r>
      <w:r w:rsidR="4D2307B7" w:rsidRPr="006A561F">
        <w:t>a</w:t>
      </w:r>
      <w:r w:rsidRPr="006A561F">
        <w:t xml:space="preserve">me from the FGDs and KIIs carried out for this evaluation, and there is no quantitative data on norm change, which is different from KAP data collected by the programme. </w:t>
      </w:r>
    </w:p>
    <w:p w14:paraId="0B44BF22" w14:textId="77777777" w:rsidR="006F2F6D" w:rsidRPr="006A561F" w:rsidRDefault="0C46233B" w:rsidP="00034CBF">
      <w:pPr>
        <w:pStyle w:val="ItadNormalText"/>
        <w:jc w:val="both"/>
      </w:pPr>
      <w:r w:rsidRPr="006A561F">
        <w:t xml:space="preserve">Furthermore, the </w:t>
      </w:r>
      <w:r w:rsidR="0864084A" w:rsidRPr="006A561F">
        <w:t xml:space="preserve">available programme monitoring data had its limitations. The </w:t>
      </w:r>
      <w:r w:rsidRPr="006A561F">
        <w:t xml:space="preserve">collection of </w:t>
      </w:r>
      <w:r w:rsidR="260A077B" w:rsidRPr="006A561F">
        <w:t>baselines</w:t>
      </w:r>
      <w:r w:rsidR="1C01ABA2" w:rsidRPr="006A561F">
        <w:t>–</w:t>
      </w:r>
      <w:r w:rsidRPr="006A561F">
        <w:t>endline survey data raise</w:t>
      </w:r>
      <w:r w:rsidR="47BDEFA3" w:rsidRPr="006A561F">
        <w:t>d</w:t>
      </w:r>
      <w:r w:rsidRPr="006A561F">
        <w:t xml:space="preserve"> questions regarding </w:t>
      </w:r>
      <w:r w:rsidR="2A3DC3FD">
        <w:t>statistical significance and explanatory power of the dataset</w:t>
      </w:r>
      <w:r w:rsidR="009603BB">
        <w:rPr>
          <w:rStyle w:val="FootnoteReference"/>
        </w:rPr>
        <w:footnoteReference w:id="73"/>
      </w:r>
      <w:r w:rsidRPr="006A561F">
        <w:t>. While a census was used in Palestine</w:t>
      </w:r>
      <w:r w:rsidR="155D1C19">
        <w:t xml:space="preserve"> (n=</w:t>
      </w:r>
      <w:r w:rsidR="331EC623">
        <w:t>1747)</w:t>
      </w:r>
      <w:r w:rsidRPr="006A561F">
        <w:t xml:space="preserve">, the </w:t>
      </w:r>
      <w:r w:rsidR="331EC623">
        <w:t xml:space="preserve">remaining </w:t>
      </w:r>
      <w:r w:rsidRPr="006A561F">
        <w:t>sample in Egypt</w:t>
      </w:r>
      <w:r w:rsidR="331EC623">
        <w:t xml:space="preserve">, Lebanon and </w:t>
      </w:r>
      <w:r w:rsidR="28832BEC">
        <w:t>Morocco</w:t>
      </w:r>
      <w:r w:rsidRPr="006A561F">
        <w:t xml:space="preserve"> was small</w:t>
      </w:r>
      <w:r w:rsidR="006F2F6D" w:rsidRPr="4977AA67">
        <w:rPr>
          <w:rStyle w:val="FootnoteReference"/>
          <w:rFonts w:cstheme="minorBidi"/>
          <w:sz w:val="22"/>
          <w:szCs w:val="22"/>
        </w:rPr>
        <w:footnoteReference w:id="74"/>
      </w:r>
      <w:r w:rsidR="17F9DE57">
        <w:t>(f</w:t>
      </w:r>
      <w:r w:rsidR="28832BEC">
        <w:t xml:space="preserve">rom a total sample of </w:t>
      </w:r>
      <w:r w:rsidR="4C784A02">
        <w:t xml:space="preserve">2023 beneficiaries, the total sample remaining for the latter 3 intervention countries amounts to </w:t>
      </w:r>
      <w:r w:rsidR="17F9DE57">
        <w:t xml:space="preserve">n=276). </w:t>
      </w:r>
      <w:r w:rsidRPr="006A561F">
        <w:t xml:space="preserve"> This led to a heavy skewing of regional data towards Palestine</w:t>
      </w:r>
      <w:r w:rsidR="6CBFF0F6">
        <w:t xml:space="preserve"> – and limited explanatory power of data, despite the introduction of weighting.</w:t>
      </w:r>
      <w:r w:rsidRPr="006A561F">
        <w:t xml:space="preserve"> Data on the implementation of Program P/</w:t>
      </w:r>
      <w:r w:rsidR="5142C0C4" w:rsidRPr="00BF4DFD">
        <w:t xml:space="preserve"> </w:t>
      </w:r>
      <w:r w:rsidR="5142C0C4" w:rsidRPr="00195CC7">
        <w:t>Gender-Transformative Parenting programme</w:t>
      </w:r>
      <w:r w:rsidR="5142C0C4">
        <w:t xml:space="preserve"> (GTP)</w:t>
      </w:r>
      <w:r w:rsidRPr="006A561F">
        <w:t xml:space="preserve"> approaches w</w:t>
      </w:r>
      <w:r w:rsidR="3D201D78" w:rsidRPr="006A561F">
        <w:t>ere</w:t>
      </w:r>
      <w:r w:rsidRPr="006A561F">
        <w:t xml:space="preserve"> not yet available at the time of the drafting of this </w:t>
      </w:r>
      <w:r w:rsidR="1C01ABA2" w:rsidRPr="006A561F">
        <w:t>e</w:t>
      </w:r>
      <w:r w:rsidRPr="006A561F">
        <w:t xml:space="preserve">valuation </w:t>
      </w:r>
      <w:r w:rsidR="1C01ABA2" w:rsidRPr="006A561F">
        <w:t>r</w:t>
      </w:r>
      <w:r w:rsidRPr="006A561F">
        <w:t>eport.</w:t>
      </w:r>
    </w:p>
    <w:p w14:paraId="67652396" w14:textId="77777777" w:rsidR="006F2F6D" w:rsidRPr="006A561F" w:rsidRDefault="59E1A32F" w:rsidP="00034CBF">
      <w:pPr>
        <w:pStyle w:val="ItadNormalText"/>
        <w:jc w:val="both"/>
      </w:pPr>
      <w:r>
        <w:t>The modalities of data collection utilised by MWGE also le</w:t>
      </w:r>
      <w:r w:rsidR="25DDFDAD">
        <w:t>ft</w:t>
      </w:r>
      <w:r>
        <w:t xml:space="preserve"> room for improvement. The implementing CBOs themselves </w:t>
      </w:r>
      <w:proofErr w:type="gramStart"/>
      <w:r>
        <w:t>were in charge of</w:t>
      </w:r>
      <w:proofErr w:type="gramEnd"/>
      <w:r>
        <w:t xml:space="preserve"> selecting respondents for the </w:t>
      </w:r>
      <w:r w:rsidR="0072484B">
        <w:t xml:space="preserve">baseline/endline </w:t>
      </w:r>
      <w:r>
        <w:t xml:space="preserve">surveys, meaning that there </w:t>
      </w:r>
      <w:r w:rsidR="1595A387">
        <w:t>wa</w:t>
      </w:r>
      <w:r>
        <w:t>s a risk of a positive bias in sample selection and responses</w:t>
      </w:r>
      <w:r w:rsidR="1595A387">
        <w:t>;</w:t>
      </w:r>
      <w:r>
        <w:t xml:space="preserve"> and</w:t>
      </w:r>
      <w:r w:rsidR="1595A387">
        <w:t>,</w:t>
      </w:r>
      <w:r>
        <w:t xml:space="preserve"> in the case of one implementing partner, UN Women uncovered possible coaching of respondents. Furthermore, reporting by implementing partners tended to be relatively superficial and focused on activities and outputs, </w:t>
      </w:r>
      <w:r w:rsidR="1595A387">
        <w:t>al</w:t>
      </w:r>
      <w:r>
        <w:t>though in fairness</w:t>
      </w:r>
      <w:r w:rsidR="1595A387">
        <w:t xml:space="preserve"> it should be noted that CBOs,</w:t>
      </w:r>
      <w:r>
        <w:t xml:space="preserve"> especially smaller </w:t>
      </w:r>
      <w:r w:rsidR="1595A387">
        <w:t>ones,</w:t>
      </w:r>
      <w:r>
        <w:t xml:space="preserve"> lack the capacity for more in-depth M</w:t>
      </w:r>
      <w:r w:rsidR="2164C309">
        <w:t xml:space="preserve">onitoring </w:t>
      </w:r>
      <w:r>
        <w:t>E</w:t>
      </w:r>
      <w:r w:rsidR="79B57808">
        <w:t xml:space="preserve">valuation and </w:t>
      </w:r>
      <w:r>
        <w:t>L</w:t>
      </w:r>
      <w:r w:rsidR="150CFDC2">
        <w:t>earning</w:t>
      </w:r>
      <w:r>
        <w:t xml:space="preserve"> tracking and analysis.</w:t>
      </w:r>
      <w:r w:rsidR="00CD4BF4">
        <w:t xml:space="preserve"> </w:t>
      </w:r>
    </w:p>
    <w:p w14:paraId="2E132016" w14:textId="77777777" w:rsidR="006F2F6D" w:rsidRPr="006A561F" w:rsidRDefault="00CD4BF4" w:rsidP="00034CBF">
      <w:pPr>
        <w:pStyle w:val="ItadNormalText"/>
        <w:jc w:val="both"/>
      </w:pPr>
      <w:r>
        <w:lastRenderedPageBreak/>
        <w:t xml:space="preserve">From a Leave No One Behind (LNOB) perspective, there were also </w:t>
      </w:r>
      <w:r w:rsidR="00104626">
        <w:t xml:space="preserve">gaps as it was not possible, for </w:t>
      </w:r>
      <w:r w:rsidR="000A591A">
        <w:t xml:space="preserve">reasons of safety, to collect </w:t>
      </w:r>
      <w:r w:rsidR="00104626">
        <w:t>dat</w:t>
      </w:r>
      <w:r w:rsidR="00104626" w:rsidRPr="40E44CAF">
        <w:rPr>
          <w:rFonts w:asciiTheme="minorHAnsi" w:eastAsiaTheme="minorEastAsia" w:hAnsiTheme="minorHAnsi" w:cstheme="minorBidi"/>
        </w:rPr>
        <w:t xml:space="preserve">a on </w:t>
      </w:r>
      <w:r w:rsidR="54AC7802" w:rsidRPr="40E44CAF">
        <w:rPr>
          <w:rFonts w:asciiTheme="minorHAnsi" w:eastAsiaTheme="minorEastAsia" w:hAnsiTheme="minorHAnsi" w:cstheme="minorBidi"/>
          <w:color w:val="auto"/>
        </w:rPr>
        <w:t>Lesbian, gay, bisexual, and transgender (</w:t>
      </w:r>
      <w:r w:rsidR="00104626" w:rsidRPr="40E44CAF">
        <w:rPr>
          <w:rFonts w:asciiTheme="minorHAnsi" w:eastAsiaTheme="minorEastAsia" w:hAnsiTheme="minorHAnsi" w:cstheme="minorBidi"/>
          <w:color w:val="auto"/>
        </w:rPr>
        <w:t>LGBT</w:t>
      </w:r>
      <w:r w:rsidR="0A2D60D5" w:rsidRPr="40E44CAF">
        <w:rPr>
          <w:rFonts w:asciiTheme="minorHAnsi" w:eastAsiaTheme="minorEastAsia" w:hAnsiTheme="minorHAnsi" w:cstheme="minorBidi"/>
          <w:color w:val="auto"/>
        </w:rPr>
        <w:t>)</w:t>
      </w:r>
      <w:r w:rsidR="000A591A" w:rsidRPr="40E44CAF">
        <w:rPr>
          <w:rFonts w:asciiTheme="minorHAnsi" w:eastAsiaTheme="minorEastAsia" w:hAnsiTheme="minorHAnsi" w:cstheme="minorBidi"/>
        </w:rPr>
        <w:t xml:space="preserve"> </w:t>
      </w:r>
      <w:r w:rsidR="000A591A" w:rsidRPr="40E44CAF">
        <w:t xml:space="preserve">populations </w:t>
      </w:r>
      <w:r w:rsidR="00B84D4D">
        <w:t xml:space="preserve">systematically across the programme nor were disabilities perspectives comprehensively </w:t>
      </w:r>
      <w:r w:rsidR="004271E8">
        <w:t>integrated into the data collection process.</w:t>
      </w:r>
      <w:r w:rsidR="006E0F70">
        <w:t xml:space="preserve"> While programme sought to, at least indirectly, reduce V</w:t>
      </w:r>
      <w:r w:rsidR="22508D77">
        <w:t xml:space="preserve">iolence </w:t>
      </w:r>
      <w:r w:rsidR="006E0F70">
        <w:t>A</w:t>
      </w:r>
      <w:r w:rsidR="547CA6BF">
        <w:t xml:space="preserve">gainst </w:t>
      </w:r>
      <w:r w:rsidR="006E0F70">
        <w:t>W</w:t>
      </w:r>
      <w:r w:rsidR="02D33013">
        <w:t>omen</w:t>
      </w:r>
      <w:r w:rsidR="006E0F70">
        <w:t xml:space="preserve">, no robust pre- and </w:t>
      </w:r>
      <w:r w:rsidR="00CA7F75">
        <w:t xml:space="preserve">post-data on prevalence </w:t>
      </w:r>
      <w:r w:rsidR="007874AC">
        <w:t>(</w:t>
      </w:r>
      <w:proofErr w:type="gramStart"/>
      <w:r w:rsidR="007874AC">
        <w:t>e.g.</w:t>
      </w:r>
      <w:proofErr w:type="gramEnd"/>
      <w:r w:rsidR="007874AC">
        <w:t xml:space="preserve"> using WHO survey questionnaires) </w:t>
      </w:r>
      <w:r w:rsidR="00CA7F75">
        <w:t xml:space="preserve">was collected, </w:t>
      </w:r>
      <w:r w:rsidR="0013066F">
        <w:t xml:space="preserve">reducing the explanatory power of findings on reduced violence perpetration. </w:t>
      </w:r>
      <w:r w:rsidR="004271E8">
        <w:t xml:space="preserve"> </w:t>
      </w:r>
      <w:r w:rsidR="00104626">
        <w:t xml:space="preserve"> </w:t>
      </w:r>
    </w:p>
    <w:p w14:paraId="2EC2C9BB" w14:textId="77777777" w:rsidR="006F2F6D" w:rsidRPr="006A561F" w:rsidRDefault="004214B6" w:rsidP="00BF5D79">
      <w:pPr>
        <w:pStyle w:val="ItadNormalText"/>
        <w:jc w:val="both"/>
      </w:pPr>
      <w:proofErr w:type="gramStart"/>
      <w:r>
        <w:t>With regard to</w:t>
      </w:r>
      <w:proofErr w:type="gramEnd"/>
      <w:r w:rsidR="006F2F6D">
        <w:t xml:space="preserve"> assessing the impact of the social media outreach and other public awareness campaigns, the evaluation team was only able to work with the limited ‘reach’ data which had been collected. This captures the overall number of people on whose social media feed a particular message has shown up, regardless of whether the person interacted with it, and thus does not capture engagement with the messages or impact, recall of key messages, or actions taken because of exposure to the campaign.</w:t>
      </w:r>
      <w:r w:rsidR="00B857D1">
        <w:t xml:space="preserve"> </w:t>
      </w:r>
      <w:r w:rsidR="006C1BAF">
        <w:t xml:space="preserve">However, </w:t>
      </w:r>
      <w:r w:rsidR="006C1BAF" w:rsidRPr="006C1BAF">
        <w:t xml:space="preserve">it </w:t>
      </w:r>
      <w:proofErr w:type="gramStart"/>
      <w:r w:rsidR="006C1BAF" w:rsidRPr="006C1BAF">
        <w:t>has to</w:t>
      </w:r>
      <w:proofErr w:type="gramEnd"/>
      <w:r w:rsidR="006C1BAF" w:rsidRPr="006C1BAF">
        <w:t xml:space="preserve"> be noted that this was the design of the project as it was not planned to have such a focus on the awareness campaigns that gained momentum in light of the COVID-19 </w:t>
      </w:r>
      <w:r w:rsidR="00B6285D">
        <w:t>p</w:t>
      </w:r>
      <w:r w:rsidR="006C1BAF" w:rsidRPr="006C1BAF">
        <w:t>andemic.</w:t>
      </w:r>
    </w:p>
    <w:p w14:paraId="01C1C754" w14:textId="77777777" w:rsidR="006F2F6D" w:rsidRDefault="59E1A32F" w:rsidP="00BF5D79">
      <w:pPr>
        <w:pStyle w:val="ItadNormalText"/>
        <w:jc w:val="both"/>
      </w:pPr>
      <w:r>
        <w:t xml:space="preserve">There is also a possibility of selection and positivity bias </w:t>
      </w:r>
      <w:proofErr w:type="gramStart"/>
      <w:r w:rsidR="58D74B10">
        <w:t>with regard to</w:t>
      </w:r>
      <w:proofErr w:type="gramEnd"/>
      <w:r>
        <w:t xml:space="preserve"> the </w:t>
      </w:r>
      <w:r w:rsidR="1595A387">
        <w:t>e</w:t>
      </w:r>
      <w:r>
        <w:t xml:space="preserve">valuation </w:t>
      </w:r>
      <w:r w:rsidR="1595A387">
        <w:t>t</w:t>
      </w:r>
      <w:r>
        <w:t xml:space="preserve">eam’s KIIs and FGDs, as those beneficiaries who were most open to the intervention were the most likely to continue with it and thus be able to be reached by the evaluators, rather than those who chose to drop out of the programme. Implementers, on the other hand, may have sought to present their intervention in an overly positive light in the KIIs. However, the </w:t>
      </w:r>
      <w:r w:rsidR="58D74B10">
        <w:t>e</w:t>
      </w:r>
      <w:r>
        <w:t xml:space="preserve">valuation </w:t>
      </w:r>
      <w:r w:rsidR="58D74B10">
        <w:t>t</w:t>
      </w:r>
      <w:r>
        <w:t>eam is confident that by triangulating the findings and interviewing stakeholders who have been variously involved, the risks of these biases colouring the evaluation findings have been minimised.</w:t>
      </w:r>
      <w:bookmarkStart w:id="26" w:name="_Toc83314211"/>
      <w:bookmarkStart w:id="27" w:name="_Toc83314016"/>
      <w:bookmarkStart w:id="28" w:name="_Toc83314060"/>
      <w:bookmarkStart w:id="29" w:name="_Toc83314105"/>
      <w:bookmarkStart w:id="30" w:name="_Toc83314017"/>
      <w:bookmarkStart w:id="31" w:name="_Toc83314061"/>
      <w:bookmarkStart w:id="32" w:name="_Toc83314106"/>
      <w:bookmarkStart w:id="33" w:name="_Toc83314024"/>
      <w:bookmarkStart w:id="34" w:name="_Toc83314068"/>
      <w:bookmarkStart w:id="35" w:name="_Toc83314113"/>
      <w:bookmarkEnd w:id="26"/>
      <w:bookmarkEnd w:id="27"/>
      <w:bookmarkEnd w:id="28"/>
      <w:bookmarkEnd w:id="29"/>
      <w:bookmarkEnd w:id="30"/>
      <w:bookmarkEnd w:id="31"/>
      <w:bookmarkEnd w:id="32"/>
      <w:bookmarkEnd w:id="33"/>
      <w:bookmarkEnd w:id="34"/>
      <w:bookmarkEnd w:id="35"/>
    </w:p>
    <w:p w14:paraId="0208A46E" w14:textId="77777777" w:rsidR="00CE7981" w:rsidRPr="00195CC7" w:rsidRDefault="00CE7981" w:rsidP="00BF5D79">
      <w:pPr>
        <w:pStyle w:val="ItadNormalText"/>
        <w:jc w:val="both"/>
      </w:pPr>
      <w:r>
        <w:t>Furthermore, several key interventions were not evaluated because the evidence was not available</w:t>
      </w:r>
      <w:r w:rsidR="008C64BD">
        <w:t xml:space="preserve"> yet at the time of the evaluation</w:t>
      </w:r>
      <w:r>
        <w:t xml:space="preserve"> </w:t>
      </w:r>
      <w:r w:rsidR="00FB478B">
        <w:t xml:space="preserve">or implementation was still on-going. </w:t>
      </w:r>
      <w:r>
        <w:t xml:space="preserve">This </w:t>
      </w:r>
      <w:r w:rsidR="00FB478B">
        <w:t>wa</w:t>
      </w:r>
      <w:r>
        <w:t xml:space="preserve">s the case </w:t>
      </w:r>
      <w:r w:rsidR="00FB478B">
        <w:t xml:space="preserve">for </w:t>
      </w:r>
      <w:r>
        <w:t xml:space="preserve">Program P in Morocco and Palestine </w:t>
      </w:r>
      <w:r w:rsidR="00A245DF">
        <w:t xml:space="preserve">and the </w:t>
      </w:r>
      <w:r>
        <w:t>Gender-Transformative Parenting programme in Egypt</w:t>
      </w:r>
      <w:r w:rsidR="00A245DF">
        <w:t xml:space="preserve">, as well as for the final IMAGES studies in Jordan and Tunisia. </w:t>
      </w:r>
      <w:r w:rsidR="000A7E96">
        <w:t xml:space="preserve">Also, </w:t>
      </w:r>
      <w:r>
        <w:t xml:space="preserve">regional research on knowledge, attitudes, </w:t>
      </w:r>
      <w:proofErr w:type="gramStart"/>
      <w:r>
        <w:t>perceptions</w:t>
      </w:r>
      <w:proofErr w:type="gramEnd"/>
      <w:r>
        <w:t xml:space="preserve"> and practices of state and non-state actors on men's </w:t>
      </w:r>
      <w:r w:rsidR="20F6393C">
        <w:t>childcare</w:t>
      </w:r>
      <w:r>
        <w:t xml:space="preserve"> and paternity leave</w:t>
      </w:r>
      <w:r w:rsidR="000A7E96">
        <w:t xml:space="preserve"> that</w:t>
      </w:r>
      <w:r>
        <w:t xml:space="preserve"> </w:t>
      </w:r>
      <w:r w:rsidR="000A7E96">
        <w:t xml:space="preserve">was </w:t>
      </w:r>
      <w:r>
        <w:t xml:space="preserve">being conducted in 5 of the 6 programme countries (all </w:t>
      </w:r>
      <w:r w:rsidR="000A7E96">
        <w:t>except</w:t>
      </w:r>
      <w:r>
        <w:t xml:space="preserve"> Egypt) </w:t>
      </w:r>
      <w:r w:rsidR="008C64BD">
        <w:t>was still on</w:t>
      </w:r>
      <w:r w:rsidR="000A7E96">
        <w:t>-</w:t>
      </w:r>
      <w:r w:rsidR="008C64BD">
        <w:t>going</w:t>
      </w:r>
      <w:r w:rsidR="000A7E96">
        <w:t xml:space="preserve"> at the time of the evaluation</w:t>
      </w:r>
      <w:r w:rsidR="008C64BD">
        <w:t>.</w:t>
      </w:r>
    </w:p>
    <w:p w14:paraId="2098CB4F" w14:textId="77777777" w:rsidR="00A4658B" w:rsidRDefault="00A4658B" w:rsidP="00BF5D79">
      <w:pPr>
        <w:pStyle w:val="ItadNormalText"/>
        <w:jc w:val="both"/>
        <w:rPr>
          <w:rFonts w:eastAsia="Calibri"/>
        </w:rPr>
      </w:pPr>
      <w:r>
        <w:rPr>
          <w:rFonts w:eastAsia="Calibri"/>
        </w:rPr>
        <w:t xml:space="preserve">The preliminary country-level findings were validated through online presentations and feedback sessions with all six COs in </w:t>
      </w:r>
      <w:r w:rsidR="007338EE">
        <w:rPr>
          <w:rFonts w:eastAsia="Calibri"/>
        </w:rPr>
        <w:t xml:space="preserve">January-February 2022, and the regional level findings through an online presentation and validation session with ROAS and </w:t>
      </w:r>
      <w:proofErr w:type="spellStart"/>
      <w:r w:rsidR="007338EE">
        <w:rPr>
          <w:rFonts w:eastAsia="Calibri"/>
        </w:rPr>
        <w:t>Sida</w:t>
      </w:r>
      <w:proofErr w:type="spellEnd"/>
      <w:r w:rsidR="007338EE">
        <w:rPr>
          <w:rFonts w:eastAsia="Calibri"/>
        </w:rPr>
        <w:t xml:space="preserve"> in March 2022.</w:t>
      </w:r>
      <w:r>
        <w:rPr>
          <w:rFonts w:eastAsia="Calibri"/>
        </w:rPr>
        <w:t xml:space="preserve"> </w:t>
      </w:r>
    </w:p>
    <w:p w14:paraId="20BC5AC8" w14:textId="77777777" w:rsidR="00646A04" w:rsidRPr="006A561F" w:rsidRDefault="7DCE2B65" w:rsidP="522E2469">
      <w:pPr>
        <w:pStyle w:val="ItadH3"/>
        <w:rPr>
          <w:lang w:val="en-GB"/>
        </w:rPr>
      </w:pPr>
      <w:r w:rsidRPr="40E44CAF">
        <w:rPr>
          <w:lang w:val="en-GB"/>
        </w:rPr>
        <w:t>4</w:t>
      </w:r>
      <w:r w:rsidR="5FF993B5" w:rsidRPr="40E44CAF">
        <w:rPr>
          <w:lang w:val="en-GB"/>
        </w:rPr>
        <w:t xml:space="preserve">.7 </w:t>
      </w:r>
      <w:r w:rsidR="6629BDFC" w:rsidRPr="40E44CAF">
        <w:rPr>
          <w:lang w:val="en-GB"/>
        </w:rPr>
        <w:t>Ethics</w:t>
      </w:r>
    </w:p>
    <w:p w14:paraId="74F3689E" w14:textId="77777777" w:rsidR="00F27157" w:rsidRDefault="00646A04" w:rsidP="00BF5D79">
      <w:pPr>
        <w:pStyle w:val="ItadNormalText"/>
        <w:jc w:val="both"/>
        <w:rPr>
          <w:rFonts w:eastAsia="Calibri"/>
        </w:rPr>
      </w:pPr>
      <w:r w:rsidRPr="330CCC91">
        <w:rPr>
          <w:rFonts w:eastAsia="Calibri"/>
        </w:rPr>
        <w:t xml:space="preserve">The evaluation team maintained a ‘do no harm’ approach throughout the evaluation. In the first instance, </w:t>
      </w:r>
      <w:r w:rsidR="00212621" w:rsidRPr="330CCC91">
        <w:rPr>
          <w:rFonts w:eastAsia="Calibri"/>
        </w:rPr>
        <w:t>all KII</w:t>
      </w:r>
      <w:r w:rsidR="00436349" w:rsidRPr="330CCC91">
        <w:rPr>
          <w:rFonts w:eastAsia="Calibri"/>
        </w:rPr>
        <w:t xml:space="preserve"> and FGD</w:t>
      </w:r>
      <w:r w:rsidR="00212621" w:rsidRPr="330CCC91">
        <w:rPr>
          <w:rFonts w:eastAsia="Calibri"/>
        </w:rPr>
        <w:t xml:space="preserve"> information </w:t>
      </w:r>
      <w:r w:rsidR="00BF444D" w:rsidRPr="330CCC91">
        <w:rPr>
          <w:rFonts w:eastAsia="Calibri"/>
        </w:rPr>
        <w:t xml:space="preserve">– across both scoping and data collection phases - </w:t>
      </w:r>
      <w:r w:rsidR="00212621" w:rsidRPr="330CCC91">
        <w:rPr>
          <w:rFonts w:eastAsia="Calibri"/>
        </w:rPr>
        <w:t xml:space="preserve">was pseudonymised </w:t>
      </w:r>
      <w:r w:rsidR="00357CD7" w:rsidRPr="330CCC91">
        <w:rPr>
          <w:rFonts w:eastAsia="Calibri"/>
        </w:rPr>
        <w:t xml:space="preserve">and </w:t>
      </w:r>
      <w:r w:rsidR="00E77529" w:rsidRPr="330CCC91">
        <w:rPr>
          <w:rFonts w:eastAsia="Calibri"/>
        </w:rPr>
        <w:t>allocated a reference number that was untraceable to each stakeholder.</w:t>
      </w:r>
      <w:r w:rsidR="00436349" w:rsidRPr="330CCC91">
        <w:rPr>
          <w:rFonts w:eastAsia="Calibri"/>
        </w:rPr>
        <w:t xml:space="preserve"> All KIIs were preceded with standardised text regarding </w:t>
      </w:r>
      <w:r w:rsidR="00E35BFB" w:rsidRPr="330CCC91">
        <w:rPr>
          <w:rFonts w:eastAsia="Calibri"/>
        </w:rPr>
        <w:t xml:space="preserve">the purpose of the evaluation, and consent was requested </w:t>
      </w:r>
      <w:r w:rsidR="009E41CF" w:rsidRPr="330CCC91">
        <w:rPr>
          <w:rFonts w:eastAsia="Calibri"/>
        </w:rPr>
        <w:t>with respect to the capture of evidence, verbatim quotes</w:t>
      </w:r>
      <w:r w:rsidR="00E02EC6" w:rsidRPr="330CCC91">
        <w:rPr>
          <w:rFonts w:eastAsia="Calibri"/>
        </w:rPr>
        <w:t xml:space="preserve"> - </w:t>
      </w:r>
      <w:r w:rsidR="009E41CF" w:rsidRPr="330CCC91">
        <w:rPr>
          <w:rFonts w:eastAsia="Calibri"/>
        </w:rPr>
        <w:t>and in several instance</w:t>
      </w:r>
      <w:r w:rsidR="00E02EC6" w:rsidRPr="330CCC91">
        <w:rPr>
          <w:rFonts w:eastAsia="Calibri"/>
        </w:rPr>
        <w:t xml:space="preserve"> -</w:t>
      </w:r>
      <w:r w:rsidR="009E41CF" w:rsidRPr="330CCC91">
        <w:rPr>
          <w:rFonts w:eastAsia="Calibri"/>
        </w:rPr>
        <w:t xml:space="preserve"> audio or audio-visual recordings. </w:t>
      </w:r>
      <w:r w:rsidR="00F7706A" w:rsidRPr="330CCC91">
        <w:rPr>
          <w:rFonts w:eastAsia="Calibri"/>
        </w:rPr>
        <w:t xml:space="preserve">All FGDs included the same procedure for obtaining consent, with additional </w:t>
      </w:r>
      <w:r w:rsidR="005D2C60" w:rsidRPr="330CCC91">
        <w:rPr>
          <w:rFonts w:eastAsia="Calibri"/>
        </w:rPr>
        <w:t>provisions for Covid-19 – including the allocation of masks, safe distances</w:t>
      </w:r>
      <w:r w:rsidR="003A1F27" w:rsidRPr="330CCC91">
        <w:rPr>
          <w:rFonts w:eastAsia="Calibri"/>
        </w:rPr>
        <w:t xml:space="preserve">, and anti-bacterial cleansers. </w:t>
      </w:r>
    </w:p>
    <w:p w14:paraId="39017DEB" w14:textId="77777777" w:rsidR="003E42CF" w:rsidRDefault="003E42CF" w:rsidP="00BF5D79">
      <w:pPr>
        <w:pStyle w:val="ItadNormalText"/>
        <w:jc w:val="both"/>
        <w:rPr>
          <w:rFonts w:eastAsia="Calibri"/>
        </w:rPr>
      </w:pPr>
      <w:r w:rsidRPr="40E44CAF">
        <w:rPr>
          <w:rFonts w:eastAsia="Calibri"/>
        </w:rPr>
        <w:t xml:space="preserve">All data in the evaluation compliant with </w:t>
      </w:r>
      <w:r w:rsidR="2BB7ABC0" w:rsidRPr="40E44CAF">
        <w:rPr>
          <w:rFonts w:asciiTheme="minorHAnsi" w:eastAsiaTheme="minorEastAsia" w:hAnsiTheme="minorHAnsi" w:cstheme="minorBidi"/>
          <w:color w:val="auto"/>
        </w:rPr>
        <w:t>General Data Protection Regulation (</w:t>
      </w:r>
      <w:r w:rsidRPr="40E44CAF">
        <w:rPr>
          <w:rFonts w:eastAsia="Calibri"/>
        </w:rPr>
        <w:t>GDPR</w:t>
      </w:r>
      <w:r w:rsidR="462B5072" w:rsidRPr="40E44CAF">
        <w:rPr>
          <w:rFonts w:eastAsia="Calibri"/>
        </w:rPr>
        <w:t>)</w:t>
      </w:r>
      <w:r w:rsidRPr="40E44CAF">
        <w:rPr>
          <w:rFonts w:eastAsia="Calibri"/>
        </w:rPr>
        <w:t xml:space="preserve"> </w:t>
      </w:r>
      <w:r w:rsidR="00F27157" w:rsidRPr="40E44CAF">
        <w:rPr>
          <w:rFonts w:eastAsia="Calibri"/>
        </w:rPr>
        <w:t>standards and</w:t>
      </w:r>
      <w:r w:rsidRPr="40E44CAF">
        <w:rPr>
          <w:rFonts w:eastAsia="Calibri"/>
        </w:rPr>
        <w:t xml:space="preserve"> kept on a secure server</w:t>
      </w:r>
      <w:r w:rsidR="00A215B3" w:rsidRPr="40E44CAF">
        <w:rPr>
          <w:rFonts w:eastAsia="Calibri"/>
        </w:rPr>
        <w:t xml:space="preserve">. </w:t>
      </w:r>
      <w:proofErr w:type="spellStart"/>
      <w:r w:rsidR="00F27157" w:rsidRPr="40E44CAF">
        <w:rPr>
          <w:rFonts w:eastAsia="Calibri"/>
        </w:rPr>
        <w:t>Itad</w:t>
      </w:r>
      <w:proofErr w:type="spellEnd"/>
      <w:r w:rsidR="00F27157" w:rsidRPr="40E44CAF">
        <w:rPr>
          <w:rFonts w:eastAsia="Calibri"/>
        </w:rPr>
        <w:t xml:space="preserve"> has robust, 3-tiered back-up solutions in place for all processing systems and services. These are managed by ISO27001 registered third parties and tested annually. In addition to this support, </w:t>
      </w:r>
      <w:proofErr w:type="spellStart"/>
      <w:r w:rsidR="00F27157" w:rsidRPr="40E44CAF">
        <w:rPr>
          <w:rFonts w:eastAsia="Calibri"/>
        </w:rPr>
        <w:t>Itad</w:t>
      </w:r>
      <w:proofErr w:type="spellEnd"/>
      <w:r w:rsidR="00F27157" w:rsidRPr="40E44CAF">
        <w:rPr>
          <w:rFonts w:eastAsia="Calibri"/>
        </w:rPr>
        <w:t xml:space="preserve"> self-certifies annually with the </w:t>
      </w:r>
      <w:proofErr w:type="spellStart"/>
      <w:r w:rsidR="00F27157" w:rsidRPr="40E44CAF">
        <w:rPr>
          <w:rFonts w:eastAsia="Calibri"/>
        </w:rPr>
        <w:t>CyberEssentials</w:t>
      </w:r>
      <w:proofErr w:type="spellEnd"/>
      <w:r w:rsidR="00F27157" w:rsidRPr="40E44CAF">
        <w:rPr>
          <w:rFonts w:eastAsia="Calibri"/>
        </w:rPr>
        <w:t xml:space="preserve"> (IASME-CE-011837) &amp; IASME (IASME-SA-000574) governance standards. This helps </w:t>
      </w:r>
      <w:proofErr w:type="spellStart"/>
      <w:r w:rsidR="00F27157" w:rsidRPr="40E44CAF">
        <w:rPr>
          <w:rFonts w:eastAsia="Calibri"/>
        </w:rPr>
        <w:t>Itad</w:t>
      </w:r>
      <w:proofErr w:type="spellEnd"/>
      <w:r w:rsidR="00F27157" w:rsidRPr="40E44CAF">
        <w:rPr>
          <w:rFonts w:eastAsia="Calibri"/>
        </w:rPr>
        <w:t xml:space="preserve"> maintain consistently high levels of confidentiality, integrity and availability of our systems and services.</w:t>
      </w:r>
      <w:r w:rsidR="00195CC7" w:rsidRPr="40E44CAF">
        <w:rPr>
          <w:rFonts w:eastAsia="Calibri"/>
        </w:rPr>
        <w:t xml:space="preserve"> </w:t>
      </w:r>
      <w:proofErr w:type="spellStart"/>
      <w:r w:rsidR="00195CC7" w:rsidRPr="40E44CAF">
        <w:rPr>
          <w:rFonts w:eastAsia="Calibri"/>
        </w:rPr>
        <w:t>Itad</w:t>
      </w:r>
      <w:proofErr w:type="spellEnd"/>
      <w:r w:rsidR="00195CC7" w:rsidRPr="40E44CAF">
        <w:rPr>
          <w:rFonts w:eastAsia="Calibri"/>
        </w:rPr>
        <w:t xml:space="preserve"> reviews it’s GDPR risks and processes quarterly via its Audit Risk and Resilience committee. Any project risks are highlighted via this process and can be mitigated before causing significant impacts.</w:t>
      </w:r>
    </w:p>
    <w:p w14:paraId="0948786A" w14:textId="77777777" w:rsidR="00177915" w:rsidRDefault="00177915">
      <w:pPr>
        <w:rPr>
          <w:rFonts w:ascii="CubeOT" w:hAnsi="CubeOT"/>
          <w:bCs/>
          <w:color w:val="E37230" w:themeColor="accent2"/>
          <w:sz w:val="36"/>
          <w:szCs w:val="18"/>
        </w:rPr>
      </w:pPr>
      <w:r>
        <w:br w:type="page"/>
      </w:r>
    </w:p>
    <w:p w14:paraId="3C403E65" w14:textId="77777777" w:rsidR="006F2F6D" w:rsidRPr="006A561F" w:rsidRDefault="2BB3A948" w:rsidP="522E2469">
      <w:pPr>
        <w:pStyle w:val="ItadH1"/>
        <w:spacing w:before="240" w:after="120"/>
      </w:pPr>
      <w:bookmarkStart w:id="36" w:name="_Toc123126198"/>
      <w:r>
        <w:lastRenderedPageBreak/>
        <w:t xml:space="preserve">5. </w:t>
      </w:r>
      <w:r w:rsidR="0CD162B1">
        <w:t>Findings</w:t>
      </w:r>
      <w:bookmarkEnd w:id="36"/>
      <w:r w:rsidR="0CD162B1">
        <w:t xml:space="preserve"> </w:t>
      </w:r>
      <w:bookmarkStart w:id="37" w:name="_Toc97653591"/>
      <w:bookmarkStart w:id="38" w:name="_Toc97653634"/>
      <w:bookmarkEnd w:id="37"/>
      <w:bookmarkEnd w:id="38"/>
    </w:p>
    <w:p w14:paraId="07A671E6" w14:textId="77777777" w:rsidR="006F2F6D" w:rsidRPr="006A561F" w:rsidRDefault="3E9B0DA2" w:rsidP="4977AA67">
      <w:pPr>
        <w:pStyle w:val="ItadH3Numbered"/>
        <w:numPr>
          <w:ilvl w:val="1"/>
          <w:numId w:val="0"/>
        </w:numPr>
        <w:ind w:left="51"/>
        <w:rPr>
          <w:color w:val="E37230" w:themeColor="accent2"/>
          <w:sz w:val="28"/>
          <w:szCs w:val="28"/>
          <w:lang w:val="en-GB"/>
        </w:rPr>
      </w:pPr>
      <w:r w:rsidRPr="4977AA67">
        <w:rPr>
          <w:color w:val="E37230" w:themeColor="accent2"/>
          <w:sz w:val="28"/>
          <w:szCs w:val="28"/>
          <w:lang w:val="en-GB"/>
        </w:rPr>
        <w:t>5</w:t>
      </w:r>
      <w:r w:rsidR="647ACA96" w:rsidRPr="4977AA67">
        <w:rPr>
          <w:color w:val="E37230" w:themeColor="accent2"/>
          <w:sz w:val="28"/>
          <w:szCs w:val="28"/>
          <w:lang w:val="en-GB"/>
        </w:rPr>
        <w:t xml:space="preserve">.1 </w:t>
      </w:r>
      <w:r w:rsidR="4D4B5955" w:rsidRPr="4977AA67">
        <w:rPr>
          <w:color w:val="E37230" w:themeColor="accent2"/>
          <w:sz w:val="28"/>
          <w:szCs w:val="28"/>
          <w:lang w:val="en-GB"/>
        </w:rPr>
        <w:t>Relevance</w:t>
      </w:r>
    </w:p>
    <w:p w14:paraId="176C49CB" w14:textId="77777777" w:rsidR="006F2F6D" w:rsidRPr="006A561F" w:rsidRDefault="3774BE70" w:rsidP="4977AA67">
      <w:pPr>
        <w:pStyle w:val="ItadH3Numbered"/>
        <w:numPr>
          <w:ilvl w:val="1"/>
          <w:numId w:val="0"/>
        </w:numPr>
        <w:ind w:left="51"/>
        <w:rPr>
          <w:sz w:val="22"/>
          <w:szCs w:val="22"/>
          <w:lang w:val="en-GB"/>
        </w:rPr>
      </w:pPr>
      <w:r w:rsidRPr="4977AA67">
        <w:rPr>
          <w:sz w:val="22"/>
          <w:szCs w:val="22"/>
          <w:lang w:val="en-GB"/>
        </w:rPr>
        <w:t>EQ 1. To what extent are UN Women’s MWGE interventions aligned with regional and country contexts and addressing the priorities of stakeholders?</w:t>
      </w:r>
    </w:p>
    <w:p w14:paraId="30579DEE" w14:textId="77777777" w:rsidR="006F2F6D" w:rsidRPr="006A561F" w:rsidRDefault="006F2F6D" w:rsidP="00BF5D79">
      <w:pPr>
        <w:pStyle w:val="ItadNormalText"/>
        <w:jc w:val="both"/>
        <w:rPr>
          <w:b/>
          <w:bCs/>
          <w:color w:val="588B46"/>
        </w:rPr>
      </w:pPr>
      <w:r w:rsidRPr="006A561F">
        <w:rPr>
          <w:b/>
          <w:bCs/>
          <w:color w:val="588B46"/>
        </w:rPr>
        <w:t xml:space="preserve">Summary: </w:t>
      </w:r>
    </w:p>
    <w:p w14:paraId="2C527B3E" w14:textId="77777777" w:rsidR="006F2F6D" w:rsidRPr="006A561F" w:rsidRDefault="07E10E03" w:rsidP="4977AA67">
      <w:pPr>
        <w:pStyle w:val="ItadNormalText"/>
        <w:jc w:val="both"/>
        <w:rPr>
          <w:color w:val="578A46"/>
        </w:rPr>
      </w:pPr>
      <w:r w:rsidRPr="4977AA67">
        <w:rPr>
          <w:color w:val="578A46"/>
        </w:rPr>
        <w:t xml:space="preserve">The MWGE interventions </w:t>
      </w:r>
      <w:r w:rsidR="776E7262" w:rsidRPr="4977AA67">
        <w:rPr>
          <w:color w:val="578A46"/>
        </w:rPr>
        <w:t xml:space="preserve">were </w:t>
      </w:r>
      <w:r w:rsidRPr="4977AA67">
        <w:rPr>
          <w:color w:val="578A46"/>
        </w:rPr>
        <w:t>well</w:t>
      </w:r>
      <w:r w:rsidR="4456BE2F" w:rsidRPr="4977AA67">
        <w:rPr>
          <w:color w:val="578A46"/>
        </w:rPr>
        <w:t>-</w:t>
      </w:r>
      <w:r w:rsidRPr="4977AA67">
        <w:rPr>
          <w:color w:val="578A46"/>
        </w:rPr>
        <w:t>aligned with national GEWE and E</w:t>
      </w:r>
      <w:r w:rsidR="5AF3ECAE" w:rsidRPr="4977AA67">
        <w:rPr>
          <w:color w:val="578A46"/>
        </w:rPr>
        <w:t xml:space="preserve">nding </w:t>
      </w:r>
      <w:r w:rsidR="7348D2A0" w:rsidRPr="4977AA67">
        <w:rPr>
          <w:color w:val="578A46"/>
        </w:rPr>
        <w:t>Violence</w:t>
      </w:r>
      <w:r w:rsidR="1E9D300C" w:rsidRPr="4977AA67">
        <w:rPr>
          <w:color w:val="578A46"/>
        </w:rPr>
        <w:t xml:space="preserve"> </w:t>
      </w:r>
      <w:r w:rsidRPr="4977AA67">
        <w:rPr>
          <w:color w:val="578A46"/>
        </w:rPr>
        <w:t>A</w:t>
      </w:r>
      <w:r w:rsidR="18AF2F77" w:rsidRPr="4977AA67">
        <w:rPr>
          <w:color w:val="578A46"/>
        </w:rPr>
        <w:t xml:space="preserve">gainst </w:t>
      </w:r>
      <w:r w:rsidRPr="4977AA67">
        <w:rPr>
          <w:color w:val="578A46"/>
        </w:rPr>
        <w:t>W</w:t>
      </w:r>
      <w:r w:rsidR="6ABB074A" w:rsidRPr="4977AA67">
        <w:rPr>
          <w:color w:val="578A46"/>
        </w:rPr>
        <w:t>omen (EVAW)</w:t>
      </w:r>
      <w:r w:rsidRPr="4977AA67">
        <w:rPr>
          <w:color w:val="578A46"/>
        </w:rPr>
        <w:t xml:space="preserve"> policy frameworks in all six countries, and addresse</w:t>
      </w:r>
      <w:r w:rsidR="25DD2A12" w:rsidRPr="4977AA67">
        <w:rPr>
          <w:color w:val="578A46"/>
        </w:rPr>
        <w:t>d</w:t>
      </w:r>
      <w:r w:rsidRPr="4977AA67">
        <w:rPr>
          <w:color w:val="578A46"/>
        </w:rPr>
        <w:t xml:space="preserve"> key concerns identified by civil society, </w:t>
      </w:r>
      <w:proofErr w:type="gramStart"/>
      <w:r w:rsidRPr="4977AA67">
        <w:rPr>
          <w:color w:val="578A46"/>
        </w:rPr>
        <w:t>government</w:t>
      </w:r>
      <w:proofErr w:type="gramEnd"/>
      <w:r w:rsidRPr="4977AA67">
        <w:rPr>
          <w:color w:val="578A46"/>
        </w:rPr>
        <w:t xml:space="preserve"> and other stakeholders both regionally and at the national level. It </w:t>
      </w:r>
      <w:r w:rsidR="6682E333" w:rsidRPr="4977AA67">
        <w:rPr>
          <w:color w:val="578A46"/>
        </w:rPr>
        <w:t>wa</w:t>
      </w:r>
      <w:r w:rsidRPr="4977AA67">
        <w:rPr>
          <w:color w:val="578A46"/>
        </w:rPr>
        <w:t xml:space="preserve">s in line with UN Women’s strategic goals, and the lessons learned from the programme </w:t>
      </w:r>
      <w:r w:rsidR="317BE6EB" w:rsidRPr="4977AA67">
        <w:rPr>
          <w:color w:val="578A46"/>
        </w:rPr>
        <w:t>has also been</w:t>
      </w:r>
      <w:r w:rsidRPr="4977AA67">
        <w:rPr>
          <w:color w:val="578A46"/>
        </w:rPr>
        <w:t xml:space="preserve"> influential in shaping UN Women’s global thinking on and approach to work on changing social norms. The programme also supported the national gender strategies and UN</w:t>
      </w:r>
      <w:r w:rsidR="5CE71A07" w:rsidRPr="4977AA67">
        <w:rPr>
          <w:color w:val="578A46"/>
        </w:rPr>
        <w:t xml:space="preserve"> </w:t>
      </w:r>
      <w:r w:rsidRPr="4977AA67">
        <w:rPr>
          <w:color w:val="578A46"/>
        </w:rPr>
        <w:t>D</w:t>
      </w:r>
      <w:r w:rsidR="1BAF4823" w:rsidRPr="4977AA67">
        <w:rPr>
          <w:color w:val="578A46"/>
        </w:rPr>
        <w:t xml:space="preserve">evelopment </w:t>
      </w:r>
      <w:r w:rsidRPr="4977AA67">
        <w:rPr>
          <w:color w:val="578A46"/>
        </w:rPr>
        <w:t>A</w:t>
      </w:r>
      <w:r w:rsidR="5405830F" w:rsidRPr="4977AA67">
        <w:rPr>
          <w:color w:val="578A46"/>
        </w:rPr>
        <w:t xml:space="preserve">ssistance </w:t>
      </w:r>
      <w:r w:rsidRPr="4977AA67">
        <w:rPr>
          <w:color w:val="578A46"/>
        </w:rPr>
        <w:t>F</w:t>
      </w:r>
      <w:r w:rsidR="6C9C38FB" w:rsidRPr="4977AA67">
        <w:rPr>
          <w:color w:val="578A46"/>
        </w:rPr>
        <w:t>ramework</w:t>
      </w:r>
      <w:r w:rsidRPr="4977AA67">
        <w:rPr>
          <w:color w:val="578A46"/>
        </w:rPr>
        <w:t>s</w:t>
      </w:r>
      <w:r w:rsidR="20EF97A1" w:rsidRPr="4977AA67">
        <w:rPr>
          <w:color w:val="578A46"/>
        </w:rPr>
        <w:t xml:space="preserve"> (UNDAFs)</w:t>
      </w:r>
      <w:r w:rsidRPr="4977AA67">
        <w:rPr>
          <w:color w:val="578A46"/>
        </w:rPr>
        <w:t xml:space="preserve"> in all target countries.</w:t>
      </w:r>
    </w:p>
    <w:p w14:paraId="734ED3CF" w14:textId="77777777" w:rsidR="006F2F6D" w:rsidRPr="006A561F" w:rsidRDefault="3774BE70" w:rsidP="00BF5D79">
      <w:pPr>
        <w:pStyle w:val="ItadNormalText"/>
        <w:jc w:val="both"/>
        <w:rPr>
          <w:b/>
          <w:bCs/>
        </w:rPr>
      </w:pPr>
      <w:r w:rsidRPr="4977AA67">
        <w:rPr>
          <w:rFonts w:eastAsia="Calibri" w:cs="Calibri"/>
          <w:b/>
          <w:bCs/>
          <w:color w:val="588B46" w:themeColor="text2"/>
        </w:rPr>
        <w:t xml:space="preserve">Finding 1.1: </w:t>
      </w:r>
      <w:r w:rsidRPr="4977AA67">
        <w:rPr>
          <w:b/>
          <w:bCs/>
        </w:rPr>
        <w:t xml:space="preserve">The MWGE programme held consultations and established platforms to guide the programme design at country level. </w:t>
      </w:r>
      <w:r w:rsidR="79DD8961" w:rsidRPr="4977AA67">
        <w:rPr>
          <w:b/>
          <w:bCs/>
        </w:rPr>
        <w:t xml:space="preserve">A </w:t>
      </w:r>
      <w:r w:rsidR="7138C3D2" w:rsidRPr="4977AA67">
        <w:rPr>
          <w:b/>
          <w:bCs/>
        </w:rPr>
        <w:t>r</w:t>
      </w:r>
      <w:r w:rsidR="79DD8961" w:rsidRPr="4977AA67">
        <w:rPr>
          <w:b/>
          <w:bCs/>
        </w:rPr>
        <w:t xml:space="preserve">egional steering committee was established </w:t>
      </w:r>
      <w:r w:rsidR="1B00EE9A" w:rsidRPr="4977AA67">
        <w:rPr>
          <w:b/>
          <w:bCs/>
        </w:rPr>
        <w:t xml:space="preserve">in Phase I -turned into an </w:t>
      </w:r>
      <w:r w:rsidR="7138C3D2" w:rsidRPr="4977AA67">
        <w:rPr>
          <w:b/>
          <w:bCs/>
        </w:rPr>
        <w:t>a</w:t>
      </w:r>
      <w:r w:rsidR="1B00EE9A" w:rsidRPr="4977AA67">
        <w:rPr>
          <w:b/>
          <w:bCs/>
        </w:rPr>
        <w:t xml:space="preserve">dvisory </w:t>
      </w:r>
      <w:r w:rsidR="7138C3D2" w:rsidRPr="4977AA67">
        <w:rPr>
          <w:b/>
          <w:bCs/>
        </w:rPr>
        <w:t>c</w:t>
      </w:r>
      <w:r w:rsidR="1B00EE9A" w:rsidRPr="4977AA67">
        <w:rPr>
          <w:b/>
          <w:bCs/>
        </w:rPr>
        <w:t xml:space="preserve">ommittee in Phase II- </w:t>
      </w:r>
      <w:r w:rsidR="79DD8961" w:rsidRPr="4977AA67">
        <w:rPr>
          <w:b/>
          <w:bCs/>
        </w:rPr>
        <w:t>and a</w:t>
      </w:r>
      <w:r w:rsidRPr="4977AA67">
        <w:rPr>
          <w:b/>
          <w:bCs/>
        </w:rPr>
        <w:t xml:space="preserve">dvisory committees were established in all programme countries </w:t>
      </w:r>
      <w:r w:rsidR="3F2FBB10" w:rsidRPr="4977AA67">
        <w:rPr>
          <w:b/>
          <w:bCs/>
        </w:rPr>
        <w:t>except for</w:t>
      </w:r>
      <w:r w:rsidRPr="4977AA67">
        <w:rPr>
          <w:b/>
          <w:bCs/>
        </w:rPr>
        <w:t xml:space="preserve"> Palestine</w:t>
      </w:r>
      <w:r w:rsidR="52FF3931" w:rsidRPr="4977AA67">
        <w:rPr>
          <w:b/>
          <w:bCs/>
        </w:rPr>
        <w:t xml:space="preserve"> and Morocco</w:t>
      </w:r>
      <w:r w:rsidR="4E9178C0" w:rsidRPr="4977AA67">
        <w:rPr>
          <w:b/>
          <w:bCs/>
        </w:rPr>
        <w:t xml:space="preserve">. </w:t>
      </w:r>
      <w:r w:rsidR="3CB3802C" w:rsidRPr="4977AA67">
        <w:rPr>
          <w:b/>
          <w:bCs/>
        </w:rPr>
        <w:t>It also generated meaningful, quality evidence through t</w:t>
      </w:r>
      <w:r w:rsidRPr="4977AA67">
        <w:rPr>
          <w:b/>
          <w:bCs/>
        </w:rPr>
        <w:t xml:space="preserve">he IMAGES surveys for each country </w:t>
      </w:r>
      <w:r w:rsidR="1666FE13" w:rsidRPr="4977AA67">
        <w:rPr>
          <w:b/>
          <w:bCs/>
        </w:rPr>
        <w:t xml:space="preserve">and used it to </w:t>
      </w:r>
      <w:r w:rsidRPr="4977AA67">
        <w:rPr>
          <w:b/>
          <w:bCs/>
        </w:rPr>
        <w:t>identify priorities</w:t>
      </w:r>
      <w:r w:rsidR="1A7DCA99" w:rsidRPr="4977AA67">
        <w:rPr>
          <w:b/>
          <w:bCs/>
        </w:rPr>
        <w:t xml:space="preserve"> for the programme in each country.</w:t>
      </w:r>
    </w:p>
    <w:p w14:paraId="3220A7AF" w14:textId="77777777" w:rsidR="006F2F6D" w:rsidRPr="006A561F" w:rsidRDefault="38C71840" w:rsidP="4977AA67">
      <w:pPr>
        <w:pStyle w:val="ItadNormalText"/>
        <w:jc w:val="both"/>
        <w:rPr>
          <w:b/>
          <w:bCs/>
        </w:rPr>
      </w:pPr>
      <w:r>
        <w:t xml:space="preserve">The evaluation noted that the MWGE programme followed a consultative process and established platforms to guide the programme design at country level. </w:t>
      </w:r>
      <w:r w:rsidR="0743636A" w:rsidRPr="4977AA67">
        <w:rPr>
          <w:rFonts w:asciiTheme="minorHAnsi" w:eastAsiaTheme="minorEastAsia" w:hAnsiTheme="minorHAnsi" w:cstheme="minorBidi"/>
        </w:rPr>
        <w:t xml:space="preserve">In Egypt, extensive consultations were conducted with </w:t>
      </w:r>
      <w:r w:rsidR="3207EB83" w:rsidRPr="4977AA67">
        <w:rPr>
          <w:rFonts w:asciiTheme="minorHAnsi" w:eastAsiaTheme="minorEastAsia" w:hAnsiTheme="minorHAnsi" w:cstheme="minorBidi"/>
        </w:rPr>
        <w:t>t</w:t>
      </w:r>
      <w:r w:rsidR="3207EB83" w:rsidRPr="4977AA67">
        <w:rPr>
          <w:rFonts w:asciiTheme="minorHAnsi" w:eastAsiaTheme="minorEastAsia" w:hAnsiTheme="minorHAnsi" w:cstheme="minorBidi"/>
          <w:color w:val="4D5156"/>
        </w:rPr>
        <w:t>he National Council for Women (</w:t>
      </w:r>
      <w:r w:rsidR="0743636A" w:rsidRPr="4977AA67">
        <w:rPr>
          <w:rFonts w:asciiTheme="minorHAnsi" w:eastAsiaTheme="minorEastAsia" w:hAnsiTheme="minorHAnsi" w:cstheme="minorBidi"/>
        </w:rPr>
        <w:t>NCW</w:t>
      </w:r>
      <w:r w:rsidR="3136E436" w:rsidRPr="4977AA67">
        <w:rPr>
          <w:rFonts w:asciiTheme="minorHAnsi" w:eastAsiaTheme="minorEastAsia" w:hAnsiTheme="minorHAnsi" w:cstheme="minorBidi"/>
        </w:rPr>
        <w:t>)</w:t>
      </w:r>
      <w:r w:rsidR="0743636A" w:rsidRPr="4977AA67">
        <w:rPr>
          <w:rFonts w:asciiTheme="minorHAnsi" w:eastAsiaTheme="minorEastAsia" w:hAnsiTheme="minorHAnsi" w:cstheme="minorBidi"/>
        </w:rPr>
        <w:t xml:space="preserve"> and the Ministry of Social Solidarity (MOSS)</w:t>
      </w:r>
      <w:r w:rsidR="0743636A" w:rsidRPr="006A561F">
        <w:t xml:space="preserve">. There were sensitivities over publicising the findings of the IMAGES survey, but the </w:t>
      </w:r>
      <w:r w:rsidR="39F5F2B0">
        <w:t>study was translated into a ‘Key Findings’ publication to</w:t>
      </w:r>
      <w:r w:rsidR="0743636A" w:rsidRPr="006A561F">
        <w:t xml:space="preserve"> inform programme priorities, which focus</w:t>
      </w:r>
      <w:r w:rsidR="0743636A" w:rsidRPr="40E44CAF">
        <w:t xml:space="preserve">ed on </w:t>
      </w:r>
      <w:r w:rsidR="02E3FF88" w:rsidRPr="4977AA67">
        <w:rPr>
          <w:rFonts w:asciiTheme="minorHAnsi" w:eastAsiaTheme="minorEastAsia" w:hAnsiTheme="minorHAnsi" w:cstheme="minorBidi"/>
          <w:color w:val="auto"/>
        </w:rPr>
        <w:t>Violence against women and girls (</w:t>
      </w:r>
      <w:r w:rsidR="0743636A" w:rsidRPr="4977AA67">
        <w:rPr>
          <w:rFonts w:asciiTheme="minorHAnsi" w:eastAsiaTheme="minorEastAsia" w:hAnsiTheme="minorHAnsi" w:cstheme="minorBidi"/>
          <w:color w:val="auto"/>
        </w:rPr>
        <w:t>VAWG</w:t>
      </w:r>
      <w:r w:rsidR="7ABE78D7" w:rsidRPr="4977AA67">
        <w:rPr>
          <w:rFonts w:asciiTheme="minorHAnsi" w:eastAsiaTheme="minorEastAsia" w:hAnsiTheme="minorHAnsi" w:cstheme="minorBidi"/>
          <w:color w:val="auto"/>
        </w:rPr>
        <w:t>)</w:t>
      </w:r>
      <w:r w:rsidR="0743636A" w:rsidRPr="4977AA67">
        <w:rPr>
          <w:rFonts w:asciiTheme="minorHAnsi" w:eastAsiaTheme="minorEastAsia" w:hAnsiTheme="minorHAnsi" w:cstheme="minorBidi"/>
        </w:rPr>
        <w:t xml:space="preserve"> </w:t>
      </w:r>
      <w:r w:rsidR="0743636A" w:rsidRPr="006A561F">
        <w:t xml:space="preserve">in Phase </w:t>
      </w:r>
      <w:r w:rsidR="2CAE78CC" w:rsidRPr="006A561F">
        <w:t>I</w:t>
      </w:r>
      <w:r w:rsidR="0743636A" w:rsidRPr="006A561F">
        <w:t xml:space="preserve"> and positive parenting in Phase </w:t>
      </w:r>
      <w:r w:rsidR="2CAE78CC" w:rsidRPr="006A561F">
        <w:t>II</w:t>
      </w:r>
      <w:r w:rsidR="0743636A" w:rsidRPr="006A561F">
        <w:t>.</w:t>
      </w:r>
      <w:r w:rsidR="39F5F2B0">
        <w:t xml:space="preserve"> This </w:t>
      </w:r>
      <w:r w:rsidR="4ACABB24">
        <w:t xml:space="preserve">evidence was used by </w:t>
      </w:r>
      <w:r w:rsidR="0F0D1948" w:rsidRPr="004D095B">
        <w:t xml:space="preserve">UN Women </w:t>
      </w:r>
      <w:r w:rsidR="4ACABB24">
        <w:t>and the Government to inform various related activities</w:t>
      </w:r>
      <w:r w:rsidR="00B55CE5">
        <w:rPr>
          <w:rStyle w:val="FootnoteReference"/>
        </w:rPr>
        <w:footnoteReference w:id="75"/>
      </w:r>
      <w:r w:rsidR="4ACABB24">
        <w:t>.</w:t>
      </w:r>
      <w:r w:rsidR="39F5F2B0">
        <w:t xml:space="preserve"> </w:t>
      </w:r>
    </w:p>
    <w:p w14:paraId="29CDA53D" w14:textId="3DCE17D7" w:rsidR="006F2F6D" w:rsidRPr="006A561F" w:rsidRDefault="0743636A" w:rsidP="00BF5D79">
      <w:pPr>
        <w:pStyle w:val="ItadNormalText"/>
        <w:jc w:val="both"/>
      </w:pPr>
      <w:r w:rsidRPr="006A561F">
        <w:t xml:space="preserve">In Lebanon there were conflicts of interest within the advisory committee, which was not functional at the time of the evaluation interviews. However, consultations with national NGOs led to a greater engagement with feminist organisations, such as KAFA and </w:t>
      </w:r>
      <w:r w:rsidR="45A40924" w:rsidRPr="006A561F">
        <w:t>Female</w:t>
      </w:r>
      <w:r w:rsidRPr="006A561F">
        <w:t xml:space="preserve"> in Phase </w:t>
      </w:r>
      <w:r w:rsidR="2CAE78CC" w:rsidRPr="006A561F">
        <w:t>II</w:t>
      </w:r>
      <w:r w:rsidRPr="006A561F">
        <w:t xml:space="preserve">, with a stronger focus on advocacy, policy work, and training on gender equality for CBOs. This </w:t>
      </w:r>
      <w:r w:rsidR="0D554EB1" w:rsidRPr="006A561F">
        <w:t>shifted the focus</w:t>
      </w:r>
      <w:r w:rsidRPr="006A561F">
        <w:t xml:space="preserve"> in terms of the scope and uniqueness of MWGE by deprioritising engagement with men and boys</w:t>
      </w:r>
      <w:r w:rsidR="0E47A417">
        <w:t xml:space="preserve"> as a stand</w:t>
      </w:r>
      <w:r w:rsidR="7DCAB8D5">
        <w:t xml:space="preserve">alone target </w:t>
      </w:r>
      <w:r w:rsidR="0659FBFE">
        <w:t>group and</w:t>
      </w:r>
      <w:r w:rsidR="7DCAB8D5">
        <w:t xml:space="preserve"> engaging more systematically with feminist </w:t>
      </w:r>
      <w:r w:rsidR="69793497">
        <w:t>movements and women more generally</w:t>
      </w:r>
      <w:r w:rsidRPr="006A561F">
        <w:t xml:space="preserve">. Nevertheless, it was viewed as a valuable undertaking and was seen by the </w:t>
      </w:r>
      <w:r w:rsidR="0694AD40" w:rsidRPr="006A561F">
        <w:t>CO</w:t>
      </w:r>
      <w:r w:rsidRPr="006A561F">
        <w:t xml:space="preserve"> as an appropriate response to the national context</w:t>
      </w:r>
      <w:r w:rsidR="0694AD40" w:rsidRPr="006A561F">
        <w:t>.</w:t>
      </w:r>
      <w:r w:rsidR="006F2F6D" w:rsidRPr="4977AA67">
        <w:rPr>
          <w:rStyle w:val="FootnoteReference"/>
          <w:rFonts w:cstheme="minorBidi"/>
          <w:sz w:val="22"/>
          <w:szCs w:val="22"/>
        </w:rPr>
        <w:footnoteReference w:id="76"/>
      </w:r>
      <w:r w:rsidRPr="006A561F">
        <w:t xml:space="preserve"> </w:t>
      </w:r>
      <w:r w:rsidR="0694AD40" w:rsidRPr="006A561F">
        <w:t>T</w:t>
      </w:r>
      <w:r w:rsidRPr="006A561F">
        <w:t>he results and dissemination of the IMAGES study were</w:t>
      </w:r>
      <w:r w:rsidR="0694AD40" w:rsidRPr="006A561F">
        <w:t xml:space="preserve"> also</w:t>
      </w:r>
      <w:r w:rsidRPr="006A561F">
        <w:t xml:space="preserve"> a valuable entry point to working with the military and security forces in Lebanon</w:t>
      </w:r>
      <w:r w:rsidR="006F2F6D" w:rsidRPr="4977AA67">
        <w:rPr>
          <w:rStyle w:val="FootnoteReference"/>
          <w:rFonts w:cstheme="minorBidi"/>
          <w:sz w:val="22"/>
          <w:szCs w:val="22"/>
        </w:rPr>
        <w:footnoteReference w:id="77"/>
      </w:r>
      <w:r w:rsidR="00B21858">
        <w:t>.</w:t>
      </w:r>
      <w:r w:rsidRPr="006A561F">
        <w:t xml:space="preserve"> In Palestine there were more limited consultations with government stakeholders</w:t>
      </w:r>
      <w:r w:rsidR="0694AD40" w:rsidRPr="006A561F">
        <w:t>,</w:t>
      </w:r>
      <w:r w:rsidRPr="006A561F">
        <w:t xml:space="preserve"> and no advisory committee was formed, but UN Women held consultations with CBO and NGO stakeholders to guide programme design.</w:t>
      </w:r>
    </w:p>
    <w:p w14:paraId="5148E5A2" w14:textId="02378DB6" w:rsidR="006F2F6D" w:rsidRDefault="0C46233B" w:rsidP="00BF5D79">
      <w:pPr>
        <w:pStyle w:val="ItadNormalText"/>
        <w:jc w:val="both"/>
      </w:pPr>
      <w:r w:rsidRPr="006A561F">
        <w:t>In Morocco, consultations with key stakeholders were held to identify priorities and guide the programme design. These included the IMAGES research</w:t>
      </w:r>
      <w:r w:rsidR="7A4A9B42" w:rsidRPr="006A561F">
        <w:t xml:space="preserve"> and</w:t>
      </w:r>
      <w:r w:rsidRPr="006A561F">
        <w:t xml:space="preserve"> workshops with the national umbrella NGO and with local CBOs</w:t>
      </w:r>
      <w:r>
        <w:t>, as well as several multi-stakeholder roundtables to advocate for paternity leave in Phase II</w:t>
      </w:r>
      <w:r w:rsidR="006F2F6D" w:rsidRPr="4977AA67">
        <w:rPr>
          <w:rStyle w:val="FootnoteReference"/>
          <w:rFonts w:cstheme="minorBidi"/>
          <w:sz w:val="22"/>
          <w:szCs w:val="22"/>
        </w:rPr>
        <w:footnoteReference w:id="78"/>
      </w:r>
      <w:r w:rsidR="00B21858">
        <w:t>.</w:t>
      </w:r>
      <w:r w:rsidRPr="006A561F">
        <w:t xml:space="preserve"> </w:t>
      </w:r>
    </w:p>
    <w:p w14:paraId="749E54D6" w14:textId="77777777" w:rsidR="006F2F6D" w:rsidRDefault="0C46233B" w:rsidP="00BF5D79">
      <w:pPr>
        <w:pStyle w:val="ItadNormalText"/>
        <w:jc w:val="both"/>
      </w:pPr>
      <w:r w:rsidRPr="006A561F">
        <w:t xml:space="preserve">In Tunisia, the programme held consultative meetings and liaised with government and implementing partners </w:t>
      </w:r>
      <w:r w:rsidR="7A4A9B42" w:rsidRPr="006A561F">
        <w:t>during</w:t>
      </w:r>
      <w:r w:rsidRPr="006A561F">
        <w:t xml:space="preserve"> programme design. In addition, tackling social norms has been a recent interest of </w:t>
      </w:r>
      <w:r w:rsidR="12E6C3E6" w:rsidRPr="006A561F">
        <w:t>M</w:t>
      </w:r>
      <w:r w:rsidR="43E0EE69" w:rsidRPr="006A561F">
        <w:t xml:space="preserve">inistry of </w:t>
      </w:r>
      <w:r w:rsidR="12E6C3E6" w:rsidRPr="006A561F">
        <w:t>W</w:t>
      </w:r>
      <w:r w:rsidR="4E367D10" w:rsidRPr="006A561F">
        <w:t xml:space="preserve">omen’s </w:t>
      </w:r>
      <w:r w:rsidR="12E6C3E6" w:rsidRPr="006A561F">
        <w:t>A</w:t>
      </w:r>
      <w:r w:rsidR="07767367" w:rsidRPr="006A561F">
        <w:t>ffairs (</w:t>
      </w:r>
      <w:proofErr w:type="spellStart"/>
      <w:r w:rsidR="07767367" w:rsidRPr="006A561F">
        <w:t>MoWA</w:t>
      </w:r>
      <w:proofErr w:type="spellEnd"/>
      <w:r w:rsidR="07767367" w:rsidRPr="006A561F">
        <w:t>)</w:t>
      </w:r>
      <w:r w:rsidRPr="006A561F">
        <w:t>, and the programme has therefore aligned itself with existing national policy work.</w:t>
      </w:r>
      <w:r w:rsidR="006F2F6D" w:rsidRPr="4977AA67">
        <w:rPr>
          <w:rStyle w:val="FootnoteReference"/>
          <w:rFonts w:cstheme="minorBidi"/>
          <w:sz w:val="22"/>
          <w:szCs w:val="22"/>
        </w:rPr>
        <w:footnoteReference w:id="79"/>
      </w:r>
      <w:r w:rsidRPr="006A561F">
        <w:t xml:space="preserve"> </w:t>
      </w:r>
    </w:p>
    <w:p w14:paraId="79297F8A" w14:textId="31FDD889" w:rsidR="006F2F6D" w:rsidRDefault="0C46233B" w:rsidP="00BF5D79">
      <w:pPr>
        <w:pStyle w:val="ItadNormalText"/>
        <w:jc w:val="both"/>
      </w:pPr>
      <w:r w:rsidRPr="006A561F">
        <w:lastRenderedPageBreak/>
        <w:t xml:space="preserve">In Jordan, most of the consultation work conducted to date has been around the IMAGES survey. Technical and consultative committees </w:t>
      </w:r>
      <w:r w:rsidR="280DCAFD" w:rsidRPr="006A561F">
        <w:t xml:space="preserve">were </w:t>
      </w:r>
      <w:r w:rsidRPr="006A561F">
        <w:t xml:space="preserve">formed to review and advise on adapting the survey to the local context, including stakeholders from academia, </w:t>
      </w:r>
      <w:proofErr w:type="gramStart"/>
      <w:r w:rsidRPr="006A561F">
        <w:t>government</w:t>
      </w:r>
      <w:proofErr w:type="gramEnd"/>
      <w:r w:rsidRPr="006A561F">
        <w:t xml:space="preserve"> and civil society. The </w:t>
      </w:r>
      <w:r w:rsidR="7A4A9B42" w:rsidRPr="006A561F">
        <w:t>CO</w:t>
      </w:r>
      <w:r w:rsidRPr="006A561F">
        <w:t xml:space="preserve"> work</w:t>
      </w:r>
      <w:r w:rsidR="4CD03A1F" w:rsidRPr="006A561F">
        <w:t>ed</w:t>
      </w:r>
      <w:r w:rsidRPr="006A561F">
        <w:t xml:space="preserve"> closely with the national partners implementing the IMAGES research, and the findings </w:t>
      </w:r>
      <w:r w:rsidR="4790F4E3" w:rsidRPr="006A561F">
        <w:t>are expected to</w:t>
      </w:r>
      <w:r w:rsidRPr="006A561F">
        <w:t xml:space="preserve"> contribute to the framework of the larger UN agency collaboration</w:t>
      </w:r>
      <w:r w:rsidR="7CFFC29B" w:rsidRPr="006A561F">
        <w:t>; the framework for 2023–2027</w:t>
      </w:r>
      <w:r w:rsidR="7A4A9B42" w:rsidRPr="006A561F">
        <w:t xml:space="preserve"> </w:t>
      </w:r>
      <w:r w:rsidR="7A4A9B42">
        <w:t xml:space="preserve">which </w:t>
      </w:r>
      <w:r w:rsidR="299D0B7A" w:rsidRPr="006A561F">
        <w:t>wa</w:t>
      </w:r>
      <w:r w:rsidR="7CFFC29B" w:rsidRPr="006A561F">
        <w:t xml:space="preserve">s </w:t>
      </w:r>
      <w:r w:rsidR="7A4A9B42" w:rsidRPr="006A561F">
        <w:t xml:space="preserve">currently </w:t>
      </w:r>
      <w:r w:rsidRPr="006A561F">
        <w:t>in the design phase</w:t>
      </w:r>
      <w:r w:rsidR="006F2F6D" w:rsidRPr="4977AA67">
        <w:rPr>
          <w:rStyle w:val="FootnoteReference"/>
          <w:rFonts w:cstheme="minorBidi"/>
          <w:sz w:val="22"/>
          <w:szCs w:val="22"/>
        </w:rPr>
        <w:footnoteReference w:id="80"/>
      </w:r>
      <w:r w:rsidR="00B21858">
        <w:t>.</w:t>
      </w:r>
    </w:p>
    <w:p w14:paraId="480EBD41" w14:textId="59FCD269" w:rsidR="00D44C2C" w:rsidRPr="006A561F" w:rsidRDefault="47248199" w:rsidP="00BF5D79">
      <w:pPr>
        <w:pStyle w:val="ItadNormalText"/>
        <w:jc w:val="both"/>
      </w:pPr>
      <w:r>
        <w:t xml:space="preserve">The programme was also guided by a regional </w:t>
      </w:r>
      <w:r w:rsidR="1AB4091B">
        <w:t xml:space="preserve">advisory </w:t>
      </w:r>
      <w:r>
        <w:t>committee which met semi-annually</w:t>
      </w:r>
      <w:r w:rsidR="141E0195">
        <w:t xml:space="preserve">, consisting of </w:t>
      </w:r>
      <w:r w:rsidR="4E5C6D24">
        <w:t xml:space="preserve">representatives of UN Women, </w:t>
      </w:r>
      <w:proofErr w:type="spellStart"/>
      <w:r w:rsidR="73A5725F">
        <w:t>Sida</w:t>
      </w:r>
      <w:proofErr w:type="spellEnd"/>
      <w:r w:rsidR="5FE28BA2">
        <w:t xml:space="preserve"> </w:t>
      </w:r>
      <w:r w:rsidR="4E5C6D24">
        <w:t>and</w:t>
      </w:r>
      <w:r w:rsidR="1AB4091B">
        <w:t>, in Phase I, also</w:t>
      </w:r>
      <w:r w:rsidR="42BD37AC">
        <w:t xml:space="preserve"> </w:t>
      </w:r>
      <w:r w:rsidR="4E5C6D24">
        <w:t xml:space="preserve">UNFPA </w:t>
      </w:r>
      <w:r w:rsidR="20FFB0C9">
        <w:t>Regional Office</w:t>
      </w:r>
      <w:r w:rsidR="0060422D">
        <w:rPr>
          <w:rStyle w:val="FootnoteReference"/>
        </w:rPr>
        <w:footnoteReference w:id="81"/>
      </w:r>
      <w:r w:rsidR="00B21858">
        <w:t>.</w:t>
      </w:r>
      <w:r w:rsidR="4E5C6D24">
        <w:t xml:space="preserve"> </w:t>
      </w:r>
    </w:p>
    <w:p w14:paraId="787F44A5" w14:textId="77777777" w:rsidR="4977AA67" w:rsidRDefault="4977AA67" w:rsidP="4977AA67">
      <w:pPr>
        <w:pStyle w:val="ItadNormalText"/>
        <w:jc w:val="both"/>
      </w:pPr>
    </w:p>
    <w:p w14:paraId="45796C92" w14:textId="77777777" w:rsidR="006F2F6D" w:rsidRDefault="3774BE70" w:rsidP="00BF5D79">
      <w:pPr>
        <w:pStyle w:val="ItadNormalText"/>
        <w:jc w:val="both"/>
        <w:rPr>
          <w:b/>
          <w:bCs/>
        </w:rPr>
      </w:pPr>
      <w:r w:rsidRPr="4977AA67">
        <w:rPr>
          <w:b/>
          <w:bCs/>
          <w:color w:val="588B46" w:themeColor="text2"/>
        </w:rPr>
        <w:t>Finding 1.2:</w:t>
      </w:r>
      <w:r w:rsidRPr="4977AA67">
        <w:rPr>
          <w:b/>
          <w:bCs/>
        </w:rPr>
        <w:t xml:space="preserve"> </w:t>
      </w:r>
      <w:r w:rsidR="3F9C774E" w:rsidRPr="4977AA67">
        <w:rPr>
          <w:b/>
          <w:bCs/>
        </w:rPr>
        <w:t>T</w:t>
      </w:r>
      <w:r w:rsidR="2462857F" w:rsidRPr="4977AA67">
        <w:rPr>
          <w:b/>
          <w:bCs/>
        </w:rPr>
        <w:t xml:space="preserve">he programme </w:t>
      </w:r>
      <w:r w:rsidR="56F40252" w:rsidRPr="4977AA67">
        <w:rPr>
          <w:b/>
          <w:bCs/>
        </w:rPr>
        <w:t xml:space="preserve">was </w:t>
      </w:r>
      <w:r w:rsidRPr="4977AA67">
        <w:rPr>
          <w:b/>
          <w:bCs/>
        </w:rPr>
        <w:t>aligned with internationally agreed norms and standards that promote gender equality, EVAW and catalys</w:t>
      </w:r>
      <w:r w:rsidR="773BAA06" w:rsidRPr="4977AA67">
        <w:rPr>
          <w:b/>
          <w:bCs/>
        </w:rPr>
        <w:t>e</w:t>
      </w:r>
      <w:r w:rsidRPr="4977AA67">
        <w:rPr>
          <w:b/>
          <w:bCs/>
        </w:rPr>
        <w:t xml:space="preserve"> changes in social norms</w:t>
      </w:r>
      <w:r w:rsidR="34470D74" w:rsidRPr="4977AA67">
        <w:rPr>
          <w:b/>
          <w:bCs/>
        </w:rPr>
        <w:t xml:space="preserve"> – including those focused on engaging men and boys</w:t>
      </w:r>
      <w:r w:rsidRPr="4977AA67">
        <w:rPr>
          <w:b/>
          <w:bCs/>
        </w:rPr>
        <w:t xml:space="preserve">. </w:t>
      </w:r>
      <w:r w:rsidR="36624E16" w:rsidRPr="4977AA67">
        <w:rPr>
          <w:b/>
          <w:bCs/>
        </w:rPr>
        <w:t xml:space="preserve">It </w:t>
      </w:r>
      <w:r w:rsidR="666C1CDF" w:rsidRPr="4977AA67">
        <w:rPr>
          <w:b/>
          <w:bCs/>
        </w:rPr>
        <w:t>was</w:t>
      </w:r>
      <w:r w:rsidR="34470D74" w:rsidRPr="4977AA67">
        <w:rPr>
          <w:b/>
          <w:bCs/>
        </w:rPr>
        <w:t xml:space="preserve"> also aligned with </w:t>
      </w:r>
      <w:r w:rsidR="1CB8A5BD" w:rsidRPr="4977AA67">
        <w:rPr>
          <w:b/>
          <w:bCs/>
        </w:rPr>
        <w:t xml:space="preserve">broader </w:t>
      </w:r>
      <w:r w:rsidR="34470D74" w:rsidRPr="4977AA67">
        <w:rPr>
          <w:b/>
          <w:bCs/>
        </w:rPr>
        <w:t>UN Women’s Strategic Plans</w:t>
      </w:r>
      <w:r w:rsidR="17804AC3" w:rsidRPr="4977AA67">
        <w:rPr>
          <w:b/>
          <w:bCs/>
        </w:rPr>
        <w:t xml:space="preserve"> and UNDAFs</w:t>
      </w:r>
      <w:r w:rsidR="1CB8A5BD" w:rsidRPr="4977AA67">
        <w:rPr>
          <w:b/>
          <w:bCs/>
        </w:rPr>
        <w:t xml:space="preserve">, </w:t>
      </w:r>
      <w:r w:rsidR="7A582F3D" w:rsidRPr="4977AA67">
        <w:rPr>
          <w:b/>
          <w:bCs/>
        </w:rPr>
        <w:t>and to a lesser extent,</w:t>
      </w:r>
      <w:r w:rsidR="17804AC3" w:rsidRPr="4977AA67">
        <w:rPr>
          <w:b/>
          <w:bCs/>
        </w:rPr>
        <w:t xml:space="preserve"> </w:t>
      </w:r>
      <w:r w:rsidR="1CB8A5BD" w:rsidRPr="4977AA67">
        <w:rPr>
          <w:b/>
          <w:bCs/>
        </w:rPr>
        <w:t xml:space="preserve">recent </w:t>
      </w:r>
      <w:r w:rsidR="4AD8E577" w:rsidRPr="4977AA67">
        <w:rPr>
          <w:b/>
          <w:bCs/>
        </w:rPr>
        <w:t xml:space="preserve">UN Women </w:t>
      </w:r>
      <w:r w:rsidR="1CB8A5BD" w:rsidRPr="4977AA67">
        <w:rPr>
          <w:b/>
          <w:bCs/>
        </w:rPr>
        <w:t>guidance on working with men and boys</w:t>
      </w:r>
      <w:r w:rsidR="17804AC3" w:rsidRPr="4977AA67">
        <w:rPr>
          <w:b/>
          <w:bCs/>
        </w:rPr>
        <w:t>.</w:t>
      </w:r>
    </w:p>
    <w:p w14:paraId="5E46F5FA" w14:textId="77777777" w:rsidR="00862A13" w:rsidRPr="005B162D" w:rsidRDefault="30B26D52" w:rsidP="00EB486D">
      <w:pPr>
        <w:pStyle w:val="ItadNormalText"/>
        <w:jc w:val="both"/>
      </w:pPr>
      <w:r>
        <w:t>Multiple co</w:t>
      </w:r>
      <w:r w:rsidRPr="001F7344">
        <w:t>mponents of the</w:t>
      </w:r>
      <w:r w:rsidR="5D4D10C4" w:rsidRPr="001F7344">
        <w:t xml:space="preserve"> </w:t>
      </w:r>
      <w:r w:rsidRPr="001F7344">
        <w:t xml:space="preserve">MWGE programme </w:t>
      </w:r>
      <w:r w:rsidR="20B1D94A" w:rsidRPr="001F7344">
        <w:t xml:space="preserve">were </w:t>
      </w:r>
      <w:r w:rsidRPr="001F7344">
        <w:t>align</w:t>
      </w:r>
      <w:r w:rsidR="214332CA" w:rsidRPr="001F7344">
        <w:t>ed</w:t>
      </w:r>
      <w:r w:rsidRPr="001F7344">
        <w:t xml:space="preserve"> with the normative frameworks presented in section 2.2</w:t>
      </w:r>
      <w:r>
        <w:t xml:space="preserve"> above ‘</w:t>
      </w:r>
      <w:r w:rsidRPr="002A3AE3">
        <w:t>National-level normative standards and adoption</w:t>
      </w:r>
      <w:r>
        <w:t xml:space="preserve">’. </w:t>
      </w:r>
      <w:r w:rsidR="176CCA0A">
        <w:t xml:space="preserve">For instance, pillar 1 of the MWGE Theory of Change </w:t>
      </w:r>
      <w:r w:rsidR="25489A20">
        <w:t>worked</w:t>
      </w:r>
      <w:r w:rsidR="176CCA0A">
        <w:t xml:space="preserve"> to address community-level change by addressing knowledge, </w:t>
      </w:r>
      <w:proofErr w:type="gramStart"/>
      <w:r w:rsidR="176CCA0A">
        <w:t>attitudes</w:t>
      </w:r>
      <w:proofErr w:type="gramEnd"/>
      <w:r w:rsidR="176CCA0A">
        <w:t xml:space="preserve"> and practices, as well as wider social norm change</w:t>
      </w:r>
      <w:r w:rsidR="3E15EE6F">
        <w:t xml:space="preserve"> which aligns with the Beijing Platform’s </w:t>
      </w:r>
      <w:r w:rsidR="3E15EE6F" w:rsidRPr="006A561F">
        <w:t>call</w:t>
      </w:r>
      <w:r w:rsidR="3E15EE6F">
        <w:t xml:space="preserve"> to </w:t>
      </w:r>
      <w:r w:rsidR="3E15EE6F" w:rsidRPr="006A561F">
        <w:t>all stakeholders to address stereotypes and norms that impede women’s full enjoyment of their human rights</w:t>
      </w:r>
      <w:r w:rsidR="00325EF5">
        <w:rPr>
          <w:rStyle w:val="FootnoteReference"/>
        </w:rPr>
        <w:footnoteReference w:id="82"/>
      </w:r>
      <w:r w:rsidR="3E15EE6F">
        <w:t>.</w:t>
      </w:r>
      <w:r w:rsidR="6065FE56">
        <w:t xml:space="preserve"> This norms component of the programme </w:t>
      </w:r>
      <w:r w:rsidR="3A68A0F2">
        <w:t>also echoe</w:t>
      </w:r>
      <w:r w:rsidR="1BF61FE6">
        <w:t>d</w:t>
      </w:r>
      <w:r w:rsidR="3A68A0F2">
        <w:t xml:space="preserve"> the CEDAW convention in that the frameworks calls</w:t>
      </w:r>
      <w:r w:rsidR="740298D7">
        <w:t xml:space="preserve"> actors to address</w:t>
      </w:r>
      <w:r w:rsidR="3A68A0F2">
        <w:t xml:space="preserve"> </w:t>
      </w:r>
      <w:r w:rsidR="3A68A0F2" w:rsidRPr="006A561F">
        <w:t>‘prejudices and customary and all other practices which are based on the idea of the inferiority or the superiority of either of the sexes or on stereotyped roles for men and women’ (CEDAW Art. 5).</w:t>
      </w:r>
      <w:r w:rsidR="00EB083A" w:rsidRPr="187325E8">
        <w:rPr>
          <w:rStyle w:val="FootnoteReference"/>
          <w:sz w:val="22"/>
          <w:szCs w:val="22"/>
        </w:rPr>
        <w:footnoteReference w:id="83"/>
      </w:r>
      <w:r w:rsidR="740298D7">
        <w:t xml:space="preserve"> With respect to the focus on pa</w:t>
      </w:r>
      <w:r w:rsidR="49A5918B">
        <w:t xml:space="preserve">triarchal </w:t>
      </w:r>
      <w:r w:rsidR="21EE7EAC">
        <w:t xml:space="preserve">masculinities, </w:t>
      </w:r>
      <w:r w:rsidR="49A5918B">
        <w:t>MWGE programme</w:t>
      </w:r>
      <w:r w:rsidR="1DAF4314">
        <w:t xml:space="preserve"> reflect</w:t>
      </w:r>
      <w:r w:rsidR="3991861C">
        <w:t>ed</w:t>
      </w:r>
      <w:r w:rsidR="1DAF4314">
        <w:t xml:space="preserve"> statements </w:t>
      </w:r>
      <w:r w:rsidR="28DF028D">
        <w:t>made in</w:t>
      </w:r>
      <w:r w:rsidR="1DAF4314">
        <w:t xml:space="preserve"> the 48</w:t>
      </w:r>
      <w:r w:rsidR="1DAF4314" w:rsidRPr="00002CE7">
        <w:rPr>
          <w:vertAlign w:val="superscript"/>
        </w:rPr>
        <w:t>th</w:t>
      </w:r>
      <w:r w:rsidR="1DAF4314">
        <w:t xml:space="preserve"> </w:t>
      </w:r>
      <w:r w:rsidR="1DAF4314" w:rsidRPr="4977AA67">
        <w:rPr>
          <w:rFonts w:asciiTheme="minorHAnsi" w:eastAsiaTheme="minorEastAsia" w:hAnsiTheme="minorHAnsi" w:cstheme="minorBidi"/>
        </w:rPr>
        <w:t xml:space="preserve">Session of the </w:t>
      </w:r>
      <w:r w:rsidR="030C43B4" w:rsidRPr="4977AA67">
        <w:rPr>
          <w:rFonts w:asciiTheme="minorHAnsi" w:eastAsiaTheme="minorEastAsia" w:hAnsiTheme="minorHAnsi" w:cstheme="minorBidi"/>
          <w:color w:val="4D5156"/>
        </w:rPr>
        <w:t>Commission on the Status of Women (</w:t>
      </w:r>
      <w:r w:rsidR="1DAF4314" w:rsidRPr="4977AA67">
        <w:rPr>
          <w:rFonts w:asciiTheme="minorHAnsi" w:eastAsiaTheme="minorEastAsia" w:hAnsiTheme="minorHAnsi" w:cstheme="minorBidi"/>
        </w:rPr>
        <w:t>CSW</w:t>
      </w:r>
      <w:r w:rsidR="35A9AA11">
        <w:t>)</w:t>
      </w:r>
      <w:r w:rsidR="00002CE7" w:rsidRPr="187325E8">
        <w:rPr>
          <w:rStyle w:val="FootnoteReference"/>
          <w:sz w:val="22"/>
          <w:szCs w:val="22"/>
        </w:rPr>
        <w:footnoteReference w:id="84"/>
      </w:r>
      <w:r w:rsidR="49A5918B">
        <w:t xml:space="preserve"> </w:t>
      </w:r>
      <w:r w:rsidR="1DAF4314">
        <w:t xml:space="preserve">as well as concluding statements of the </w:t>
      </w:r>
      <w:r w:rsidR="1DAF4314" w:rsidRPr="00002CE7">
        <w:t>Beijing +25 and the Generation Equality Forum 2021</w:t>
      </w:r>
      <w:r w:rsidR="6466AA16">
        <w:t xml:space="preserve">, as well as </w:t>
      </w:r>
      <w:r w:rsidR="6466AA16" w:rsidRPr="005B162D">
        <w:t>Human Rights Council Resolution 35/10</w:t>
      </w:r>
      <w:r w:rsidR="005B162D" w:rsidRPr="187325E8">
        <w:rPr>
          <w:rStyle w:val="FootnoteReference"/>
          <w:sz w:val="22"/>
          <w:szCs w:val="22"/>
        </w:rPr>
        <w:footnoteReference w:id="85"/>
      </w:r>
      <w:r w:rsidR="6466AA16">
        <w:t>.</w:t>
      </w:r>
    </w:p>
    <w:p w14:paraId="635768F6" w14:textId="77777777" w:rsidR="00A83BFE" w:rsidRDefault="0743636A" w:rsidP="00EB486D">
      <w:pPr>
        <w:pStyle w:val="ItadNormalText"/>
        <w:jc w:val="both"/>
      </w:pPr>
      <w:r w:rsidRPr="006A561F">
        <w:t xml:space="preserve">The programme is </w:t>
      </w:r>
      <w:r w:rsidR="05E43CEC">
        <w:t xml:space="preserve">also </w:t>
      </w:r>
      <w:r w:rsidRPr="006A561F">
        <w:t xml:space="preserve">aligned with </w:t>
      </w:r>
      <w:r w:rsidR="51216D5D">
        <w:t xml:space="preserve">three of the five outcome areas contained in the </w:t>
      </w:r>
      <w:r w:rsidRPr="006A561F">
        <w:t>UN Strategic Plan 2018</w:t>
      </w:r>
      <w:r w:rsidR="6589F732" w:rsidRPr="006A561F">
        <w:t>–</w:t>
      </w:r>
      <w:r w:rsidRPr="006A561F">
        <w:t>2021</w:t>
      </w:r>
      <w:r w:rsidR="005F7290">
        <w:rPr>
          <w:rStyle w:val="FootnoteReference"/>
        </w:rPr>
        <w:footnoteReference w:id="86"/>
      </w:r>
      <w:r w:rsidRPr="006A561F">
        <w:t xml:space="preserve"> </w:t>
      </w:r>
      <w:r w:rsidR="6589F732" w:rsidRPr="006A561F">
        <w:t xml:space="preserve">and </w:t>
      </w:r>
      <w:r w:rsidRPr="006A561F">
        <w:t>with the United Nations Development Assistance Frameworks (UNDAF</w:t>
      </w:r>
      <w:r w:rsidR="6589F732" w:rsidRPr="006A561F">
        <w:t>s</w:t>
      </w:r>
      <w:r w:rsidRPr="006A561F">
        <w:t>) for each country, as well as with the UN Women Country Strategies</w:t>
      </w:r>
      <w:r w:rsidR="7AEF17B2" w:rsidRPr="006A561F">
        <w:t xml:space="preserve"> or Strategic Notes</w:t>
      </w:r>
      <w:r w:rsidRPr="006A561F">
        <w:t>.</w:t>
      </w:r>
      <w:r w:rsidR="51216D5D" w:rsidRPr="005F7290">
        <w:t xml:space="preserve"> </w:t>
      </w:r>
      <w:r w:rsidR="51216D5D" w:rsidRPr="006A561F">
        <w:t>The new global U</w:t>
      </w:r>
      <w:r w:rsidR="51216D5D" w:rsidRPr="40E44CAF">
        <w:t xml:space="preserve">N Women Strategic Plan for </w:t>
      </w:r>
      <w:r w:rsidR="51216D5D" w:rsidRPr="001F7344">
        <w:t>2022–2025</w:t>
      </w:r>
      <w:r w:rsidR="005F7290" w:rsidRPr="40E44CAF">
        <w:rPr>
          <w:rStyle w:val="FootnoteReference"/>
          <w:sz w:val="22"/>
          <w:szCs w:val="22"/>
        </w:rPr>
        <w:footnoteReference w:id="87"/>
      </w:r>
      <w:r w:rsidR="51216D5D" w:rsidRPr="40E44CAF">
        <w:t xml:space="preserve"> </w:t>
      </w:r>
      <w:r w:rsidR="51216D5D" w:rsidRPr="006A561F">
        <w:t xml:space="preserve">includes a new intermediate outcome targeting positive social norms through engaging men and boys. The desired outcome includes shifts in attitudes, </w:t>
      </w:r>
      <w:proofErr w:type="gramStart"/>
      <w:r w:rsidR="51216D5D" w:rsidRPr="006A561F">
        <w:t>behaviours</w:t>
      </w:r>
      <w:proofErr w:type="gramEnd"/>
      <w:r w:rsidR="51216D5D" w:rsidRPr="006A561F">
        <w:t xml:space="preserve"> and social norms to promote gender equality. This is directly aligned with Outcome 1 of the MWGE programme, which focuses on shifts in attitudes and behaviours.</w:t>
      </w:r>
      <w:r w:rsidR="6F9EE99E">
        <w:t xml:space="preserve"> </w:t>
      </w:r>
    </w:p>
    <w:p w14:paraId="2B6289D9" w14:textId="77777777" w:rsidR="00FA0AD9" w:rsidRPr="006A561F" w:rsidRDefault="51FE96C4" w:rsidP="00EB486D">
      <w:pPr>
        <w:pStyle w:val="ItadNormalText"/>
        <w:jc w:val="both"/>
      </w:pPr>
      <w:r w:rsidRPr="006A561F">
        <w:t>The programme support</w:t>
      </w:r>
      <w:r w:rsidR="2D72C30E" w:rsidRPr="006A561F">
        <w:t>ed</w:t>
      </w:r>
      <w:r w:rsidRPr="006A561F">
        <w:t xml:space="preserve"> </w:t>
      </w:r>
      <w:r w:rsidRPr="007E5045">
        <w:t xml:space="preserve">the </w:t>
      </w:r>
      <w:r w:rsidRPr="007F6DFD">
        <w:t xml:space="preserve">UNDAFs </w:t>
      </w:r>
      <w:r>
        <w:t xml:space="preserve">and </w:t>
      </w:r>
      <w:r w:rsidR="4B8A6C6A">
        <w:t xml:space="preserve">country strategies </w:t>
      </w:r>
      <w:r w:rsidRPr="007F6DFD">
        <w:t>for each country.</w:t>
      </w:r>
      <w:r w:rsidRPr="007E5045">
        <w:t xml:space="preserve"> For</w:t>
      </w:r>
      <w:r w:rsidRPr="006A561F">
        <w:t xml:space="preserve"> example, Egypt,</w:t>
      </w:r>
      <w:r w:rsidR="007E5045" w:rsidRPr="0D4BD307">
        <w:rPr>
          <w:rStyle w:val="FootnoteReference"/>
          <w:sz w:val="22"/>
          <w:szCs w:val="22"/>
        </w:rPr>
        <w:footnoteReference w:id="88"/>
      </w:r>
      <w:r w:rsidRPr="006A561F">
        <w:t xml:space="preserve"> Jordan,</w:t>
      </w:r>
      <w:r w:rsidR="007E5045" w:rsidRPr="0D4BD307">
        <w:rPr>
          <w:rStyle w:val="FootnoteReference"/>
          <w:sz w:val="22"/>
          <w:szCs w:val="22"/>
        </w:rPr>
        <w:footnoteReference w:id="89"/>
      </w:r>
      <w:r w:rsidRPr="006A561F">
        <w:t xml:space="preserve"> Morocco</w:t>
      </w:r>
      <w:r w:rsidR="007E5045" w:rsidRPr="0D4BD307">
        <w:rPr>
          <w:rStyle w:val="FootnoteReference"/>
          <w:sz w:val="22"/>
          <w:szCs w:val="22"/>
        </w:rPr>
        <w:footnoteReference w:id="90"/>
      </w:r>
      <w:r w:rsidRPr="006A561F">
        <w:t xml:space="preserve"> and Tunisia</w:t>
      </w:r>
      <w:r w:rsidR="007E5045" w:rsidRPr="0D4BD307">
        <w:rPr>
          <w:rStyle w:val="FootnoteReference"/>
          <w:sz w:val="22"/>
          <w:szCs w:val="22"/>
        </w:rPr>
        <w:footnoteReference w:id="91"/>
      </w:r>
      <w:r w:rsidRPr="006A561F">
        <w:t xml:space="preserve"> have targets around access to the labour market, to decent work and wages, and business opportunities for women. These are aligned with the programme’s focus on sharing domestic chores and childcare between men and women. Jordan, Lebanon</w:t>
      </w:r>
      <w:r w:rsidR="007E5045" w:rsidRPr="0D4BD307">
        <w:rPr>
          <w:rStyle w:val="FootnoteReference"/>
          <w:sz w:val="22"/>
          <w:szCs w:val="22"/>
        </w:rPr>
        <w:footnoteReference w:id="92"/>
      </w:r>
      <w:r w:rsidRPr="006A561F">
        <w:t xml:space="preserve"> and Palestine’s</w:t>
      </w:r>
      <w:r w:rsidR="007E5045" w:rsidRPr="0D4BD307">
        <w:rPr>
          <w:rStyle w:val="FootnoteReference"/>
          <w:sz w:val="22"/>
          <w:szCs w:val="22"/>
        </w:rPr>
        <w:footnoteReference w:id="93"/>
      </w:r>
      <w:r w:rsidRPr="006A561F">
        <w:t xml:space="preserve"> UNDAFs also have a focus on institutional commitments to gender equality in the contexts of public allocations targeting women, the legal status of women, and gender policymaking.</w:t>
      </w:r>
      <w:r w:rsidR="47D2DC5D">
        <w:t xml:space="preserve"> </w:t>
      </w:r>
      <w:r w:rsidR="4B8A6C6A">
        <w:t>With respect to</w:t>
      </w:r>
      <w:r w:rsidR="4B8A6C6A" w:rsidRPr="006A561F">
        <w:t xml:space="preserve"> </w:t>
      </w:r>
      <w:r w:rsidR="4B8A6C6A" w:rsidRPr="006B3412">
        <w:t>UN Women Country Strategies, women’s</w:t>
      </w:r>
      <w:r w:rsidR="4B8A6C6A" w:rsidRPr="006A561F">
        <w:t xml:space="preserve"> participation in government, supported by Outcomes 2 and 3 of MWGE, </w:t>
      </w:r>
      <w:r w:rsidR="38C6C745" w:rsidRPr="006A561F">
        <w:t>wa</w:t>
      </w:r>
      <w:r w:rsidR="4B8A6C6A" w:rsidRPr="006A561F">
        <w:t xml:space="preserve">s also a key outcome in individual country strategies. Morocco focuses on gender sensitive government systems; </w:t>
      </w:r>
      <w:r w:rsidR="4B8A6C6A" w:rsidRPr="006A561F">
        <w:lastRenderedPageBreak/>
        <w:t>Palestine and Tunisia mention benefiting from peace and security initiatives; and Lebanon focuses on political leadership, capacity building for women leaders, and the targeting of political parties to encourage women’s participation.</w:t>
      </w:r>
    </w:p>
    <w:p w14:paraId="7E4F138F" w14:textId="77777777" w:rsidR="006F2F6D" w:rsidRPr="006A561F" w:rsidRDefault="47D2DC5D" w:rsidP="00617C8D">
      <w:pPr>
        <w:pStyle w:val="ItadNormalText"/>
        <w:jc w:val="both"/>
      </w:pPr>
      <w:r>
        <w:t>However, while r</w:t>
      </w:r>
      <w:r w:rsidR="0743636A" w:rsidRPr="006A561F">
        <w:t>ecent reviews</w:t>
      </w:r>
      <w:r w:rsidR="006F2F6D" w:rsidRPr="4977AA67">
        <w:rPr>
          <w:rStyle w:val="FootnoteReference"/>
          <w:rFonts w:cstheme="minorBidi"/>
          <w:sz w:val="22"/>
          <w:szCs w:val="22"/>
        </w:rPr>
        <w:footnoteReference w:id="94"/>
      </w:r>
      <w:r w:rsidR="29479C7B" w:rsidRPr="006A561F">
        <w:rPr>
          <w:vertAlign w:val="superscript"/>
        </w:rPr>
        <w:t>,</w:t>
      </w:r>
      <w:r w:rsidR="0743636A" w:rsidRPr="006A561F">
        <w:rPr>
          <w:vertAlign w:val="superscript"/>
        </w:rPr>
        <w:t xml:space="preserve"> </w:t>
      </w:r>
      <w:r w:rsidR="006F2F6D" w:rsidRPr="4977AA67">
        <w:rPr>
          <w:rStyle w:val="FootnoteReference"/>
          <w:rFonts w:cstheme="minorBidi"/>
          <w:sz w:val="22"/>
          <w:szCs w:val="22"/>
        </w:rPr>
        <w:footnoteReference w:id="95"/>
      </w:r>
      <w:r w:rsidR="29479C7B" w:rsidRPr="006A561F">
        <w:rPr>
          <w:vertAlign w:val="superscript"/>
        </w:rPr>
        <w:t>,</w:t>
      </w:r>
      <w:r w:rsidR="0743636A" w:rsidRPr="006A561F">
        <w:rPr>
          <w:vertAlign w:val="superscript"/>
        </w:rPr>
        <w:t xml:space="preserve"> </w:t>
      </w:r>
      <w:r w:rsidR="006F2F6D" w:rsidRPr="4977AA67">
        <w:rPr>
          <w:rStyle w:val="FootnoteReference"/>
          <w:rFonts w:cstheme="minorBidi"/>
          <w:sz w:val="22"/>
          <w:szCs w:val="22"/>
        </w:rPr>
        <w:footnoteReference w:id="96"/>
      </w:r>
      <w:r w:rsidR="0743636A" w:rsidRPr="006A561F">
        <w:t xml:space="preserve"> identified several areas where UN Women’s work on engaging men and boys </w:t>
      </w:r>
      <w:r w:rsidR="56BE700A" w:rsidRPr="006A561F">
        <w:t>needed</w:t>
      </w:r>
      <w:r w:rsidR="0743636A" w:rsidRPr="006A561F">
        <w:t xml:space="preserve"> strengthe</w:t>
      </w:r>
      <w:r w:rsidR="06642C8B" w:rsidRPr="006A561F">
        <w:t>ning</w:t>
      </w:r>
      <w:r>
        <w:t xml:space="preserve">, </w:t>
      </w:r>
      <w:r w:rsidR="5998C1F8">
        <w:t>the programme</w:t>
      </w:r>
      <w:r>
        <w:t xml:space="preserve"> </w:t>
      </w:r>
      <w:r w:rsidR="5FE694E6">
        <w:t xml:space="preserve">did </w:t>
      </w:r>
      <w:r w:rsidR="71A3911B">
        <w:t>not demonstrate alignment across all suggested</w:t>
      </w:r>
      <w:r w:rsidR="5998C1F8">
        <w:t xml:space="preserve"> dimensions</w:t>
      </w:r>
      <w:r w:rsidR="0743636A" w:rsidRPr="006A561F">
        <w:t>. Key suggestions include</w:t>
      </w:r>
      <w:r w:rsidR="0A8A5726" w:rsidRPr="006A561F">
        <w:t>d</w:t>
      </w:r>
      <w:r w:rsidR="0743636A" w:rsidRPr="006A561F">
        <w:t xml:space="preserve"> reframing the work as </w:t>
      </w:r>
      <w:r w:rsidR="29479C7B" w:rsidRPr="006A561F">
        <w:t>‘t</w:t>
      </w:r>
      <w:r w:rsidR="0743636A" w:rsidRPr="006A561F">
        <w:t xml:space="preserve">ransforming </w:t>
      </w:r>
      <w:r w:rsidR="29479C7B" w:rsidRPr="006A561F">
        <w:t>p</w:t>
      </w:r>
      <w:r w:rsidR="0743636A" w:rsidRPr="006A561F">
        <w:t xml:space="preserve">atriarchal </w:t>
      </w:r>
      <w:r w:rsidR="29479C7B" w:rsidRPr="006A561F">
        <w:t>m</w:t>
      </w:r>
      <w:r w:rsidR="0743636A" w:rsidRPr="006A561F">
        <w:t>asculinities</w:t>
      </w:r>
      <w:r w:rsidR="29479C7B" w:rsidRPr="006A561F">
        <w:t>’</w:t>
      </w:r>
      <w:r w:rsidR="0743636A" w:rsidRPr="006A561F">
        <w:t>; developing stronger processes of accountability for men and boys</w:t>
      </w:r>
      <w:r w:rsidR="29479C7B" w:rsidRPr="006A561F">
        <w:t>’</w:t>
      </w:r>
      <w:r w:rsidR="0743636A" w:rsidRPr="006A561F">
        <w:t xml:space="preserve"> work to women’s and feminist groups; emphasising the centrality of women’s rights organisations in social change; and connecting individual processes of change with institutional power structures. MWGE </w:t>
      </w:r>
      <w:r w:rsidR="28EDE2F0" w:rsidRPr="006A561F">
        <w:t>wa</w:t>
      </w:r>
      <w:r w:rsidR="0743636A" w:rsidRPr="006A561F">
        <w:t xml:space="preserve">s taking steps to incorporate these lessons, but there </w:t>
      </w:r>
      <w:r w:rsidR="496084F7" w:rsidRPr="006A561F">
        <w:t>was</w:t>
      </w:r>
      <w:r w:rsidR="0743636A" w:rsidRPr="006A561F">
        <w:t xml:space="preserve"> considerable scope to strengthen and deepen these aspects of the programme.</w:t>
      </w:r>
    </w:p>
    <w:p w14:paraId="3AAE4AF6" w14:textId="77777777" w:rsidR="006F2F6D" w:rsidRPr="006A561F" w:rsidRDefault="3774BE70" w:rsidP="4977AA67">
      <w:pPr>
        <w:pStyle w:val="ItadH2"/>
        <w:jc w:val="both"/>
        <w:rPr>
          <w:sz w:val="20"/>
          <w:szCs w:val="20"/>
          <w:lang w:val="en-GB"/>
        </w:rPr>
      </w:pPr>
      <w:r w:rsidRPr="4977AA67">
        <w:rPr>
          <w:sz w:val="20"/>
          <w:szCs w:val="20"/>
          <w:lang w:val="en-GB"/>
        </w:rPr>
        <w:t>EQ 2.</w:t>
      </w:r>
      <w:r w:rsidRPr="4977AA67">
        <w:rPr>
          <w:rFonts w:cstheme="minorBidi"/>
          <w:sz w:val="20"/>
          <w:szCs w:val="20"/>
          <w:lang w:val="en-GB"/>
        </w:rPr>
        <w:t xml:space="preserve"> How relevant is the intervention logic of the programme and</w:t>
      </w:r>
      <w:r w:rsidRPr="4977AA67">
        <w:rPr>
          <w:sz w:val="20"/>
          <w:szCs w:val="20"/>
          <w:lang w:val="en-GB"/>
        </w:rPr>
        <w:t xml:space="preserve"> to what extent did UN Women’s MWGE programme adapt to respond to changing contexts?</w:t>
      </w:r>
    </w:p>
    <w:p w14:paraId="4B7E9C81" w14:textId="77777777" w:rsidR="006F2F6D" w:rsidRPr="006A561F" w:rsidRDefault="006F2F6D" w:rsidP="00EB486D">
      <w:pPr>
        <w:pStyle w:val="ItadNormalText"/>
        <w:jc w:val="both"/>
        <w:rPr>
          <w:b/>
          <w:bCs/>
          <w:color w:val="588B46" w:themeColor="text2"/>
        </w:rPr>
      </w:pPr>
      <w:r w:rsidRPr="006A561F">
        <w:rPr>
          <w:b/>
          <w:bCs/>
          <w:color w:val="588B46" w:themeColor="text2"/>
        </w:rPr>
        <w:t>Summary:</w:t>
      </w:r>
    </w:p>
    <w:p w14:paraId="5346D23C" w14:textId="1F473D99" w:rsidR="006F2F6D" w:rsidRPr="006A561F" w:rsidRDefault="3774BE70" w:rsidP="4977AA67">
      <w:pPr>
        <w:pStyle w:val="ItadNormalText"/>
        <w:jc w:val="both"/>
        <w:rPr>
          <w:color w:val="588B46" w:themeColor="text2"/>
        </w:rPr>
      </w:pPr>
      <w:r w:rsidRPr="4977AA67">
        <w:rPr>
          <w:color w:val="588B46" w:themeColor="text2"/>
        </w:rPr>
        <w:t>The adaptivity of</w:t>
      </w:r>
      <w:r w:rsidR="10FDA7C2" w:rsidRPr="4977AA67">
        <w:rPr>
          <w:color w:val="588B46" w:themeColor="text2"/>
        </w:rPr>
        <w:t xml:space="preserve"> the</w:t>
      </w:r>
      <w:r w:rsidRPr="4977AA67">
        <w:rPr>
          <w:color w:val="588B46" w:themeColor="text2"/>
        </w:rPr>
        <w:t xml:space="preserve"> MWGE programme </w:t>
      </w:r>
      <w:r w:rsidR="34BF7A90" w:rsidRPr="4977AA67">
        <w:rPr>
          <w:color w:val="588B46" w:themeColor="text2"/>
        </w:rPr>
        <w:t>was</w:t>
      </w:r>
      <w:r w:rsidRPr="4977AA67">
        <w:rPr>
          <w:color w:val="588B46" w:themeColor="text2"/>
        </w:rPr>
        <w:t xml:space="preserve"> relevant and remained so throughout both implementation phases (see also EQ</w:t>
      </w:r>
      <w:r w:rsidR="10FDA7C2" w:rsidRPr="4977AA67">
        <w:rPr>
          <w:color w:val="588B46" w:themeColor="text2"/>
        </w:rPr>
        <w:t xml:space="preserve"> </w:t>
      </w:r>
      <w:r w:rsidRPr="4977AA67">
        <w:rPr>
          <w:color w:val="588B46" w:themeColor="text2"/>
        </w:rPr>
        <w:t xml:space="preserve">4 below for a more in-depth discussion of the intervention logic and </w:t>
      </w:r>
      <w:proofErr w:type="spellStart"/>
      <w:r w:rsidR="10FDA7C2" w:rsidRPr="4977AA67">
        <w:rPr>
          <w:color w:val="588B46" w:themeColor="text2"/>
        </w:rPr>
        <w:t>ToC</w:t>
      </w:r>
      <w:proofErr w:type="spellEnd"/>
      <w:r w:rsidRPr="4977AA67">
        <w:rPr>
          <w:color w:val="588B46" w:themeColor="text2"/>
        </w:rPr>
        <w:t xml:space="preserve"> across both </w:t>
      </w:r>
      <w:r w:rsidR="10FDA7C2" w:rsidRPr="4977AA67">
        <w:rPr>
          <w:color w:val="588B46" w:themeColor="text2"/>
        </w:rPr>
        <w:t>p</w:t>
      </w:r>
      <w:r w:rsidRPr="4977AA67">
        <w:rPr>
          <w:color w:val="588B46" w:themeColor="text2"/>
        </w:rPr>
        <w:t>hases). The programme respond</w:t>
      </w:r>
      <w:r w:rsidR="04A7F2E4" w:rsidRPr="4977AA67">
        <w:rPr>
          <w:color w:val="588B46" w:themeColor="text2"/>
        </w:rPr>
        <w:t>ed</w:t>
      </w:r>
      <w:r w:rsidRPr="4977AA67">
        <w:rPr>
          <w:color w:val="588B46" w:themeColor="text2"/>
        </w:rPr>
        <w:t xml:space="preserve"> to a variety of socio</w:t>
      </w:r>
      <w:r w:rsidR="2CA553B3" w:rsidRPr="4977AA67">
        <w:rPr>
          <w:color w:val="588B46" w:themeColor="text2"/>
        </w:rPr>
        <w:t>-</w:t>
      </w:r>
      <w:r w:rsidRPr="4977AA67">
        <w:rPr>
          <w:color w:val="588B46" w:themeColor="text2"/>
        </w:rPr>
        <w:t xml:space="preserve">political and economic crises in the implementing </w:t>
      </w:r>
      <w:r w:rsidR="7817F41F" w:rsidRPr="4977AA67">
        <w:rPr>
          <w:color w:val="588B46" w:themeColor="text2"/>
        </w:rPr>
        <w:t>countries but</w:t>
      </w:r>
      <w:r w:rsidRPr="4977AA67">
        <w:rPr>
          <w:color w:val="588B46" w:themeColor="text2"/>
        </w:rPr>
        <w:t xml:space="preserve"> was also able to capitalise on favourable political developments. The COVID-19 pandemic forced the programme to quickly adapt its ways of working, which it did successfully. The ‘shadow pandemic’ of increased VAWG </w:t>
      </w:r>
      <w:proofErr w:type="gramStart"/>
      <w:r w:rsidRPr="4977AA67">
        <w:rPr>
          <w:color w:val="588B46" w:themeColor="text2"/>
        </w:rPr>
        <w:t>as a consequence of</w:t>
      </w:r>
      <w:proofErr w:type="gramEnd"/>
      <w:r w:rsidRPr="4977AA67">
        <w:rPr>
          <w:color w:val="588B46" w:themeColor="text2"/>
        </w:rPr>
        <w:t xml:space="preserve"> COVID-19 and higher</w:t>
      </w:r>
      <w:r w:rsidR="7DE6C693" w:rsidRPr="4977AA67">
        <w:rPr>
          <w:color w:val="588B46" w:themeColor="text2"/>
        </w:rPr>
        <w:t>-</w:t>
      </w:r>
      <w:r w:rsidRPr="4977AA67">
        <w:rPr>
          <w:color w:val="588B46" w:themeColor="text2"/>
        </w:rPr>
        <w:t xml:space="preserve">level socioeconomic stress underscored the importance of the </w:t>
      </w:r>
      <w:r w:rsidR="001F7344" w:rsidRPr="4977AA67">
        <w:rPr>
          <w:color w:val="588B46" w:themeColor="text2"/>
        </w:rPr>
        <w:t>programme and</w:t>
      </w:r>
      <w:r w:rsidRPr="4977AA67">
        <w:rPr>
          <w:color w:val="588B46" w:themeColor="text2"/>
        </w:rPr>
        <w:t xml:space="preserve"> led it to adapt its messaging as well.</w:t>
      </w:r>
    </w:p>
    <w:p w14:paraId="5EFC2BAD" w14:textId="77777777" w:rsidR="4977AA67" w:rsidRDefault="4977AA67" w:rsidP="4977AA67">
      <w:pPr>
        <w:pStyle w:val="ItadNormalText"/>
        <w:jc w:val="both"/>
        <w:rPr>
          <w:b/>
          <w:bCs/>
          <w:color w:val="578A46"/>
        </w:rPr>
      </w:pPr>
    </w:p>
    <w:p w14:paraId="0B246A90" w14:textId="77777777" w:rsidR="006F2F6D" w:rsidRPr="006A561F" w:rsidRDefault="4EAA50EC" w:rsidP="00EB486D">
      <w:pPr>
        <w:pStyle w:val="ItadNormalText"/>
        <w:jc w:val="both"/>
        <w:rPr>
          <w:b/>
          <w:bCs/>
        </w:rPr>
      </w:pPr>
      <w:r w:rsidRPr="4977AA67">
        <w:rPr>
          <w:b/>
          <w:bCs/>
          <w:color w:val="578A46"/>
        </w:rPr>
        <w:t>Finding 2.1:</w:t>
      </w:r>
      <w:r w:rsidRPr="4977AA67">
        <w:rPr>
          <w:b/>
          <w:bCs/>
        </w:rPr>
        <w:t xml:space="preserve"> The programme adapted effectively to respond to </w:t>
      </w:r>
      <w:r w:rsidR="00FEC27B" w:rsidRPr="4977AA67">
        <w:rPr>
          <w:b/>
          <w:bCs/>
        </w:rPr>
        <w:t>several</w:t>
      </w:r>
      <w:r w:rsidRPr="4977AA67">
        <w:rPr>
          <w:b/>
          <w:bCs/>
        </w:rPr>
        <w:t xml:space="preserve"> political and security challenges. Opportunities to intervene were identified and capitali</w:t>
      </w:r>
      <w:r w:rsidR="23826728" w:rsidRPr="4977AA67">
        <w:rPr>
          <w:b/>
          <w:bCs/>
        </w:rPr>
        <w:t>s</w:t>
      </w:r>
      <w:r w:rsidRPr="4977AA67">
        <w:rPr>
          <w:b/>
          <w:bCs/>
        </w:rPr>
        <w:t xml:space="preserve">ed upon, and </w:t>
      </w:r>
      <w:r w:rsidR="23826728" w:rsidRPr="4977AA67">
        <w:rPr>
          <w:b/>
          <w:bCs/>
        </w:rPr>
        <w:t>COs</w:t>
      </w:r>
      <w:r w:rsidRPr="4977AA67">
        <w:rPr>
          <w:b/>
          <w:bCs/>
        </w:rPr>
        <w:t xml:space="preserve"> achieved impressive results in the face of major challenges</w:t>
      </w:r>
      <w:r w:rsidR="42418C87" w:rsidRPr="4977AA67">
        <w:rPr>
          <w:b/>
          <w:bCs/>
        </w:rPr>
        <w:t xml:space="preserve"> – including backlash to community organisations using CEDAW language and associated logos </w:t>
      </w:r>
      <w:r w:rsidR="47372DED" w:rsidRPr="4977AA67">
        <w:rPr>
          <w:b/>
          <w:bCs/>
        </w:rPr>
        <w:t>of international organisations or donors</w:t>
      </w:r>
      <w:r w:rsidRPr="4977AA67">
        <w:rPr>
          <w:b/>
          <w:bCs/>
        </w:rPr>
        <w:t>. However, taking national-level adaptations too far carrie</w:t>
      </w:r>
      <w:r w:rsidR="2E45FCDB" w:rsidRPr="4977AA67">
        <w:rPr>
          <w:b/>
          <w:bCs/>
        </w:rPr>
        <w:t>d</w:t>
      </w:r>
      <w:r w:rsidRPr="4977AA67">
        <w:rPr>
          <w:b/>
          <w:bCs/>
        </w:rPr>
        <w:t xml:space="preserve"> the risk of dilution of the overall coherence of the regional approach</w:t>
      </w:r>
      <w:r w:rsidR="23826728" w:rsidRPr="4977AA67">
        <w:rPr>
          <w:b/>
          <w:bCs/>
        </w:rPr>
        <w:t>.</w:t>
      </w:r>
    </w:p>
    <w:p w14:paraId="0F18BA35" w14:textId="77777777" w:rsidR="007645C4" w:rsidRDefault="51CF0694" w:rsidP="4977AA67">
      <w:pPr>
        <w:pStyle w:val="ItadNormalText"/>
        <w:jc w:val="both"/>
        <w:rPr>
          <w:rFonts w:cstheme="minorBidi"/>
        </w:rPr>
      </w:pPr>
      <w:r>
        <w:t xml:space="preserve">National-level adaptations were necessary for the programme to be able to function. </w:t>
      </w:r>
      <w:r w:rsidR="34E33E4E" w:rsidRPr="4977AA67">
        <w:rPr>
          <w:rFonts w:cstheme="minorBidi"/>
        </w:rPr>
        <w:t xml:space="preserve">In Egypt, the </w:t>
      </w:r>
      <w:r w:rsidR="5DA51976" w:rsidRPr="4977AA67">
        <w:rPr>
          <w:rFonts w:cstheme="minorBidi"/>
        </w:rPr>
        <w:t>CO</w:t>
      </w:r>
      <w:r w:rsidR="34E33E4E" w:rsidRPr="4977AA67">
        <w:rPr>
          <w:rFonts w:cstheme="minorBidi"/>
        </w:rPr>
        <w:t xml:space="preserve"> capitalised on the momentum of the new Constitution and Cabinet under the current President t</w:t>
      </w:r>
      <w:r w:rsidR="6C6A3BC8" w:rsidRPr="4977AA67">
        <w:rPr>
          <w:rFonts w:cstheme="minorBidi"/>
        </w:rPr>
        <w:t>o</w:t>
      </w:r>
      <w:r w:rsidR="34E33E4E" w:rsidRPr="4977AA67">
        <w:rPr>
          <w:rFonts w:cstheme="minorBidi"/>
        </w:rPr>
        <w:t xml:space="preserve"> influence the development of the Egypt 2030 Agenda, advocating for the inclusion of men in the gender strategy. </w:t>
      </w:r>
      <w:r w:rsidR="0D2853F1" w:rsidRPr="4977AA67">
        <w:rPr>
          <w:rFonts w:cstheme="minorBidi"/>
        </w:rPr>
        <w:t xml:space="preserve">Moreover, as described in finding 1.1., the </w:t>
      </w:r>
      <w:r w:rsidR="34E33E4E" w:rsidRPr="4977AA67">
        <w:rPr>
          <w:rFonts w:cstheme="minorBidi"/>
        </w:rPr>
        <w:t>Country Office released a summary of the IMAGES survey in Egypt</w:t>
      </w:r>
      <w:r w:rsidR="6109A2B5" w:rsidRPr="4977AA67">
        <w:rPr>
          <w:rFonts w:cstheme="minorBidi"/>
        </w:rPr>
        <w:t xml:space="preserve"> to accommodate for the fact that the full study was not published</w:t>
      </w:r>
      <w:r w:rsidR="006F2F6D" w:rsidRPr="0D4BD307">
        <w:rPr>
          <w:rStyle w:val="FootnoteReference"/>
          <w:rFonts w:cstheme="minorBidi"/>
          <w:sz w:val="22"/>
          <w:szCs w:val="22"/>
        </w:rPr>
        <w:footnoteReference w:id="97"/>
      </w:r>
      <w:r w:rsidR="3774BE70" w:rsidRPr="4977AA67">
        <w:t>￼</w:t>
      </w:r>
      <w:r w:rsidR="006F2F6D" w:rsidRPr="0D4BD307">
        <w:rPr>
          <w:rStyle w:val="FootnoteReference"/>
          <w:rFonts w:cstheme="minorBidi"/>
          <w:sz w:val="22"/>
          <w:szCs w:val="22"/>
        </w:rPr>
        <w:footnoteReference w:id="98"/>
      </w:r>
      <w:r w:rsidR="3774BE70" w:rsidRPr="4977AA67">
        <w:t>￼</w:t>
      </w:r>
      <w:r w:rsidR="34E33E4E" w:rsidRPr="4977AA67">
        <w:rPr>
          <w:rFonts w:cstheme="minorBidi"/>
        </w:rPr>
        <w:t xml:space="preserve"> Adaptations made included moving advocacy work onto the streets</w:t>
      </w:r>
      <w:r w:rsidR="5DA51976" w:rsidRPr="4977AA67">
        <w:rPr>
          <w:rFonts w:cstheme="minorBidi"/>
        </w:rPr>
        <w:t>,</w:t>
      </w:r>
      <w:r w:rsidR="34E33E4E" w:rsidRPr="4977AA67">
        <w:rPr>
          <w:rFonts w:cstheme="minorBidi"/>
        </w:rPr>
        <w:t xml:space="preserve"> to capitali</w:t>
      </w:r>
      <w:r w:rsidR="5DA51976" w:rsidRPr="4977AA67">
        <w:rPr>
          <w:rFonts w:cstheme="minorBidi"/>
        </w:rPr>
        <w:t>s</w:t>
      </w:r>
      <w:r w:rsidR="34E33E4E" w:rsidRPr="4977AA67">
        <w:rPr>
          <w:rFonts w:cstheme="minorBidi"/>
        </w:rPr>
        <w:t xml:space="preserve">e upon the public campaigning, and supporting research on female journalists during the crisis. MWGE also unified the voices of feminist groups and supported the production of a </w:t>
      </w:r>
      <w:r w:rsidR="34E33E4E" w:rsidRPr="4977AA67">
        <w:rPr>
          <w:rFonts w:cstheme="minorBidi"/>
          <w:i/>
          <w:iCs/>
        </w:rPr>
        <w:t>Feminist Charter of Demands</w:t>
      </w:r>
      <w:r w:rsidR="006F2F6D" w:rsidRPr="40E44CAF">
        <w:rPr>
          <w:rStyle w:val="FootnoteReference"/>
          <w:rFonts w:cstheme="minorBidi"/>
          <w:i/>
          <w:iCs/>
          <w:sz w:val="22"/>
          <w:szCs w:val="22"/>
        </w:rPr>
        <w:footnoteReference w:id="99"/>
      </w:r>
      <w:r w:rsidR="3774BE70" w:rsidRPr="4977AA67">
        <w:t>￼</w:t>
      </w:r>
      <w:r w:rsidR="34E33E4E" w:rsidRPr="4977AA67">
        <w:rPr>
          <w:rFonts w:cstheme="minorBidi"/>
        </w:rPr>
        <w:t xml:space="preserve"> a gender</w:t>
      </w:r>
      <w:r w:rsidR="5DA51976" w:rsidRPr="4977AA67">
        <w:rPr>
          <w:rFonts w:cstheme="minorBidi"/>
        </w:rPr>
        <w:t xml:space="preserve"> </w:t>
      </w:r>
      <w:r w:rsidR="002E3174">
        <w:rPr>
          <w:rStyle w:val="FootnoteReference"/>
        </w:rPr>
        <w:footnoteReference w:id="100"/>
      </w:r>
      <w:r w:rsidR="359A72A2" w:rsidRPr="4977AA67">
        <w:t>￼</w:t>
      </w:r>
      <w:r w:rsidR="34E33E4E" w:rsidRPr="4977AA67">
        <w:rPr>
          <w:rFonts w:cstheme="minorBidi"/>
        </w:rPr>
        <w:t xml:space="preserve"> </w:t>
      </w:r>
    </w:p>
    <w:p w14:paraId="42AC36F4" w14:textId="77777777" w:rsidR="006F2F6D" w:rsidRPr="006A561F" w:rsidRDefault="3821617E" w:rsidP="40E44CAF">
      <w:pPr>
        <w:pStyle w:val="ItadNormalText"/>
        <w:jc w:val="both"/>
        <w:rPr>
          <w:b/>
          <w:bCs/>
        </w:rPr>
      </w:pPr>
      <w:r w:rsidRPr="4977AA67">
        <w:rPr>
          <w:rFonts w:cstheme="minorBidi"/>
        </w:rPr>
        <w:t>Re</w:t>
      </w:r>
      <w:r w:rsidR="510E778F" w:rsidRPr="4977AA67">
        <w:rPr>
          <w:rFonts w:cstheme="minorBidi"/>
        </w:rPr>
        <w:t xml:space="preserve">sistance to </w:t>
      </w:r>
      <w:r w:rsidR="722F82E8" w:rsidRPr="4977AA67">
        <w:rPr>
          <w:rFonts w:cstheme="minorBidi"/>
        </w:rPr>
        <w:t xml:space="preserve">the </w:t>
      </w:r>
      <w:r w:rsidR="30AD2A10" w:rsidRPr="4977AA67">
        <w:rPr>
          <w:rFonts w:cstheme="minorBidi"/>
        </w:rPr>
        <w:t>promot</w:t>
      </w:r>
      <w:r w:rsidR="722F82E8" w:rsidRPr="4977AA67">
        <w:rPr>
          <w:rFonts w:cstheme="minorBidi"/>
        </w:rPr>
        <w:t>ion</w:t>
      </w:r>
      <w:r w:rsidR="30AD2A10" w:rsidRPr="4977AA67">
        <w:rPr>
          <w:rFonts w:cstheme="minorBidi"/>
        </w:rPr>
        <w:t xml:space="preserve"> </w:t>
      </w:r>
      <w:r w:rsidR="722F82E8" w:rsidRPr="4977AA67">
        <w:rPr>
          <w:rFonts w:cstheme="minorBidi"/>
        </w:rPr>
        <w:t xml:space="preserve">of </w:t>
      </w:r>
      <w:r w:rsidR="510E778F" w:rsidRPr="4977AA67">
        <w:rPr>
          <w:rFonts w:cstheme="minorBidi"/>
        </w:rPr>
        <w:t>gender equality</w:t>
      </w:r>
      <w:r w:rsidR="3A13EC43" w:rsidRPr="4977AA67">
        <w:rPr>
          <w:rFonts w:cstheme="minorBidi"/>
        </w:rPr>
        <w:t xml:space="preserve"> </w:t>
      </w:r>
      <w:r w:rsidR="37038915" w:rsidRPr="4977AA67">
        <w:rPr>
          <w:rFonts w:cstheme="minorBidi"/>
        </w:rPr>
        <w:t xml:space="preserve">also </w:t>
      </w:r>
      <w:r w:rsidR="3A13EC43" w:rsidRPr="4977AA67">
        <w:rPr>
          <w:rFonts w:cstheme="minorBidi"/>
        </w:rPr>
        <w:t xml:space="preserve">included </w:t>
      </w:r>
      <w:r w:rsidR="37038915" w:rsidRPr="4977AA67">
        <w:rPr>
          <w:rFonts w:cstheme="minorBidi"/>
        </w:rPr>
        <w:t xml:space="preserve">labelling </w:t>
      </w:r>
      <w:r w:rsidR="3FB0F3F8" w:rsidRPr="4977AA67">
        <w:rPr>
          <w:rFonts w:cstheme="minorBidi"/>
        </w:rPr>
        <w:t>of it as a ‘western agenda</w:t>
      </w:r>
      <w:r w:rsidR="6B5606B7" w:rsidRPr="4977AA67">
        <w:rPr>
          <w:rFonts w:cstheme="minorBidi"/>
        </w:rPr>
        <w:t>’ and</w:t>
      </w:r>
      <w:r w:rsidR="3FB0F3F8" w:rsidRPr="4977AA67">
        <w:rPr>
          <w:rFonts w:cstheme="minorBidi"/>
        </w:rPr>
        <w:t xml:space="preserve"> led to the removal of</w:t>
      </w:r>
      <w:r w:rsidR="30AD2A10" w:rsidRPr="4977AA67">
        <w:rPr>
          <w:rFonts w:cstheme="minorBidi"/>
        </w:rPr>
        <w:t xml:space="preserve"> UN Women and </w:t>
      </w:r>
      <w:proofErr w:type="spellStart"/>
      <w:r w:rsidR="30AD2A10" w:rsidRPr="4977AA67">
        <w:rPr>
          <w:rFonts w:cstheme="minorBidi"/>
        </w:rPr>
        <w:t>Sida</w:t>
      </w:r>
      <w:proofErr w:type="spellEnd"/>
      <w:r w:rsidR="3FB0F3F8" w:rsidRPr="4977AA67">
        <w:rPr>
          <w:rFonts w:cstheme="minorBidi"/>
        </w:rPr>
        <w:t xml:space="preserve"> logos from </w:t>
      </w:r>
      <w:r w:rsidR="348CFF1A" w:rsidRPr="4977AA67">
        <w:rPr>
          <w:rFonts w:cstheme="minorBidi"/>
        </w:rPr>
        <w:t>some of the CBO publications</w:t>
      </w:r>
      <w:r w:rsidR="00D52FCD">
        <w:rPr>
          <w:rStyle w:val="FootnoteReference"/>
        </w:rPr>
        <w:footnoteReference w:id="101"/>
      </w:r>
      <w:r w:rsidR="6AE812F7" w:rsidRPr="4977AA67">
        <w:rPr>
          <w:rFonts w:cstheme="minorBidi"/>
        </w:rPr>
        <w:t>.</w:t>
      </w:r>
      <w:r w:rsidR="30AD2A10" w:rsidRPr="4977AA67">
        <w:rPr>
          <w:rFonts w:cstheme="minorBidi"/>
        </w:rPr>
        <w:t xml:space="preserve"> </w:t>
      </w:r>
      <w:r w:rsidR="510E778F" w:rsidRPr="4977AA67">
        <w:rPr>
          <w:rFonts w:cstheme="minorBidi"/>
        </w:rPr>
        <w:t xml:space="preserve"> </w:t>
      </w:r>
      <w:r w:rsidR="0743636A" w:rsidRPr="4977AA67">
        <w:rPr>
          <w:rFonts w:cstheme="minorBidi"/>
        </w:rPr>
        <w:t>An emergency plan was prepared to deal with movement restrictions</w:t>
      </w:r>
      <w:r w:rsidR="1ACD9C5E" w:rsidRPr="4977AA67">
        <w:rPr>
          <w:rFonts w:cstheme="minorBidi"/>
        </w:rPr>
        <w:t xml:space="preserve"> in Palestine</w:t>
      </w:r>
      <w:r w:rsidR="0743636A" w:rsidRPr="4977AA67">
        <w:rPr>
          <w:rFonts w:cstheme="minorBidi"/>
        </w:rPr>
        <w:t>, with many activities moved to Zoom and WhatsApp</w:t>
      </w:r>
      <w:r w:rsidR="006F2F6D" w:rsidRPr="0D4BD307">
        <w:rPr>
          <w:rStyle w:val="FootnoteReference"/>
          <w:sz w:val="22"/>
          <w:szCs w:val="22"/>
        </w:rPr>
        <w:footnoteReference w:id="102"/>
      </w:r>
      <w:r w:rsidR="5021C56C" w:rsidRPr="4977AA67">
        <w:rPr>
          <w:rFonts w:cstheme="minorBidi"/>
        </w:rPr>
        <w:t>.</w:t>
      </w:r>
      <w:r w:rsidR="0743636A" w:rsidRPr="4977AA67">
        <w:rPr>
          <w:rFonts w:cstheme="minorBidi"/>
        </w:rPr>
        <w:t xml:space="preserve"> There were also restrictions on CBO activities and freedom of speech, with CBOs focused on resisting these new laws. In Tunisia, the political and economic crisis since 2021 </w:t>
      </w:r>
      <w:r w:rsidR="31E2D2D7" w:rsidRPr="4977AA67">
        <w:rPr>
          <w:rFonts w:cstheme="minorBidi"/>
        </w:rPr>
        <w:t>may also</w:t>
      </w:r>
      <w:r w:rsidR="0743636A" w:rsidRPr="4977AA67">
        <w:rPr>
          <w:rFonts w:cstheme="minorBidi"/>
        </w:rPr>
        <w:t xml:space="preserve"> </w:t>
      </w:r>
      <w:r w:rsidR="7531E816" w:rsidRPr="4977AA67">
        <w:rPr>
          <w:rFonts w:cstheme="minorBidi"/>
        </w:rPr>
        <w:t xml:space="preserve">have </w:t>
      </w:r>
      <w:r w:rsidR="0743636A" w:rsidRPr="4977AA67">
        <w:rPr>
          <w:rFonts w:cstheme="minorBidi"/>
        </w:rPr>
        <w:t>had negative repercussions on the implementation of the project and on government responsiveness.</w:t>
      </w:r>
      <w:r w:rsidR="006F2F6D" w:rsidRPr="0D4BD307">
        <w:rPr>
          <w:rStyle w:val="FootnoteReference"/>
          <w:sz w:val="22"/>
          <w:szCs w:val="22"/>
        </w:rPr>
        <w:footnoteReference w:id="103"/>
      </w:r>
    </w:p>
    <w:p w14:paraId="63C51537" w14:textId="77777777" w:rsidR="00BC5B53" w:rsidRPr="007F6DFD" w:rsidRDefault="66B7CB77" w:rsidP="00441BDD">
      <w:pPr>
        <w:pStyle w:val="ItadNormalText"/>
        <w:jc w:val="both"/>
      </w:pPr>
      <w:r w:rsidRPr="006A561F">
        <w:lastRenderedPageBreak/>
        <w:t>I</w:t>
      </w:r>
      <w:r w:rsidR="0743636A" w:rsidRPr="006A561F">
        <w:t>n Lebanon,</w:t>
      </w:r>
      <w:r w:rsidR="4326D6BC" w:rsidRPr="006A561F">
        <w:t xml:space="preserve"> adaptations </w:t>
      </w:r>
      <w:r w:rsidR="0743636A" w:rsidRPr="006A561F">
        <w:t>increas</w:t>
      </w:r>
      <w:r w:rsidR="4326D6BC" w:rsidRPr="006A561F">
        <w:t>ed</w:t>
      </w:r>
      <w:r w:rsidR="0743636A" w:rsidRPr="006A561F">
        <w:t xml:space="preserve"> </w:t>
      </w:r>
      <w:r w:rsidR="1101251C" w:rsidRPr="006A561F">
        <w:t>the programme’s</w:t>
      </w:r>
      <w:r w:rsidR="0743636A" w:rsidRPr="006A561F">
        <w:t xml:space="preserve"> relevance nationally, strengthen</w:t>
      </w:r>
      <w:r w:rsidR="4326D6BC" w:rsidRPr="006A561F">
        <w:t>ed</w:t>
      </w:r>
      <w:r w:rsidR="0743636A" w:rsidRPr="006A561F">
        <w:t xml:space="preserve"> its links with the women’s rights movement and develop</w:t>
      </w:r>
      <w:r w:rsidR="4326D6BC" w:rsidRPr="006A561F">
        <w:t>ed</w:t>
      </w:r>
      <w:r w:rsidR="0743636A" w:rsidRPr="006A561F">
        <w:t xml:space="preserve"> important findings and lessons learned for the </w:t>
      </w:r>
      <w:proofErr w:type="gramStart"/>
      <w:r w:rsidR="0743636A" w:rsidRPr="006A561F">
        <w:t>programme as a whole</w:t>
      </w:r>
      <w:proofErr w:type="gramEnd"/>
      <w:r w:rsidR="0743636A" w:rsidRPr="006A561F">
        <w:t>.</w:t>
      </w:r>
      <w:r w:rsidR="006F2F6D" w:rsidRPr="0D4BD307">
        <w:rPr>
          <w:rStyle w:val="FootnoteReference"/>
          <w:sz w:val="22"/>
          <w:szCs w:val="22"/>
        </w:rPr>
        <w:footnoteReference w:id="104"/>
      </w:r>
      <w:r w:rsidR="0743636A" w:rsidRPr="006A561F">
        <w:t xml:space="preserve"> Nonetheless, the greater the national-level deviation </w:t>
      </w:r>
      <w:r w:rsidR="44BBEF87" w:rsidRPr="006A561F">
        <w:t>wa</w:t>
      </w:r>
      <w:r w:rsidR="0743636A" w:rsidRPr="006A561F">
        <w:t>s from the regional approach and framework, the less coherence the programme end</w:t>
      </w:r>
      <w:r w:rsidR="460A3E10" w:rsidRPr="006A561F">
        <w:t>ed</w:t>
      </w:r>
      <w:r w:rsidR="0743636A" w:rsidRPr="006A561F">
        <w:t xml:space="preserve"> up having, diluting its potential impact.</w:t>
      </w:r>
    </w:p>
    <w:p w14:paraId="1ACBD25F" w14:textId="77777777" w:rsidR="006F2F6D" w:rsidRPr="006A561F" w:rsidRDefault="0743636A" w:rsidP="00441BDD">
      <w:pPr>
        <w:pStyle w:val="ItadNormalText"/>
        <w:jc w:val="both"/>
      </w:pPr>
      <w:r w:rsidRPr="4977AA67">
        <w:rPr>
          <w:rFonts w:cstheme="minorBidi"/>
        </w:rPr>
        <w:t xml:space="preserve">Program P was </w:t>
      </w:r>
      <w:r w:rsidR="5AC9C7E7" w:rsidRPr="4977AA67">
        <w:rPr>
          <w:rFonts w:cstheme="minorBidi"/>
        </w:rPr>
        <w:t xml:space="preserve">also </w:t>
      </w:r>
      <w:r w:rsidRPr="4977AA67">
        <w:rPr>
          <w:rFonts w:cstheme="minorBidi"/>
        </w:rPr>
        <w:t xml:space="preserve">adapted to national contexts in consultation with </w:t>
      </w:r>
      <w:proofErr w:type="spellStart"/>
      <w:r w:rsidRPr="4977AA67">
        <w:rPr>
          <w:rFonts w:cstheme="minorBidi"/>
        </w:rPr>
        <w:t>Promundo</w:t>
      </w:r>
      <w:proofErr w:type="spellEnd"/>
      <w:r w:rsidRPr="4977AA67">
        <w:rPr>
          <w:rFonts w:cstheme="minorBidi"/>
        </w:rPr>
        <w:t xml:space="preserve"> and </w:t>
      </w:r>
      <w:proofErr w:type="spellStart"/>
      <w:r w:rsidR="0E676792" w:rsidRPr="4977AA67">
        <w:rPr>
          <w:rFonts w:cstheme="minorBidi"/>
        </w:rPr>
        <w:t>COs</w:t>
      </w:r>
      <w:r w:rsidRPr="007F6DFD">
        <w:t>.</w:t>
      </w:r>
      <w:proofErr w:type="spellEnd"/>
      <w:r w:rsidRPr="00504809">
        <w:t xml:space="preserve"> Lebanon was the first country in which Program P was implemented in Phase I, led by ABAAD</w:t>
      </w:r>
      <w:r w:rsidR="0CF5DDE4" w:rsidRPr="00504809">
        <w:t xml:space="preserve"> (Resource </w:t>
      </w:r>
      <w:proofErr w:type="spellStart"/>
      <w:r w:rsidR="0CF5DDE4" w:rsidRPr="00504809">
        <w:t>Center</w:t>
      </w:r>
      <w:proofErr w:type="spellEnd"/>
      <w:r w:rsidR="0CF5DDE4" w:rsidRPr="00504809">
        <w:t xml:space="preserve"> for Gender Equality)</w:t>
      </w:r>
      <w:r w:rsidR="0E676792" w:rsidRPr="00504809">
        <w:t>,</w:t>
      </w:r>
      <w:r w:rsidRPr="00504809">
        <w:t xml:space="preserve"> who conducted formative research to tailor the toolkit. In Egypt, the </w:t>
      </w:r>
      <w:r w:rsidR="0E676792" w:rsidRPr="00504809">
        <w:t>CO</w:t>
      </w:r>
      <w:r w:rsidRPr="00504809">
        <w:t xml:space="preserve"> and local partners Wellspring created a new intervention tailored to the Egyptian context. A </w:t>
      </w:r>
      <w:r w:rsidR="0E676792" w:rsidRPr="00504809">
        <w:t>G</w:t>
      </w:r>
      <w:r w:rsidR="506BB37B" w:rsidRPr="00504809">
        <w:t xml:space="preserve">ender </w:t>
      </w:r>
      <w:r w:rsidR="0E676792" w:rsidRPr="00504809">
        <w:t>T</w:t>
      </w:r>
      <w:r w:rsidR="173790CB" w:rsidRPr="00504809">
        <w:t xml:space="preserve">ransformative </w:t>
      </w:r>
      <w:r w:rsidR="0E676792" w:rsidRPr="00504809">
        <w:t>P</w:t>
      </w:r>
      <w:r w:rsidR="473043BD" w:rsidRPr="00504809">
        <w:t>arenting (GTP)</w:t>
      </w:r>
      <w:r w:rsidR="0E676792" w:rsidRPr="00504809">
        <w:t xml:space="preserve"> </w:t>
      </w:r>
      <w:r w:rsidRPr="00504809">
        <w:t>programme was designed by Wellspring</w:t>
      </w:r>
      <w:r w:rsidR="10DECA46" w:rsidRPr="00504809">
        <w:t xml:space="preserve"> </w:t>
      </w:r>
      <w:r w:rsidR="78A6E230">
        <w:t>i</w:t>
      </w:r>
      <w:r w:rsidRPr="00504809">
        <w:t xml:space="preserve">n collaboration with the </w:t>
      </w:r>
      <w:r w:rsidR="0E676792" w:rsidRPr="00504809">
        <w:t>CO and ROAS</w:t>
      </w:r>
      <w:r w:rsidRPr="00504809">
        <w:t>,</w:t>
      </w:r>
      <w:r w:rsidR="00F42880" w:rsidRPr="00504809">
        <w:rPr>
          <w:rStyle w:val="FootnoteReference"/>
        </w:rPr>
        <w:footnoteReference w:id="105"/>
      </w:r>
      <w:r w:rsidRPr="00504809">
        <w:t xml:space="preserve"> centred around camps targeting whole families rather than only men. </w:t>
      </w:r>
      <w:r w:rsidRPr="006A561F">
        <w:t xml:space="preserve">In Palestine, Phase </w:t>
      </w:r>
      <w:r w:rsidR="0E676792" w:rsidRPr="006A561F">
        <w:t>I</w:t>
      </w:r>
      <w:r w:rsidRPr="006A561F">
        <w:t xml:space="preserve"> community activities targeted men only. However, it was realised that working with both men and women was more effective, and therefore this adaptation was implemented in Phase </w:t>
      </w:r>
      <w:r w:rsidR="0E676792" w:rsidRPr="006A561F">
        <w:t>II</w:t>
      </w:r>
      <w:r w:rsidRPr="006A561F">
        <w:t xml:space="preserve"> </w:t>
      </w:r>
      <w:r w:rsidR="0E676792" w:rsidRPr="006A561F">
        <w:t>in the piloting of</w:t>
      </w:r>
      <w:r w:rsidRPr="006A561F">
        <w:t xml:space="preserve"> Program P. The curriculum </w:t>
      </w:r>
      <w:r w:rsidR="47EDF500" w:rsidRPr="006A561F">
        <w:t xml:space="preserve">was </w:t>
      </w:r>
      <w:r w:rsidRPr="006A561F">
        <w:t xml:space="preserve">adapted to take account of the impact of the security situation on children and families and the resulting trauma </w:t>
      </w:r>
      <w:r w:rsidR="7C6ADE2D" w:rsidRPr="006A561F">
        <w:t>it</w:t>
      </w:r>
      <w:r w:rsidRPr="006A561F">
        <w:t xml:space="preserve"> created.</w:t>
      </w:r>
      <w:r w:rsidR="006F2F6D" w:rsidRPr="0D4BD307">
        <w:rPr>
          <w:rStyle w:val="FootnoteReference"/>
          <w:sz w:val="22"/>
          <w:szCs w:val="22"/>
        </w:rPr>
        <w:footnoteReference w:id="106"/>
      </w:r>
      <w:r w:rsidRPr="006A561F">
        <w:t xml:space="preserve"> </w:t>
      </w:r>
    </w:p>
    <w:p w14:paraId="185255DD" w14:textId="77777777" w:rsidR="00F27FA2" w:rsidRPr="006A561F" w:rsidRDefault="0743636A" w:rsidP="00441BDD">
      <w:pPr>
        <w:pStyle w:val="ItadNormalText"/>
        <w:jc w:val="both"/>
      </w:pPr>
      <w:r w:rsidRPr="40E44CAF">
        <w:t xml:space="preserve">The IMAGES survey implementation </w:t>
      </w:r>
      <w:r w:rsidR="5A1E60C3" w:rsidRPr="40E44CAF">
        <w:t xml:space="preserve">was also </w:t>
      </w:r>
      <w:r w:rsidRPr="40E44CAF">
        <w:t xml:space="preserve">adapted between Phase </w:t>
      </w:r>
      <w:r w:rsidR="6C492519" w:rsidRPr="40E44CAF">
        <w:t>I</w:t>
      </w:r>
      <w:r w:rsidRPr="40E44CAF">
        <w:t xml:space="preserve"> and Phase </w:t>
      </w:r>
      <w:r w:rsidR="6C492519" w:rsidRPr="40E44CAF">
        <w:t>II</w:t>
      </w:r>
      <w:r w:rsidRPr="40E44CAF">
        <w:t xml:space="preserve">, with Jordan and Tunisia learning from the experiences of the Phase </w:t>
      </w:r>
      <w:r w:rsidR="6C492519" w:rsidRPr="40E44CAF">
        <w:t>I</w:t>
      </w:r>
      <w:r w:rsidRPr="40E44CAF">
        <w:t xml:space="preserve"> surveys.</w:t>
      </w:r>
      <w:r w:rsidRPr="006A561F">
        <w:t xml:space="preserve"> In Egypt and Morocco, in Phase </w:t>
      </w:r>
      <w:r w:rsidR="6C492519" w:rsidRPr="006A561F">
        <w:t>I</w:t>
      </w:r>
      <w:r w:rsidRPr="006A561F">
        <w:t xml:space="preserve"> </w:t>
      </w:r>
      <w:proofErr w:type="spellStart"/>
      <w:r w:rsidRPr="006A561F">
        <w:t>Promundo</w:t>
      </w:r>
      <w:proofErr w:type="spellEnd"/>
      <w:r w:rsidRPr="006A561F">
        <w:t xml:space="preserve"> led the contracting, and national ownership of the process was limited.</w:t>
      </w:r>
      <w:r w:rsidR="006F2F6D" w:rsidRPr="4977AA67">
        <w:rPr>
          <w:rStyle w:val="FootnoteReference"/>
          <w:rFonts w:cstheme="minorBidi"/>
          <w:sz w:val="22"/>
          <w:szCs w:val="22"/>
        </w:rPr>
        <w:footnoteReference w:id="107"/>
      </w:r>
      <w:r w:rsidRPr="006A561F">
        <w:t xml:space="preserve">. In Jordan and Tunisia, in Phase </w:t>
      </w:r>
      <w:r w:rsidR="6C492519" w:rsidRPr="006A561F">
        <w:t>II</w:t>
      </w:r>
      <w:r w:rsidRPr="006A561F">
        <w:t xml:space="preserve"> the surveys were both nationally representative, and the tools and samples were adapted to meet local circumstances, for example </w:t>
      </w:r>
      <w:r w:rsidR="2C55070F" w:rsidRPr="006A561F">
        <w:t xml:space="preserve">by </w:t>
      </w:r>
      <w:r w:rsidRPr="006A561F">
        <w:t>adding a sub-sample of Syrian refugees in the Jordan survey</w:t>
      </w:r>
      <w:r w:rsidR="6C492519" w:rsidRPr="006A561F">
        <w:t>.</w:t>
      </w:r>
      <w:r w:rsidR="006F2F6D" w:rsidRPr="4977AA67">
        <w:rPr>
          <w:rStyle w:val="FootnoteReference"/>
          <w:rFonts w:cstheme="minorBidi"/>
          <w:sz w:val="22"/>
          <w:szCs w:val="22"/>
        </w:rPr>
        <w:footnoteReference w:id="108"/>
      </w:r>
      <w:r w:rsidRPr="006A561F">
        <w:t xml:space="preserve"> Qualitative research methods</w:t>
      </w:r>
      <w:r w:rsidR="6C492519" w:rsidRPr="006A561F">
        <w:t xml:space="preserve"> were adapted</w:t>
      </w:r>
      <w:r w:rsidRPr="006A561F">
        <w:t xml:space="preserve"> to cover other potentially marginalised groups, such as Iraqi refugees and LGBTI </w:t>
      </w:r>
      <w:r w:rsidR="77FC6E4D">
        <w:t xml:space="preserve">persons (although the latter target group </w:t>
      </w:r>
      <w:r w:rsidR="653CA9DB">
        <w:t xml:space="preserve">was not mentioned explicitly in the programme for complex </w:t>
      </w:r>
      <w:r w:rsidR="24DA9A36">
        <w:t>reasons concerning government and community buy-in</w:t>
      </w:r>
      <w:r w:rsidR="1B86FABB">
        <w:t>).</w:t>
      </w:r>
      <w:r w:rsidRPr="006A561F">
        <w:t xml:space="preserve"> Also, local research partners were directly contracted by UN Women, with technical support, </w:t>
      </w:r>
      <w:proofErr w:type="gramStart"/>
      <w:r w:rsidRPr="006A561F">
        <w:t>training</w:t>
      </w:r>
      <w:proofErr w:type="gramEnd"/>
      <w:r w:rsidRPr="006A561F">
        <w:t xml:space="preserve"> and guidance from </w:t>
      </w:r>
      <w:proofErr w:type="spellStart"/>
      <w:r w:rsidRPr="006A561F">
        <w:t>Promundo</w:t>
      </w:r>
      <w:proofErr w:type="spellEnd"/>
      <w:r w:rsidRPr="006A561F">
        <w:t xml:space="preserve">. This resulted in stronger local ownership of the research, as well as capacity building for local research organisations to implement such surveys in future. </w:t>
      </w:r>
    </w:p>
    <w:p w14:paraId="29B4C079" w14:textId="77777777" w:rsidR="00441BDD" w:rsidRDefault="00441BDD" w:rsidP="006F2F6D">
      <w:pPr>
        <w:pStyle w:val="ItadNormalText"/>
        <w:rPr>
          <w:b/>
          <w:bCs/>
          <w:color w:val="588B46" w:themeColor="text2"/>
        </w:rPr>
      </w:pPr>
    </w:p>
    <w:p w14:paraId="1648BCD9" w14:textId="77777777" w:rsidR="006F2F6D" w:rsidRPr="006A561F" w:rsidRDefault="3774BE70" w:rsidP="4977AA67">
      <w:pPr>
        <w:pStyle w:val="ItadNormalText"/>
        <w:jc w:val="both"/>
        <w:rPr>
          <w:rFonts w:cstheme="minorBidi"/>
          <w:b/>
          <w:bCs/>
        </w:rPr>
      </w:pPr>
      <w:r w:rsidRPr="4977AA67">
        <w:rPr>
          <w:b/>
          <w:bCs/>
          <w:color w:val="588B46" w:themeColor="text2"/>
        </w:rPr>
        <w:t>Finding 2.</w:t>
      </w:r>
      <w:r w:rsidR="48B23A93" w:rsidRPr="4977AA67">
        <w:rPr>
          <w:b/>
          <w:bCs/>
          <w:color w:val="588B46" w:themeColor="text2"/>
        </w:rPr>
        <w:t>2</w:t>
      </w:r>
      <w:r w:rsidRPr="4977AA67">
        <w:rPr>
          <w:b/>
          <w:bCs/>
          <w:color w:val="588B46" w:themeColor="text2"/>
        </w:rPr>
        <w:t>:</w:t>
      </w:r>
      <w:r w:rsidRPr="4977AA67">
        <w:rPr>
          <w:b/>
          <w:bCs/>
        </w:rPr>
        <w:t xml:space="preserve"> </w:t>
      </w:r>
      <w:r w:rsidRPr="4977AA67">
        <w:rPr>
          <w:rFonts w:cstheme="minorBidi"/>
          <w:b/>
          <w:bCs/>
        </w:rPr>
        <w:t>The programme adapted in a flexible and innovative way to</w:t>
      </w:r>
      <w:r w:rsidR="07C7226A" w:rsidRPr="4977AA67">
        <w:rPr>
          <w:rFonts w:cstheme="minorBidi"/>
          <w:b/>
          <w:bCs/>
        </w:rPr>
        <w:t xml:space="preserve"> function during</w:t>
      </w:r>
      <w:r w:rsidRPr="4977AA67">
        <w:rPr>
          <w:rFonts w:cstheme="minorBidi"/>
          <w:b/>
          <w:bCs/>
        </w:rPr>
        <w:t xml:space="preserve"> </w:t>
      </w:r>
      <w:r w:rsidR="399EA9FC" w:rsidRPr="4977AA67">
        <w:rPr>
          <w:rFonts w:cstheme="minorBidi"/>
          <w:b/>
          <w:bCs/>
        </w:rPr>
        <w:t xml:space="preserve">the </w:t>
      </w:r>
      <w:r w:rsidRPr="4977AA67">
        <w:rPr>
          <w:rFonts w:cstheme="minorBidi"/>
          <w:b/>
          <w:bCs/>
        </w:rPr>
        <w:t>COVID-19 pandemic. Community</w:t>
      </w:r>
      <w:r w:rsidR="5B713E9F" w:rsidRPr="4977AA67">
        <w:rPr>
          <w:rFonts w:cstheme="minorBidi"/>
          <w:b/>
          <w:bCs/>
        </w:rPr>
        <w:t>-</w:t>
      </w:r>
      <w:r w:rsidRPr="4977AA67">
        <w:rPr>
          <w:rFonts w:cstheme="minorBidi"/>
          <w:b/>
          <w:bCs/>
        </w:rPr>
        <w:t xml:space="preserve">based interventions moved online, new ways of engaging with beneficiaries were developed, resources were redirected, and new messages were developed. However, there was a risk that poorer communities and those without access to the </w:t>
      </w:r>
      <w:r w:rsidR="1417B87B" w:rsidRPr="4977AA67">
        <w:rPr>
          <w:rFonts w:cstheme="minorBidi"/>
          <w:b/>
          <w:bCs/>
        </w:rPr>
        <w:t>i</w:t>
      </w:r>
      <w:r w:rsidRPr="4977AA67">
        <w:rPr>
          <w:rFonts w:cstheme="minorBidi"/>
          <w:b/>
          <w:bCs/>
        </w:rPr>
        <w:t>nternet may have been marginali</w:t>
      </w:r>
      <w:r w:rsidR="5B713E9F" w:rsidRPr="4977AA67">
        <w:rPr>
          <w:rFonts w:cstheme="minorBidi"/>
          <w:b/>
          <w:bCs/>
        </w:rPr>
        <w:t>s</w:t>
      </w:r>
      <w:r w:rsidRPr="4977AA67">
        <w:rPr>
          <w:rFonts w:cstheme="minorBidi"/>
          <w:b/>
          <w:bCs/>
        </w:rPr>
        <w:t>ed by this shift in approach.</w:t>
      </w:r>
    </w:p>
    <w:p w14:paraId="7F8190F8" w14:textId="77777777" w:rsidR="006F2F6D" w:rsidRPr="006A561F" w:rsidRDefault="0743636A" w:rsidP="00EB486D">
      <w:pPr>
        <w:pStyle w:val="ItadNormalText"/>
        <w:jc w:val="both"/>
      </w:pPr>
      <w:r w:rsidRPr="006A561F">
        <w:t>Community</w:t>
      </w:r>
      <w:r w:rsidR="2D6895B4" w:rsidRPr="006A561F">
        <w:t>-</w:t>
      </w:r>
      <w:r w:rsidRPr="006A561F">
        <w:t xml:space="preserve">based activities were paused, cancelled, </w:t>
      </w:r>
      <w:proofErr w:type="gramStart"/>
      <w:r w:rsidRPr="006A561F">
        <w:t>adapted</w:t>
      </w:r>
      <w:proofErr w:type="gramEnd"/>
      <w:r w:rsidRPr="006A561F">
        <w:t xml:space="preserve"> or shifted online during the COVID-19 pandemic. Adaptations included reducing the size </w:t>
      </w:r>
      <w:r w:rsidR="5F083A79">
        <w:t xml:space="preserve">and increasing the number </w:t>
      </w:r>
      <w:r w:rsidRPr="006A561F">
        <w:t>of training sessions</w:t>
      </w:r>
      <w:r w:rsidR="08BF94CA">
        <w:t xml:space="preserve"> to meet targets</w:t>
      </w:r>
      <w:r w:rsidRPr="006A561F">
        <w:t>,</w:t>
      </w:r>
      <w:r w:rsidR="006F2F6D" w:rsidRPr="4977AA67">
        <w:rPr>
          <w:rStyle w:val="FootnoteReference"/>
          <w:rFonts w:cstheme="minorBidi"/>
          <w:sz w:val="22"/>
          <w:szCs w:val="22"/>
        </w:rPr>
        <w:footnoteReference w:id="109"/>
      </w:r>
      <w:r w:rsidRPr="006A561F">
        <w:t xml:space="preserve"> increasing ventilation at venues, holding meetings outdoors, providing face coverings, and other hygiene measures during community outreach.</w:t>
      </w:r>
      <w:r w:rsidR="006F2F6D" w:rsidRPr="4977AA67">
        <w:rPr>
          <w:rStyle w:val="FootnoteReference"/>
          <w:rFonts w:cstheme="minorBidi"/>
          <w:sz w:val="22"/>
          <w:szCs w:val="22"/>
        </w:rPr>
        <w:footnoteReference w:id="110"/>
      </w:r>
      <w:r w:rsidRPr="006A561F">
        <w:t xml:space="preserve"> In Egypt, NCW shifted from mass awareness campaigning to a door-to-door approach, </w:t>
      </w:r>
      <w:proofErr w:type="gramStart"/>
      <w:r w:rsidR="2D6895B4" w:rsidRPr="006A561F">
        <w:t xml:space="preserve">in order </w:t>
      </w:r>
      <w:r w:rsidRPr="006A561F">
        <w:t>to</w:t>
      </w:r>
      <w:proofErr w:type="gramEnd"/>
      <w:r w:rsidRPr="006A561F">
        <w:t xml:space="preserve"> avoid large gathering</w:t>
      </w:r>
      <w:r w:rsidR="2D6895B4" w:rsidRPr="006A561F">
        <w:t>s</w:t>
      </w:r>
      <w:r w:rsidRPr="006A561F">
        <w:t xml:space="preserve"> while still promoting gender equality. When events were cancelled, resources were redirected to research projects, creation of knowledge products or social media messages.</w:t>
      </w:r>
      <w:r w:rsidR="006F2F6D" w:rsidRPr="4977AA67">
        <w:rPr>
          <w:rStyle w:val="FootnoteReference"/>
          <w:rFonts w:cstheme="minorBidi"/>
          <w:sz w:val="22"/>
          <w:szCs w:val="22"/>
        </w:rPr>
        <w:footnoteReference w:id="111"/>
      </w:r>
      <w:r w:rsidRPr="006A561F">
        <w:t xml:space="preserve"> Also, in Palestine, some peer-to-peer activities were conducted from rooftops and in public parks rather than in home</w:t>
      </w:r>
      <w:r w:rsidR="2D6895B4" w:rsidRPr="006A561F">
        <w:t>s</w:t>
      </w:r>
      <w:r w:rsidRPr="006A561F">
        <w:t>, to ensure that the interactions could continue in a safe manner.</w:t>
      </w:r>
      <w:r w:rsidR="006F2F6D" w:rsidRPr="65017676">
        <w:rPr>
          <w:rStyle w:val="FootnoteReference"/>
          <w:sz w:val="22"/>
          <w:szCs w:val="22"/>
        </w:rPr>
        <w:footnoteReference w:id="112"/>
      </w:r>
      <w:r w:rsidR="3EF1BF8E">
        <w:t xml:space="preserve"> COVID-19 also impacted </w:t>
      </w:r>
      <w:r w:rsidR="17EAAA81">
        <w:t>MWGE MEL activities, as on-site spot checks were no longer possible</w:t>
      </w:r>
      <w:r w:rsidR="766F39F8">
        <w:t xml:space="preserve"> and the </w:t>
      </w:r>
      <w:r w:rsidR="0BD97872">
        <w:t>data collection possibilities of implementing CBOs were also restricted</w:t>
      </w:r>
      <w:r w:rsidR="17EAAA81">
        <w:t>. Instead, regional mon</w:t>
      </w:r>
      <w:r w:rsidR="71750154">
        <w:t xml:space="preserve">itoring data was </w:t>
      </w:r>
      <w:r w:rsidR="71750154">
        <w:lastRenderedPageBreak/>
        <w:t xml:space="preserve">gathered virtually, </w:t>
      </w:r>
      <w:r w:rsidR="1345DD43">
        <w:t xml:space="preserve">and additional </w:t>
      </w:r>
      <w:r w:rsidR="6C7B0409">
        <w:t xml:space="preserve">data was collected at the national level, such as through </w:t>
      </w:r>
      <w:r w:rsidR="6C7B0409" w:rsidRPr="0077620B">
        <w:t xml:space="preserve">regular </w:t>
      </w:r>
      <w:r w:rsidR="6C7B0409">
        <w:t xml:space="preserve">FGDs with youth activists in Lebanon to compensate for </w:t>
      </w:r>
      <w:r w:rsidR="3E5F8983">
        <w:t>missing data</w:t>
      </w:r>
      <w:r w:rsidR="00F22560">
        <w:rPr>
          <w:rStyle w:val="FootnoteReference"/>
        </w:rPr>
        <w:footnoteReference w:id="113"/>
      </w:r>
      <w:r w:rsidR="2181CBAF">
        <w:t>.</w:t>
      </w:r>
      <w:r w:rsidR="7A915187">
        <w:t xml:space="preserve"> </w:t>
      </w:r>
    </w:p>
    <w:p w14:paraId="28A36684" w14:textId="77777777" w:rsidR="006F2F6D" w:rsidRPr="006A561F" w:rsidRDefault="0743636A" w:rsidP="00EB486D">
      <w:pPr>
        <w:pStyle w:val="ItadNormalText"/>
        <w:jc w:val="both"/>
      </w:pPr>
      <w:r w:rsidRPr="40E44CAF">
        <w:t>Shifting activities online to Zoom, WhatsApp and Facebook, and increasing the scale of mass communications, was another response to the pandemic</w:t>
      </w:r>
      <w:r w:rsidR="006F2F6D" w:rsidRPr="65017676">
        <w:rPr>
          <w:rStyle w:val="FootnoteReference"/>
          <w:sz w:val="22"/>
          <w:szCs w:val="22"/>
        </w:rPr>
        <w:footnoteReference w:id="114"/>
      </w:r>
      <w:r w:rsidR="33BBFAD9" w:rsidRPr="006A561F">
        <w:t>.</w:t>
      </w:r>
      <w:r w:rsidRPr="006A561F">
        <w:t xml:space="preserve"> In Morocco, CBOs were trained to use digital methods and social media platforms by the umbrella CBO. Quartiers Du Monde produced songs and social media messages, whil</w:t>
      </w:r>
      <w:r w:rsidR="0639AE3B" w:rsidRPr="006A561F">
        <w:t>e</w:t>
      </w:r>
      <w:r w:rsidRPr="006A561F">
        <w:t xml:space="preserve"> </w:t>
      </w:r>
      <w:proofErr w:type="spellStart"/>
      <w:r w:rsidRPr="006A561F">
        <w:t>Tildat</w:t>
      </w:r>
      <w:proofErr w:type="spellEnd"/>
      <w:r w:rsidRPr="006A561F">
        <w:t xml:space="preserve"> used radio to promote discussion of gender equality</w:t>
      </w:r>
      <w:r w:rsidR="006F2F6D" w:rsidRPr="4977AA67">
        <w:rPr>
          <w:rStyle w:val="FootnoteReference"/>
          <w:rFonts w:cstheme="minorBidi"/>
          <w:sz w:val="22"/>
          <w:szCs w:val="22"/>
        </w:rPr>
        <w:footnoteReference w:id="115"/>
      </w:r>
      <w:r w:rsidR="02DB518F" w:rsidRPr="006A561F">
        <w:t>.</w:t>
      </w:r>
      <w:r w:rsidRPr="006A561F">
        <w:t xml:space="preserve"> In Egypt, CARE conducted a capacity assessment of CBOs, and trained CBOs to use Zoom and other online platforms. Al Shabab changed the content of their training sessions, creating short films which were uploaded to </w:t>
      </w:r>
      <w:r w:rsidRPr="65017676">
        <w:t>Facebook</w:t>
      </w:r>
      <w:r w:rsidRPr="006A561F">
        <w:t xml:space="preserve"> and WhatsApp. In Palestine, the </w:t>
      </w:r>
      <w:r w:rsidR="2D6895B4" w:rsidRPr="006A561F">
        <w:t>CO</w:t>
      </w:r>
      <w:r w:rsidRPr="006A561F">
        <w:t xml:space="preserve"> worked with CBOs to create social media products so</w:t>
      </w:r>
      <w:r w:rsidR="2D6895B4" w:rsidRPr="006A561F">
        <w:t xml:space="preserve"> that</w:t>
      </w:r>
      <w:r w:rsidRPr="006A561F">
        <w:t xml:space="preserve"> they could continue to engage with beneficiaries. Also in Palestine, Positive Deviants conducted peer education sessions </w:t>
      </w:r>
      <w:r w:rsidR="5E02D436">
        <w:t xml:space="preserve">both </w:t>
      </w:r>
      <w:r w:rsidRPr="006A561F">
        <w:t xml:space="preserve">online </w:t>
      </w:r>
      <w:r w:rsidR="5E02D436">
        <w:t xml:space="preserve">and through </w:t>
      </w:r>
      <w:r w:rsidRPr="006A561F">
        <w:t>in-person home visits</w:t>
      </w:r>
      <w:r w:rsidR="5E02D436">
        <w:t>, depending on the existing government restrictions which varied from time to time</w:t>
      </w:r>
      <w:r w:rsidR="006F2F6D" w:rsidRPr="4977AA67">
        <w:rPr>
          <w:rStyle w:val="FootnoteReference"/>
          <w:rFonts w:cstheme="minorBidi"/>
          <w:sz w:val="22"/>
          <w:szCs w:val="22"/>
        </w:rPr>
        <w:footnoteReference w:id="116"/>
      </w:r>
      <w:r w:rsidR="0032760D" w:rsidRPr="006A561F">
        <w:t>.</w:t>
      </w:r>
      <w:r w:rsidRPr="006A561F">
        <w:t xml:space="preserve"> In Tunisia, training for the researchers implementing the IMAGES survey was moved online, which required additional sessions to finalise the questionnaire development</w:t>
      </w:r>
      <w:r w:rsidR="006F2F6D" w:rsidRPr="4977AA67">
        <w:rPr>
          <w:rStyle w:val="FootnoteReference"/>
          <w:rFonts w:cstheme="minorBidi"/>
          <w:sz w:val="22"/>
          <w:szCs w:val="22"/>
        </w:rPr>
        <w:footnoteReference w:id="117"/>
      </w:r>
      <w:r w:rsidR="109DEF3A" w:rsidRPr="006A561F">
        <w:t>.</w:t>
      </w:r>
      <w:r w:rsidRPr="006A561F">
        <w:t xml:space="preserve"> Savings incurred by moving in-person activities </w:t>
      </w:r>
      <w:r w:rsidR="1E62E1D7">
        <w:t xml:space="preserve">(in all countries) </w:t>
      </w:r>
      <w:r w:rsidRPr="006A561F">
        <w:t>online were used to fund other work of the CBOs</w:t>
      </w:r>
      <w:r w:rsidR="006F2F6D" w:rsidRPr="65017676">
        <w:rPr>
          <w:rStyle w:val="FootnoteReference"/>
          <w:sz w:val="22"/>
          <w:szCs w:val="22"/>
        </w:rPr>
        <w:footnoteReference w:id="118"/>
      </w:r>
      <w:r w:rsidR="70F11DC0">
        <w:t>.</w:t>
      </w:r>
    </w:p>
    <w:p w14:paraId="1FA0A980" w14:textId="77777777" w:rsidR="006F2F6D" w:rsidRPr="006A561F" w:rsidRDefault="0743636A" w:rsidP="00EB486D">
      <w:pPr>
        <w:pStyle w:val="ItadNormalText"/>
        <w:jc w:val="both"/>
      </w:pPr>
      <w:r w:rsidRPr="40E44CAF">
        <w:t>UN Women was aware that the lockdowns were likely to result in an increase in violence against women, and campaigns were developed to address this risk.</w:t>
      </w:r>
      <w:r w:rsidRPr="006A561F">
        <w:t xml:space="preserve"> In Lebanon a campaign was developed </w:t>
      </w:r>
      <w:r w:rsidR="2D6895B4" w:rsidRPr="006A561F">
        <w:t xml:space="preserve">that </w:t>
      </w:r>
      <w:r w:rsidRPr="006A561F">
        <w:t>focus</w:t>
      </w:r>
      <w:r w:rsidR="2D6895B4" w:rsidRPr="006A561F">
        <w:t>ed</w:t>
      </w:r>
      <w:r w:rsidRPr="006A561F">
        <w:t xml:space="preserve"> on reporting violence against girls (</w:t>
      </w:r>
      <w:proofErr w:type="spellStart"/>
      <w:r w:rsidRPr="4977AA67">
        <w:rPr>
          <w:i/>
          <w:iCs/>
        </w:rPr>
        <w:t>ViolenceDistancing</w:t>
      </w:r>
      <w:proofErr w:type="spellEnd"/>
      <w:r w:rsidRPr="006A561F">
        <w:t>). Preventing VAWG and increasing men’s participation in care work w</w:t>
      </w:r>
      <w:r w:rsidR="402FAD49" w:rsidRPr="006A561F">
        <w:t>ere</w:t>
      </w:r>
      <w:r w:rsidRPr="006A561F">
        <w:t xml:space="preserve"> also addressed in Palestine</w:t>
      </w:r>
      <w:r w:rsidR="402FAD49" w:rsidRPr="006A561F">
        <w:t>.</w:t>
      </w:r>
      <w:r w:rsidR="006F2F6D" w:rsidRPr="4977AA67">
        <w:rPr>
          <w:rStyle w:val="FootnoteReference"/>
          <w:rFonts w:cstheme="minorBidi"/>
          <w:sz w:val="22"/>
          <w:szCs w:val="22"/>
        </w:rPr>
        <w:footnoteReference w:id="119"/>
      </w:r>
      <w:r w:rsidRPr="006A561F">
        <w:t xml:space="preserve"> In Tunisia, the programme contributed to a wider assessment of the impact of the COVID-19 pandemic on violence against women and</w:t>
      </w:r>
      <w:r w:rsidR="402FAD49" w:rsidRPr="006A561F">
        <w:t xml:space="preserve"> on</w:t>
      </w:r>
      <w:r w:rsidRPr="006A561F">
        <w:t xml:space="preserve"> gender norms.</w:t>
      </w:r>
      <w:r w:rsidR="006F2F6D" w:rsidRPr="4977AA67">
        <w:rPr>
          <w:rStyle w:val="FootnoteReference"/>
          <w:rFonts w:cstheme="minorBidi"/>
          <w:sz w:val="22"/>
          <w:szCs w:val="22"/>
        </w:rPr>
        <w:footnoteReference w:id="120"/>
      </w:r>
      <w:r w:rsidRPr="006A561F">
        <w:t xml:space="preserve"> </w:t>
      </w:r>
      <w:r w:rsidR="7C0279F8" w:rsidRPr="006A561F">
        <w:t>COs</w:t>
      </w:r>
      <w:r w:rsidRPr="006A561F">
        <w:t xml:space="preserve"> in Morocco and Lebanon took advantage of the lockdown to raise men’s awareness of the importance of sharing household work and childcare. </w:t>
      </w:r>
      <w:r w:rsidR="7988A0B7">
        <w:t xml:space="preserve">In Morocco, </w:t>
      </w:r>
      <w:r w:rsidR="6C96A8F4" w:rsidRPr="00A018DA">
        <w:t xml:space="preserve">10 videos </w:t>
      </w:r>
      <w:r w:rsidR="6C96A8F4">
        <w:t xml:space="preserve">were produced </w:t>
      </w:r>
      <w:r w:rsidR="6C96A8F4" w:rsidRPr="00A018DA">
        <w:t xml:space="preserve">by the CO during the lockdown period and disseminated </w:t>
      </w:r>
      <w:r w:rsidR="7225F742">
        <w:t xml:space="preserve">on TV, alongside </w:t>
      </w:r>
      <w:r w:rsidR="6C96A8F4" w:rsidRPr="00A018DA">
        <w:t>various social media platforms</w:t>
      </w:r>
      <w:r w:rsidR="3A98AAE7">
        <w:t>, between</w:t>
      </w:r>
      <w:r w:rsidR="6C96A8F4" w:rsidRPr="00A018DA">
        <w:t xml:space="preserve"> April to August 2020</w:t>
      </w:r>
      <w:r w:rsidR="3A98AAE7">
        <w:t>. The reach was</w:t>
      </w:r>
      <w:r w:rsidR="6C96A8F4" w:rsidRPr="00A018DA">
        <w:t xml:space="preserve"> an average of 1</w:t>
      </w:r>
      <w:r w:rsidR="3A98AAE7">
        <w:t>.</w:t>
      </w:r>
      <w:r w:rsidR="6C96A8F4" w:rsidRPr="00A018DA">
        <w:t>7 million view</w:t>
      </w:r>
      <w:r w:rsidR="3A98AAE7">
        <w:t xml:space="preserve">s, with </w:t>
      </w:r>
      <w:r w:rsidR="6C96A8F4" w:rsidRPr="00A018DA">
        <w:t>a peak of 6</w:t>
      </w:r>
      <w:r w:rsidR="3A98AAE7">
        <w:t>.</w:t>
      </w:r>
      <w:r w:rsidR="6C96A8F4" w:rsidRPr="00A018DA">
        <w:t>5 million</w:t>
      </w:r>
      <w:r w:rsidR="3A98AAE7">
        <w:t>.</w:t>
      </w:r>
      <w:r w:rsidR="00BC7848">
        <w:rPr>
          <w:rStyle w:val="FootnoteReference"/>
        </w:rPr>
        <w:footnoteReference w:id="121"/>
      </w:r>
      <w:r w:rsidR="6C96A8F4" w:rsidRPr="00A018DA">
        <w:t xml:space="preserve"> </w:t>
      </w:r>
      <w:r w:rsidRPr="006A561F">
        <w:t xml:space="preserve">Lebanon produced a series of social media videos featuring a well-known wrestler ironing, looking after his </w:t>
      </w:r>
      <w:proofErr w:type="gramStart"/>
      <w:r w:rsidRPr="006A561F">
        <w:t>children</w:t>
      </w:r>
      <w:proofErr w:type="gramEnd"/>
      <w:r w:rsidRPr="006A561F">
        <w:t xml:space="preserve"> and cleaning floors, to encourage men’s involvement in domestic duties. In Egypt, CARE supported CBOs to develop a COVID-19 adaptation plan, which included shifting from rural to urban target groups</w:t>
      </w:r>
      <w:r w:rsidR="7F0CE19D" w:rsidRPr="006A561F">
        <w:t xml:space="preserve"> –</w:t>
      </w:r>
      <w:r w:rsidRPr="006A561F">
        <w:t xml:space="preserve"> as these had greater access to social media</w:t>
      </w:r>
      <w:r w:rsidR="7F0CE19D" w:rsidRPr="006A561F">
        <w:t xml:space="preserve"> –</w:t>
      </w:r>
      <w:r w:rsidRPr="006A561F">
        <w:t xml:space="preserve"> and working with private rather than public sector schools.</w:t>
      </w:r>
      <w:r w:rsidR="0837F80B">
        <w:t xml:space="preserve"> Regionally, the messaging of </w:t>
      </w:r>
      <w:r w:rsidR="0837F80B" w:rsidRPr="4977AA67">
        <w:rPr>
          <w:rFonts w:asciiTheme="minorHAnsi" w:eastAsiaTheme="minorEastAsia" w:hAnsiTheme="minorHAnsi" w:cstheme="minorBidi"/>
          <w:color w:val="auto"/>
        </w:rPr>
        <w:t xml:space="preserve">the </w:t>
      </w:r>
      <w:r w:rsidR="544F54ED" w:rsidRPr="4977AA67">
        <w:rPr>
          <w:rFonts w:asciiTheme="minorHAnsi" w:eastAsiaTheme="minorEastAsia" w:hAnsiTheme="minorHAnsi" w:cstheme="minorBidi"/>
          <w:color w:val="auto"/>
        </w:rPr>
        <w:t>Because I am a man (</w:t>
      </w:r>
      <w:r w:rsidR="0837F80B" w:rsidRPr="4977AA67">
        <w:rPr>
          <w:rFonts w:asciiTheme="minorHAnsi" w:eastAsiaTheme="minorEastAsia" w:hAnsiTheme="minorHAnsi" w:cstheme="minorBidi"/>
          <w:color w:val="auto"/>
        </w:rPr>
        <w:t>BIAM</w:t>
      </w:r>
      <w:r w:rsidR="05AB691C" w:rsidRPr="4977AA67">
        <w:rPr>
          <w:rFonts w:asciiTheme="minorHAnsi" w:eastAsiaTheme="minorEastAsia" w:hAnsiTheme="minorHAnsi" w:cstheme="minorBidi"/>
          <w:color w:val="auto"/>
        </w:rPr>
        <w:t>)</w:t>
      </w:r>
      <w:r w:rsidR="0837F80B">
        <w:t xml:space="preserve"> campaign</w:t>
      </w:r>
      <w:r w:rsidR="006F2F6D" w:rsidRPr="40E44CAF">
        <w:rPr>
          <w:rStyle w:val="EndnoteReference"/>
        </w:rPr>
        <w:footnoteReference w:id="122"/>
      </w:r>
      <w:r w:rsidR="0837F80B">
        <w:t xml:space="preserve"> was also adapted to the impacts of the pandemic, stressing the need for men to be more engaged in household chores and care work, as well as highlighting the prevention of VAWG during the lockdowns. </w:t>
      </w:r>
    </w:p>
    <w:p w14:paraId="71935B47" w14:textId="0B12D7FF" w:rsidR="006F2F6D" w:rsidRDefault="34E33E4E" w:rsidP="40E44CAF">
      <w:pPr>
        <w:pStyle w:val="ItadNormalText"/>
        <w:jc w:val="both"/>
      </w:pPr>
      <w:r w:rsidRPr="40E44CAF">
        <w:t>There were, however, reservations about this move online</w:t>
      </w:r>
      <w:r w:rsidRPr="006A561F">
        <w:t>. Rural and poorer populations might not have</w:t>
      </w:r>
      <w:r w:rsidR="75F30227" w:rsidRPr="006A561F">
        <w:t xml:space="preserve"> had</w:t>
      </w:r>
      <w:r w:rsidRPr="006A561F">
        <w:t xml:space="preserve"> access to social media</w:t>
      </w:r>
      <w:r w:rsidR="349ACAB1" w:rsidRPr="006A561F">
        <w:t>,</w:t>
      </w:r>
      <w:r w:rsidR="006F2F6D" w:rsidRPr="4977AA67">
        <w:rPr>
          <w:rStyle w:val="FootnoteReference"/>
          <w:rFonts w:cstheme="minorBidi"/>
          <w:sz w:val="22"/>
          <w:szCs w:val="22"/>
        </w:rPr>
        <w:footnoteReference w:id="123"/>
      </w:r>
      <w:r w:rsidRPr="006A561F">
        <w:t xml:space="preserve"> and in Lebanon, for example, power outages made it difficult for people to access the </w:t>
      </w:r>
      <w:r w:rsidR="349ACAB1" w:rsidRPr="006A561F">
        <w:t>I</w:t>
      </w:r>
      <w:r w:rsidRPr="006A561F">
        <w:t>nternet. Some CBOs also felt that online training was unlikely to be effective, and they decided to delay activities until it was possible to resume face</w:t>
      </w:r>
      <w:r w:rsidR="349ACAB1" w:rsidRPr="006A561F">
        <w:t>-</w:t>
      </w:r>
      <w:r w:rsidRPr="006A561F">
        <w:t>to</w:t>
      </w:r>
      <w:r w:rsidR="349ACAB1" w:rsidRPr="006A561F">
        <w:t>-</w:t>
      </w:r>
      <w:r w:rsidRPr="006A561F">
        <w:t>face engagements</w:t>
      </w:r>
      <w:r w:rsidR="006F2F6D" w:rsidRPr="4977AA67">
        <w:rPr>
          <w:rStyle w:val="FootnoteReference"/>
          <w:rFonts w:cstheme="minorBidi"/>
          <w:sz w:val="22"/>
          <w:szCs w:val="22"/>
        </w:rPr>
        <w:footnoteReference w:id="124"/>
      </w:r>
      <w:r w:rsidR="047A3D23">
        <w:t>.</w:t>
      </w:r>
    </w:p>
    <w:p w14:paraId="3D21B372" w14:textId="77777777" w:rsidR="40E44CAF" w:rsidRDefault="4EAA50EC" w:rsidP="4977AA67">
      <w:pPr>
        <w:pStyle w:val="ItadH2"/>
        <w:rPr>
          <w:sz w:val="20"/>
          <w:szCs w:val="20"/>
        </w:rPr>
      </w:pPr>
      <w:r w:rsidRPr="4977AA67">
        <w:rPr>
          <w:sz w:val="20"/>
          <w:szCs w:val="20"/>
        </w:rPr>
        <w:t xml:space="preserve">EQ 3. What is the comparative advantage of UN Women in leading the MWGE </w:t>
      </w:r>
      <w:proofErr w:type="spellStart"/>
      <w:r w:rsidRPr="4977AA67">
        <w:rPr>
          <w:sz w:val="20"/>
          <w:szCs w:val="20"/>
        </w:rPr>
        <w:t>programme</w:t>
      </w:r>
      <w:proofErr w:type="spellEnd"/>
      <w:r w:rsidRPr="4977AA67">
        <w:rPr>
          <w:sz w:val="20"/>
          <w:szCs w:val="20"/>
        </w:rPr>
        <w:t>?</w:t>
      </w:r>
    </w:p>
    <w:p w14:paraId="50EDF19B" w14:textId="77777777" w:rsidR="005A6406" w:rsidRDefault="005A6406" w:rsidP="00DD6CEB">
      <w:pPr>
        <w:pStyle w:val="ItadNormalText"/>
        <w:rPr>
          <w:b/>
          <w:bCs/>
          <w:color w:val="588B46" w:themeColor="text2"/>
        </w:rPr>
      </w:pPr>
      <w:r>
        <w:rPr>
          <w:b/>
          <w:bCs/>
          <w:color w:val="588B46" w:themeColor="text2"/>
        </w:rPr>
        <w:t xml:space="preserve">Summary: </w:t>
      </w:r>
    </w:p>
    <w:p w14:paraId="535AB54D" w14:textId="77777777" w:rsidR="00F27FA2" w:rsidRPr="005A6406" w:rsidRDefault="07E10E03" w:rsidP="00EB486D">
      <w:pPr>
        <w:pStyle w:val="ItadNormalText"/>
        <w:jc w:val="both"/>
        <w:rPr>
          <w:b/>
          <w:bCs/>
          <w:color w:val="588B46" w:themeColor="text2"/>
        </w:rPr>
      </w:pPr>
      <w:r w:rsidRPr="4977AA67">
        <w:rPr>
          <w:color w:val="588B46" w:themeColor="text2"/>
        </w:rPr>
        <w:t xml:space="preserve">UN Women </w:t>
      </w:r>
      <w:r w:rsidR="42CFD651" w:rsidRPr="4977AA67">
        <w:rPr>
          <w:color w:val="588B46" w:themeColor="text2"/>
        </w:rPr>
        <w:t>demonstrated</w:t>
      </w:r>
      <w:r w:rsidRPr="4977AA67">
        <w:rPr>
          <w:color w:val="588B46" w:themeColor="text2"/>
        </w:rPr>
        <w:t xml:space="preserve"> several strategic and practical comparative advantages over other UN agencies as well as </w:t>
      </w:r>
      <w:r w:rsidR="5D2D67AF" w:rsidRPr="4977AA67">
        <w:rPr>
          <w:color w:val="588B46" w:themeColor="text2"/>
        </w:rPr>
        <w:t>over</w:t>
      </w:r>
      <w:r w:rsidRPr="4977AA67">
        <w:rPr>
          <w:color w:val="588B46" w:themeColor="text2"/>
        </w:rPr>
        <w:t xml:space="preserve"> national agencies or</w:t>
      </w:r>
      <w:r w:rsidR="5D2D67AF" w:rsidRPr="4977AA67">
        <w:rPr>
          <w:color w:val="588B46" w:themeColor="text2"/>
        </w:rPr>
        <w:t xml:space="preserve"> international non-governmental organisations</w:t>
      </w:r>
      <w:r w:rsidRPr="4977AA67">
        <w:rPr>
          <w:color w:val="588B46" w:themeColor="text2"/>
        </w:rPr>
        <w:t xml:space="preserve"> </w:t>
      </w:r>
      <w:r w:rsidR="5D2D67AF" w:rsidRPr="4977AA67">
        <w:rPr>
          <w:color w:val="588B46" w:themeColor="text2"/>
        </w:rPr>
        <w:t>(</w:t>
      </w:r>
      <w:r w:rsidRPr="4977AA67">
        <w:rPr>
          <w:color w:val="588B46" w:themeColor="text2"/>
        </w:rPr>
        <w:t>INGOs</w:t>
      </w:r>
      <w:r w:rsidR="5D2D67AF" w:rsidRPr="4977AA67">
        <w:rPr>
          <w:color w:val="588B46" w:themeColor="text2"/>
        </w:rPr>
        <w:t>)</w:t>
      </w:r>
      <w:r w:rsidRPr="4977AA67">
        <w:rPr>
          <w:color w:val="588B46" w:themeColor="text2"/>
        </w:rPr>
        <w:t>. These include</w:t>
      </w:r>
      <w:r w:rsidR="115A098F" w:rsidRPr="4977AA67">
        <w:rPr>
          <w:color w:val="588B46" w:themeColor="text2"/>
        </w:rPr>
        <w:t>d</w:t>
      </w:r>
      <w:r w:rsidR="5D2D67AF" w:rsidRPr="4977AA67">
        <w:rPr>
          <w:color w:val="588B46" w:themeColor="text2"/>
        </w:rPr>
        <w:t>:</w:t>
      </w:r>
      <w:r w:rsidRPr="4977AA67">
        <w:rPr>
          <w:color w:val="588B46" w:themeColor="text2"/>
        </w:rPr>
        <w:t xml:space="preserve"> having the necessary political mandate for working on gender norm</w:t>
      </w:r>
      <w:r w:rsidR="764AB028" w:rsidRPr="4977AA67">
        <w:rPr>
          <w:color w:val="588B46" w:themeColor="text2"/>
        </w:rPr>
        <w:t>s</w:t>
      </w:r>
      <w:r w:rsidRPr="4977AA67">
        <w:rPr>
          <w:color w:val="588B46" w:themeColor="text2"/>
        </w:rPr>
        <w:t xml:space="preserve"> change; technical expertise; its </w:t>
      </w:r>
      <w:r w:rsidRPr="4977AA67">
        <w:rPr>
          <w:color w:val="588B46" w:themeColor="text2"/>
        </w:rPr>
        <w:lastRenderedPageBreak/>
        <w:t>positioning and standing at the interstice of national gender equality machineries, UN agencies and civil society</w:t>
      </w:r>
      <w:r w:rsidR="5D2D67AF" w:rsidRPr="4977AA67">
        <w:rPr>
          <w:color w:val="588B46" w:themeColor="text2"/>
        </w:rPr>
        <w:t>,</w:t>
      </w:r>
      <w:r w:rsidRPr="4977AA67">
        <w:rPr>
          <w:color w:val="588B46" w:themeColor="text2"/>
        </w:rPr>
        <w:t xml:space="preserve"> as well as links to academia; and having the necessary infrastructure in place to implement such a programme at both regional and </w:t>
      </w:r>
      <w:r w:rsidR="5D2D67AF" w:rsidRPr="4977AA67">
        <w:rPr>
          <w:color w:val="588B46" w:themeColor="text2"/>
        </w:rPr>
        <w:t xml:space="preserve">the </w:t>
      </w:r>
      <w:r w:rsidRPr="4977AA67">
        <w:rPr>
          <w:color w:val="588B46" w:themeColor="text2"/>
        </w:rPr>
        <w:t xml:space="preserve">respective national level. UN Women </w:t>
      </w:r>
      <w:r w:rsidR="7F7E610E" w:rsidRPr="4977AA67">
        <w:rPr>
          <w:color w:val="588B46" w:themeColor="text2"/>
        </w:rPr>
        <w:t>w</w:t>
      </w:r>
      <w:r w:rsidRPr="4977AA67">
        <w:rPr>
          <w:color w:val="588B46" w:themeColor="text2"/>
        </w:rPr>
        <w:t xml:space="preserve">as able to use its added value to the benefit of the programme, including in terms of influencing other areas work within UN Women itself as well as </w:t>
      </w:r>
      <w:r w:rsidR="5D2D67AF" w:rsidRPr="4977AA67">
        <w:rPr>
          <w:color w:val="588B46" w:themeColor="text2"/>
        </w:rPr>
        <w:t xml:space="preserve">with </w:t>
      </w:r>
      <w:r w:rsidRPr="4977AA67">
        <w:rPr>
          <w:color w:val="588B46" w:themeColor="text2"/>
        </w:rPr>
        <w:t xml:space="preserve">other UN agencies. </w:t>
      </w:r>
    </w:p>
    <w:p w14:paraId="59EA3DB0" w14:textId="77777777" w:rsidR="006F2F6D" w:rsidRPr="006A561F" w:rsidRDefault="34E33E4E" w:rsidP="4977AA67">
      <w:pPr>
        <w:pStyle w:val="ItadNormalText"/>
        <w:jc w:val="both"/>
        <w:rPr>
          <w:b/>
          <w:bCs/>
        </w:rPr>
      </w:pPr>
      <w:r w:rsidRPr="002D46A9">
        <w:rPr>
          <w:b/>
          <w:bCs/>
          <w:color w:val="588B46"/>
        </w:rPr>
        <w:t>Finding 3.1:</w:t>
      </w:r>
      <w:r w:rsidRPr="002D46A9">
        <w:rPr>
          <w:b/>
          <w:bCs/>
        </w:rPr>
        <w:t xml:space="preserve"> Through</w:t>
      </w:r>
      <w:r w:rsidRPr="006A561F">
        <w:rPr>
          <w:b/>
          <w:bCs/>
        </w:rPr>
        <w:t xml:space="preserve"> MWGE, UN Women made use of its ‘triple mandate’</w:t>
      </w:r>
      <w:r w:rsidR="006F2F6D" w:rsidRPr="4977AA67">
        <w:rPr>
          <w:rStyle w:val="FootnoteReference"/>
          <w:rFonts w:cstheme="minorBidi"/>
          <w:sz w:val="22"/>
          <w:szCs w:val="22"/>
        </w:rPr>
        <w:footnoteReference w:id="125"/>
      </w:r>
      <w:r w:rsidRPr="006A561F">
        <w:t xml:space="preserve"> </w:t>
      </w:r>
      <w:r w:rsidRPr="006A561F">
        <w:rPr>
          <w:b/>
          <w:bCs/>
        </w:rPr>
        <w:t>to maintain interests on gender equality, social norms and transforming patriarchal masculinities</w:t>
      </w:r>
      <w:r w:rsidR="7B925740" w:rsidRPr="006A561F">
        <w:rPr>
          <w:b/>
          <w:bCs/>
        </w:rPr>
        <w:t xml:space="preserve"> </w:t>
      </w:r>
      <w:r w:rsidRPr="006A561F">
        <w:rPr>
          <w:b/>
          <w:bCs/>
        </w:rPr>
        <w:t xml:space="preserve">using transparent and accountable ways of working at </w:t>
      </w:r>
      <w:r w:rsidR="349ACAB1" w:rsidRPr="006A561F">
        <w:rPr>
          <w:b/>
          <w:bCs/>
        </w:rPr>
        <w:t xml:space="preserve">both </w:t>
      </w:r>
      <w:r w:rsidRPr="006A561F">
        <w:rPr>
          <w:b/>
          <w:bCs/>
        </w:rPr>
        <w:t>country and regional level</w:t>
      </w:r>
      <w:r w:rsidR="349ACAB1" w:rsidRPr="006A561F">
        <w:rPr>
          <w:b/>
          <w:bCs/>
        </w:rPr>
        <w:t>s</w:t>
      </w:r>
      <w:r w:rsidR="37996EEA" w:rsidRPr="006A561F">
        <w:rPr>
          <w:b/>
          <w:bCs/>
        </w:rPr>
        <w:t xml:space="preserve"> and</w:t>
      </w:r>
      <w:r w:rsidR="1629AD9D" w:rsidRPr="103DA8AC">
        <w:rPr>
          <w:b/>
          <w:bCs/>
        </w:rPr>
        <w:t xml:space="preserve"> extend</w:t>
      </w:r>
      <w:r w:rsidR="20B15D55" w:rsidRPr="103DA8AC">
        <w:rPr>
          <w:b/>
          <w:bCs/>
        </w:rPr>
        <w:t>ing</w:t>
      </w:r>
      <w:r w:rsidR="1629AD9D" w:rsidRPr="103DA8AC">
        <w:rPr>
          <w:b/>
          <w:bCs/>
        </w:rPr>
        <w:t xml:space="preserve"> partnerships with government, civil society, feminist/women’s movement, </w:t>
      </w:r>
      <w:proofErr w:type="gramStart"/>
      <w:r w:rsidR="1629AD9D" w:rsidRPr="103DA8AC">
        <w:rPr>
          <w:b/>
          <w:bCs/>
        </w:rPr>
        <w:t>academia</w:t>
      </w:r>
      <w:proofErr w:type="gramEnd"/>
      <w:r w:rsidR="1629AD9D" w:rsidRPr="103DA8AC">
        <w:rPr>
          <w:b/>
          <w:bCs/>
        </w:rPr>
        <w:t xml:space="preserve"> and other development partners</w:t>
      </w:r>
      <w:r w:rsidR="2CE2BC69" w:rsidRPr="103DA8AC">
        <w:rPr>
          <w:b/>
          <w:bCs/>
        </w:rPr>
        <w:t>. It also had</w:t>
      </w:r>
      <w:r w:rsidR="7DF84146" w:rsidRPr="4977AA67">
        <w:rPr>
          <w:b/>
          <w:bCs/>
        </w:rPr>
        <w:t xml:space="preserve"> national, </w:t>
      </w:r>
      <w:proofErr w:type="gramStart"/>
      <w:r w:rsidR="7DF84146" w:rsidRPr="4977AA67">
        <w:rPr>
          <w:b/>
          <w:bCs/>
        </w:rPr>
        <w:t>regional</w:t>
      </w:r>
      <w:proofErr w:type="gramEnd"/>
      <w:r w:rsidR="7DF84146" w:rsidRPr="4977AA67">
        <w:rPr>
          <w:b/>
          <w:bCs/>
        </w:rPr>
        <w:t xml:space="preserve"> and global-level infrastructure </w:t>
      </w:r>
      <w:r w:rsidR="2B2DBAB2" w:rsidRPr="4977AA67">
        <w:rPr>
          <w:b/>
          <w:bCs/>
        </w:rPr>
        <w:t xml:space="preserve">such as </w:t>
      </w:r>
      <w:r w:rsidR="7DF84146" w:rsidRPr="4977AA67">
        <w:rPr>
          <w:b/>
          <w:bCs/>
        </w:rPr>
        <w:t>for project management, research, analysis, MEL</w:t>
      </w:r>
      <w:r w:rsidR="74276BD7" w:rsidRPr="4977AA67">
        <w:rPr>
          <w:b/>
          <w:bCs/>
        </w:rPr>
        <w:t>.</w:t>
      </w:r>
      <w:r w:rsidR="7DF84146" w:rsidRPr="4977AA67">
        <w:rPr>
          <w:b/>
          <w:bCs/>
        </w:rPr>
        <w:t xml:space="preserve"> However, a more concerted and coordinated ‘One UN’ approach at all levels would have allowed for this to happen more systematically.</w:t>
      </w:r>
    </w:p>
    <w:p w14:paraId="0A4D664D" w14:textId="77777777" w:rsidR="006F2F6D" w:rsidRPr="006A561F" w:rsidRDefault="31977235" w:rsidP="00EB486D">
      <w:pPr>
        <w:pStyle w:val="ItadNormalText"/>
        <w:jc w:val="both"/>
      </w:pPr>
      <w:r>
        <w:t xml:space="preserve">UN Women in </w:t>
      </w:r>
      <w:r w:rsidR="1BD80859">
        <w:t xml:space="preserve">MWGE Phase II </w:t>
      </w:r>
      <w:proofErr w:type="spellStart"/>
      <w:r w:rsidR="1BD80859">
        <w:t>prodoc</w:t>
      </w:r>
      <w:proofErr w:type="spellEnd"/>
      <w:r w:rsidR="1BD80859">
        <w:t xml:space="preserve"> </w:t>
      </w:r>
      <w:r w:rsidR="29EB1EFC">
        <w:t xml:space="preserve">declares </w:t>
      </w:r>
      <w:r w:rsidR="1BD80859">
        <w:t>that “</w:t>
      </w:r>
      <w:r w:rsidR="3A6741F2">
        <w:t>I</w:t>
      </w:r>
      <w:r w:rsidR="3A6741F2" w:rsidRPr="007E6B4E">
        <w:t xml:space="preserve">n the Arab States Region, </w:t>
      </w:r>
      <w:r w:rsidR="3A6741F2">
        <w:t>[it]</w:t>
      </w:r>
      <w:r w:rsidR="3A6741F2" w:rsidRPr="007E6B4E">
        <w:t xml:space="preserve"> is leading efforts on gender equality and serving as a bellwether for transforming gender stereotypes and social norms, by engaging men and boys in gender equality initiatives and by promoting a feminist interpretation of Islam</w:t>
      </w:r>
      <w:r w:rsidR="767CBD10">
        <w:t>”</w:t>
      </w:r>
      <w:r w:rsidR="00BF6675">
        <w:rPr>
          <w:rStyle w:val="FootnoteReference"/>
        </w:rPr>
        <w:footnoteReference w:id="126"/>
      </w:r>
      <w:r w:rsidR="767CBD10">
        <w:t>. This statement can be confirmed in that t</w:t>
      </w:r>
      <w:r w:rsidR="44923B09">
        <w:t xml:space="preserve">he </w:t>
      </w:r>
      <w:r w:rsidR="0743636A" w:rsidRPr="006A561F">
        <w:t>MWGE</w:t>
      </w:r>
      <w:r w:rsidR="44923B09">
        <w:t xml:space="preserve"> programme</w:t>
      </w:r>
      <w:r w:rsidR="767CBD10">
        <w:t xml:space="preserve"> – at least </w:t>
      </w:r>
      <w:r w:rsidR="25C28F76">
        <w:t>- has</w:t>
      </w:r>
      <w:r w:rsidR="0743636A" w:rsidRPr="006A561F">
        <w:t xml:space="preserve"> been </w:t>
      </w:r>
      <w:r w:rsidR="44923B09">
        <w:t>developed</w:t>
      </w:r>
      <w:r w:rsidR="0743636A" w:rsidRPr="006A561F">
        <w:t xml:space="preserve"> in line with UN Women’s triple mandate approach at both country and regional levels through the operational implementation of the programme as discussed throughout this evaluation, but also by influencing normative frameworks at governmental level and within the UN system, and </w:t>
      </w:r>
      <w:r w:rsidR="7F0CE19D" w:rsidRPr="006A561F">
        <w:t xml:space="preserve">by </w:t>
      </w:r>
      <w:r w:rsidR="0743636A" w:rsidRPr="006A561F">
        <w:t>aligning lessons learned from MWGE with other UN programming (see also Finding 3.</w:t>
      </w:r>
      <w:r w:rsidR="52C931BE" w:rsidRPr="006A561F">
        <w:t>2</w:t>
      </w:r>
      <w:r w:rsidR="0743636A" w:rsidRPr="006A561F">
        <w:t xml:space="preserve">). As discussed in Finding 1.2, MWGE </w:t>
      </w:r>
      <w:r w:rsidR="33EA667A" w:rsidRPr="006A561F">
        <w:t>was</w:t>
      </w:r>
      <w:r w:rsidR="0743636A" w:rsidRPr="006A561F">
        <w:t xml:space="preserve"> closely aligned with UN Women’s global strategic objectives</w:t>
      </w:r>
      <w:r w:rsidR="7F0CE19D" w:rsidRPr="006A561F">
        <w:t>,</w:t>
      </w:r>
      <w:r w:rsidR="0743636A" w:rsidRPr="006A561F">
        <w:t xml:space="preserve"> and the programme also influenced the thinking behind these</w:t>
      </w:r>
      <w:r w:rsidR="7F0CE19D" w:rsidRPr="006A561F">
        <w:t>,</w:t>
      </w:r>
      <w:r w:rsidR="0743636A" w:rsidRPr="006A561F">
        <w:t xml:space="preserve"> especially in terms of social norms change and transforming patriarchal masculinities.</w:t>
      </w:r>
      <w:r w:rsidR="006F2F6D" w:rsidRPr="4977AA67">
        <w:rPr>
          <w:rStyle w:val="FootnoteReference"/>
          <w:rFonts w:cstheme="minorBidi"/>
          <w:sz w:val="22"/>
          <w:szCs w:val="22"/>
        </w:rPr>
        <w:footnoteReference w:id="127"/>
      </w:r>
    </w:p>
    <w:p w14:paraId="565A57E3" w14:textId="77777777" w:rsidR="00B13B6A" w:rsidRDefault="34E33E4E" w:rsidP="00EB486D">
      <w:pPr>
        <w:pStyle w:val="ItadNormalText"/>
        <w:jc w:val="both"/>
      </w:pPr>
      <w:r w:rsidRPr="006A561F">
        <w:t xml:space="preserve">As the leading UN agency for promoting </w:t>
      </w:r>
      <w:r w:rsidR="2463C63C" w:rsidRPr="006A561F">
        <w:t>GEWE</w:t>
      </w:r>
      <w:r w:rsidRPr="006A561F">
        <w:t>, UN Women ha</w:t>
      </w:r>
      <w:r w:rsidR="7C85520C" w:rsidRPr="006A561F">
        <w:t>d</w:t>
      </w:r>
      <w:r w:rsidRPr="006A561F">
        <w:t xml:space="preserve"> the political mandate to promote and implement programming such as </w:t>
      </w:r>
      <w:proofErr w:type="gramStart"/>
      <w:r w:rsidRPr="006A561F">
        <w:t>MWGE, and</w:t>
      </w:r>
      <w:proofErr w:type="gramEnd"/>
      <w:r w:rsidRPr="006A561F">
        <w:t xml:space="preserve"> w</w:t>
      </w:r>
      <w:r w:rsidR="78DC21A3" w:rsidRPr="006A561F">
        <w:t>as</w:t>
      </w:r>
      <w:r w:rsidRPr="006A561F">
        <w:t xml:space="preserve"> indeed expected by </w:t>
      </w:r>
      <w:r w:rsidR="41A4F2C8" w:rsidRPr="006A561F">
        <w:t xml:space="preserve">the </w:t>
      </w:r>
      <w:r w:rsidRPr="006A561F">
        <w:t xml:space="preserve">national governments to be </w:t>
      </w:r>
      <w:r w:rsidR="0FE945BC" w:rsidRPr="006A561F">
        <w:t>the</w:t>
      </w:r>
      <w:r w:rsidRPr="006A561F">
        <w:t xml:space="preserve"> lead UN agency on this type of initiative</w:t>
      </w:r>
      <w:r w:rsidR="006F2F6D" w:rsidRPr="4977AA67">
        <w:rPr>
          <w:rStyle w:val="FootnoteReference"/>
          <w:rFonts w:cstheme="minorBidi"/>
          <w:sz w:val="22"/>
          <w:szCs w:val="22"/>
        </w:rPr>
        <w:footnoteReference w:id="128"/>
      </w:r>
      <w:r w:rsidR="3A4758AD" w:rsidRPr="006A561F">
        <w:t>.</w:t>
      </w:r>
      <w:r w:rsidRPr="006A561F">
        <w:t xml:space="preserve"> As a UN agency, UN Women </w:t>
      </w:r>
      <w:r w:rsidR="5B111576" w:rsidRPr="006A561F">
        <w:t xml:space="preserve">brought </w:t>
      </w:r>
      <w:r w:rsidR="2AC83418" w:rsidRPr="006A561F">
        <w:t xml:space="preserve">the </w:t>
      </w:r>
      <w:r w:rsidRPr="006A561F">
        <w:t xml:space="preserve">convening power as compared to </w:t>
      </w:r>
      <w:r w:rsidR="054B5B81" w:rsidRPr="006A561F">
        <w:t>INGOs and</w:t>
      </w:r>
      <w:r w:rsidRPr="006A561F">
        <w:t xml:space="preserve"> engage</w:t>
      </w:r>
      <w:r w:rsidR="7D39E5BB" w:rsidRPr="006A561F">
        <w:t>d</w:t>
      </w:r>
      <w:r w:rsidRPr="006A561F">
        <w:t xml:space="preserve"> with government machineries in a more meaningful way</w:t>
      </w:r>
      <w:r w:rsidR="006F2F6D" w:rsidRPr="4977AA67">
        <w:rPr>
          <w:rStyle w:val="FootnoteReference"/>
          <w:rFonts w:cstheme="minorBidi"/>
          <w:sz w:val="22"/>
          <w:szCs w:val="22"/>
        </w:rPr>
        <w:footnoteReference w:id="129"/>
      </w:r>
      <w:r w:rsidR="01D98CA6" w:rsidRPr="006A561F">
        <w:t>.</w:t>
      </w:r>
      <w:r w:rsidRPr="006A561F">
        <w:t xml:space="preserve"> </w:t>
      </w:r>
      <w:r w:rsidR="266265EA">
        <w:t xml:space="preserve">Examples of </w:t>
      </w:r>
      <w:r w:rsidR="660F76DE">
        <w:t xml:space="preserve">successful </w:t>
      </w:r>
      <w:r w:rsidR="266265EA">
        <w:t xml:space="preserve">engagement </w:t>
      </w:r>
      <w:r w:rsidR="2979B580">
        <w:t>and influencing across civil society and government actor</w:t>
      </w:r>
      <w:r w:rsidR="660F76DE">
        <w:t xml:space="preserve"> boundaries include</w:t>
      </w:r>
      <w:r w:rsidR="7E61EB2D">
        <w:t>d</w:t>
      </w:r>
      <w:r w:rsidR="660F76DE">
        <w:t xml:space="preserve"> the </w:t>
      </w:r>
      <w:r w:rsidR="19F99A17">
        <w:t xml:space="preserve">facilitation of the </w:t>
      </w:r>
      <w:r w:rsidR="266265EA" w:rsidRPr="006A561F">
        <w:t>anti-sexual harassment legislation in Lebanon</w:t>
      </w:r>
      <w:r w:rsidR="650A33CE">
        <w:t xml:space="preserve"> and </w:t>
      </w:r>
      <w:r w:rsidR="266265EA" w:rsidRPr="006A561F">
        <w:t>the parental leave policies in Egypt and Palestine</w:t>
      </w:r>
      <w:r w:rsidR="00B13B6A" w:rsidRPr="0D4BD307">
        <w:rPr>
          <w:rStyle w:val="FootnoteReference"/>
          <w:sz w:val="22"/>
          <w:szCs w:val="22"/>
        </w:rPr>
        <w:footnoteReference w:id="130"/>
      </w:r>
      <w:r w:rsidR="7D2418E3" w:rsidRPr="006A561F">
        <w:t>.</w:t>
      </w:r>
      <w:r w:rsidR="266265EA" w:rsidRPr="006A561F">
        <w:t xml:space="preserve"> </w:t>
      </w:r>
      <w:r w:rsidR="3C7777F3">
        <w:t xml:space="preserve">There </w:t>
      </w:r>
      <w:r w:rsidR="1ED88D30">
        <w:t>were</w:t>
      </w:r>
      <w:r w:rsidR="3C7777F3">
        <w:t xml:space="preserve"> also detailed evidence of </w:t>
      </w:r>
      <w:r w:rsidR="0F36F412">
        <w:t xml:space="preserve">growing </w:t>
      </w:r>
      <w:r w:rsidR="3C7777F3">
        <w:t>engagement</w:t>
      </w:r>
      <w:r w:rsidR="0F36F412">
        <w:t xml:space="preserve">s </w:t>
      </w:r>
      <w:r w:rsidR="266265EA" w:rsidRPr="006A561F">
        <w:t xml:space="preserve">with the Ministry of Youth, Ministry of </w:t>
      </w:r>
      <w:proofErr w:type="gramStart"/>
      <w:r w:rsidR="266265EA" w:rsidRPr="006A561F">
        <w:t>Education</w:t>
      </w:r>
      <w:proofErr w:type="gramEnd"/>
      <w:r w:rsidR="266265EA" w:rsidRPr="006A561F">
        <w:t xml:space="preserve"> and </w:t>
      </w:r>
      <w:r w:rsidR="266265EA">
        <w:t>the National Council for Women (</w:t>
      </w:r>
      <w:r w:rsidR="266265EA" w:rsidRPr="006A561F">
        <w:t>NCW</w:t>
      </w:r>
      <w:r w:rsidR="266265EA">
        <w:t>)</w:t>
      </w:r>
      <w:r w:rsidR="266265EA" w:rsidRPr="006A561F">
        <w:t xml:space="preserve"> in Egypt, </w:t>
      </w:r>
      <w:r w:rsidR="266265EA">
        <w:t>Ministry of Women’s Affairs (</w:t>
      </w:r>
      <w:proofErr w:type="spellStart"/>
      <w:r w:rsidR="266265EA" w:rsidRPr="006A561F">
        <w:t>MoWA</w:t>
      </w:r>
      <w:proofErr w:type="spellEnd"/>
      <w:r w:rsidR="266265EA">
        <w:t>)</w:t>
      </w:r>
      <w:r w:rsidR="266265EA" w:rsidRPr="006A561F">
        <w:t xml:space="preserve"> in Palestine and Ministry of Social Affairs (</w:t>
      </w:r>
      <w:proofErr w:type="spellStart"/>
      <w:r w:rsidR="266265EA" w:rsidRPr="006A561F">
        <w:t>MoSA</w:t>
      </w:r>
      <w:proofErr w:type="spellEnd"/>
      <w:r w:rsidR="266265EA" w:rsidRPr="006A561F">
        <w:t>) in Lebanon</w:t>
      </w:r>
      <w:r w:rsidR="525B1699">
        <w:t>, and finally (and uniquely) the Lebanese Armed Forces (</w:t>
      </w:r>
      <w:r w:rsidR="525B1699" w:rsidRPr="4977AA67">
        <w:rPr>
          <w:rFonts w:cstheme="minorBidi"/>
        </w:rPr>
        <w:t>LAF), Internal Security Forces (ISF)</w:t>
      </w:r>
      <w:r w:rsidR="0009737E">
        <w:rPr>
          <w:rStyle w:val="FootnoteReference"/>
        </w:rPr>
        <w:footnoteReference w:id="131"/>
      </w:r>
      <w:r w:rsidR="3BD68F11">
        <w:t>.</w:t>
      </w:r>
      <w:r w:rsidR="2646E53D">
        <w:t xml:space="preserve"> </w:t>
      </w:r>
    </w:p>
    <w:p w14:paraId="62EA76FB" w14:textId="77777777" w:rsidR="00F27FA2" w:rsidRPr="006A561F" w:rsidRDefault="34E33E4E" w:rsidP="00EB486D">
      <w:pPr>
        <w:pStyle w:val="ItadNormalText"/>
        <w:jc w:val="both"/>
      </w:pPr>
      <w:r w:rsidRPr="006A561F">
        <w:t>Respondents from across the spectrum of interviewees for this evaluation – from implementing partners</w:t>
      </w:r>
      <w:r w:rsidR="349ACAB1" w:rsidRPr="006A561F">
        <w:t xml:space="preserve"> and</w:t>
      </w:r>
      <w:r w:rsidRPr="006A561F">
        <w:t xml:space="preserve"> national gender equality machineries to development partners – also highlighted that UN Women was regionally unique among UN agencies in adopting an approach of transforming patriarchal masculinities for its work on gender equality and shifting social norms, and as being the only UN agency in the region that was seen as having the technical capacity to do so</w:t>
      </w:r>
      <w:r w:rsidR="006F2F6D" w:rsidRPr="4977AA67">
        <w:rPr>
          <w:rStyle w:val="FootnoteReference"/>
          <w:rFonts w:cstheme="minorBidi"/>
          <w:sz w:val="22"/>
          <w:szCs w:val="22"/>
        </w:rPr>
        <w:footnoteReference w:id="132"/>
      </w:r>
      <w:r w:rsidR="72681FB6">
        <w:t>.</w:t>
      </w:r>
    </w:p>
    <w:p w14:paraId="57E35B04" w14:textId="77777777" w:rsidR="006F2F6D" w:rsidRPr="006A561F" w:rsidRDefault="0B0DE538" w:rsidP="00EB486D">
      <w:pPr>
        <w:pStyle w:val="ItadNormalText"/>
        <w:jc w:val="both"/>
      </w:pPr>
      <w:r w:rsidRPr="006A561F">
        <w:t xml:space="preserve">Unlike other UN agencies, UN Women </w:t>
      </w:r>
      <w:r w:rsidR="3547D2FC" w:rsidRPr="006A561F">
        <w:t xml:space="preserve">brought </w:t>
      </w:r>
      <w:r w:rsidRPr="006A561F">
        <w:t xml:space="preserve">a long history of also engaging closely with women in civil society, with women’s rights organisations and </w:t>
      </w:r>
      <w:r w:rsidR="182BAF1C" w:rsidRPr="006A561F">
        <w:t xml:space="preserve">with </w:t>
      </w:r>
      <w:r w:rsidRPr="006A561F">
        <w:t xml:space="preserve">feminist activists and researchers. </w:t>
      </w:r>
      <w:r w:rsidR="38B42067">
        <w:t>For example, The Lebanon CO for example, demonstrated a unique mediation function across an emerging feminist movement following the Beirut explosion</w:t>
      </w:r>
      <w:r w:rsidR="000578A4">
        <w:rPr>
          <w:rStyle w:val="FootnoteReference"/>
        </w:rPr>
        <w:footnoteReference w:id="133"/>
      </w:r>
      <w:r w:rsidR="38B42067">
        <w:t xml:space="preserve">. </w:t>
      </w:r>
      <w:r w:rsidRPr="006A561F">
        <w:t xml:space="preserve">This not only </w:t>
      </w:r>
      <w:r w:rsidR="6CE700FD" w:rsidRPr="006A561F">
        <w:t>provided</w:t>
      </w:r>
      <w:r w:rsidRPr="006A561F">
        <w:t xml:space="preserve"> UN Women an audience, multipliers and critical sounding boards for its messages, but also mean</w:t>
      </w:r>
      <w:r w:rsidR="76171464" w:rsidRPr="006A561F">
        <w:t>t</w:t>
      </w:r>
      <w:r w:rsidRPr="006A561F">
        <w:t xml:space="preserve"> that UN Women </w:t>
      </w:r>
      <w:r w:rsidR="1D924D3C" w:rsidRPr="006A561F">
        <w:t>could</w:t>
      </w:r>
      <w:r w:rsidRPr="006A561F">
        <w:t xml:space="preserve"> draw on the knowledge </w:t>
      </w:r>
      <w:r w:rsidRPr="006A561F">
        <w:lastRenderedPageBreak/>
        <w:t>and expertise of these networks, remain accountable</w:t>
      </w:r>
      <w:r w:rsidR="006F2F6D" w:rsidRPr="4977AA67">
        <w:rPr>
          <w:rStyle w:val="FootnoteReference"/>
          <w:rFonts w:cstheme="minorBidi"/>
          <w:sz w:val="22"/>
          <w:szCs w:val="22"/>
        </w:rPr>
        <w:footnoteReference w:id="134"/>
      </w:r>
      <w:r w:rsidRPr="006A561F">
        <w:t xml:space="preserve"> to them, and also undertake necessary changes to the programme design if and when needed.</w:t>
      </w:r>
      <w:r w:rsidR="006F2F6D" w:rsidRPr="4977AA67">
        <w:rPr>
          <w:rStyle w:val="FootnoteReference"/>
          <w:rFonts w:cstheme="minorBidi"/>
          <w:sz w:val="22"/>
          <w:szCs w:val="22"/>
        </w:rPr>
        <w:footnoteReference w:id="135"/>
      </w:r>
      <w:r w:rsidRPr="006A561F">
        <w:t xml:space="preserve"> The changes to the approach of the Lebanon component of MWGE in Phase II </w:t>
      </w:r>
      <w:r w:rsidR="4BD26C48" w:rsidRPr="006A561F">
        <w:t>were</w:t>
      </w:r>
      <w:r w:rsidR="182BAF1C" w:rsidRPr="006A561F">
        <w:t>,</w:t>
      </w:r>
      <w:r w:rsidRPr="006A561F">
        <w:t xml:space="preserve"> in part</w:t>
      </w:r>
      <w:r w:rsidR="182BAF1C" w:rsidRPr="006A561F">
        <w:t>,</w:t>
      </w:r>
      <w:r w:rsidRPr="006A561F">
        <w:t xml:space="preserve"> an example of such dynami</w:t>
      </w:r>
      <w:r>
        <w:t>sm</w:t>
      </w:r>
      <w:r w:rsidRPr="006A561F">
        <w:t>.</w:t>
      </w:r>
      <w:r w:rsidR="006F2F6D" w:rsidRPr="4977AA67">
        <w:rPr>
          <w:rStyle w:val="FootnoteReference"/>
          <w:rFonts w:cstheme="minorBidi"/>
          <w:sz w:val="22"/>
          <w:szCs w:val="22"/>
        </w:rPr>
        <w:footnoteReference w:id="136"/>
      </w:r>
    </w:p>
    <w:p w14:paraId="48278E81" w14:textId="77777777" w:rsidR="00F27FA2" w:rsidRPr="006A561F" w:rsidRDefault="4294F432" w:rsidP="00EB486D">
      <w:pPr>
        <w:pStyle w:val="ItadNormalText"/>
        <w:jc w:val="both"/>
      </w:pPr>
      <w:r w:rsidRPr="006A561F">
        <w:t xml:space="preserve">Further, </w:t>
      </w:r>
      <w:r w:rsidR="0743636A" w:rsidRPr="006A561F">
        <w:t xml:space="preserve">UN Women </w:t>
      </w:r>
      <w:r w:rsidR="3F41480A">
        <w:t xml:space="preserve">was </w:t>
      </w:r>
      <w:r w:rsidR="0743636A" w:rsidRPr="006A561F">
        <w:t>in a favourable position vis-à-vis some other potential programme implementers</w:t>
      </w:r>
      <w:r w:rsidR="180B1CE6" w:rsidRPr="006A561F">
        <w:t xml:space="preserve"> as </w:t>
      </w:r>
      <w:r w:rsidR="0743636A" w:rsidRPr="006A561F">
        <w:t>it already had an infrastructure in place, including in terms of registration and Memoranda of Understanding</w:t>
      </w:r>
      <w:r w:rsidR="4BB9CDF1" w:rsidRPr="006A561F">
        <w:t xml:space="preserve"> (</w:t>
      </w:r>
      <w:proofErr w:type="spellStart"/>
      <w:r w:rsidR="4BB9CDF1" w:rsidRPr="006A561F">
        <w:t>MoUs</w:t>
      </w:r>
      <w:proofErr w:type="spellEnd"/>
      <w:r w:rsidR="4BB9CDF1" w:rsidRPr="006A561F">
        <w:t>)</w:t>
      </w:r>
      <w:r w:rsidR="0743636A" w:rsidRPr="006A561F">
        <w:t xml:space="preserve"> at </w:t>
      </w:r>
      <w:r w:rsidR="674B4D73" w:rsidRPr="006A561F">
        <w:t>both</w:t>
      </w:r>
      <w:r w:rsidR="0743636A" w:rsidRPr="006A561F">
        <w:t xml:space="preserve"> national </w:t>
      </w:r>
      <w:r w:rsidR="674B4D73" w:rsidRPr="006A561F">
        <w:t>and</w:t>
      </w:r>
      <w:r w:rsidR="0743636A" w:rsidRPr="006A561F">
        <w:t xml:space="preserve"> regional level</w:t>
      </w:r>
      <w:r w:rsidR="674B4D73" w:rsidRPr="006A561F">
        <w:t>s;</w:t>
      </w:r>
      <w:r w:rsidR="0743636A" w:rsidRPr="006A561F">
        <w:t xml:space="preserve"> </w:t>
      </w:r>
      <w:r w:rsidR="44F7AFF1" w:rsidRPr="006A561F">
        <w:t>programme management and MEL systems, partnership with feminist organisation</w:t>
      </w:r>
      <w:r w:rsidR="0163614A" w:rsidRPr="006A561F">
        <w:t>s</w:t>
      </w:r>
      <w:r w:rsidR="44F7AFF1" w:rsidRPr="006A561F">
        <w:t xml:space="preserve"> and </w:t>
      </w:r>
      <w:r w:rsidR="3C62B124" w:rsidRPr="006A561F">
        <w:t>civil society organisations</w:t>
      </w:r>
      <w:r w:rsidR="44F7AFF1" w:rsidRPr="006A561F">
        <w:t xml:space="preserve"> </w:t>
      </w:r>
      <w:r w:rsidR="0743636A" w:rsidRPr="006A561F">
        <w:t>and</w:t>
      </w:r>
      <w:r w:rsidR="674B4D73" w:rsidRPr="006A561F">
        <w:t xml:space="preserve"> it</w:t>
      </w:r>
      <w:r w:rsidR="0743636A" w:rsidRPr="006A561F">
        <w:t xml:space="preserve"> was able to draw on, but also feed into</w:t>
      </w:r>
      <w:r w:rsidR="674B4D73" w:rsidRPr="006A561F">
        <w:t>,</w:t>
      </w:r>
      <w:r w:rsidR="0743636A" w:rsidRPr="006A561F">
        <w:t xml:space="preserve"> UN Women’s global expertise and resources on issues relevant to the programme</w:t>
      </w:r>
      <w:r w:rsidR="006F2F6D" w:rsidRPr="4977AA67">
        <w:rPr>
          <w:rStyle w:val="FootnoteReference"/>
          <w:rFonts w:cstheme="minorBidi"/>
          <w:sz w:val="22"/>
          <w:szCs w:val="22"/>
        </w:rPr>
        <w:footnoteReference w:id="137"/>
      </w:r>
      <w:r w:rsidR="38BF1E41" w:rsidRPr="006A561F">
        <w:t>.</w:t>
      </w:r>
      <w:r w:rsidR="0743636A" w:rsidRPr="006A561F">
        <w:t xml:space="preserve">  </w:t>
      </w:r>
    </w:p>
    <w:p w14:paraId="3092D3D7" w14:textId="77777777" w:rsidR="00F27FA2" w:rsidRPr="006A561F" w:rsidRDefault="5101B939" w:rsidP="4977AA67">
      <w:pPr>
        <w:pStyle w:val="ItadNormalText"/>
        <w:jc w:val="both"/>
      </w:pPr>
      <w:r>
        <w:t>The MWGE programme contributed to UN Women’s fulfilment of its triple mandate in different ways. For example, UN coordination was leveraged by the MWGE programme at regional level with UNFPA and UNICEF under the framework of the Regional Accountability Framework (RAF) to End Child Marriage, where the MWGE succeeded in including the engagement of men and boys as one output of the RAF strategic plan for the MENA region and represented UN Women on this platform. The programme also collaborated with UNFPA as part of the Arab Forum for Sustainable Development to raise public awareness among key decision makers from the MENA through policy dialogue on social norms and gender-based violence. At the national level, UN coordination was demonstrated by the MWGE programme in Palestine with the partnership between UN Women and UNESCO for curricula development and capacity building to journalists on gender sensitive media reporting, and in Lebanon with UNDP for the production and dissemination of innovative social media initiatives focused on men’s unpaid caregiving and domestic work</w:t>
      </w:r>
      <w:r w:rsidR="0004AA62" w:rsidRPr="4977AA67">
        <w:rPr>
          <w:rStyle w:val="FootnoteReference"/>
        </w:rPr>
        <w:footnoteReference w:id="138"/>
      </w:r>
      <w:r>
        <w:t>. However, the stakeholders consulted indicated that it could do more to systematically influence a ‘One UN’ approach at all levels such as by developing and following a clear road map to do it, particularly at the county level.</w:t>
      </w:r>
    </w:p>
    <w:p w14:paraId="0BD5A4F1" w14:textId="77777777" w:rsidR="006F2F6D" w:rsidRPr="00A245D9" w:rsidRDefault="3774BE70" w:rsidP="4977AA67">
      <w:pPr>
        <w:pStyle w:val="ItadH2"/>
        <w:jc w:val="both"/>
        <w:rPr>
          <w:sz w:val="22"/>
          <w:szCs w:val="22"/>
          <w:lang w:val="en-GB"/>
        </w:rPr>
      </w:pPr>
      <w:r w:rsidRPr="00A245D9">
        <w:rPr>
          <w:sz w:val="22"/>
          <w:szCs w:val="22"/>
          <w:lang w:val="en-GB"/>
        </w:rPr>
        <w:t xml:space="preserve">EQ 4. How relevant </w:t>
      </w:r>
      <w:r w:rsidR="1A3D0A96" w:rsidRPr="00A245D9">
        <w:rPr>
          <w:sz w:val="22"/>
          <w:szCs w:val="22"/>
          <w:lang w:val="en-GB"/>
        </w:rPr>
        <w:t xml:space="preserve">are </w:t>
      </w:r>
      <w:r w:rsidRPr="00A245D9">
        <w:rPr>
          <w:sz w:val="22"/>
          <w:szCs w:val="22"/>
          <w:lang w:val="en-GB"/>
        </w:rPr>
        <w:t>the programme intervention logic and Theory of Change (</w:t>
      </w:r>
      <w:proofErr w:type="spellStart"/>
      <w:r w:rsidRPr="00A245D9">
        <w:rPr>
          <w:sz w:val="22"/>
          <w:szCs w:val="22"/>
          <w:lang w:val="en-GB"/>
        </w:rPr>
        <w:t>ToC</w:t>
      </w:r>
      <w:proofErr w:type="spellEnd"/>
      <w:r w:rsidRPr="00A245D9">
        <w:rPr>
          <w:sz w:val="22"/>
          <w:szCs w:val="22"/>
          <w:lang w:val="en-GB"/>
        </w:rPr>
        <w:t xml:space="preserve">)? To what extent are the </w:t>
      </w:r>
      <w:proofErr w:type="spellStart"/>
      <w:r w:rsidRPr="00A245D9">
        <w:rPr>
          <w:sz w:val="22"/>
          <w:szCs w:val="22"/>
          <w:lang w:val="en-GB"/>
        </w:rPr>
        <w:t>ToC’s</w:t>
      </w:r>
      <w:proofErr w:type="spellEnd"/>
      <w:r w:rsidRPr="00A245D9">
        <w:rPr>
          <w:sz w:val="22"/>
          <w:szCs w:val="22"/>
          <w:lang w:val="en-GB"/>
        </w:rPr>
        <w:t xml:space="preserve"> underlying assumptions still valid?</w:t>
      </w:r>
    </w:p>
    <w:p w14:paraId="1E25701E" w14:textId="77777777" w:rsidR="006F2F6D" w:rsidRPr="006A561F" w:rsidRDefault="006F2F6D" w:rsidP="002B58E6">
      <w:pPr>
        <w:pStyle w:val="ItadNormalText"/>
        <w:jc w:val="both"/>
        <w:rPr>
          <w:b/>
          <w:bCs/>
          <w:color w:val="588B46"/>
        </w:rPr>
      </w:pPr>
      <w:r w:rsidRPr="006A561F">
        <w:rPr>
          <w:b/>
          <w:bCs/>
          <w:color w:val="588B46"/>
        </w:rPr>
        <w:t>Summary:</w:t>
      </w:r>
    </w:p>
    <w:p w14:paraId="1D4AFC14" w14:textId="77777777" w:rsidR="00BF5D79" w:rsidRPr="006A561F" w:rsidRDefault="3774BE70" w:rsidP="4977AA67">
      <w:pPr>
        <w:pStyle w:val="ItadNormalText"/>
        <w:jc w:val="both"/>
        <w:rPr>
          <w:color w:val="588B46" w:themeColor="text2"/>
        </w:rPr>
      </w:pPr>
      <w:r w:rsidRPr="4977AA67">
        <w:rPr>
          <w:color w:val="588B46" w:themeColor="text2"/>
        </w:rPr>
        <w:t xml:space="preserve">The </w:t>
      </w:r>
      <w:proofErr w:type="spellStart"/>
      <w:r w:rsidRPr="4977AA67">
        <w:rPr>
          <w:color w:val="588B46" w:themeColor="text2"/>
        </w:rPr>
        <w:t>ToC</w:t>
      </w:r>
      <w:proofErr w:type="spellEnd"/>
      <w:r w:rsidRPr="4977AA67">
        <w:rPr>
          <w:color w:val="588B46" w:themeColor="text2"/>
        </w:rPr>
        <w:t xml:space="preserve"> is relevant to the extent that it broadly captures the programme thematic areas and the change it seeks to achieve in the impact and outcome statements. It outline</w:t>
      </w:r>
      <w:r w:rsidR="42766C4A" w:rsidRPr="4977AA67">
        <w:rPr>
          <w:color w:val="588B46" w:themeColor="text2"/>
        </w:rPr>
        <w:t>d</w:t>
      </w:r>
      <w:r w:rsidRPr="4977AA67">
        <w:rPr>
          <w:color w:val="588B46" w:themeColor="text2"/>
        </w:rPr>
        <w:t xml:space="preserve"> information about what activities could contribute to these changes and some intermediary outputs which would suggest the programme is on the right path to reaching them. It therefore provide</w:t>
      </w:r>
      <w:r w:rsidR="327382F1" w:rsidRPr="4977AA67">
        <w:rPr>
          <w:color w:val="588B46" w:themeColor="text2"/>
        </w:rPr>
        <w:t>d</w:t>
      </w:r>
      <w:r w:rsidRPr="4977AA67">
        <w:rPr>
          <w:color w:val="588B46" w:themeColor="text2"/>
        </w:rPr>
        <w:t xml:space="preserve"> a useful overview of the programme and </w:t>
      </w:r>
      <w:r w:rsidR="1A3D0A96" w:rsidRPr="4977AA67">
        <w:rPr>
          <w:color w:val="588B46" w:themeColor="text2"/>
        </w:rPr>
        <w:t xml:space="preserve">a </w:t>
      </w:r>
      <w:r w:rsidRPr="4977AA67">
        <w:rPr>
          <w:color w:val="588B46" w:themeColor="text2"/>
        </w:rPr>
        <w:t xml:space="preserve">broad framework for the country programmes to follow for implementation. That said, the broadness of the </w:t>
      </w:r>
      <w:proofErr w:type="spellStart"/>
      <w:r w:rsidRPr="4977AA67">
        <w:rPr>
          <w:color w:val="588B46" w:themeColor="text2"/>
        </w:rPr>
        <w:t>ToC</w:t>
      </w:r>
      <w:proofErr w:type="spellEnd"/>
      <w:r w:rsidRPr="4977AA67">
        <w:rPr>
          <w:color w:val="588B46" w:themeColor="text2"/>
        </w:rPr>
        <w:t xml:space="preserve"> mean</w:t>
      </w:r>
      <w:r w:rsidR="7B5E61AC" w:rsidRPr="4977AA67">
        <w:rPr>
          <w:color w:val="588B46" w:themeColor="text2"/>
        </w:rPr>
        <w:t>t</w:t>
      </w:r>
      <w:r w:rsidRPr="4977AA67">
        <w:rPr>
          <w:color w:val="588B46" w:themeColor="text2"/>
        </w:rPr>
        <w:t xml:space="preserve"> that logic chains </w:t>
      </w:r>
      <w:r w:rsidR="4830F6CB" w:rsidRPr="4977AA67">
        <w:rPr>
          <w:color w:val="588B46" w:themeColor="text2"/>
        </w:rPr>
        <w:t xml:space="preserve">were </w:t>
      </w:r>
      <w:r w:rsidRPr="4977AA67">
        <w:rPr>
          <w:color w:val="588B46" w:themeColor="text2"/>
        </w:rPr>
        <w:t xml:space="preserve">not interrogated, the ways in which the different levels of the </w:t>
      </w:r>
      <w:proofErr w:type="spellStart"/>
      <w:r w:rsidRPr="4977AA67">
        <w:rPr>
          <w:color w:val="588B46" w:themeColor="text2"/>
        </w:rPr>
        <w:t>ToC</w:t>
      </w:r>
      <w:proofErr w:type="spellEnd"/>
      <w:r w:rsidRPr="4977AA67">
        <w:rPr>
          <w:color w:val="588B46" w:themeColor="text2"/>
        </w:rPr>
        <w:t xml:space="preserve"> (micro, </w:t>
      </w:r>
      <w:proofErr w:type="spellStart"/>
      <w:r w:rsidRPr="4977AA67">
        <w:rPr>
          <w:color w:val="588B46" w:themeColor="text2"/>
        </w:rPr>
        <w:t>meso</w:t>
      </w:r>
      <w:proofErr w:type="spellEnd"/>
      <w:r w:rsidRPr="4977AA67">
        <w:rPr>
          <w:color w:val="588B46" w:themeColor="text2"/>
        </w:rPr>
        <w:t xml:space="preserve"> and macro</w:t>
      </w:r>
      <w:r w:rsidR="0483C683" w:rsidRPr="4977AA67">
        <w:rPr>
          <w:color w:val="588B46" w:themeColor="text2"/>
        </w:rPr>
        <w:t xml:space="preserve"> </w:t>
      </w:r>
      <w:r w:rsidRPr="4977AA67">
        <w:rPr>
          <w:color w:val="588B46" w:themeColor="text2"/>
        </w:rPr>
        <w:t>level</w:t>
      </w:r>
      <w:r w:rsidR="0483C683" w:rsidRPr="4977AA67">
        <w:rPr>
          <w:color w:val="588B46" w:themeColor="text2"/>
        </w:rPr>
        <w:t>s</w:t>
      </w:r>
      <w:r w:rsidRPr="4977AA67">
        <w:rPr>
          <w:color w:val="588B46" w:themeColor="text2"/>
        </w:rPr>
        <w:t>) interact</w:t>
      </w:r>
      <w:r w:rsidR="7F70C0AC" w:rsidRPr="4977AA67">
        <w:rPr>
          <w:color w:val="588B46" w:themeColor="text2"/>
        </w:rPr>
        <w:t>ed</w:t>
      </w:r>
      <w:r w:rsidRPr="4977AA67">
        <w:rPr>
          <w:color w:val="588B46" w:themeColor="text2"/>
        </w:rPr>
        <w:t xml:space="preserve"> and reinforce</w:t>
      </w:r>
      <w:r w:rsidR="030CA623" w:rsidRPr="4977AA67">
        <w:rPr>
          <w:color w:val="588B46" w:themeColor="text2"/>
        </w:rPr>
        <w:t>d</w:t>
      </w:r>
      <w:r w:rsidRPr="4977AA67">
        <w:rPr>
          <w:color w:val="588B46" w:themeColor="text2"/>
        </w:rPr>
        <w:t xml:space="preserve"> each other</w:t>
      </w:r>
      <w:r w:rsidR="4FF5AC07" w:rsidRPr="4977AA67">
        <w:rPr>
          <w:color w:val="588B46" w:themeColor="text2"/>
        </w:rPr>
        <w:t xml:space="preserve"> wa</w:t>
      </w:r>
      <w:r w:rsidRPr="4977AA67">
        <w:rPr>
          <w:color w:val="588B46" w:themeColor="text2"/>
        </w:rPr>
        <w:t>s not explored</w:t>
      </w:r>
      <w:r w:rsidR="1A3D0A96" w:rsidRPr="4977AA67">
        <w:rPr>
          <w:color w:val="588B46" w:themeColor="text2"/>
        </w:rPr>
        <w:t>,</w:t>
      </w:r>
      <w:r w:rsidRPr="4977AA67">
        <w:rPr>
          <w:color w:val="588B46" w:themeColor="text2"/>
        </w:rPr>
        <w:t xml:space="preserve"> and assumptions remain</w:t>
      </w:r>
      <w:r w:rsidR="6B0FC925" w:rsidRPr="4977AA67">
        <w:rPr>
          <w:color w:val="588B46" w:themeColor="text2"/>
        </w:rPr>
        <w:t>ed</w:t>
      </w:r>
      <w:r w:rsidRPr="4977AA67">
        <w:rPr>
          <w:color w:val="588B46" w:themeColor="text2"/>
        </w:rPr>
        <w:t xml:space="preserve"> at a very high level whereby they c</w:t>
      </w:r>
      <w:r w:rsidR="5A0AE54C" w:rsidRPr="4977AA67">
        <w:rPr>
          <w:color w:val="588B46" w:themeColor="text2"/>
        </w:rPr>
        <w:t>ould</w:t>
      </w:r>
      <w:r w:rsidRPr="4977AA67">
        <w:rPr>
          <w:color w:val="588B46" w:themeColor="text2"/>
        </w:rPr>
        <w:t xml:space="preserve"> feed tangibly into a specific risk and mitigation plan.</w:t>
      </w:r>
    </w:p>
    <w:p w14:paraId="60B54230" w14:textId="77777777" w:rsidR="006F2F6D" w:rsidRPr="006A561F" w:rsidRDefault="4EAA50EC" w:rsidP="00EB486D">
      <w:pPr>
        <w:pStyle w:val="ItadNormalText"/>
        <w:jc w:val="both"/>
        <w:rPr>
          <w:b/>
          <w:bCs/>
        </w:rPr>
      </w:pPr>
      <w:r w:rsidRPr="4977AA67">
        <w:rPr>
          <w:b/>
          <w:bCs/>
          <w:color w:val="588B46" w:themeColor="text2"/>
        </w:rPr>
        <w:t xml:space="preserve">Finding 4.1: </w:t>
      </w:r>
      <w:r w:rsidRPr="4977AA67">
        <w:rPr>
          <w:b/>
          <w:bCs/>
        </w:rPr>
        <w:t xml:space="preserve">The micro, </w:t>
      </w:r>
      <w:proofErr w:type="spellStart"/>
      <w:r w:rsidRPr="4977AA67">
        <w:rPr>
          <w:b/>
          <w:bCs/>
        </w:rPr>
        <w:t>meso</w:t>
      </w:r>
      <w:proofErr w:type="spellEnd"/>
      <w:r w:rsidRPr="4977AA67">
        <w:rPr>
          <w:b/>
          <w:bCs/>
        </w:rPr>
        <w:t xml:space="preserve"> and macro</w:t>
      </w:r>
      <w:r w:rsidR="031770D0" w:rsidRPr="4977AA67">
        <w:rPr>
          <w:b/>
          <w:bCs/>
        </w:rPr>
        <w:t xml:space="preserve"> </w:t>
      </w:r>
      <w:r w:rsidRPr="4977AA67">
        <w:rPr>
          <w:b/>
          <w:bCs/>
        </w:rPr>
        <w:t xml:space="preserve">levels of the Phase II </w:t>
      </w:r>
      <w:proofErr w:type="spellStart"/>
      <w:r w:rsidRPr="4977AA67">
        <w:rPr>
          <w:b/>
          <w:bCs/>
        </w:rPr>
        <w:t>ToC</w:t>
      </w:r>
      <w:proofErr w:type="spellEnd"/>
      <w:r w:rsidR="6716B7F2" w:rsidRPr="4977AA67">
        <w:rPr>
          <w:b/>
          <w:bCs/>
        </w:rPr>
        <w:t>,</w:t>
      </w:r>
      <w:r w:rsidRPr="4977AA67">
        <w:rPr>
          <w:b/>
          <w:bCs/>
        </w:rPr>
        <w:t xml:space="preserve"> as well as associated intervention activities</w:t>
      </w:r>
      <w:r w:rsidR="6716B7F2" w:rsidRPr="4977AA67">
        <w:rPr>
          <w:b/>
          <w:bCs/>
        </w:rPr>
        <w:t>,</w:t>
      </w:r>
      <w:r w:rsidRPr="4977AA67">
        <w:rPr>
          <w:b/>
          <w:bCs/>
        </w:rPr>
        <w:t xml:space="preserve"> </w:t>
      </w:r>
      <w:r w:rsidR="596AB4F7" w:rsidRPr="4977AA67">
        <w:rPr>
          <w:b/>
          <w:bCs/>
        </w:rPr>
        <w:t xml:space="preserve">were </w:t>
      </w:r>
      <w:r w:rsidRPr="4977AA67">
        <w:rPr>
          <w:b/>
          <w:bCs/>
        </w:rPr>
        <w:t xml:space="preserve">insufficiently linked. As a result, it </w:t>
      </w:r>
      <w:r w:rsidR="2C4FA2AD" w:rsidRPr="4977AA67">
        <w:rPr>
          <w:b/>
          <w:bCs/>
        </w:rPr>
        <w:t>was</w:t>
      </w:r>
      <w:r w:rsidRPr="4977AA67">
        <w:rPr>
          <w:b/>
          <w:bCs/>
        </w:rPr>
        <w:t xml:space="preserve"> unclear how change (or lack thereof) at one level </w:t>
      </w:r>
      <w:r w:rsidR="5DD5F445" w:rsidRPr="4977AA67">
        <w:rPr>
          <w:b/>
          <w:bCs/>
        </w:rPr>
        <w:t>wa</w:t>
      </w:r>
      <w:r w:rsidRPr="4977AA67">
        <w:rPr>
          <w:b/>
          <w:bCs/>
        </w:rPr>
        <w:t>s likely to mutually reinforce or undermine that of another.</w:t>
      </w:r>
      <w:r w:rsidR="1812EB1A" w:rsidRPr="4977AA67">
        <w:rPr>
          <w:b/>
          <w:bCs/>
        </w:rPr>
        <w:t xml:space="preserve"> However, most </w:t>
      </w:r>
      <w:r w:rsidR="50C3A8D3" w:rsidRPr="4977AA67">
        <w:rPr>
          <w:b/>
          <w:bCs/>
        </w:rPr>
        <w:t xml:space="preserve">of </w:t>
      </w:r>
      <w:r w:rsidR="1812EB1A" w:rsidRPr="4977AA67">
        <w:rPr>
          <w:b/>
          <w:bCs/>
        </w:rPr>
        <w:t xml:space="preserve">the assumptions in the TOC </w:t>
      </w:r>
      <w:r w:rsidR="6721CC46" w:rsidRPr="4977AA67">
        <w:rPr>
          <w:b/>
          <w:bCs/>
        </w:rPr>
        <w:t xml:space="preserve">have held – although the assumptions or components focusing on the private sector’s role </w:t>
      </w:r>
      <w:r w:rsidR="35704F30" w:rsidRPr="4977AA67">
        <w:rPr>
          <w:b/>
          <w:bCs/>
        </w:rPr>
        <w:t>was</w:t>
      </w:r>
      <w:r w:rsidR="2E144F35" w:rsidRPr="4977AA67">
        <w:rPr>
          <w:b/>
          <w:bCs/>
        </w:rPr>
        <w:t xml:space="preserve"> unclear</w:t>
      </w:r>
      <w:r w:rsidR="26412CCF" w:rsidRPr="4977AA67">
        <w:rPr>
          <w:b/>
          <w:bCs/>
        </w:rPr>
        <w:t>.</w:t>
      </w:r>
      <w:r w:rsidR="20A21E68" w:rsidRPr="4977AA67">
        <w:rPr>
          <w:b/>
          <w:bCs/>
        </w:rPr>
        <w:t xml:space="preserve"> The </w:t>
      </w:r>
      <w:proofErr w:type="spellStart"/>
      <w:r w:rsidR="20A21E68" w:rsidRPr="4977AA67">
        <w:rPr>
          <w:b/>
          <w:bCs/>
        </w:rPr>
        <w:t>ToC</w:t>
      </w:r>
      <w:proofErr w:type="spellEnd"/>
      <w:r w:rsidR="20A21E68" w:rsidRPr="4977AA67">
        <w:rPr>
          <w:b/>
          <w:bCs/>
        </w:rPr>
        <w:t xml:space="preserve"> was also not systematically reviewed at key stages at country level by UN Women staff to guide programme decision making across both Phases I and II. Nevertheless, the </w:t>
      </w:r>
      <w:proofErr w:type="spellStart"/>
      <w:r w:rsidR="20A21E68" w:rsidRPr="4977AA67">
        <w:rPr>
          <w:b/>
          <w:bCs/>
        </w:rPr>
        <w:t>ToC</w:t>
      </w:r>
      <w:proofErr w:type="spellEnd"/>
      <w:r w:rsidR="20A21E68" w:rsidRPr="4977AA67">
        <w:rPr>
          <w:b/>
          <w:bCs/>
        </w:rPr>
        <w:t xml:space="preserve"> remains relevant and sufficiently broad to facilitate changing contexts.</w:t>
      </w:r>
    </w:p>
    <w:p w14:paraId="24B90AC0" w14:textId="77777777" w:rsidR="006F2F6D" w:rsidRPr="006A561F" w:rsidRDefault="4EAA50EC" w:rsidP="00EB486D">
      <w:pPr>
        <w:pStyle w:val="ItadNormalText"/>
        <w:jc w:val="both"/>
      </w:pPr>
      <w:r>
        <w:t xml:space="preserve">The </w:t>
      </w:r>
      <w:proofErr w:type="spellStart"/>
      <w:r>
        <w:t>ToC</w:t>
      </w:r>
      <w:proofErr w:type="spellEnd"/>
      <w:r>
        <w:t xml:space="preserve"> could </w:t>
      </w:r>
      <w:r w:rsidR="1D865776">
        <w:t>have been</w:t>
      </w:r>
      <w:r>
        <w:t xml:space="preserve"> much clearer on how the activities contribute</w:t>
      </w:r>
      <w:r w:rsidR="16CE0D53">
        <w:t>d</w:t>
      </w:r>
      <w:r>
        <w:t xml:space="preserve"> or create</w:t>
      </w:r>
      <w:r w:rsidR="0EFBBD48">
        <w:t>d</w:t>
      </w:r>
      <w:r>
        <w:t xml:space="preserve"> momentum towards the desired change at different levels and how some activities or outputs contribute</w:t>
      </w:r>
      <w:r w:rsidR="2DC05E64">
        <w:t>d</w:t>
      </w:r>
      <w:r>
        <w:t xml:space="preserve"> to multiple desired outcomes. For example, the </w:t>
      </w:r>
      <w:r w:rsidR="4545E2A1">
        <w:t>‘</w:t>
      </w:r>
      <w:r>
        <w:t>CSO increased advocacy capacity</w:t>
      </w:r>
      <w:r w:rsidR="4545E2A1">
        <w:t>’</w:t>
      </w:r>
      <w:r>
        <w:t xml:space="preserve"> output </w:t>
      </w:r>
      <w:r w:rsidR="142A3604">
        <w:t>wa</w:t>
      </w:r>
      <w:r>
        <w:t>s presented as a contribution to macro-level policy change outcomes. Yet</w:t>
      </w:r>
      <w:r w:rsidR="4545E2A1">
        <w:t>,</w:t>
      </w:r>
      <w:r>
        <w:t xml:space="preserve"> considering the programme results, CSOs had more success </w:t>
      </w:r>
      <w:r>
        <w:lastRenderedPageBreak/>
        <w:t>advocating to institutions (</w:t>
      </w:r>
      <w:r w:rsidR="666E7491">
        <w:t>e.g.,</w:t>
      </w:r>
      <w:r>
        <w:t xml:space="preserve"> paternity leave</w:t>
      </w:r>
      <w:r w:rsidR="4545E2A1">
        <w:t xml:space="preserve"> in</w:t>
      </w:r>
      <w:r>
        <w:t xml:space="preserve"> Palestine) or advocating for the enforcement of policy at community level (</w:t>
      </w:r>
      <w:r w:rsidR="71F5685C">
        <w:t>e.g.,</w:t>
      </w:r>
      <w:r>
        <w:t xml:space="preserve"> anti-harassment and taxi drivers in Lebanon). </w:t>
      </w:r>
    </w:p>
    <w:p w14:paraId="69DE1D06" w14:textId="77777777" w:rsidR="006F2F6D" w:rsidRPr="006A561F" w:rsidRDefault="4EAA50EC" w:rsidP="00EB486D">
      <w:pPr>
        <w:pStyle w:val="ItadNormalText"/>
        <w:jc w:val="both"/>
      </w:pPr>
      <w:r>
        <w:t xml:space="preserve">There </w:t>
      </w:r>
      <w:r w:rsidR="0F93CFED">
        <w:t>we</w:t>
      </w:r>
      <w:r>
        <w:t>re a few examples of where the programme ha</w:t>
      </w:r>
      <w:r w:rsidR="3DAE0FC4">
        <w:t>d</w:t>
      </w:r>
      <w:r>
        <w:t xml:space="preserve"> made links between the micro, </w:t>
      </w:r>
      <w:proofErr w:type="spellStart"/>
      <w:r>
        <w:t>meso</w:t>
      </w:r>
      <w:proofErr w:type="spellEnd"/>
      <w:r>
        <w:t xml:space="preserve"> and macro</w:t>
      </w:r>
      <w:r w:rsidR="031770D0">
        <w:t xml:space="preserve"> </w:t>
      </w:r>
      <w:r>
        <w:t xml:space="preserve">levels of the </w:t>
      </w:r>
      <w:proofErr w:type="spellStart"/>
      <w:r>
        <w:t>ToC</w:t>
      </w:r>
      <w:proofErr w:type="spellEnd"/>
      <w:r w:rsidR="2AD81565">
        <w:t xml:space="preserve">, </w:t>
      </w:r>
      <w:r w:rsidR="4AE76582">
        <w:t>e.g.,</w:t>
      </w:r>
      <w:r>
        <w:t xml:space="preserve"> Lebanon anti-sexual harassment interventions</w:t>
      </w:r>
      <w:r w:rsidR="1234A59E">
        <w:t>, but these were not consistent across the programme:</w:t>
      </w:r>
      <w:r w:rsidR="2CFCA600">
        <w:t xml:space="preserve"> </w:t>
      </w:r>
    </w:p>
    <w:p w14:paraId="090C4EA4" w14:textId="77777777" w:rsidR="006F2F6D" w:rsidRPr="006A561F" w:rsidRDefault="0743636A" w:rsidP="00EB486D">
      <w:pPr>
        <w:pStyle w:val="ItadNormalText"/>
        <w:jc w:val="both"/>
      </w:pPr>
      <w:r w:rsidRPr="006A561F">
        <w:t>In Lebanon the theme of anti-sexual harassment was used to tie together micro</w:t>
      </w:r>
      <w:r w:rsidR="3660149C" w:rsidRPr="006A561F">
        <w:t>-level</w:t>
      </w:r>
      <w:r w:rsidRPr="006A561F">
        <w:t>, meso</w:t>
      </w:r>
      <w:r w:rsidR="3660149C" w:rsidRPr="006A561F">
        <w:t>-level</w:t>
      </w:r>
      <w:r w:rsidRPr="006A561F">
        <w:t xml:space="preserve"> and macro</w:t>
      </w:r>
      <w:r w:rsidR="7EC06028" w:rsidRPr="006A561F">
        <w:t>-</w:t>
      </w:r>
      <w:r w:rsidRPr="006A561F">
        <w:t>level interventions.</w:t>
      </w:r>
      <w:r w:rsidR="006F2F6D" w:rsidRPr="4977AA67">
        <w:rPr>
          <w:rStyle w:val="FootnoteReference"/>
          <w:rFonts w:cstheme="minorBidi"/>
          <w:sz w:val="22"/>
          <w:szCs w:val="22"/>
        </w:rPr>
        <w:footnoteReference w:id="139"/>
      </w:r>
      <w:r w:rsidRPr="006A561F">
        <w:t xml:space="preserve"> The anti-sexual harassment bill was passed</w:t>
      </w:r>
      <w:r w:rsidR="1C47D640">
        <w:t xml:space="preserve"> for the first time</w:t>
      </w:r>
      <w:r w:rsidRPr="006A561F">
        <w:t xml:space="preserve"> in 2020</w:t>
      </w:r>
      <w:r w:rsidR="7EC06028" w:rsidRPr="006A561F">
        <w:t>.</w:t>
      </w:r>
      <w:r w:rsidRPr="006A561F">
        <w:t xml:space="preserve"> The programme sought multiple opportunistic entry points to support the passing of the bill and enforce its implementation:</w:t>
      </w:r>
    </w:p>
    <w:p w14:paraId="3831ACCA" w14:textId="77777777" w:rsidR="006F2F6D" w:rsidRPr="006A561F" w:rsidRDefault="006F2F6D">
      <w:pPr>
        <w:pStyle w:val="ItadNormalText"/>
        <w:numPr>
          <w:ilvl w:val="0"/>
          <w:numId w:val="27"/>
        </w:numPr>
        <w:jc w:val="both"/>
      </w:pPr>
      <w:r w:rsidRPr="006A561F">
        <w:rPr>
          <w:b/>
          <w:bCs/>
        </w:rPr>
        <w:t>Macro</w:t>
      </w:r>
      <w:r w:rsidR="002B7815" w:rsidRPr="006A561F">
        <w:rPr>
          <w:b/>
          <w:bCs/>
        </w:rPr>
        <w:t xml:space="preserve"> </w:t>
      </w:r>
      <w:r w:rsidRPr="006A561F">
        <w:rPr>
          <w:b/>
          <w:bCs/>
        </w:rPr>
        <w:t xml:space="preserve">level: </w:t>
      </w:r>
      <w:r w:rsidRPr="006A561F">
        <w:t xml:space="preserve">The programme contributed to the passing of the bill by working with </w:t>
      </w:r>
      <w:bookmarkStart w:id="39" w:name="_Hlk98233389"/>
      <w:r w:rsidRPr="006A561F">
        <w:t xml:space="preserve">the </w:t>
      </w:r>
      <w:proofErr w:type="spellStart"/>
      <w:r w:rsidRPr="006A561F">
        <w:t>Center</w:t>
      </w:r>
      <w:proofErr w:type="spellEnd"/>
      <w:r w:rsidRPr="006A561F">
        <w:t xml:space="preserve"> for Inclusive Business and Leadership for Women </w:t>
      </w:r>
      <w:bookmarkEnd w:id="39"/>
      <w:r w:rsidRPr="006A561F">
        <w:t>(CIBL</w:t>
      </w:r>
      <w:r w:rsidR="00150510" w:rsidRPr="006A561F">
        <w:t xml:space="preserve"> for Women</w:t>
      </w:r>
      <w:r w:rsidRPr="006A561F">
        <w:t>) and using their network to link them with the NCLW.</w:t>
      </w:r>
    </w:p>
    <w:p w14:paraId="64BE9899" w14:textId="77777777" w:rsidR="006F2F6D" w:rsidRPr="006A561F" w:rsidRDefault="0743636A">
      <w:pPr>
        <w:pStyle w:val="ItadNormalText"/>
        <w:numPr>
          <w:ilvl w:val="0"/>
          <w:numId w:val="27"/>
        </w:numPr>
        <w:jc w:val="both"/>
        <w:rPr>
          <w:rFonts w:asciiTheme="minorHAnsi" w:eastAsiaTheme="minorEastAsia" w:hAnsiTheme="minorHAnsi" w:cstheme="minorBidi"/>
          <w:color w:val="4D5156"/>
        </w:rPr>
      </w:pPr>
      <w:proofErr w:type="spellStart"/>
      <w:r w:rsidRPr="006A561F">
        <w:rPr>
          <w:b/>
          <w:bCs/>
        </w:rPr>
        <w:t>Meso</w:t>
      </w:r>
      <w:proofErr w:type="spellEnd"/>
      <w:r w:rsidR="07E237E5" w:rsidRPr="006A561F">
        <w:rPr>
          <w:b/>
          <w:bCs/>
        </w:rPr>
        <w:t xml:space="preserve"> </w:t>
      </w:r>
      <w:r w:rsidRPr="006A561F">
        <w:rPr>
          <w:b/>
          <w:bCs/>
        </w:rPr>
        <w:t xml:space="preserve">level: </w:t>
      </w:r>
      <w:r w:rsidRPr="006A561F">
        <w:t>Following the passing of the bill, the programme was involved in operationalising the law through anti-harassment workshops for employers with CIBL</w:t>
      </w:r>
      <w:r w:rsidR="2542D3A0" w:rsidRPr="006A561F">
        <w:t xml:space="preserve"> for Women</w:t>
      </w:r>
      <w:r w:rsidRPr="006A561F">
        <w:t xml:space="preserve">, UNDP, </w:t>
      </w:r>
      <w:r w:rsidR="2542D3A0" w:rsidRPr="006A561F">
        <w:t xml:space="preserve">the </w:t>
      </w:r>
      <w:r w:rsidRPr="006A561F">
        <w:t xml:space="preserve">Lebanese League for Women in Business, </w:t>
      </w:r>
      <w:r w:rsidR="19856060">
        <w:t xml:space="preserve">and the CSOs </w:t>
      </w:r>
      <w:r w:rsidRPr="006A561F">
        <w:t>ABAAD and SEED</w:t>
      </w:r>
      <w:r w:rsidR="32F2EB4A">
        <w:t xml:space="preserve"> (Socio-Economic Enhan</w:t>
      </w:r>
      <w:r w:rsidR="19856060">
        <w:t xml:space="preserve">cement and </w:t>
      </w:r>
      <w:r w:rsidR="00570A85">
        <w:pgNum/>
      </w:r>
      <w:r w:rsidR="19856060">
        <w:t>Development)</w:t>
      </w:r>
      <w:r w:rsidRPr="006A561F">
        <w:t xml:space="preserve">. </w:t>
      </w:r>
      <w:r w:rsidR="48920482" w:rsidRPr="00B50093">
        <w:t xml:space="preserve">Technical </w:t>
      </w:r>
      <w:r w:rsidR="60BD0440" w:rsidRPr="00B50093">
        <w:t>workshops were</w:t>
      </w:r>
      <w:r w:rsidR="48920482">
        <w:t xml:space="preserve"> also held </w:t>
      </w:r>
      <w:r w:rsidR="48920482" w:rsidRPr="00B50093">
        <w:t>with over 150 employers from the private sector that resulted in 13 employers adopting anti-sexual harassment policies in their workplace</w:t>
      </w:r>
      <w:r w:rsidR="005A0FBE">
        <w:rPr>
          <w:rStyle w:val="FootnoteReference"/>
        </w:rPr>
        <w:footnoteReference w:id="140"/>
      </w:r>
      <w:r w:rsidR="48920482" w:rsidRPr="00B50093">
        <w:t xml:space="preserve">. </w:t>
      </w:r>
      <w:r w:rsidRPr="006A561F">
        <w:t xml:space="preserve">The anti-sexual harassment toolkit used in these workshops </w:t>
      </w:r>
      <w:r w:rsidR="5B3AA1D8" w:rsidRPr="006A561F">
        <w:t xml:space="preserve">was </w:t>
      </w:r>
      <w:r w:rsidRPr="006A561F">
        <w:t xml:space="preserve">included as a knowledge product developed by the programme. The programme also used some of this training in the work with </w:t>
      </w:r>
      <w:r w:rsidR="2542D3A0" w:rsidRPr="4977AA67">
        <w:rPr>
          <w:rFonts w:asciiTheme="minorHAnsi" w:eastAsiaTheme="minorEastAsia" w:hAnsiTheme="minorHAnsi" w:cstheme="minorBidi"/>
        </w:rPr>
        <w:t>L</w:t>
      </w:r>
      <w:r w:rsidR="661B3660" w:rsidRPr="4977AA67">
        <w:rPr>
          <w:rFonts w:asciiTheme="minorHAnsi" w:eastAsiaTheme="minorEastAsia" w:hAnsiTheme="minorHAnsi" w:cstheme="minorBidi"/>
        </w:rPr>
        <w:t xml:space="preserve">ebanon </w:t>
      </w:r>
      <w:r w:rsidR="2542D3A0" w:rsidRPr="4977AA67">
        <w:rPr>
          <w:rFonts w:asciiTheme="minorHAnsi" w:eastAsiaTheme="minorEastAsia" w:hAnsiTheme="minorHAnsi" w:cstheme="minorBidi"/>
        </w:rPr>
        <w:t>A</w:t>
      </w:r>
      <w:r w:rsidR="1B43059B" w:rsidRPr="4977AA67">
        <w:rPr>
          <w:rFonts w:asciiTheme="minorHAnsi" w:eastAsiaTheme="minorEastAsia" w:hAnsiTheme="minorHAnsi" w:cstheme="minorBidi"/>
        </w:rPr>
        <w:t xml:space="preserve">rmed </w:t>
      </w:r>
      <w:r w:rsidR="2542D3A0" w:rsidRPr="4977AA67">
        <w:rPr>
          <w:rFonts w:asciiTheme="minorHAnsi" w:eastAsiaTheme="minorEastAsia" w:hAnsiTheme="minorHAnsi" w:cstheme="minorBidi"/>
        </w:rPr>
        <w:t>F</w:t>
      </w:r>
      <w:r w:rsidR="1AA9E631" w:rsidRPr="4977AA67">
        <w:rPr>
          <w:rFonts w:asciiTheme="minorHAnsi" w:eastAsiaTheme="minorEastAsia" w:hAnsiTheme="minorHAnsi" w:cstheme="minorBidi"/>
        </w:rPr>
        <w:t>orces</w:t>
      </w:r>
      <w:r w:rsidR="5E6D2899" w:rsidRPr="4977AA67">
        <w:rPr>
          <w:rFonts w:asciiTheme="minorHAnsi" w:eastAsiaTheme="minorEastAsia" w:hAnsiTheme="minorHAnsi" w:cstheme="minorBidi"/>
        </w:rPr>
        <w:t xml:space="preserve">, </w:t>
      </w:r>
      <w:r w:rsidR="38BC2EC8" w:rsidRPr="4977AA67">
        <w:rPr>
          <w:rFonts w:asciiTheme="minorHAnsi" w:eastAsiaTheme="minorEastAsia" w:hAnsiTheme="minorHAnsi" w:cstheme="minorBidi"/>
          <w:color w:val="202124"/>
        </w:rPr>
        <w:t xml:space="preserve">Internal Security Forces and </w:t>
      </w:r>
      <w:r w:rsidR="38BC2EC8" w:rsidRPr="4977AA67">
        <w:rPr>
          <w:rFonts w:asciiTheme="minorHAnsi" w:eastAsiaTheme="minorEastAsia" w:hAnsiTheme="minorHAnsi" w:cstheme="minorBidi"/>
          <w:color w:val="5F6368"/>
        </w:rPr>
        <w:t>General Security</w:t>
      </w:r>
      <w:r w:rsidR="38BC2EC8" w:rsidRPr="4977AA67">
        <w:rPr>
          <w:rFonts w:asciiTheme="minorHAnsi" w:eastAsiaTheme="minorEastAsia" w:hAnsiTheme="minorHAnsi" w:cstheme="minorBidi"/>
          <w:color w:val="4D5156"/>
        </w:rPr>
        <w:t xml:space="preserve"> Directorate</w:t>
      </w:r>
      <w:r w:rsidR="710B6D22" w:rsidRPr="4977AA67">
        <w:rPr>
          <w:rFonts w:asciiTheme="minorHAnsi" w:eastAsiaTheme="minorEastAsia" w:hAnsiTheme="minorHAnsi" w:cstheme="minorBidi"/>
          <w:color w:val="4D5156"/>
        </w:rPr>
        <w:t>.</w:t>
      </w:r>
    </w:p>
    <w:p w14:paraId="7EF10FE7" w14:textId="77777777" w:rsidR="006F2F6D" w:rsidRPr="006A561F" w:rsidRDefault="3774BE70">
      <w:pPr>
        <w:pStyle w:val="ItadNormalText"/>
        <w:numPr>
          <w:ilvl w:val="0"/>
          <w:numId w:val="27"/>
        </w:numPr>
        <w:jc w:val="both"/>
      </w:pPr>
      <w:r w:rsidRPr="006A561F">
        <w:rPr>
          <w:b/>
          <w:bCs/>
        </w:rPr>
        <w:t>Micro</w:t>
      </w:r>
      <w:r w:rsidR="006F2F6D" w:rsidRPr="006A561F">
        <w:softHyphen/>
      </w:r>
      <w:r w:rsidR="76AD2485" w:rsidRPr="006A561F">
        <w:rPr>
          <w:b/>
          <w:bCs/>
        </w:rPr>
        <w:t xml:space="preserve"> </w:t>
      </w:r>
      <w:r w:rsidRPr="006A561F">
        <w:rPr>
          <w:b/>
          <w:bCs/>
        </w:rPr>
        <w:t xml:space="preserve">level: </w:t>
      </w:r>
      <w:r w:rsidRPr="006A561F">
        <w:t xml:space="preserve">The programme also cascaded operationalising the bill at community level by emphasising anti-sexual harassment as a priority in its work with CBOs. As a result, the CBO partner </w:t>
      </w:r>
      <w:proofErr w:type="spellStart"/>
      <w:r w:rsidRPr="006A561F">
        <w:t>Mousawat</w:t>
      </w:r>
      <w:proofErr w:type="spellEnd"/>
      <w:r w:rsidRPr="006A561F">
        <w:t xml:space="preserve"> conducted</w:t>
      </w:r>
      <w:r w:rsidR="5798A409">
        <w:t xml:space="preserve"> awareness session as well as</w:t>
      </w:r>
      <w:r w:rsidRPr="006A561F">
        <w:t xml:space="preserve"> a study on taxi drivers and sexual harassment in Tripoli. The CBO also used this in advocacy work through creating videos and other communications materials</w:t>
      </w:r>
      <w:r w:rsidR="37349DD9">
        <w:t xml:space="preserve">, as well as </w:t>
      </w:r>
      <w:r w:rsidR="59EFBAC7">
        <w:t xml:space="preserve">providing </w:t>
      </w:r>
      <w:proofErr w:type="spellStart"/>
      <w:r w:rsidR="59EFBAC7">
        <w:t>self-defense</w:t>
      </w:r>
      <w:proofErr w:type="spellEnd"/>
      <w:r w:rsidR="59EFBAC7">
        <w:t xml:space="preserve"> lesson (Al Jaleel), online advocacy on sexual harassment (</w:t>
      </w:r>
      <w:r w:rsidR="7C8CDE94">
        <w:t>F</w:t>
      </w:r>
      <w:r w:rsidR="516FA740">
        <w:t>E-</w:t>
      </w:r>
      <w:r w:rsidR="7C8CDE94">
        <w:t>male</w:t>
      </w:r>
      <w:r w:rsidR="59EFBAC7">
        <w:t xml:space="preserve">), </w:t>
      </w:r>
      <w:r w:rsidR="2E6222DA">
        <w:t>and community engagement on sexual harassment (ABNAA SAIDA)</w:t>
      </w:r>
      <w:r w:rsidRPr="006A561F">
        <w:t>.</w:t>
      </w:r>
    </w:p>
    <w:p w14:paraId="00FC0775" w14:textId="77777777" w:rsidR="000B34FF" w:rsidRDefault="69804D2B" w:rsidP="00EB486D">
      <w:pPr>
        <w:pStyle w:val="ItadNormalText"/>
        <w:jc w:val="both"/>
      </w:pPr>
      <w:r w:rsidRPr="007F6DFD">
        <w:t xml:space="preserve">With respect to the assumptions in the </w:t>
      </w:r>
      <w:proofErr w:type="spellStart"/>
      <w:r w:rsidRPr="007F6DFD">
        <w:t>T</w:t>
      </w:r>
      <w:r w:rsidR="55516BC7">
        <w:t>o</w:t>
      </w:r>
      <w:r w:rsidRPr="007F6DFD">
        <w:t>C</w:t>
      </w:r>
      <w:proofErr w:type="spellEnd"/>
      <w:r w:rsidRPr="007F6DFD">
        <w:t xml:space="preserve">, </w:t>
      </w:r>
      <w:r w:rsidRPr="008005E7">
        <w:t>t</w:t>
      </w:r>
      <w:r w:rsidR="0743636A" w:rsidRPr="008005E7">
        <w:t>here</w:t>
      </w:r>
      <w:r w:rsidR="0743636A" w:rsidRPr="006A561F">
        <w:t xml:space="preserve"> are three types to consider:</w:t>
      </w:r>
      <w:r w:rsidR="0414D923">
        <w:t xml:space="preserve"> programme</w:t>
      </w:r>
      <w:r w:rsidR="5DAE290B">
        <w:t>, causal, and contextual</w:t>
      </w:r>
      <w:r w:rsidR="00AF6E91">
        <w:rPr>
          <w:rStyle w:val="FootnoteReference"/>
        </w:rPr>
        <w:footnoteReference w:id="141"/>
      </w:r>
      <w:r w:rsidR="5DAE290B">
        <w:t xml:space="preserve">. </w:t>
      </w:r>
      <w:r w:rsidR="0743636A" w:rsidRPr="006A561F">
        <w:t xml:space="preserve">All of the assumptions in </w:t>
      </w:r>
      <w:r w:rsidR="799AEC2D" w:rsidRPr="006A561F">
        <w:t xml:space="preserve">MWGE </w:t>
      </w:r>
      <w:proofErr w:type="spellStart"/>
      <w:r w:rsidR="0743636A" w:rsidRPr="006A561F">
        <w:t>ToC</w:t>
      </w:r>
      <w:proofErr w:type="spellEnd"/>
      <w:r w:rsidR="0743636A" w:rsidRPr="006A561F">
        <w:t xml:space="preserve"> f</w:t>
      </w:r>
      <w:r w:rsidR="24F014D4" w:rsidRPr="006A561F">
        <w:t>e</w:t>
      </w:r>
      <w:r w:rsidR="0743636A" w:rsidRPr="006A561F">
        <w:t>ll under ‘contextual assumptions’</w:t>
      </w:r>
      <w:r w:rsidR="1BA5759E" w:rsidRPr="006A561F">
        <w:t>;</w:t>
      </w:r>
      <w:r w:rsidR="0743636A" w:rsidRPr="006A561F">
        <w:t xml:space="preserve"> </w:t>
      </w:r>
      <w:r w:rsidR="6C62A464" w:rsidRPr="006A561F">
        <w:t>therefore,</w:t>
      </w:r>
      <w:r w:rsidR="0743636A" w:rsidRPr="006A561F">
        <w:t xml:space="preserve"> there </w:t>
      </w:r>
      <w:r w:rsidR="1A709867" w:rsidRPr="006A561F">
        <w:t>wa</w:t>
      </w:r>
      <w:r w:rsidR="0743636A" w:rsidRPr="006A561F">
        <w:t>s no interrogati</w:t>
      </w:r>
      <w:r w:rsidR="1BA5759E" w:rsidRPr="006A561F">
        <w:t>on</w:t>
      </w:r>
      <w:r w:rsidR="0743636A" w:rsidRPr="006A561F">
        <w:t xml:space="preserve"> of logic pathways </w:t>
      </w:r>
      <w:r w:rsidR="1BA5759E" w:rsidRPr="006A561F">
        <w:t>(‘</w:t>
      </w:r>
      <w:r w:rsidR="0743636A" w:rsidRPr="006A561F">
        <w:t xml:space="preserve">if we do </w:t>
      </w:r>
      <w:proofErr w:type="gramStart"/>
      <w:r w:rsidR="0743636A" w:rsidRPr="4977AA67">
        <w:rPr>
          <w:i/>
          <w:iCs/>
        </w:rPr>
        <w:t>a</w:t>
      </w:r>
      <w:r w:rsidR="0743636A" w:rsidRPr="006A561F">
        <w:t xml:space="preserve"> it</w:t>
      </w:r>
      <w:proofErr w:type="gramEnd"/>
      <w:r w:rsidR="0743636A" w:rsidRPr="006A561F">
        <w:t xml:space="preserve"> will lead to </w:t>
      </w:r>
      <w:r w:rsidR="0743636A" w:rsidRPr="4977AA67">
        <w:rPr>
          <w:i/>
          <w:iCs/>
        </w:rPr>
        <w:t>b</w:t>
      </w:r>
      <w:r w:rsidR="1BA5759E" w:rsidRPr="006A561F">
        <w:t>’)</w:t>
      </w:r>
      <w:r w:rsidR="0743636A" w:rsidRPr="006A561F">
        <w:t xml:space="preserve"> or programme design. </w:t>
      </w:r>
      <w:proofErr w:type="gramStart"/>
      <w:r w:rsidR="0743636A" w:rsidRPr="006A561F">
        <w:t>In order to</w:t>
      </w:r>
      <w:proofErr w:type="gramEnd"/>
      <w:r w:rsidR="0743636A" w:rsidRPr="006A561F">
        <w:t xml:space="preserve"> develop these kinds of assumptions, the pathways of change would need to be unpacked further. It</w:t>
      </w:r>
      <w:r w:rsidR="1BA5759E" w:rsidRPr="006A561F">
        <w:t xml:space="preserve"> i</w:t>
      </w:r>
      <w:r w:rsidR="0743636A" w:rsidRPr="006A561F">
        <w:t>s important to think this through</w:t>
      </w:r>
      <w:r w:rsidR="1BA5759E" w:rsidRPr="006A561F">
        <w:t>,</w:t>
      </w:r>
      <w:r w:rsidR="0743636A" w:rsidRPr="006A561F">
        <w:t xml:space="preserve"> as these assumptions will feed into the risk management of the project and enable a mitigation plan to be put in place.</w:t>
      </w:r>
    </w:p>
    <w:p w14:paraId="5FB6D4C4" w14:textId="77777777" w:rsidR="000B34FF" w:rsidRDefault="3F3DE3E1" w:rsidP="00EB486D">
      <w:pPr>
        <w:jc w:val="both"/>
      </w:pPr>
      <w:r>
        <w:t xml:space="preserve">The engagement of MWGE with the private sector, as foreseen in the </w:t>
      </w:r>
      <w:r w:rsidR="6B468AA8">
        <w:t>programme design,</w:t>
      </w:r>
      <w:r w:rsidR="00931D7D">
        <w:rPr>
          <w:rStyle w:val="FootnoteReference"/>
        </w:rPr>
        <w:footnoteReference w:id="142"/>
      </w:r>
      <w:r w:rsidR="6B468AA8">
        <w:t xml:space="preserve"> </w:t>
      </w:r>
      <w:r w:rsidR="7B287346">
        <w:t xml:space="preserve">was </w:t>
      </w:r>
      <w:r w:rsidR="6B468AA8">
        <w:t>not</w:t>
      </w:r>
      <w:r w:rsidR="12479C43">
        <w:t xml:space="preserve"> very pronounced, and a</w:t>
      </w:r>
      <w:r w:rsidR="4037B3C0">
        <w:t xml:space="preserve"> logical entry point could b</w:t>
      </w:r>
      <w:r w:rsidR="47D63FAE">
        <w:t xml:space="preserve">e </w:t>
      </w:r>
      <w:r w:rsidR="561ACACF">
        <w:t>by</w:t>
      </w:r>
      <w:r w:rsidR="4037B3C0">
        <w:t xml:space="preserve"> ensuring</w:t>
      </w:r>
      <w:r w:rsidR="561ACACF">
        <w:t xml:space="preserve"> that key insights and findings from MWGE continue to flow into and are taken up by the UN Women/ILO Decent Work programme, </w:t>
      </w:r>
      <w:proofErr w:type="gramStart"/>
      <w:r w:rsidR="561ACACF">
        <w:t>so as to</w:t>
      </w:r>
      <w:proofErr w:type="gramEnd"/>
      <w:r w:rsidR="561ACACF">
        <w:t xml:space="preserve"> maximise on synergies between the two programmes. </w:t>
      </w:r>
      <w:r>
        <w:t xml:space="preserve"> </w:t>
      </w:r>
    </w:p>
    <w:p w14:paraId="040D4511" w14:textId="77777777" w:rsidR="006F2F6D" w:rsidRDefault="4EAA50EC" w:rsidP="00EB486D">
      <w:pPr>
        <w:pStyle w:val="ItadNormalText"/>
        <w:jc w:val="both"/>
      </w:pPr>
      <w:r>
        <w:t>Based on the KIIs with UN Women CO staff and implementing partners, the</w:t>
      </w:r>
      <w:r w:rsidR="30B6A356">
        <w:t xml:space="preserve"> evaluation </w:t>
      </w:r>
      <w:r w:rsidR="5AAA54CE">
        <w:t xml:space="preserve">also </w:t>
      </w:r>
      <w:r w:rsidR="30B6A356">
        <w:t>noted that the</w:t>
      </w:r>
      <w:r>
        <w:t xml:space="preserve"> </w:t>
      </w:r>
      <w:proofErr w:type="spellStart"/>
      <w:r>
        <w:t>ToC</w:t>
      </w:r>
      <w:proofErr w:type="spellEnd"/>
      <w:r>
        <w:t xml:space="preserve"> was mainly used as a planning document at the design stages of the two phases</w:t>
      </w:r>
      <w:r w:rsidR="1007CC6D">
        <w:t xml:space="preserve">. It </w:t>
      </w:r>
      <w:r>
        <w:t>was not systematically reviewed at key stages at country</w:t>
      </w:r>
      <w:r w:rsidR="55F3BC60">
        <w:t xml:space="preserve"> </w:t>
      </w:r>
      <w:r>
        <w:t xml:space="preserve">level by UN Women staff to guide programme </w:t>
      </w:r>
      <w:proofErr w:type="gramStart"/>
      <w:r>
        <w:t>decision</w:t>
      </w:r>
      <w:r w:rsidR="72D01779">
        <w:t>s</w:t>
      </w:r>
      <w:r w:rsidR="55F3BC60">
        <w:t xml:space="preserve"> </w:t>
      </w:r>
      <w:r>
        <w:t xml:space="preserve"> across</w:t>
      </w:r>
      <w:proofErr w:type="gramEnd"/>
      <w:r>
        <w:t xml:space="preserve"> both Phase</w:t>
      </w:r>
      <w:r w:rsidR="55F3BC60">
        <w:t>s</w:t>
      </w:r>
      <w:r>
        <w:t xml:space="preserve"> I and II, nor</w:t>
      </w:r>
      <w:r w:rsidR="55F3BC60">
        <w:t xml:space="preserve"> </w:t>
      </w:r>
      <w:r w:rsidR="4D9C6BE6">
        <w:t xml:space="preserve">elements of it </w:t>
      </w:r>
      <w:r w:rsidR="027D63E6">
        <w:t xml:space="preserve">were </w:t>
      </w:r>
      <w:r w:rsidR="65824AB2">
        <w:t>explicitly</w:t>
      </w:r>
      <w:r w:rsidR="4D9C6BE6">
        <w:t xml:space="preserve"> </w:t>
      </w:r>
      <w:r>
        <w:t>referenced in project documentation</w:t>
      </w:r>
      <w:r w:rsidR="4D9C6BE6">
        <w:t xml:space="preserve">, such as Annual Work Plans, </w:t>
      </w:r>
      <w:r w:rsidR="31FCB285">
        <w:t xml:space="preserve">Annual </w:t>
      </w:r>
      <w:r w:rsidR="45677C8F">
        <w:t xml:space="preserve">Progress </w:t>
      </w:r>
      <w:r w:rsidR="31FCB285">
        <w:t xml:space="preserve">Reports, </w:t>
      </w:r>
      <w:r w:rsidR="3F192EDC">
        <w:t xml:space="preserve">and </w:t>
      </w:r>
      <w:r w:rsidR="2020E8CD">
        <w:t>Regional Reports</w:t>
      </w:r>
      <w:r w:rsidR="3F192EDC">
        <w:t xml:space="preserve">. </w:t>
      </w:r>
      <w:r>
        <w:t xml:space="preserve">While this is not uncommon, best practice would involve a regular review process, </w:t>
      </w:r>
      <w:proofErr w:type="gramStart"/>
      <w:r>
        <w:t>in particular at</w:t>
      </w:r>
      <w:proofErr w:type="gramEnd"/>
      <w:r>
        <w:t xml:space="preserve"> times when the basic assumptions underpinning the </w:t>
      </w:r>
      <w:proofErr w:type="spellStart"/>
      <w:r>
        <w:t>ToC</w:t>
      </w:r>
      <w:proofErr w:type="spellEnd"/>
      <w:r>
        <w:t xml:space="preserve"> might no longer be fully valid (</w:t>
      </w:r>
      <w:r w:rsidR="15F6F0B4">
        <w:t>e.g.,</w:t>
      </w:r>
      <w:r>
        <w:t xml:space="preserve"> as a result of the multiple crises in Lebanon). </w:t>
      </w:r>
      <w:r>
        <w:lastRenderedPageBreak/>
        <w:t xml:space="preserve">Regular engagement and familiarity with the </w:t>
      </w:r>
      <w:proofErr w:type="spellStart"/>
      <w:r>
        <w:t>ToC</w:t>
      </w:r>
      <w:proofErr w:type="spellEnd"/>
      <w:r>
        <w:t xml:space="preserve"> </w:t>
      </w:r>
      <w:r w:rsidR="3763193E">
        <w:t xml:space="preserve">would </w:t>
      </w:r>
      <w:r w:rsidR="768BC08A">
        <w:t xml:space="preserve">have </w:t>
      </w:r>
      <w:r>
        <w:t>help</w:t>
      </w:r>
      <w:r w:rsidR="6B5627D9">
        <w:t>ed</w:t>
      </w:r>
      <w:r>
        <w:t xml:space="preserve"> </w:t>
      </w:r>
      <w:r w:rsidR="179D576F">
        <w:t>to better link</w:t>
      </w:r>
      <w:r>
        <w:t xml:space="preserve"> various levels (micro, </w:t>
      </w:r>
      <w:proofErr w:type="spellStart"/>
      <w:r>
        <w:t>meso</w:t>
      </w:r>
      <w:proofErr w:type="spellEnd"/>
      <w:r>
        <w:t xml:space="preserve"> and macro) </w:t>
      </w:r>
      <w:r w:rsidR="6131AD12">
        <w:t>and in a</w:t>
      </w:r>
      <w:r>
        <w:t xml:space="preserve"> more consistently </w:t>
      </w:r>
      <w:r w:rsidR="542DC298">
        <w:t>way</w:t>
      </w:r>
      <w:r>
        <w:t>.</w:t>
      </w:r>
    </w:p>
    <w:p w14:paraId="0C1F3E4C" w14:textId="77777777" w:rsidR="187325E8" w:rsidRDefault="187325E8" w:rsidP="187325E8">
      <w:pPr>
        <w:pStyle w:val="ItadNormalText"/>
        <w:jc w:val="both"/>
      </w:pPr>
    </w:p>
    <w:p w14:paraId="25A5A807" w14:textId="77777777" w:rsidR="00AA4BC9" w:rsidRPr="00C80D78" w:rsidRDefault="5586A99D" w:rsidP="4977AA67">
      <w:pPr>
        <w:pStyle w:val="ItadH3Numbered"/>
        <w:numPr>
          <w:ilvl w:val="1"/>
          <w:numId w:val="0"/>
        </w:numPr>
        <w:ind w:left="51"/>
        <w:rPr>
          <w:sz w:val="28"/>
          <w:szCs w:val="28"/>
          <w:lang w:val="en-GB"/>
        </w:rPr>
      </w:pPr>
      <w:r w:rsidRPr="4977AA67">
        <w:rPr>
          <w:sz w:val="28"/>
          <w:szCs w:val="28"/>
          <w:lang w:val="en-GB"/>
        </w:rPr>
        <w:t>5</w:t>
      </w:r>
      <w:r w:rsidR="0E1FCC7B" w:rsidRPr="4977AA67">
        <w:rPr>
          <w:sz w:val="28"/>
          <w:szCs w:val="28"/>
          <w:lang w:val="en-GB"/>
        </w:rPr>
        <w:t xml:space="preserve">.2 </w:t>
      </w:r>
      <w:r w:rsidR="4F4E7CF4" w:rsidRPr="4977AA67">
        <w:rPr>
          <w:sz w:val="28"/>
          <w:szCs w:val="28"/>
          <w:lang w:val="en-GB"/>
        </w:rPr>
        <w:t>Effectiveness</w:t>
      </w:r>
    </w:p>
    <w:p w14:paraId="5F2BD3C8" w14:textId="77777777" w:rsidR="006F2F6D" w:rsidRPr="006A561F" w:rsidRDefault="3774BE70" w:rsidP="4977AA67">
      <w:pPr>
        <w:pStyle w:val="ItadH2"/>
        <w:jc w:val="both"/>
        <w:rPr>
          <w:sz w:val="20"/>
          <w:szCs w:val="20"/>
          <w:lang w:val="en-GB"/>
        </w:rPr>
      </w:pPr>
      <w:r w:rsidRPr="4977AA67">
        <w:rPr>
          <w:sz w:val="20"/>
          <w:szCs w:val="20"/>
          <w:lang w:val="en-GB"/>
        </w:rPr>
        <w:t xml:space="preserve">EQ 5. To what extent has the MWGE programme contributed to behaviour and policy change, institutional and national capacity development, </w:t>
      </w:r>
      <w:proofErr w:type="gramStart"/>
      <w:r w:rsidRPr="4977AA67">
        <w:rPr>
          <w:sz w:val="20"/>
          <w:szCs w:val="20"/>
          <w:lang w:val="en-GB"/>
        </w:rPr>
        <w:t>information</w:t>
      </w:r>
      <w:proofErr w:type="gramEnd"/>
      <w:r w:rsidRPr="4977AA67">
        <w:rPr>
          <w:sz w:val="20"/>
          <w:szCs w:val="20"/>
          <w:lang w:val="en-GB"/>
        </w:rPr>
        <w:t xml:space="preserve"> and knowledge sharing, to promote GEWE across different settings?</w:t>
      </w:r>
    </w:p>
    <w:p w14:paraId="2F68852F" w14:textId="77777777" w:rsidR="006F2F6D" w:rsidRPr="006A561F" w:rsidRDefault="006F2F6D" w:rsidP="00EB486D">
      <w:pPr>
        <w:pStyle w:val="ItadNormalText"/>
        <w:jc w:val="both"/>
        <w:rPr>
          <w:b/>
          <w:bCs/>
          <w:color w:val="588B46" w:themeColor="text2"/>
        </w:rPr>
      </w:pPr>
      <w:r w:rsidRPr="006A561F">
        <w:rPr>
          <w:b/>
          <w:bCs/>
          <w:color w:val="588B46" w:themeColor="text2"/>
        </w:rPr>
        <w:t>Summary:</w:t>
      </w:r>
    </w:p>
    <w:p w14:paraId="57CA3AA2" w14:textId="77777777" w:rsidR="006F2F6D" w:rsidRPr="006A561F" w:rsidRDefault="4EAA50EC" w:rsidP="4977AA67">
      <w:pPr>
        <w:pStyle w:val="ItadNormalText"/>
        <w:jc w:val="both"/>
        <w:rPr>
          <w:color w:val="588B46" w:themeColor="text2"/>
        </w:rPr>
      </w:pPr>
      <w:r w:rsidRPr="4977AA67">
        <w:rPr>
          <w:color w:val="588B46" w:themeColor="text2"/>
        </w:rPr>
        <w:t>With respect to approaches relating to programming for behaviour change and norms at community level, MWGE demonstrated good effectiveness in a broad range of interventions</w:t>
      </w:r>
      <w:r w:rsidR="53D128BD" w:rsidRPr="4977AA67">
        <w:rPr>
          <w:color w:val="588B46" w:themeColor="text2"/>
        </w:rPr>
        <w:t>.</w:t>
      </w:r>
      <w:r w:rsidR="052573FB" w:rsidRPr="4977AA67">
        <w:rPr>
          <w:color w:val="588B46" w:themeColor="text2"/>
        </w:rPr>
        <w:t xml:space="preserve"> </w:t>
      </w:r>
      <w:r w:rsidR="53D128BD" w:rsidRPr="4977AA67">
        <w:rPr>
          <w:color w:val="588B46" w:themeColor="text2"/>
        </w:rPr>
        <w:t>The</w:t>
      </w:r>
      <w:r w:rsidRPr="4977AA67">
        <w:rPr>
          <w:color w:val="588B46" w:themeColor="text2"/>
        </w:rPr>
        <w:t xml:space="preserve"> arts and sports-based approaches and </w:t>
      </w:r>
      <w:r w:rsidR="7757C16B" w:rsidRPr="4977AA67">
        <w:rPr>
          <w:color w:val="588B46" w:themeColor="text2"/>
        </w:rPr>
        <w:t>t</w:t>
      </w:r>
      <w:r w:rsidRPr="4977AA67">
        <w:rPr>
          <w:color w:val="588B46" w:themeColor="text2"/>
        </w:rPr>
        <w:t xml:space="preserve">he </w:t>
      </w:r>
      <w:r w:rsidR="7757C16B" w:rsidRPr="4977AA67">
        <w:rPr>
          <w:color w:val="588B46" w:themeColor="text2"/>
        </w:rPr>
        <w:t>BIAM</w:t>
      </w:r>
      <w:r w:rsidRPr="4977AA67">
        <w:rPr>
          <w:color w:val="588B46" w:themeColor="text2"/>
        </w:rPr>
        <w:t xml:space="preserve"> campaign reached a considerable number of people</w:t>
      </w:r>
      <w:r w:rsidR="6C3CC246" w:rsidRPr="4977AA67">
        <w:rPr>
          <w:color w:val="588B46" w:themeColor="text2"/>
        </w:rPr>
        <w:t xml:space="preserve"> but were </w:t>
      </w:r>
      <w:r w:rsidR="38E02F3B" w:rsidRPr="4977AA67">
        <w:rPr>
          <w:color w:val="588B46" w:themeColor="text2"/>
        </w:rPr>
        <w:t xml:space="preserve">more </w:t>
      </w:r>
      <w:r w:rsidR="7F14C7F8" w:rsidRPr="4977AA67">
        <w:rPr>
          <w:color w:val="588B46" w:themeColor="text2"/>
        </w:rPr>
        <w:t xml:space="preserve">likely </w:t>
      </w:r>
      <w:r w:rsidR="38E02F3B" w:rsidRPr="4977AA67">
        <w:rPr>
          <w:color w:val="588B46" w:themeColor="text2"/>
        </w:rPr>
        <w:t xml:space="preserve">effective in raising awareness rather than </w:t>
      </w:r>
      <w:r w:rsidR="6C3CC246" w:rsidRPr="4977AA67">
        <w:rPr>
          <w:color w:val="588B46" w:themeColor="text2"/>
        </w:rPr>
        <w:t xml:space="preserve">affecting </w:t>
      </w:r>
      <w:r w:rsidR="73B50768" w:rsidRPr="4977AA67">
        <w:rPr>
          <w:color w:val="588B46" w:themeColor="text2"/>
        </w:rPr>
        <w:t>behaviour</w:t>
      </w:r>
      <w:r w:rsidR="5D4B79D9" w:rsidRPr="4977AA67">
        <w:rPr>
          <w:color w:val="588B46" w:themeColor="text2"/>
        </w:rPr>
        <w:t xml:space="preserve"> </w:t>
      </w:r>
      <w:r w:rsidR="6C3CC246" w:rsidRPr="4977AA67">
        <w:rPr>
          <w:color w:val="588B46" w:themeColor="text2"/>
        </w:rPr>
        <w:t>change</w:t>
      </w:r>
      <w:r w:rsidRPr="4977AA67">
        <w:rPr>
          <w:color w:val="588B46" w:themeColor="text2"/>
        </w:rPr>
        <w:t xml:space="preserve">. There </w:t>
      </w:r>
      <w:r w:rsidR="00CBA414" w:rsidRPr="4977AA67">
        <w:rPr>
          <w:color w:val="588B46" w:themeColor="text2"/>
        </w:rPr>
        <w:t>wa</w:t>
      </w:r>
      <w:r w:rsidRPr="4977AA67">
        <w:rPr>
          <w:color w:val="588B46" w:themeColor="text2"/>
        </w:rPr>
        <w:t xml:space="preserve">s also strong evidence that the MWGE programme increased beneficiaries’ knowledge, attitudes and practices concerning gender equality and discrimination. However, despite multiple indications that beneficiaries were sharing newly gained knowledge concerning positive attitudes toward GEWE in their households and </w:t>
      </w:r>
      <w:proofErr w:type="gramStart"/>
      <w:r w:rsidRPr="4977AA67">
        <w:rPr>
          <w:color w:val="588B46" w:themeColor="text2"/>
        </w:rPr>
        <w:t>communities ,</w:t>
      </w:r>
      <w:proofErr w:type="gramEnd"/>
      <w:r w:rsidRPr="4977AA67">
        <w:rPr>
          <w:color w:val="588B46" w:themeColor="text2"/>
        </w:rPr>
        <w:t xml:space="preserve"> there was </w:t>
      </w:r>
      <w:r w:rsidR="51616E26" w:rsidRPr="4977AA67">
        <w:rPr>
          <w:color w:val="588B46" w:themeColor="text2"/>
        </w:rPr>
        <w:t>yet</w:t>
      </w:r>
      <w:r w:rsidRPr="4977AA67">
        <w:rPr>
          <w:color w:val="588B46" w:themeColor="text2"/>
        </w:rPr>
        <w:t xml:space="preserve"> little sign of change in empirical or normative expectations in the wider communities.</w:t>
      </w:r>
      <w:r w:rsidR="30B3E0BF" w:rsidRPr="4977AA67">
        <w:rPr>
          <w:color w:val="588B46" w:themeColor="text2"/>
        </w:rPr>
        <w:t xml:space="preserve"> At the macro level, the p</w:t>
      </w:r>
      <w:r w:rsidR="7BF9F46C" w:rsidRPr="4977AA67">
        <w:rPr>
          <w:color w:val="588B46" w:themeColor="text2"/>
        </w:rPr>
        <w:t>rogramme also</w:t>
      </w:r>
      <w:r w:rsidRPr="4977AA67">
        <w:rPr>
          <w:color w:val="588B46" w:themeColor="text2"/>
        </w:rPr>
        <w:t xml:space="preserve"> undert</w:t>
      </w:r>
      <w:r w:rsidR="48F30595" w:rsidRPr="4977AA67">
        <w:rPr>
          <w:color w:val="588B46" w:themeColor="text2"/>
        </w:rPr>
        <w:t>ook</w:t>
      </w:r>
      <w:r w:rsidRPr="4977AA67">
        <w:rPr>
          <w:color w:val="588B46" w:themeColor="text2"/>
        </w:rPr>
        <w:t xml:space="preserve"> several engagements – with some successes </w:t>
      </w:r>
      <w:r w:rsidR="7757C16B" w:rsidRPr="4977AA67">
        <w:rPr>
          <w:color w:val="588B46" w:themeColor="text2"/>
        </w:rPr>
        <w:t>–</w:t>
      </w:r>
      <w:r w:rsidRPr="4977AA67">
        <w:rPr>
          <w:color w:val="588B46" w:themeColor="text2"/>
        </w:rPr>
        <w:t xml:space="preserve"> across all the implementing countries to facilitate and affect legal and policy change with respect to the leveraging of men</w:t>
      </w:r>
      <w:r w:rsidR="1E3574D9" w:rsidRPr="4977AA67">
        <w:rPr>
          <w:color w:val="588B46" w:themeColor="text2"/>
        </w:rPr>
        <w:t>’s</w:t>
      </w:r>
      <w:r w:rsidRPr="4977AA67">
        <w:rPr>
          <w:color w:val="588B46" w:themeColor="text2"/>
        </w:rPr>
        <w:t xml:space="preserve"> and boys’ engagement for GEWE </w:t>
      </w:r>
      <w:r w:rsidR="7757C16B" w:rsidRPr="4977AA67">
        <w:rPr>
          <w:color w:val="588B46" w:themeColor="text2"/>
        </w:rPr>
        <w:t>–</w:t>
      </w:r>
      <w:r w:rsidRPr="4977AA67">
        <w:rPr>
          <w:color w:val="588B46" w:themeColor="text2"/>
        </w:rPr>
        <w:t xml:space="preserve"> predominantly exercised at national level </w:t>
      </w:r>
      <w:r w:rsidR="2ED6E4D7" w:rsidRPr="4977AA67">
        <w:rPr>
          <w:color w:val="588B46" w:themeColor="text2"/>
        </w:rPr>
        <w:t>due to</w:t>
      </w:r>
      <w:r w:rsidRPr="4977AA67">
        <w:rPr>
          <w:color w:val="588B46" w:themeColor="text2"/>
        </w:rPr>
        <w:t xml:space="preserve"> a lack of </w:t>
      </w:r>
      <w:r w:rsidR="017DD93A" w:rsidRPr="4977AA67">
        <w:rPr>
          <w:color w:val="588B46" w:themeColor="text2"/>
        </w:rPr>
        <w:t xml:space="preserve">institutional </w:t>
      </w:r>
      <w:r w:rsidR="067DFA83" w:rsidRPr="4977AA67">
        <w:rPr>
          <w:color w:val="588B46" w:themeColor="text2"/>
        </w:rPr>
        <w:t xml:space="preserve">counterparts </w:t>
      </w:r>
      <w:r w:rsidRPr="4977AA67">
        <w:rPr>
          <w:color w:val="588B46" w:themeColor="text2"/>
        </w:rPr>
        <w:t xml:space="preserve">at </w:t>
      </w:r>
      <w:r w:rsidR="017DD93A" w:rsidRPr="4977AA67">
        <w:rPr>
          <w:color w:val="588B46" w:themeColor="text2"/>
        </w:rPr>
        <w:t xml:space="preserve">the </w:t>
      </w:r>
      <w:r w:rsidRPr="4977AA67">
        <w:rPr>
          <w:color w:val="588B46" w:themeColor="text2"/>
        </w:rPr>
        <w:t>regional level</w:t>
      </w:r>
      <w:r w:rsidR="7F4565F8" w:rsidRPr="4977AA67">
        <w:rPr>
          <w:color w:val="588B46" w:themeColor="text2"/>
        </w:rPr>
        <w:t xml:space="preserve">, though ROAS facilitated </w:t>
      </w:r>
      <w:r w:rsidR="6C851227" w:rsidRPr="4977AA67">
        <w:rPr>
          <w:color w:val="588B46" w:themeColor="text2"/>
        </w:rPr>
        <w:t xml:space="preserve">cross-learning </w:t>
      </w:r>
      <w:r w:rsidR="586E6679" w:rsidRPr="4977AA67">
        <w:rPr>
          <w:color w:val="588B46" w:themeColor="text2"/>
        </w:rPr>
        <w:t>between implementation countries on their advocacy work</w:t>
      </w:r>
      <w:r w:rsidRPr="4977AA67">
        <w:rPr>
          <w:color w:val="588B46" w:themeColor="text2"/>
        </w:rPr>
        <w:t>.</w:t>
      </w:r>
    </w:p>
    <w:p w14:paraId="7C50B2B5" w14:textId="77777777" w:rsidR="006F2F6D" w:rsidRPr="006A561F" w:rsidRDefault="0C46233B" w:rsidP="00EB486D">
      <w:pPr>
        <w:pStyle w:val="ItadNormalText"/>
        <w:jc w:val="both"/>
      </w:pPr>
      <w:r w:rsidRPr="006A561F">
        <w:t xml:space="preserve">This section of the report assesses how and to what extent the programme was successful in promoting positive behaviours and challenging negative social norms about gender equality. The analytical framework used is the </w:t>
      </w:r>
      <w:r w:rsidR="76B035B1">
        <w:t>UNICEF ACT Framework for Measuring Social Norm Change-</w:t>
      </w:r>
      <w:r w:rsidRPr="006A561F">
        <w:t>an enhanced version of the KAP model, strengthened by including social norms and self-efficacy</w:t>
      </w:r>
      <w:r w:rsidR="07B4FFE1" w:rsidRPr="006A561F">
        <w:t>.</w:t>
      </w:r>
      <w:r w:rsidR="006F2F6D" w:rsidRPr="076A58FF">
        <w:rPr>
          <w:rStyle w:val="FootnoteReference"/>
          <w:sz w:val="22"/>
          <w:szCs w:val="22"/>
        </w:rPr>
        <w:footnoteReference w:id="143"/>
      </w:r>
    </w:p>
    <w:p w14:paraId="3EE4D5F2" w14:textId="77777777" w:rsidR="006F2F6D" w:rsidRPr="006A561F" w:rsidRDefault="3774BE70" w:rsidP="4977AA67">
      <w:pPr>
        <w:pStyle w:val="ItadH3"/>
        <w:jc w:val="both"/>
        <w:rPr>
          <w:sz w:val="18"/>
          <w:szCs w:val="18"/>
          <w:lang w:val="en-GB"/>
        </w:rPr>
      </w:pPr>
      <w:r w:rsidRPr="4977AA67">
        <w:rPr>
          <w:sz w:val="18"/>
          <w:szCs w:val="18"/>
          <w:lang w:val="en-GB"/>
        </w:rPr>
        <w:t>Overall model: a review of the approaches used to promote positive behaviours and norms</w:t>
      </w:r>
    </w:p>
    <w:p w14:paraId="6BF0790E" w14:textId="77777777" w:rsidR="006F2F6D" w:rsidRPr="006A561F" w:rsidRDefault="3774BE70">
      <w:pPr>
        <w:pStyle w:val="ItadNormalText"/>
        <w:numPr>
          <w:ilvl w:val="0"/>
          <w:numId w:val="28"/>
        </w:numPr>
        <w:jc w:val="both"/>
        <w:rPr>
          <w:sz w:val="18"/>
          <w:szCs w:val="18"/>
        </w:rPr>
      </w:pPr>
      <w:r w:rsidRPr="4977AA67">
        <w:rPr>
          <w:b/>
          <w:bCs/>
          <w:sz w:val="18"/>
          <w:szCs w:val="18"/>
        </w:rPr>
        <w:t>Knowledge:</w:t>
      </w:r>
      <w:r w:rsidRPr="4977AA67">
        <w:rPr>
          <w:sz w:val="18"/>
          <w:szCs w:val="18"/>
        </w:rPr>
        <w:t xml:space="preserve"> the degree to which beneficiaries have increased their knowledge of gender equality</w:t>
      </w:r>
    </w:p>
    <w:p w14:paraId="03610D9E" w14:textId="77777777" w:rsidR="006F2F6D" w:rsidRPr="006A561F" w:rsidRDefault="3774BE70">
      <w:pPr>
        <w:pStyle w:val="ItadNormalText"/>
        <w:numPr>
          <w:ilvl w:val="0"/>
          <w:numId w:val="28"/>
        </w:numPr>
        <w:rPr>
          <w:sz w:val="18"/>
          <w:szCs w:val="18"/>
        </w:rPr>
      </w:pPr>
      <w:r w:rsidRPr="4977AA67">
        <w:rPr>
          <w:b/>
          <w:bCs/>
          <w:sz w:val="18"/>
          <w:szCs w:val="18"/>
        </w:rPr>
        <w:t>Attitudes:</w:t>
      </w:r>
      <w:r w:rsidRPr="4977AA67">
        <w:rPr>
          <w:sz w:val="18"/>
          <w:szCs w:val="18"/>
        </w:rPr>
        <w:t xml:space="preserve"> the degree to which beneficiaries have positively shifted their attitudes towards gender equality</w:t>
      </w:r>
    </w:p>
    <w:p w14:paraId="3D541FDE" w14:textId="77777777" w:rsidR="006F2F6D" w:rsidRPr="006A561F" w:rsidRDefault="3774BE70">
      <w:pPr>
        <w:pStyle w:val="ItadNormalText"/>
        <w:numPr>
          <w:ilvl w:val="0"/>
          <w:numId w:val="28"/>
        </w:numPr>
        <w:rPr>
          <w:sz w:val="18"/>
          <w:szCs w:val="18"/>
        </w:rPr>
      </w:pPr>
      <w:r w:rsidRPr="4977AA67">
        <w:rPr>
          <w:b/>
          <w:bCs/>
          <w:sz w:val="18"/>
          <w:szCs w:val="18"/>
        </w:rPr>
        <w:t>Self-efficacy:</w:t>
      </w:r>
      <w:r w:rsidRPr="4977AA67">
        <w:rPr>
          <w:sz w:val="18"/>
          <w:szCs w:val="18"/>
        </w:rPr>
        <w:t xml:space="preserve"> the degree to which beneficiaries have acquired skills to engage in gender equal behaviours and challenge harmful practices</w:t>
      </w:r>
    </w:p>
    <w:p w14:paraId="5F576DB3" w14:textId="77777777" w:rsidR="006F2F6D" w:rsidRPr="006A561F" w:rsidRDefault="3774BE70">
      <w:pPr>
        <w:pStyle w:val="ItadNormalText"/>
        <w:numPr>
          <w:ilvl w:val="0"/>
          <w:numId w:val="28"/>
        </w:numPr>
        <w:rPr>
          <w:sz w:val="18"/>
          <w:szCs w:val="18"/>
        </w:rPr>
      </w:pPr>
      <w:r w:rsidRPr="4977AA67">
        <w:rPr>
          <w:b/>
          <w:bCs/>
          <w:sz w:val="18"/>
          <w:szCs w:val="18"/>
        </w:rPr>
        <w:t>Behaviour change:</w:t>
      </w:r>
      <w:r w:rsidRPr="4977AA67">
        <w:rPr>
          <w:sz w:val="18"/>
          <w:szCs w:val="18"/>
        </w:rPr>
        <w:t xml:space="preserve"> the degree to which positive behaviours are practiced by beneficiaries as a </w:t>
      </w:r>
      <w:proofErr w:type="gramStart"/>
      <w:r w:rsidRPr="4977AA67">
        <w:rPr>
          <w:sz w:val="18"/>
          <w:szCs w:val="18"/>
        </w:rPr>
        <w:t>results of engagement</w:t>
      </w:r>
      <w:proofErr w:type="gramEnd"/>
      <w:r w:rsidRPr="4977AA67">
        <w:rPr>
          <w:sz w:val="18"/>
          <w:szCs w:val="18"/>
        </w:rPr>
        <w:t xml:space="preserve"> with the programme</w:t>
      </w:r>
    </w:p>
    <w:p w14:paraId="38185501" w14:textId="77777777" w:rsidR="006F2F6D" w:rsidRPr="006A561F" w:rsidRDefault="3774BE70">
      <w:pPr>
        <w:pStyle w:val="ItadNormalText"/>
        <w:numPr>
          <w:ilvl w:val="0"/>
          <w:numId w:val="28"/>
        </w:numPr>
        <w:rPr>
          <w:sz w:val="18"/>
          <w:szCs w:val="18"/>
        </w:rPr>
      </w:pPr>
      <w:r w:rsidRPr="4977AA67">
        <w:rPr>
          <w:b/>
          <w:bCs/>
          <w:sz w:val="18"/>
          <w:szCs w:val="18"/>
        </w:rPr>
        <w:t>Social norms:</w:t>
      </w:r>
      <w:r w:rsidRPr="4977AA67">
        <w:rPr>
          <w:sz w:val="18"/>
          <w:szCs w:val="18"/>
        </w:rPr>
        <w:t xml:space="preserve"> the degree to which beliefs about typical and appropriate behaviour in the community have shifted.</w:t>
      </w:r>
    </w:p>
    <w:p w14:paraId="1881CD33" w14:textId="77777777" w:rsidR="4977AA67" w:rsidRDefault="4977AA67" w:rsidP="4977AA67">
      <w:pPr>
        <w:pStyle w:val="ItadNormalText"/>
        <w:jc w:val="both"/>
        <w:rPr>
          <w:b/>
          <w:bCs/>
          <w:color w:val="588B46" w:themeColor="text2"/>
        </w:rPr>
      </w:pPr>
    </w:p>
    <w:p w14:paraId="46A9DC18" w14:textId="77777777" w:rsidR="3774BE70" w:rsidRDefault="3774BE70" w:rsidP="4977AA67">
      <w:pPr>
        <w:pStyle w:val="ItadNormalText"/>
        <w:jc w:val="both"/>
        <w:rPr>
          <w:b/>
          <w:bCs/>
          <w:i/>
          <w:iCs/>
        </w:rPr>
      </w:pPr>
      <w:r w:rsidRPr="4977AA67">
        <w:rPr>
          <w:b/>
          <w:bCs/>
          <w:color w:val="588B46" w:themeColor="text2"/>
        </w:rPr>
        <w:t>Finding 5.1:</w:t>
      </w:r>
      <w:r w:rsidRPr="4977AA67">
        <w:rPr>
          <w:b/>
          <w:bCs/>
        </w:rPr>
        <w:t xml:space="preserve"> The Positive Deviance approach and G</w:t>
      </w:r>
      <w:r w:rsidR="2AD17C7D" w:rsidRPr="4977AA67">
        <w:rPr>
          <w:b/>
          <w:bCs/>
        </w:rPr>
        <w:t xml:space="preserve">ender </w:t>
      </w:r>
      <w:r w:rsidRPr="4977AA67">
        <w:rPr>
          <w:b/>
          <w:bCs/>
        </w:rPr>
        <w:t>T</w:t>
      </w:r>
      <w:r w:rsidR="516039B2" w:rsidRPr="4977AA67">
        <w:rPr>
          <w:b/>
          <w:bCs/>
        </w:rPr>
        <w:t xml:space="preserve">ransformative </w:t>
      </w:r>
      <w:r w:rsidRPr="4977AA67">
        <w:rPr>
          <w:b/>
          <w:bCs/>
        </w:rPr>
        <w:t>P</w:t>
      </w:r>
      <w:r w:rsidR="2F1A5CDA" w:rsidRPr="4977AA67">
        <w:rPr>
          <w:b/>
          <w:bCs/>
        </w:rPr>
        <w:t>arenting (GTP)</w:t>
      </w:r>
      <w:r w:rsidRPr="4977AA67">
        <w:rPr>
          <w:b/>
          <w:bCs/>
        </w:rPr>
        <w:t xml:space="preserve"> programmes were the key approaches used to influence attitudes, </w:t>
      </w:r>
      <w:proofErr w:type="gramStart"/>
      <w:r w:rsidRPr="4977AA67">
        <w:rPr>
          <w:b/>
          <w:bCs/>
        </w:rPr>
        <w:t>behaviours</w:t>
      </w:r>
      <w:proofErr w:type="gramEnd"/>
      <w:r w:rsidRPr="4977AA67">
        <w:rPr>
          <w:b/>
          <w:bCs/>
        </w:rPr>
        <w:t xml:space="preserve"> and social norms in all four countries. There was strong evidence of effectiveness of the </w:t>
      </w:r>
      <w:r w:rsidR="0197753D" w:rsidRPr="4977AA67">
        <w:rPr>
          <w:b/>
          <w:bCs/>
        </w:rPr>
        <w:t>P</w:t>
      </w:r>
      <w:r w:rsidRPr="4977AA67">
        <w:rPr>
          <w:b/>
          <w:bCs/>
        </w:rPr>
        <w:t xml:space="preserve">ositive </w:t>
      </w:r>
      <w:r w:rsidR="0197753D" w:rsidRPr="4977AA67">
        <w:rPr>
          <w:b/>
          <w:bCs/>
        </w:rPr>
        <w:t>D</w:t>
      </w:r>
      <w:r w:rsidRPr="4977AA67">
        <w:rPr>
          <w:b/>
          <w:bCs/>
        </w:rPr>
        <w:t>eviance approach in contributing to behavioural change.</w:t>
      </w:r>
      <w:r w:rsidR="782BDE58" w:rsidRPr="4977AA67">
        <w:rPr>
          <w:b/>
          <w:bCs/>
        </w:rPr>
        <w:t xml:space="preserve"> </w:t>
      </w:r>
      <w:r w:rsidR="1D4248CA" w:rsidRPr="4977AA67">
        <w:rPr>
          <w:b/>
          <w:bCs/>
        </w:rPr>
        <w:t xml:space="preserve"> Arts and sports-based approaches were successful in engaging young people and prompting debate, but there was less evidence of their effectiveness in shifting behaviours and social norms without further follow-up activities. The Because I am a Man (BIAM) campaign reached a huge number of people and generated considerable engagement. Locally produced materials were used to support the community-based activities, but awareness of the regional materials was patchy among local CBOs and beneficiaries. There was a lack of alignment between some nationally produced materials and the regional campaign guidelines, and several materials lacked a clear call to action, while a small number did not demonstrate good practice.</w:t>
      </w:r>
    </w:p>
    <w:p w14:paraId="7D6D51E4" w14:textId="77777777" w:rsidR="006F2F6D" w:rsidRPr="006A561F" w:rsidRDefault="0C46233B" w:rsidP="00EB486D">
      <w:pPr>
        <w:pStyle w:val="ItadNormalText"/>
        <w:jc w:val="both"/>
      </w:pPr>
      <w:r w:rsidRPr="006A561F">
        <w:lastRenderedPageBreak/>
        <w:t>The main approach used at community level was the Positive Deviance method. This involve</w:t>
      </w:r>
      <w:r w:rsidR="30923959" w:rsidRPr="006A561F">
        <w:t>d</w:t>
      </w:r>
      <w:r w:rsidRPr="006A561F">
        <w:t xml:space="preserve"> a core group of individuals</w:t>
      </w:r>
      <w:r w:rsidR="34336F9E" w:rsidRPr="006A561F">
        <w:t>,</w:t>
      </w:r>
      <w:r w:rsidRPr="006A561F">
        <w:t xml:space="preserve"> who </w:t>
      </w:r>
      <w:r w:rsidR="65D6E5F7" w:rsidRPr="006A561F">
        <w:t>were</w:t>
      </w:r>
      <w:r w:rsidRPr="006A561F">
        <w:t xml:space="preserve"> already practicing gender equal behaviours, </w:t>
      </w:r>
      <w:r w:rsidR="7B848CD0" w:rsidRPr="006A561F">
        <w:t>w</w:t>
      </w:r>
      <w:r w:rsidRPr="006A561F">
        <w:t>e</w:t>
      </w:r>
      <w:r w:rsidR="7B848CD0" w:rsidRPr="006A561F">
        <w:t>re</w:t>
      </w:r>
      <w:r w:rsidRPr="006A561F">
        <w:t xml:space="preserve"> </w:t>
      </w:r>
      <w:proofErr w:type="gramStart"/>
      <w:r w:rsidRPr="006A561F">
        <w:t>trained</w:t>
      </w:r>
      <w:proofErr w:type="gramEnd"/>
      <w:r w:rsidRPr="006A561F">
        <w:t xml:space="preserve"> and supported to promote positive behaviours within their social network. </w:t>
      </w:r>
      <w:r w:rsidR="34FF8B26">
        <w:t>The approach was central in Palestine</w:t>
      </w:r>
      <w:r w:rsidR="3D2807EF" w:rsidRPr="4977AA67">
        <w:rPr>
          <w:rStyle w:val="FootnoteReference"/>
          <w:sz w:val="22"/>
          <w:szCs w:val="22"/>
        </w:rPr>
        <w:footnoteReference w:id="144"/>
      </w:r>
      <w:r w:rsidR="34FF8B26">
        <w:t xml:space="preserve"> and Lebanon,</w:t>
      </w:r>
      <w:r w:rsidR="3D2807EF" w:rsidRPr="4977AA67">
        <w:rPr>
          <w:rStyle w:val="FootnoteReference"/>
          <w:sz w:val="22"/>
          <w:szCs w:val="22"/>
        </w:rPr>
        <w:footnoteReference w:id="145"/>
      </w:r>
      <w:r w:rsidR="34FF8B26">
        <w:t xml:space="preserve"> and was also used in Egypt</w:t>
      </w:r>
      <w:r w:rsidR="3D2807EF" w:rsidRPr="4977AA67">
        <w:rPr>
          <w:rStyle w:val="FootnoteReference"/>
          <w:sz w:val="22"/>
          <w:szCs w:val="22"/>
        </w:rPr>
        <w:footnoteReference w:id="146"/>
      </w:r>
      <w:r w:rsidR="34FF8B26">
        <w:t xml:space="preserve"> and Morocco.</w:t>
      </w:r>
      <w:r w:rsidR="3D2807EF" w:rsidRPr="4977AA67">
        <w:rPr>
          <w:rStyle w:val="FootnoteReference"/>
          <w:sz w:val="22"/>
          <w:szCs w:val="22"/>
        </w:rPr>
        <w:footnoteReference w:id="147"/>
      </w:r>
      <w:r w:rsidR="34FF8B26">
        <w:t>In Palestine, the positive deviants worked with peers in their homes over a number of sessions, concluding with a parenting camp for peers to meet each other and share experiences and challenges.</w:t>
      </w:r>
      <w:r w:rsidR="3D2807EF" w:rsidRPr="4977AA67">
        <w:rPr>
          <w:rStyle w:val="FootnoteReference"/>
          <w:sz w:val="22"/>
          <w:szCs w:val="22"/>
        </w:rPr>
        <w:footnoteReference w:id="148"/>
      </w:r>
      <w:r w:rsidRPr="006A561F">
        <w:t>The method prove</w:t>
      </w:r>
      <w:r w:rsidR="23E4D7DC" w:rsidRPr="006A561F">
        <w:t>d</w:t>
      </w:r>
      <w:r w:rsidRPr="006A561F">
        <w:t xml:space="preserve"> effective in deepening </w:t>
      </w:r>
      <w:r w:rsidR="34336F9E" w:rsidRPr="006A561F">
        <w:t>p</w:t>
      </w:r>
      <w:r w:rsidRPr="006A561F">
        <w:t xml:space="preserve">ositive </w:t>
      </w:r>
      <w:r w:rsidR="34336F9E" w:rsidRPr="006A561F">
        <w:t>d</w:t>
      </w:r>
      <w:r w:rsidRPr="006A561F">
        <w:t>eviants</w:t>
      </w:r>
      <w:r w:rsidR="34336F9E" w:rsidRPr="006A561F">
        <w:t>’</w:t>
      </w:r>
      <w:r w:rsidRPr="006A561F">
        <w:t xml:space="preserve"> commitment to gender equality and</w:t>
      </w:r>
      <w:r w:rsidR="34336F9E" w:rsidRPr="006A561F">
        <w:t xml:space="preserve"> in</w:t>
      </w:r>
      <w:r w:rsidRPr="006A561F">
        <w:t xml:space="preserve"> shifting attitudes and behaviours among the peer groups with whom they ha</w:t>
      </w:r>
      <w:r w:rsidR="53E7BC07" w:rsidRPr="006A561F">
        <w:t>d</w:t>
      </w:r>
      <w:r w:rsidRPr="006A561F">
        <w:t xml:space="preserve"> engaged. Key success factors seem</w:t>
      </w:r>
      <w:r w:rsidR="53A93339" w:rsidRPr="006A561F">
        <w:t>ed</w:t>
      </w:r>
      <w:r w:rsidRPr="006A561F">
        <w:t xml:space="preserve"> to be the strong training provided for the </w:t>
      </w:r>
      <w:r w:rsidR="34336F9E" w:rsidRPr="006A561F">
        <w:t>p</w:t>
      </w:r>
      <w:r w:rsidRPr="006A561F">
        <w:t xml:space="preserve">ositive </w:t>
      </w:r>
      <w:r w:rsidR="34336F9E" w:rsidRPr="006A561F">
        <w:t>d</w:t>
      </w:r>
      <w:r w:rsidRPr="006A561F">
        <w:t xml:space="preserve">eviants, the long-term and repeated engagements with </w:t>
      </w:r>
      <w:r w:rsidR="12472923">
        <w:t xml:space="preserve">target </w:t>
      </w:r>
      <w:r w:rsidRPr="006A561F">
        <w:t>beneficiaries, and the impact of learning through the peer-to-peer approach.</w:t>
      </w:r>
    </w:p>
    <w:p w14:paraId="65EB9B7A" w14:textId="77777777" w:rsidR="006F2F6D" w:rsidRPr="006A561F" w:rsidRDefault="3E19D9AA" w:rsidP="00EB486D">
      <w:pPr>
        <w:pStyle w:val="ItadNormalText"/>
        <w:jc w:val="both"/>
      </w:pPr>
      <w:r>
        <w:t xml:space="preserve">The </w:t>
      </w:r>
      <w:r w:rsidR="4EAA50EC">
        <w:t xml:space="preserve">GTP </w:t>
      </w:r>
      <w:r w:rsidR="6AB10A22">
        <w:t>intervention</w:t>
      </w:r>
      <w:r w:rsidR="4EAA50EC">
        <w:t xml:space="preserve"> w</w:t>
      </w:r>
      <w:r w:rsidR="39B67333">
        <w:t>as</w:t>
      </w:r>
      <w:r w:rsidR="4EAA50EC">
        <w:t xml:space="preserve"> developed and piloted in Egypt, Morocco</w:t>
      </w:r>
      <w:r w:rsidR="06CC4DDB">
        <w:t>,</w:t>
      </w:r>
      <w:r w:rsidR="4EAA50EC">
        <w:t xml:space="preserve"> Palestine</w:t>
      </w:r>
      <w:r w:rsidR="5CE57A98">
        <w:t xml:space="preserve"> </w:t>
      </w:r>
      <w:r w:rsidR="5584E0D3">
        <w:t>an</w:t>
      </w:r>
      <w:r w:rsidR="18B00B01">
        <w:t>d</w:t>
      </w:r>
      <w:r w:rsidR="5CE57A98">
        <w:t xml:space="preserve"> in Lebanon in Phase I</w:t>
      </w:r>
      <w:r w:rsidR="4EAA50EC">
        <w:t>. In Egypt, the model comprised two three-day residential parenting camps, separated by a two-week gap</w:t>
      </w:r>
      <w:r w:rsidR="69B6FA19">
        <w:t>,</w:t>
      </w:r>
      <w:r w:rsidR="4EAA50EC">
        <w:t xml:space="preserve"> for couples to try out new approaches to parenting</w:t>
      </w:r>
      <w:r w:rsidR="07EABB3D">
        <w:t>.</w:t>
      </w:r>
    </w:p>
    <w:p w14:paraId="1AB876B5" w14:textId="77777777" w:rsidR="006F2F6D" w:rsidRPr="006A561F" w:rsidRDefault="0C46233B" w:rsidP="00EB486D">
      <w:pPr>
        <w:pStyle w:val="ItadNormalText"/>
        <w:jc w:val="both"/>
      </w:pPr>
      <w:r w:rsidRPr="006A561F">
        <w:t>Both approaches</w:t>
      </w:r>
      <w:r w:rsidR="39EFE83E" w:rsidRPr="006A561F">
        <w:t xml:space="preserve"> </w:t>
      </w:r>
      <w:r w:rsidR="39EFE83E">
        <w:t>appeared to drive shifts in attitudes and behaviours, although there were questions about how sustainable these changes would be, given the relatively short engagement with community members</w:t>
      </w:r>
      <w:r w:rsidR="3D2807EF" w:rsidRPr="4977AA67">
        <w:rPr>
          <w:rStyle w:val="FootnoteReference"/>
          <w:sz w:val="22"/>
          <w:szCs w:val="22"/>
        </w:rPr>
        <w:footnoteReference w:id="149"/>
      </w:r>
      <w:r w:rsidR="0EC85C7D">
        <w:t>.</w:t>
      </w:r>
    </w:p>
    <w:p w14:paraId="31AEB9FF" w14:textId="77777777" w:rsidR="006F2F6D" w:rsidRPr="006A561F" w:rsidRDefault="3774BE70" w:rsidP="4977AA67">
      <w:pPr>
        <w:pStyle w:val="ItadNormalText"/>
        <w:jc w:val="both"/>
      </w:pPr>
      <w:r>
        <w:t>A range of arts and sports-based approaches w</w:t>
      </w:r>
      <w:r w:rsidR="31310E71">
        <w:t>as</w:t>
      </w:r>
      <w:r>
        <w:t xml:space="preserve"> used by CBOs to raise awareness and prompt discussion of gender issues. These included football tournaments (Egypt</w:t>
      </w:r>
      <w:r w:rsidR="7C7476F9">
        <w:t xml:space="preserve"> and Morocco</w:t>
      </w:r>
      <w:r>
        <w:t xml:space="preserve">), swimming activities involving boys and girls together, photography competitions (Morocco), murals (Palestine), interactive theatre (Egypt, </w:t>
      </w:r>
      <w:proofErr w:type="gramStart"/>
      <w:r>
        <w:t>Palestine</w:t>
      </w:r>
      <w:proofErr w:type="gramEnd"/>
      <w:r>
        <w:t xml:space="preserve"> and Morocco), dance and music (Egypt and Morocco), and role plays (Morocco). Such approaches were innovative, appealing to younger people and rural audiences, and more fun and engaging for the public. They were effective in raising awareness, challenging stereotypes, provoking public </w:t>
      </w:r>
      <w:proofErr w:type="gramStart"/>
      <w:r>
        <w:t>debate</w:t>
      </w:r>
      <w:proofErr w:type="gramEnd"/>
      <w:r>
        <w:t xml:space="preserve"> and taking gender issues to rural or more conservative communities. However, there was less evidence of their impact on attitudes and behaviours. They are probably best seen as a first step along the path to behaviour change, requiring follow</w:t>
      </w:r>
      <w:r w:rsidR="31310E71">
        <w:t>-</w:t>
      </w:r>
      <w:r>
        <w:t>up activities to build on the awareness and interest generated.</w:t>
      </w:r>
    </w:p>
    <w:p w14:paraId="172246FA" w14:textId="77777777" w:rsidR="006F2F6D" w:rsidRDefault="0C46233B" w:rsidP="00EB486D">
      <w:pPr>
        <w:pStyle w:val="ItadNormalText"/>
        <w:jc w:val="both"/>
      </w:pPr>
      <w:r w:rsidRPr="006A561F">
        <w:t>Mass communications – social media, television, radio, videos, etc</w:t>
      </w:r>
      <w:r w:rsidR="20E3BA03" w:rsidRPr="006A561F">
        <w:t>.</w:t>
      </w:r>
      <w:r w:rsidRPr="006A561F">
        <w:t xml:space="preserve"> – were effective in reaching large numbers of people.</w:t>
      </w:r>
      <w:r w:rsidR="006F2F6D" w:rsidRPr="076A58FF">
        <w:rPr>
          <w:rStyle w:val="FootnoteReference"/>
          <w:sz w:val="22"/>
          <w:szCs w:val="22"/>
        </w:rPr>
        <w:footnoteReference w:id="150"/>
      </w:r>
      <w:r w:rsidRPr="006A561F">
        <w:t xml:space="preserve"> The regional BIAM campaign developed a range of communications products, disseminated via social media and traditional</w:t>
      </w:r>
      <w:r w:rsidR="20E3BA03" w:rsidRPr="006A561F">
        <w:t xml:space="preserve"> means</w:t>
      </w:r>
      <w:r w:rsidRPr="006A561F">
        <w:t xml:space="preserve"> (</w:t>
      </w:r>
      <w:proofErr w:type="gramStart"/>
      <w:r w:rsidR="20E3BA03" w:rsidRPr="006A561F">
        <w:t>e.g.</w:t>
      </w:r>
      <w:proofErr w:type="gramEnd"/>
      <w:r w:rsidR="20E3BA03" w:rsidRPr="006A561F">
        <w:t xml:space="preserve"> </w:t>
      </w:r>
      <w:r w:rsidRPr="006A561F">
        <w:t xml:space="preserve">radio, TV, </w:t>
      </w:r>
      <w:r w:rsidR="714A03F5" w:rsidRPr="006A561F">
        <w:t>songs</w:t>
      </w:r>
      <w:r w:rsidRPr="006A561F">
        <w:t xml:space="preserve">). </w:t>
      </w:r>
      <w:r w:rsidR="20E3BA03" w:rsidRPr="006A561F">
        <w:t>COs</w:t>
      </w:r>
      <w:r w:rsidRPr="006A561F">
        <w:t xml:space="preserve"> and CBOs produced videos, posters, social media posts and radio programmes of their own. The media campaigns generated considerable engagement in terms of likes, </w:t>
      </w:r>
      <w:proofErr w:type="gramStart"/>
      <w:r w:rsidRPr="006A561F">
        <w:t>comments</w:t>
      </w:r>
      <w:proofErr w:type="gramEnd"/>
      <w:r w:rsidRPr="006A561F">
        <w:t xml:space="preserve"> and shares, and many of the locally produced materials were used by CBOs to generate debate in communities and raise awareness of gender equality.</w:t>
      </w:r>
      <w:r w:rsidR="006F2F6D" w:rsidRPr="076A58FF">
        <w:rPr>
          <w:rStyle w:val="FootnoteReference"/>
          <w:sz w:val="22"/>
          <w:szCs w:val="22"/>
        </w:rPr>
        <w:footnoteReference w:id="151"/>
      </w:r>
      <w:r w:rsidRPr="006A561F">
        <w:t xml:space="preserve"> However, the regional campaign</w:t>
      </w:r>
      <w:r w:rsidR="35E54004">
        <w:t>, national campaign,</w:t>
      </w:r>
      <w:r w:rsidRPr="006A561F">
        <w:t xml:space="preserve"> and the community-based activities were not always connected</w:t>
      </w:r>
      <w:r w:rsidR="35E54004">
        <w:t xml:space="preserve"> to each other</w:t>
      </w:r>
      <w:r w:rsidRPr="006A561F">
        <w:t>, and this limited the impact of the regionally produced materials. Adherence to the communications strategy and brand guidelines w</w:t>
      </w:r>
      <w:r w:rsidR="700DC607" w:rsidRPr="006A561F">
        <w:t>ere</w:t>
      </w:r>
      <w:r w:rsidRPr="006A561F">
        <w:t xml:space="preserve"> inconsistent, many materials lacked a call to action, and some materials risked reinforcing negative practices.</w:t>
      </w:r>
    </w:p>
    <w:p w14:paraId="1909A869" w14:textId="77777777" w:rsidR="009655C7" w:rsidRDefault="6C10C1E0" w:rsidP="00EB486D">
      <w:pPr>
        <w:pStyle w:val="ItadNormalText"/>
        <w:jc w:val="both"/>
      </w:pPr>
      <w:r>
        <w:t>Moreover, the</w:t>
      </w:r>
      <w:r w:rsidR="2B184547" w:rsidRPr="00784220">
        <w:t xml:space="preserve"> brief review </w:t>
      </w:r>
      <w:r w:rsidR="2B184547">
        <w:t>of</w:t>
      </w:r>
      <w:r w:rsidR="2B184547" w:rsidRPr="00784220">
        <w:t xml:space="preserve"> </w:t>
      </w:r>
      <w:r>
        <w:t xml:space="preserve">the </w:t>
      </w:r>
      <w:r w:rsidR="2B184547" w:rsidRPr="00784220">
        <w:t xml:space="preserve">BIAM </w:t>
      </w:r>
      <w:r w:rsidR="2B184547">
        <w:t>campaign (annex 18)</w:t>
      </w:r>
      <w:r w:rsidR="2B184547" w:rsidRPr="00784220">
        <w:t xml:space="preserve"> </w:t>
      </w:r>
      <w:r>
        <w:t>suggest</w:t>
      </w:r>
      <w:r w:rsidR="08C34699">
        <w:t>ed</w:t>
      </w:r>
      <w:r>
        <w:t xml:space="preserve"> that</w:t>
      </w:r>
      <w:r w:rsidR="2B184547" w:rsidRPr="00784220">
        <w:t xml:space="preserve"> brand identity </w:t>
      </w:r>
      <w:r w:rsidR="5D7D8CE6" w:rsidRPr="00784220">
        <w:t>was</w:t>
      </w:r>
      <w:r w:rsidR="2B184547">
        <w:t xml:space="preserve"> </w:t>
      </w:r>
      <w:r w:rsidR="2B184547" w:rsidRPr="00784220">
        <w:t xml:space="preserve">not consistently implemented across the range of BIAM communications. </w:t>
      </w:r>
      <w:r w:rsidR="4DD1A9BC">
        <w:t>In addition, some</w:t>
      </w:r>
      <w:r w:rsidR="2B184547" w:rsidRPr="00784220">
        <w:t xml:space="preserve"> </w:t>
      </w:r>
      <w:r w:rsidR="4DD1A9BC">
        <w:t>campaign multimedia</w:t>
      </w:r>
      <w:r w:rsidR="2B184547" w:rsidRPr="00784220">
        <w:t xml:space="preserve"> highlight</w:t>
      </w:r>
      <w:r w:rsidR="0C88573E" w:rsidRPr="00784220">
        <w:t>ed</w:t>
      </w:r>
      <w:r w:rsidR="2B184547" w:rsidRPr="00784220">
        <w:t xml:space="preserve"> negative behaviours, publicise</w:t>
      </w:r>
      <w:r w:rsidR="57229E9B" w:rsidRPr="00784220">
        <w:t>d</w:t>
      </w:r>
      <w:r w:rsidR="2B184547" w:rsidRPr="00784220">
        <w:t xml:space="preserve"> the prevalence of harmful practices</w:t>
      </w:r>
      <w:r w:rsidR="233EEF64">
        <w:t>, and d</w:t>
      </w:r>
      <w:r w:rsidR="50F2045C">
        <w:t>id</w:t>
      </w:r>
      <w:r w:rsidR="233EEF64">
        <w:t xml:space="preserve"> not prioritise positive messaging</w:t>
      </w:r>
      <w:r w:rsidR="1180DB74">
        <w:t xml:space="preserve">. Such approaches </w:t>
      </w:r>
      <w:r w:rsidR="70B83575">
        <w:t xml:space="preserve">were </w:t>
      </w:r>
      <w:r w:rsidR="03E0A415">
        <w:t>not aligned with good practice in relation to social norms programming</w:t>
      </w:r>
      <w:r w:rsidR="1180DB74">
        <w:t xml:space="preserve">, which emphasise that only positive messages should be promoted, </w:t>
      </w:r>
      <w:r w:rsidR="5B2FF01C">
        <w:t xml:space="preserve">and that </w:t>
      </w:r>
      <w:r w:rsidR="1FCD4B61">
        <w:t xml:space="preserve">regressive behaviours </w:t>
      </w:r>
      <w:r w:rsidR="09A246A0">
        <w:t>should not be</w:t>
      </w:r>
      <w:r w:rsidR="6E847AF0">
        <w:t xml:space="preserve"> demonstrated</w:t>
      </w:r>
      <w:r w:rsidR="00F12841">
        <w:rPr>
          <w:rStyle w:val="FootnoteReference"/>
        </w:rPr>
        <w:footnoteReference w:id="152"/>
      </w:r>
      <w:r w:rsidR="03E0A415">
        <w:t xml:space="preserve">. </w:t>
      </w:r>
      <w:r w:rsidR="33846AB6">
        <w:t xml:space="preserve">For example, </w:t>
      </w:r>
      <w:r w:rsidR="752071A3">
        <w:t>the series of videos from Morocco</w:t>
      </w:r>
      <w:r w:rsidR="7AB18B5E">
        <w:t xml:space="preserve"> created as part of the </w:t>
      </w:r>
      <w:r w:rsidR="7AB18B5E" w:rsidRPr="4977AA67">
        <w:rPr>
          <w:i/>
          <w:iCs/>
        </w:rPr>
        <w:t xml:space="preserve">Hit Ana </w:t>
      </w:r>
      <w:proofErr w:type="spellStart"/>
      <w:r w:rsidR="7AB18B5E" w:rsidRPr="4977AA67">
        <w:rPr>
          <w:i/>
          <w:iCs/>
        </w:rPr>
        <w:t>Rajel</w:t>
      </w:r>
      <w:proofErr w:type="spellEnd"/>
      <w:r w:rsidR="7AB18B5E">
        <w:t xml:space="preserve"> (</w:t>
      </w:r>
      <w:r w:rsidR="7AB18B5E" w:rsidRPr="4977AA67">
        <w:rPr>
          <w:i/>
          <w:iCs/>
        </w:rPr>
        <w:t>Because I Am a Man</w:t>
      </w:r>
      <w:r w:rsidR="7AB18B5E">
        <w:t>) campaign highlight</w:t>
      </w:r>
      <w:r w:rsidR="29987FEA">
        <w:t>ed</w:t>
      </w:r>
      <w:r w:rsidR="7AB18B5E">
        <w:t xml:space="preserve"> insulting, harmful and negative behaviours towards women</w:t>
      </w:r>
      <w:r w:rsidR="29C08525">
        <w:t xml:space="preserve"> in manner which </w:t>
      </w:r>
      <w:r w:rsidR="53D50726">
        <w:t>can potentially normalise</w:t>
      </w:r>
      <w:r w:rsidR="29C08525">
        <w:t xml:space="preserve"> rather than challenge negative gender norms.</w:t>
      </w:r>
      <w:r w:rsidR="6EB76C5F">
        <w:t xml:space="preserve"> Other media </w:t>
      </w:r>
      <w:r w:rsidR="3CC04D73">
        <w:t xml:space="preserve">(such as the </w:t>
      </w:r>
      <w:r w:rsidR="3CC04D73" w:rsidRPr="4977AA67">
        <w:rPr>
          <w:i/>
          <w:iCs/>
        </w:rPr>
        <w:t>Understanding Gender Norms in Palestine: A Drama</w:t>
      </w:r>
      <w:r w:rsidR="3CC04D73">
        <w:t xml:space="preserve"> and </w:t>
      </w:r>
      <w:r w:rsidR="3CC04D73" w:rsidRPr="4977AA67">
        <w:rPr>
          <w:i/>
          <w:iCs/>
        </w:rPr>
        <w:t xml:space="preserve">Understanding Gender </w:t>
      </w:r>
      <w:r w:rsidR="3CC04D73" w:rsidRPr="4977AA67">
        <w:rPr>
          <w:i/>
          <w:iCs/>
        </w:rPr>
        <w:lastRenderedPageBreak/>
        <w:t>Norms in Lebanon: A Drama)</w:t>
      </w:r>
      <w:r w:rsidR="3CC04D73">
        <w:t xml:space="preserve"> </w:t>
      </w:r>
      <w:r w:rsidR="392D5BF3">
        <w:t>use</w:t>
      </w:r>
      <w:r w:rsidR="72CF18BF">
        <w:t>d</w:t>
      </w:r>
      <w:r w:rsidR="3CC04D73">
        <w:t xml:space="preserve"> </w:t>
      </w:r>
      <w:r w:rsidR="6FF50D7F">
        <w:t>comparable framing.</w:t>
      </w:r>
      <w:r w:rsidR="7F612AE7">
        <w:t xml:space="preserve"> This was due to factors such as spending </w:t>
      </w:r>
      <w:r w:rsidR="37BEF8A4">
        <w:t xml:space="preserve">much </w:t>
      </w:r>
      <w:r w:rsidR="7F612AE7">
        <w:t xml:space="preserve">more time on </w:t>
      </w:r>
      <w:r w:rsidR="44F32BF4">
        <w:t>the negative norm</w:t>
      </w:r>
      <w:r w:rsidR="37BEF8A4">
        <w:t>/behaviour</w:t>
      </w:r>
      <w:r w:rsidR="44F32BF4">
        <w:t xml:space="preserve"> than the positive norm</w:t>
      </w:r>
      <w:r w:rsidR="37BEF8A4">
        <w:t>/behaviour</w:t>
      </w:r>
      <w:r w:rsidR="44F32BF4">
        <w:t xml:space="preserve">, </w:t>
      </w:r>
      <w:r w:rsidR="37BEF8A4">
        <w:t xml:space="preserve">and thereby making it more memorable to the audience rather than </w:t>
      </w:r>
      <w:r w:rsidR="0A3A88DB">
        <w:t>emphasising or</w:t>
      </w:r>
      <w:r w:rsidR="7F1A4B21">
        <w:t xml:space="preserve"> focusing on men’s agency (be it in </w:t>
      </w:r>
      <w:r w:rsidR="33D711D4">
        <w:t>the positive or negative sense)</w:t>
      </w:r>
      <w:r w:rsidR="7F1A4B21">
        <w:t xml:space="preserve"> </w:t>
      </w:r>
      <w:r w:rsidR="33D711D4">
        <w:t xml:space="preserve">and portraying women </w:t>
      </w:r>
      <w:r w:rsidR="7F1A4B21">
        <w:t xml:space="preserve">as </w:t>
      </w:r>
      <w:r w:rsidR="33D711D4">
        <w:t>passive</w:t>
      </w:r>
      <w:r w:rsidR="37BEF8A4">
        <w:t>.</w:t>
      </w:r>
      <w:r w:rsidR="44F32BF4">
        <w:t xml:space="preserve"> </w:t>
      </w:r>
      <w:r w:rsidR="6FF50D7F">
        <w:t xml:space="preserve"> </w:t>
      </w:r>
    </w:p>
    <w:p w14:paraId="228E717A" w14:textId="77777777" w:rsidR="4977AA67" w:rsidRDefault="4977AA67" w:rsidP="4977AA67">
      <w:pPr>
        <w:pStyle w:val="ItadNormalText"/>
        <w:jc w:val="both"/>
        <w:rPr>
          <w:b/>
          <w:bCs/>
          <w:color w:val="588B46" w:themeColor="text2"/>
        </w:rPr>
      </w:pPr>
    </w:p>
    <w:p w14:paraId="4DA42B0A" w14:textId="77777777" w:rsidR="00517F3E" w:rsidRPr="006A561F" w:rsidRDefault="3774BE70" w:rsidP="4977AA67">
      <w:pPr>
        <w:pStyle w:val="ItadNormalText"/>
        <w:jc w:val="both"/>
        <w:rPr>
          <w:b/>
          <w:bCs/>
        </w:rPr>
      </w:pPr>
      <w:r w:rsidRPr="4977AA67">
        <w:rPr>
          <w:b/>
          <w:bCs/>
          <w:color w:val="588B46" w:themeColor="text2"/>
        </w:rPr>
        <w:t>Finding 5.</w:t>
      </w:r>
      <w:r w:rsidR="15EFE7F8" w:rsidRPr="4977AA67">
        <w:rPr>
          <w:b/>
          <w:bCs/>
          <w:color w:val="588B46" w:themeColor="text2"/>
        </w:rPr>
        <w:t>2</w:t>
      </w:r>
      <w:r w:rsidRPr="4977AA67">
        <w:rPr>
          <w:b/>
          <w:bCs/>
          <w:color w:val="3FB84E" w:themeColor="accent3"/>
        </w:rPr>
        <w:t xml:space="preserve">: </w:t>
      </w:r>
      <w:r w:rsidRPr="4977AA67">
        <w:rPr>
          <w:b/>
          <w:bCs/>
        </w:rPr>
        <w:t>There was strong evidence that the programme had increased beneficiaries’ knowledge of gender equality and discrimination.</w:t>
      </w:r>
      <w:r>
        <w:t xml:space="preserve"> </w:t>
      </w:r>
      <w:r w:rsidR="67D6FA26" w:rsidRPr="4977AA67">
        <w:rPr>
          <w:b/>
          <w:bCs/>
        </w:rPr>
        <w:t>There was strong evidence of positive attitude changes among beneficiary groups, both from programme data and the Evaluation Team’s primary research.</w:t>
      </w:r>
    </w:p>
    <w:p w14:paraId="2E13F0AE" w14:textId="77777777" w:rsidR="006F2F6D" w:rsidRDefault="0743636A" w:rsidP="4977AA67">
      <w:pPr>
        <w:pStyle w:val="ItadNormalText"/>
        <w:jc w:val="both"/>
        <w:rPr>
          <w:highlight w:val="yellow"/>
        </w:rPr>
      </w:pPr>
      <w:r w:rsidRPr="006A561F">
        <w:t>The baseline</w:t>
      </w:r>
      <w:r w:rsidR="0983E28A" w:rsidRPr="006A561F">
        <w:t>–</w:t>
      </w:r>
      <w:r w:rsidRPr="006A561F">
        <w:t xml:space="preserve">endline studies, using the </w:t>
      </w:r>
      <w:bookmarkStart w:id="40" w:name="_Hlk98235873"/>
      <w:r w:rsidRPr="006A561F">
        <w:t>Gender</w:t>
      </w:r>
      <w:r w:rsidR="0983E28A" w:rsidRPr="006A561F">
        <w:t>-</w:t>
      </w:r>
      <w:r w:rsidRPr="006A561F">
        <w:t>Equ</w:t>
      </w:r>
      <w:r w:rsidR="0983E28A" w:rsidRPr="006A561F">
        <w:t>it</w:t>
      </w:r>
      <w:r w:rsidRPr="006A561F">
        <w:t>a</w:t>
      </w:r>
      <w:r w:rsidR="0983E28A" w:rsidRPr="006A561F">
        <w:t>b</w:t>
      </w:r>
      <w:r w:rsidRPr="006A561F">
        <w:t>l</w:t>
      </w:r>
      <w:r w:rsidR="0983E28A" w:rsidRPr="006A561F">
        <w:t>e</w:t>
      </w:r>
      <w:r w:rsidRPr="006A561F">
        <w:t xml:space="preserve"> Men Scale </w:t>
      </w:r>
      <w:bookmarkEnd w:id="40"/>
      <w:r w:rsidRPr="006A561F">
        <w:t>(GEMS) developed as part of the IMAGES studies, found substantial positive shifts in attitudes in Morocco, Palestine and Lebanon, all of which exceeded their targets</w:t>
      </w:r>
      <w:r w:rsidR="609C4CC3">
        <w:t xml:space="preserve"> (see figure </w:t>
      </w:r>
      <w:r w:rsidR="1CDF6066">
        <w:t>3</w:t>
      </w:r>
      <w:r w:rsidR="609C4CC3">
        <w:t xml:space="preserve"> below)</w:t>
      </w:r>
      <w:r w:rsidRPr="006A561F">
        <w:t>.</w:t>
      </w:r>
      <w:r w:rsidR="006F2F6D" w:rsidRPr="0D4BD307">
        <w:rPr>
          <w:rStyle w:val="FootnoteReference"/>
          <w:sz w:val="22"/>
          <w:szCs w:val="22"/>
        </w:rPr>
        <w:footnoteReference w:id="153"/>
      </w:r>
      <w:r w:rsidR="2D2E1BF5">
        <w:t xml:space="preserve"> By comparison, the results for Egypt should be contextualised within the sheer scale and spread of the intervention (which has limited traction)</w:t>
      </w:r>
      <w:r w:rsidR="2FA9AF3F">
        <w:t>, as well as the challenging enabling environment</w:t>
      </w:r>
      <w:r w:rsidR="1C567E5C">
        <w:t>.</w:t>
      </w:r>
    </w:p>
    <w:p w14:paraId="4E051914" w14:textId="77777777" w:rsidR="00B5057F" w:rsidRPr="00CC084C" w:rsidRDefault="072F2F8D" w:rsidP="00CC084C">
      <w:pPr>
        <w:pStyle w:val="ItadFigureText"/>
      </w:pPr>
      <w:bookmarkStart w:id="41" w:name="_Toc123126147"/>
      <w:r w:rsidRPr="00CC084C">
        <w:t>Relative changes (percentage) in the GEMS score (baseline to endline) by country and sex</w:t>
      </w:r>
      <w:r w:rsidR="00000AD5" w:rsidRPr="4977AA67">
        <w:rPr>
          <w:rStyle w:val="EndnoteReference"/>
        </w:rPr>
        <w:footnoteReference w:id="154"/>
      </w:r>
      <w:bookmarkEnd w:id="41"/>
    </w:p>
    <w:p w14:paraId="349FF440" w14:textId="77777777" w:rsidR="00D05AFC" w:rsidRPr="006A561F" w:rsidRDefault="00C71543" w:rsidP="0082767F">
      <w:pPr>
        <w:pStyle w:val="ItadNormalText"/>
        <w:jc w:val="center"/>
      </w:pPr>
      <w:r>
        <w:rPr>
          <w:noProof/>
        </w:rPr>
        <w:drawing>
          <wp:inline distT="0" distB="0" distL="0" distR="0" wp14:anchorId="17AD9540" wp14:editId="79438965">
            <wp:extent cx="4572000" cy="2743200"/>
            <wp:effectExtent l="0" t="0" r="0" b="0"/>
            <wp:docPr id="6" name="Chart 6">
              <a:extLst xmlns:a="http://schemas.openxmlformats.org/drawingml/2006/main">
                <a:ext uri="{FF2B5EF4-FFF2-40B4-BE49-F238E27FC236}">
                  <a16:creationId xmlns:a16="http://schemas.microsoft.com/office/drawing/2014/main" id="{2D2B3996-C94D-46A3-94F1-7DFD3A6006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76A08DF" w14:textId="77777777" w:rsidR="4977AA67" w:rsidRDefault="4977AA67" w:rsidP="4977AA67">
      <w:pPr>
        <w:pStyle w:val="ItadNormalText"/>
      </w:pPr>
    </w:p>
    <w:p w14:paraId="39E35A1C" w14:textId="77777777" w:rsidR="57CBB08A" w:rsidRDefault="57CBB08A" w:rsidP="4977AA67">
      <w:pPr>
        <w:pStyle w:val="ItadNormalText"/>
        <w:jc w:val="both"/>
      </w:pPr>
      <w:r>
        <w:t>Data from the IMAGES surveys was used in training to provide locally relevant evidence of discriminatory attitudes and behaviours.</w:t>
      </w:r>
      <w:r w:rsidRPr="4977AA67">
        <w:rPr>
          <w:rStyle w:val="FootnoteReference"/>
          <w:sz w:val="22"/>
          <w:szCs w:val="22"/>
        </w:rPr>
        <w:footnoteReference w:id="155"/>
      </w:r>
      <w:r>
        <w:t xml:space="preserve"> Men gained an understanding of their own prejudices and realised that violence against women could include verbal insults, child marriage and female genital mutilation (FGM).</w:t>
      </w:r>
      <w:r w:rsidRPr="4977AA67">
        <w:rPr>
          <w:rStyle w:val="FootnoteReference"/>
          <w:sz w:val="22"/>
          <w:szCs w:val="22"/>
        </w:rPr>
        <w:footnoteReference w:id="156"/>
      </w:r>
      <w:r>
        <w:t xml:space="preserve"> Men came to understand the impact of children witnessing violence and of how cycles of violence were repeated within families.</w:t>
      </w:r>
      <w:r w:rsidRPr="4977AA67">
        <w:rPr>
          <w:rStyle w:val="FootnoteReference"/>
          <w:sz w:val="22"/>
          <w:szCs w:val="22"/>
        </w:rPr>
        <w:footnoteReference w:id="157"/>
      </w:r>
    </w:p>
    <w:p w14:paraId="6204AAD4" w14:textId="77777777" w:rsidR="006F2F6D" w:rsidRDefault="3774BE70" w:rsidP="4977AA67">
      <w:pPr>
        <w:pStyle w:val="ItadNormalText"/>
        <w:jc w:val="both"/>
      </w:pPr>
      <w:r w:rsidRPr="006A561F">
        <w:t>In</w:t>
      </w:r>
      <w:r w:rsidR="0638481C">
        <w:t xml:space="preserve"> table 9</w:t>
      </w:r>
      <w:r w:rsidR="0638481C">
        <w:rPr>
          <w:color w:val="2B579A"/>
          <w:shd w:val="clear" w:color="auto" w:fill="E6E6E6"/>
        </w:rPr>
        <w:t xml:space="preserve"> </w:t>
      </w:r>
      <w:r w:rsidRPr="006A561F">
        <w:t xml:space="preserve">below, </w:t>
      </w:r>
      <w:r w:rsidR="4DC90466" w:rsidRPr="006A561F">
        <w:t>‘</w:t>
      </w:r>
      <w:r w:rsidRPr="006A561F">
        <w:t>Baseline</w:t>
      </w:r>
      <w:r w:rsidR="4DC90466" w:rsidRPr="006A561F">
        <w:t>’</w:t>
      </w:r>
      <w:r w:rsidRPr="006A561F">
        <w:t xml:space="preserve"> refers</w:t>
      </w:r>
      <w:r w:rsidR="4DC90466" w:rsidRPr="006A561F">
        <w:t xml:space="preserve"> to</w:t>
      </w:r>
      <w:r w:rsidRPr="006A561F">
        <w:t xml:space="preserve"> the proportion of beneficiaries exhibiting positive attitudes towards gender issues before the intervention; the </w:t>
      </w:r>
      <w:r w:rsidR="4DC90466" w:rsidRPr="006A561F">
        <w:t>t</w:t>
      </w:r>
      <w:r w:rsidRPr="006A561F">
        <w:t xml:space="preserve">arget for attitude change was 15% over baseline for all countries; the </w:t>
      </w:r>
      <w:r w:rsidR="4DC90466" w:rsidRPr="006A561F">
        <w:t>r</w:t>
      </w:r>
      <w:r w:rsidRPr="006A561F">
        <w:t xml:space="preserve">esult is the proportion with positive attitudes at endline; and the </w:t>
      </w:r>
      <w:r w:rsidR="4DC90466" w:rsidRPr="006A561F">
        <w:t>‘</w:t>
      </w:r>
      <w:r w:rsidR="3CB3B959" w:rsidRPr="006A561F">
        <w:t>results</w:t>
      </w:r>
      <w:r w:rsidR="4DC90466" w:rsidRPr="006A561F">
        <w:t>’</w:t>
      </w:r>
      <w:r w:rsidRPr="006A561F">
        <w:t xml:space="preserve"> column refers to the extent to which the target has been achieved. </w:t>
      </w:r>
    </w:p>
    <w:p w14:paraId="681A6BDE" w14:textId="0978F218" w:rsidR="00BF5D79" w:rsidRDefault="00BF5D79" w:rsidP="00DD6CEB">
      <w:pPr>
        <w:pStyle w:val="ItadNormalText"/>
      </w:pPr>
    </w:p>
    <w:p w14:paraId="7FEC43AE" w14:textId="25ED568F" w:rsidR="00C32338" w:rsidRDefault="00C32338" w:rsidP="00DD6CEB">
      <w:pPr>
        <w:pStyle w:val="ItadNormalText"/>
      </w:pPr>
    </w:p>
    <w:p w14:paraId="1D1E789A" w14:textId="77777777" w:rsidR="00C32338" w:rsidRPr="006A561F" w:rsidRDefault="00C32338" w:rsidP="00DD6CEB">
      <w:pPr>
        <w:pStyle w:val="ItadNormalText"/>
      </w:pPr>
    </w:p>
    <w:p w14:paraId="58A91038" w14:textId="77777777" w:rsidR="0091513D" w:rsidRPr="00486FD3" w:rsidRDefault="7357B3D0" w:rsidP="00486FD3">
      <w:pPr>
        <w:pStyle w:val="Itadtablestyle"/>
      </w:pPr>
      <w:bookmarkStart w:id="42" w:name="_Toc101775212"/>
      <w:bookmarkStart w:id="43" w:name="_Toc123126102"/>
      <w:r>
        <w:lastRenderedPageBreak/>
        <w:t>Percentage of young men and young women who report positive change in attitudes toward gender equality</w:t>
      </w:r>
      <w:bookmarkEnd w:id="42"/>
      <w:bookmarkEnd w:id="43"/>
    </w:p>
    <w:tbl>
      <w:tblPr>
        <w:tblStyle w:val="Itademphasiseheaderandfirstcolumn1"/>
        <w:tblW w:w="5635" w:type="dxa"/>
        <w:jc w:val="center"/>
        <w:tblInd w:w="0" w:type="dxa"/>
        <w:tblLook w:val="04A0" w:firstRow="1" w:lastRow="0" w:firstColumn="1" w:lastColumn="0" w:noHBand="0" w:noVBand="1"/>
      </w:tblPr>
      <w:tblGrid>
        <w:gridCol w:w="998"/>
        <w:gridCol w:w="1165"/>
        <w:gridCol w:w="1780"/>
        <w:gridCol w:w="1692"/>
      </w:tblGrid>
      <w:tr w:rsidR="005C6649" w:rsidRPr="00E65EAA" w14:paraId="47CF8414" w14:textId="77777777" w:rsidTr="4977AA67">
        <w:trPr>
          <w:cnfStyle w:val="100000000000" w:firstRow="1" w:lastRow="0" w:firstColumn="0" w:lastColumn="0" w:oddVBand="0" w:evenVBand="0" w:oddHBand="0" w:evenHBand="0" w:firstRowFirstColumn="0" w:firstRowLastColumn="0" w:lastRowFirstColumn="0" w:lastRowLastColumn="0"/>
          <w:trHeight w:val="401"/>
          <w:jc w:val="center"/>
        </w:trPr>
        <w:tc>
          <w:tcPr>
            <w:cnfStyle w:val="001000000000" w:firstRow="0" w:lastRow="0" w:firstColumn="1" w:lastColumn="0" w:oddVBand="0" w:evenVBand="0" w:oddHBand="0" w:evenHBand="0" w:firstRowFirstColumn="0" w:firstRowLastColumn="0" w:lastRowFirstColumn="0" w:lastRowLastColumn="0"/>
            <w:tcW w:w="998" w:type="dxa"/>
            <w:hideMark/>
          </w:tcPr>
          <w:p w14:paraId="68E015C0" w14:textId="77777777" w:rsidR="005C6649" w:rsidRPr="00E65EAA" w:rsidRDefault="6EFB111B" w:rsidP="4977AA67">
            <w:pPr>
              <w:rPr>
                <w:rFonts w:eastAsia="Calibri"/>
                <w:b/>
                <w:bCs/>
                <w:sz w:val="15"/>
                <w:szCs w:val="15"/>
              </w:rPr>
            </w:pPr>
            <w:r w:rsidRPr="00E65EAA">
              <w:rPr>
                <w:rFonts w:eastAsia="Calibri"/>
                <w:b/>
                <w:bCs/>
                <w:sz w:val="15"/>
                <w:szCs w:val="15"/>
              </w:rPr>
              <w:t>Country</w:t>
            </w:r>
          </w:p>
        </w:tc>
        <w:tc>
          <w:tcPr>
            <w:tcW w:w="1165" w:type="dxa"/>
            <w:hideMark/>
          </w:tcPr>
          <w:p w14:paraId="77AF45AE" w14:textId="77777777" w:rsidR="005C6649" w:rsidRPr="00E65EAA" w:rsidRDefault="6EFB111B" w:rsidP="4977AA67">
            <w:pPr>
              <w:cnfStyle w:val="100000000000" w:firstRow="1" w:lastRow="0" w:firstColumn="0" w:lastColumn="0" w:oddVBand="0" w:evenVBand="0" w:oddHBand="0" w:evenHBand="0" w:firstRowFirstColumn="0" w:firstRowLastColumn="0" w:lastRowFirstColumn="0" w:lastRowLastColumn="0"/>
              <w:rPr>
                <w:rFonts w:eastAsia="Calibri"/>
                <w:b/>
                <w:bCs/>
                <w:sz w:val="15"/>
                <w:szCs w:val="15"/>
              </w:rPr>
            </w:pPr>
            <w:r w:rsidRPr="00E65EAA">
              <w:rPr>
                <w:rFonts w:eastAsia="Calibri"/>
                <w:b/>
                <w:bCs/>
                <w:sz w:val="15"/>
                <w:szCs w:val="15"/>
              </w:rPr>
              <w:t>Baseline</w:t>
            </w:r>
          </w:p>
        </w:tc>
        <w:tc>
          <w:tcPr>
            <w:tcW w:w="1780" w:type="dxa"/>
          </w:tcPr>
          <w:p w14:paraId="1A1129BC" w14:textId="77777777" w:rsidR="005C6649" w:rsidRPr="00E65EAA" w:rsidRDefault="7E948A38" w:rsidP="4977AA67">
            <w:pPr>
              <w:jc w:val="center"/>
              <w:cnfStyle w:val="100000000000" w:firstRow="1" w:lastRow="0" w:firstColumn="0" w:lastColumn="0" w:oddVBand="0" w:evenVBand="0" w:oddHBand="0" w:evenHBand="0" w:firstRowFirstColumn="0" w:firstRowLastColumn="0" w:lastRowFirstColumn="0" w:lastRowLastColumn="0"/>
              <w:rPr>
                <w:rFonts w:eastAsia="Calibri"/>
                <w:b/>
                <w:bCs/>
                <w:sz w:val="15"/>
                <w:szCs w:val="15"/>
              </w:rPr>
            </w:pPr>
            <w:r w:rsidRPr="00E65EAA">
              <w:rPr>
                <w:rFonts w:eastAsia="Calibri"/>
                <w:b/>
                <w:bCs/>
                <w:sz w:val="15"/>
                <w:szCs w:val="15"/>
              </w:rPr>
              <w:t>Target</w:t>
            </w:r>
            <w:r w:rsidR="000436B2" w:rsidRPr="00E65EAA">
              <w:rPr>
                <w:rStyle w:val="FootnoteReference"/>
                <w:rFonts w:eastAsia="Calibri"/>
                <w:b/>
                <w:bCs/>
                <w:sz w:val="15"/>
                <w:szCs w:val="15"/>
              </w:rPr>
              <w:footnoteReference w:id="158"/>
            </w:r>
          </w:p>
        </w:tc>
        <w:tc>
          <w:tcPr>
            <w:tcW w:w="1692" w:type="dxa"/>
          </w:tcPr>
          <w:p w14:paraId="1F7ADF26" w14:textId="77777777" w:rsidR="005C6649" w:rsidRPr="00E65EAA" w:rsidRDefault="6EFB111B" w:rsidP="4977AA67">
            <w:pPr>
              <w:jc w:val="center"/>
              <w:cnfStyle w:val="100000000000" w:firstRow="1" w:lastRow="0" w:firstColumn="0" w:lastColumn="0" w:oddVBand="0" w:evenVBand="0" w:oddHBand="0" w:evenHBand="0" w:firstRowFirstColumn="0" w:firstRowLastColumn="0" w:lastRowFirstColumn="0" w:lastRowLastColumn="0"/>
              <w:rPr>
                <w:rFonts w:eastAsia="Calibri"/>
                <w:b/>
                <w:bCs/>
                <w:sz w:val="15"/>
                <w:szCs w:val="15"/>
              </w:rPr>
            </w:pPr>
            <w:r w:rsidRPr="00E65EAA">
              <w:rPr>
                <w:rFonts w:eastAsia="Calibri"/>
                <w:b/>
                <w:bCs/>
                <w:sz w:val="15"/>
                <w:szCs w:val="15"/>
              </w:rPr>
              <w:t>Result</w:t>
            </w:r>
          </w:p>
        </w:tc>
      </w:tr>
      <w:tr w:rsidR="005C6649" w:rsidRPr="00E65EAA" w14:paraId="14F05436" w14:textId="77777777" w:rsidTr="4977AA67">
        <w:trPr>
          <w:cnfStyle w:val="000000100000" w:firstRow="0" w:lastRow="0" w:firstColumn="0" w:lastColumn="0" w:oddVBand="0" w:evenVBand="0" w:oddHBand="1" w:evenHBand="0" w:firstRowFirstColumn="0" w:firstRowLastColumn="0" w:lastRowFirstColumn="0" w:lastRowLastColumn="0"/>
          <w:trHeight w:val="244"/>
          <w:jc w:val="center"/>
        </w:trPr>
        <w:tc>
          <w:tcPr>
            <w:cnfStyle w:val="001000000000" w:firstRow="0" w:lastRow="0" w:firstColumn="1" w:lastColumn="0" w:oddVBand="0" w:evenVBand="0" w:oddHBand="0" w:evenHBand="0" w:firstRowFirstColumn="0" w:firstRowLastColumn="0" w:lastRowFirstColumn="0" w:lastRowLastColumn="0"/>
            <w:tcW w:w="998" w:type="dxa"/>
          </w:tcPr>
          <w:p w14:paraId="7F0AD3D8" w14:textId="77777777" w:rsidR="005C6649" w:rsidRPr="00E65EAA" w:rsidRDefault="005C6649" w:rsidP="4977AA67">
            <w:pPr>
              <w:rPr>
                <w:rFonts w:eastAsia="Calibri"/>
                <w:color w:val="3B3B3C"/>
                <w:sz w:val="15"/>
                <w:szCs w:val="15"/>
              </w:rPr>
            </w:pPr>
          </w:p>
          <w:p w14:paraId="5D6E0AD7" w14:textId="77777777" w:rsidR="005C6649" w:rsidRPr="00E65EAA" w:rsidRDefault="6EFB111B" w:rsidP="4977AA67">
            <w:pPr>
              <w:rPr>
                <w:rFonts w:eastAsia="Calibri"/>
                <w:color w:val="3B3B3C"/>
                <w:sz w:val="15"/>
                <w:szCs w:val="15"/>
              </w:rPr>
            </w:pPr>
            <w:r w:rsidRPr="00E65EAA">
              <w:rPr>
                <w:rFonts w:eastAsia="Calibri"/>
                <w:sz w:val="15"/>
                <w:szCs w:val="15"/>
              </w:rPr>
              <w:t>Egypt</w:t>
            </w:r>
          </w:p>
        </w:tc>
        <w:tc>
          <w:tcPr>
            <w:tcW w:w="1165" w:type="dxa"/>
          </w:tcPr>
          <w:p w14:paraId="61A2C03B" w14:textId="77777777" w:rsidR="005C6649" w:rsidRPr="00E65EAA" w:rsidRDefault="005C6649" w:rsidP="4977AA67">
            <w:pPr>
              <w:jc w:val="center"/>
              <w:cnfStyle w:val="000000100000" w:firstRow="0" w:lastRow="0" w:firstColumn="0" w:lastColumn="0" w:oddVBand="0" w:evenVBand="0" w:oddHBand="1" w:evenHBand="0" w:firstRowFirstColumn="0" w:firstRowLastColumn="0" w:lastRowFirstColumn="0" w:lastRowLastColumn="0"/>
              <w:rPr>
                <w:rFonts w:eastAsia="Calibri"/>
                <w:color w:val="3B3B3C"/>
                <w:sz w:val="15"/>
                <w:szCs w:val="15"/>
              </w:rPr>
            </w:pPr>
          </w:p>
          <w:p w14:paraId="3BB58761" w14:textId="77777777" w:rsidR="005C6649" w:rsidRPr="00E65EAA" w:rsidRDefault="6EFB111B" w:rsidP="4977AA67">
            <w:pPr>
              <w:jc w:val="center"/>
              <w:cnfStyle w:val="000000100000" w:firstRow="0" w:lastRow="0" w:firstColumn="0" w:lastColumn="0" w:oddVBand="0" w:evenVBand="0" w:oddHBand="1" w:evenHBand="0" w:firstRowFirstColumn="0" w:firstRowLastColumn="0" w:lastRowFirstColumn="0" w:lastRowLastColumn="0"/>
              <w:rPr>
                <w:rFonts w:eastAsia="Calibri"/>
                <w:color w:val="3B3B3C"/>
                <w:sz w:val="15"/>
                <w:szCs w:val="15"/>
              </w:rPr>
            </w:pPr>
            <w:r w:rsidRPr="00E65EAA">
              <w:rPr>
                <w:rFonts w:eastAsia="Calibri"/>
                <w:color w:val="3B3B3C" w:themeColor="text1"/>
                <w:sz w:val="15"/>
                <w:szCs w:val="15"/>
              </w:rPr>
              <w:t>45%</w:t>
            </w:r>
          </w:p>
        </w:tc>
        <w:tc>
          <w:tcPr>
            <w:tcW w:w="1780" w:type="dxa"/>
          </w:tcPr>
          <w:p w14:paraId="3E1755F3" w14:textId="77777777" w:rsidR="005C6649" w:rsidRPr="00E65EAA" w:rsidRDefault="6EFB111B" w:rsidP="4977AA67">
            <w:pPr>
              <w:jc w:val="center"/>
              <w:cnfStyle w:val="000000100000" w:firstRow="0" w:lastRow="0" w:firstColumn="0" w:lastColumn="0" w:oddVBand="0" w:evenVBand="0" w:oddHBand="1" w:evenHBand="0" w:firstRowFirstColumn="0" w:firstRowLastColumn="0" w:lastRowFirstColumn="0" w:lastRowLastColumn="0"/>
              <w:rPr>
                <w:rFonts w:eastAsia="Calibri"/>
                <w:color w:val="3B3B3C"/>
                <w:sz w:val="15"/>
                <w:szCs w:val="15"/>
              </w:rPr>
            </w:pPr>
            <w:r w:rsidRPr="00E65EAA">
              <w:rPr>
                <w:rFonts w:eastAsia="Calibri"/>
                <w:color w:val="3B3B3C" w:themeColor="text1"/>
                <w:sz w:val="15"/>
                <w:szCs w:val="15"/>
              </w:rPr>
              <w:t>(+15)</w:t>
            </w:r>
          </w:p>
          <w:p w14:paraId="20493095" w14:textId="77777777" w:rsidR="005C6649" w:rsidRPr="00E65EAA" w:rsidRDefault="6EFB111B" w:rsidP="4977AA67">
            <w:pPr>
              <w:jc w:val="center"/>
              <w:cnfStyle w:val="000000100000" w:firstRow="0" w:lastRow="0" w:firstColumn="0" w:lastColumn="0" w:oddVBand="0" w:evenVBand="0" w:oddHBand="1" w:evenHBand="0" w:firstRowFirstColumn="0" w:firstRowLastColumn="0" w:lastRowFirstColumn="0" w:lastRowLastColumn="0"/>
              <w:rPr>
                <w:rFonts w:eastAsia="Calibri"/>
                <w:color w:val="3B3B3C"/>
                <w:sz w:val="15"/>
                <w:szCs w:val="15"/>
              </w:rPr>
            </w:pPr>
            <w:r w:rsidRPr="00E65EAA">
              <w:rPr>
                <w:rFonts w:eastAsia="Calibri"/>
                <w:color w:val="3B3B3C" w:themeColor="text1"/>
                <w:sz w:val="15"/>
                <w:szCs w:val="15"/>
              </w:rPr>
              <w:t xml:space="preserve">51.75% </w:t>
            </w:r>
          </w:p>
        </w:tc>
        <w:tc>
          <w:tcPr>
            <w:tcW w:w="1692" w:type="dxa"/>
          </w:tcPr>
          <w:p w14:paraId="32D98DC9" w14:textId="77777777" w:rsidR="005C6649" w:rsidRPr="00E65EAA" w:rsidRDefault="005C6649" w:rsidP="4977AA67">
            <w:pPr>
              <w:jc w:val="center"/>
              <w:cnfStyle w:val="000000100000" w:firstRow="0" w:lastRow="0" w:firstColumn="0" w:lastColumn="0" w:oddVBand="0" w:evenVBand="0" w:oddHBand="1" w:evenHBand="0" w:firstRowFirstColumn="0" w:firstRowLastColumn="0" w:lastRowFirstColumn="0" w:lastRowLastColumn="0"/>
              <w:rPr>
                <w:rFonts w:eastAsia="Calibri"/>
                <w:color w:val="3B3B3C"/>
                <w:sz w:val="15"/>
                <w:szCs w:val="15"/>
              </w:rPr>
            </w:pPr>
          </w:p>
          <w:p w14:paraId="5F2120B3" w14:textId="77777777" w:rsidR="005C6649" w:rsidRPr="00E65EAA" w:rsidRDefault="6EFB111B" w:rsidP="4977AA67">
            <w:pPr>
              <w:jc w:val="center"/>
              <w:cnfStyle w:val="000000100000" w:firstRow="0" w:lastRow="0" w:firstColumn="0" w:lastColumn="0" w:oddVBand="0" w:evenVBand="0" w:oddHBand="1" w:evenHBand="0" w:firstRowFirstColumn="0" w:firstRowLastColumn="0" w:lastRowFirstColumn="0" w:lastRowLastColumn="0"/>
              <w:rPr>
                <w:rFonts w:eastAsia="Calibri"/>
                <w:color w:val="3B3B3C"/>
                <w:sz w:val="15"/>
                <w:szCs w:val="15"/>
              </w:rPr>
            </w:pPr>
            <w:r w:rsidRPr="00E65EAA">
              <w:rPr>
                <w:rFonts w:eastAsia="Calibri"/>
                <w:color w:val="3B3B3C" w:themeColor="text1"/>
                <w:sz w:val="15"/>
                <w:szCs w:val="15"/>
              </w:rPr>
              <w:t>61%</w:t>
            </w:r>
          </w:p>
        </w:tc>
      </w:tr>
      <w:tr w:rsidR="005C6649" w:rsidRPr="00E65EAA" w14:paraId="29E4C2A3" w14:textId="77777777" w:rsidTr="4977AA67">
        <w:trPr>
          <w:cnfStyle w:val="000000010000" w:firstRow="0" w:lastRow="0" w:firstColumn="0" w:lastColumn="0" w:oddVBand="0" w:evenVBand="0" w:oddHBand="0" w:evenHBand="1" w:firstRowFirstColumn="0" w:firstRowLastColumn="0" w:lastRowFirstColumn="0" w:lastRowLastColumn="0"/>
          <w:trHeight w:val="244"/>
          <w:jc w:val="center"/>
        </w:trPr>
        <w:tc>
          <w:tcPr>
            <w:cnfStyle w:val="001000000000" w:firstRow="0" w:lastRow="0" w:firstColumn="1" w:lastColumn="0" w:oddVBand="0" w:evenVBand="0" w:oddHBand="0" w:evenHBand="0" w:firstRowFirstColumn="0" w:firstRowLastColumn="0" w:lastRowFirstColumn="0" w:lastRowLastColumn="0"/>
            <w:tcW w:w="998" w:type="dxa"/>
          </w:tcPr>
          <w:p w14:paraId="62DB65A5" w14:textId="77777777" w:rsidR="005C6649" w:rsidRPr="00E65EAA" w:rsidRDefault="005C6649" w:rsidP="4977AA67">
            <w:pPr>
              <w:rPr>
                <w:rFonts w:eastAsia="Calibri"/>
                <w:color w:val="3B3B3C"/>
                <w:sz w:val="15"/>
                <w:szCs w:val="15"/>
              </w:rPr>
            </w:pPr>
          </w:p>
          <w:p w14:paraId="15D75677" w14:textId="77777777" w:rsidR="005C6649" w:rsidRPr="00E65EAA" w:rsidRDefault="6EFB111B" w:rsidP="4977AA67">
            <w:pPr>
              <w:rPr>
                <w:rFonts w:eastAsia="Calibri"/>
                <w:color w:val="3B3B3C"/>
                <w:sz w:val="15"/>
                <w:szCs w:val="15"/>
              </w:rPr>
            </w:pPr>
            <w:r w:rsidRPr="00E65EAA">
              <w:rPr>
                <w:rFonts w:eastAsia="Calibri"/>
                <w:sz w:val="15"/>
                <w:szCs w:val="15"/>
              </w:rPr>
              <w:t>Lebanon</w:t>
            </w:r>
          </w:p>
        </w:tc>
        <w:tc>
          <w:tcPr>
            <w:tcW w:w="1165" w:type="dxa"/>
          </w:tcPr>
          <w:p w14:paraId="011CDFD0" w14:textId="77777777" w:rsidR="005C6649" w:rsidRPr="00E65EAA" w:rsidRDefault="005C6649" w:rsidP="4977AA67">
            <w:pPr>
              <w:jc w:val="center"/>
              <w:cnfStyle w:val="000000010000" w:firstRow="0" w:lastRow="0" w:firstColumn="0" w:lastColumn="0" w:oddVBand="0" w:evenVBand="0" w:oddHBand="0" w:evenHBand="1" w:firstRowFirstColumn="0" w:firstRowLastColumn="0" w:lastRowFirstColumn="0" w:lastRowLastColumn="0"/>
              <w:rPr>
                <w:rFonts w:eastAsia="Calibri"/>
                <w:color w:val="3B3B3C"/>
                <w:sz w:val="15"/>
                <w:szCs w:val="15"/>
              </w:rPr>
            </w:pPr>
          </w:p>
          <w:p w14:paraId="4BC2D41A" w14:textId="77777777" w:rsidR="005C6649" w:rsidRPr="00E65EAA" w:rsidRDefault="6EFB111B" w:rsidP="4977AA67">
            <w:pPr>
              <w:jc w:val="center"/>
              <w:cnfStyle w:val="000000010000" w:firstRow="0" w:lastRow="0" w:firstColumn="0" w:lastColumn="0" w:oddVBand="0" w:evenVBand="0" w:oddHBand="0" w:evenHBand="1" w:firstRowFirstColumn="0" w:firstRowLastColumn="0" w:lastRowFirstColumn="0" w:lastRowLastColumn="0"/>
              <w:rPr>
                <w:rFonts w:eastAsia="Calibri"/>
                <w:color w:val="3B3B3C"/>
                <w:sz w:val="15"/>
                <w:szCs w:val="15"/>
              </w:rPr>
            </w:pPr>
            <w:r w:rsidRPr="00E65EAA">
              <w:rPr>
                <w:rFonts w:eastAsia="Calibri"/>
                <w:color w:val="3B3B3C" w:themeColor="text1"/>
                <w:sz w:val="15"/>
                <w:szCs w:val="15"/>
              </w:rPr>
              <w:t>56.8%</w:t>
            </w:r>
          </w:p>
        </w:tc>
        <w:tc>
          <w:tcPr>
            <w:tcW w:w="1780" w:type="dxa"/>
          </w:tcPr>
          <w:p w14:paraId="0C4FC35D" w14:textId="77777777" w:rsidR="005C6649" w:rsidRPr="00E65EAA" w:rsidRDefault="6EFB111B" w:rsidP="4977AA67">
            <w:pPr>
              <w:jc w:val="center"/>
              <w:cnfStyle w:val="000000010000" w:firstRow="0" w:lastRow="0" w:firstColumn="0" w:lastColumn="0" w:oddVBand="0" w:evenVBand="0" w:oddHBand="0" w:evenHBand="1" w:firstRowFirstColumn="0" w:firstRowLastColumn="0" w:lastRowFirstColumn="0" w:lastRowLastColumn="0"/>
              <w:rPr>
                <w:rFonts w:eastAsia="Calibri"/>
                <w:color w:val="3B3B3C"/>
                <w:sz w:val="15"/>
                <w:szCs w:val="15"/>
              </w:rPr>
            </w:pPr>
            <w:r w:rsidRPr="00E65EAA">
              <w:rPr>
                <w:rFonts w:eastAsia="Calibri"/>
                <w:color w:val="3B3B3C" w:themeColor="text1"/>
                <w:sz w:val="15"/>
                <w:szCs w:val="15"/>
              </w:rPr>
              <w:t>(+15%)</w:t>
            </w:r>
          </w:p>
          <w:p w14:paraId="6B068486" w14:textId="77777777" w:rsidR="005C6649" w:rsidRPr="00E65EAA" w:rsidRDefault="6EFB111B" w:rsidP="4977AA67">
            <w:pPr>
              <w:jc w:val="center"/>
              <w:cnfStyle w:val="000000010000" w:firstRow="0" w:lastRow="0" w:firstColumn="0" w:lastColumn="0" w:oddVBand="0" w:evenVBand="0" w:oddHBand="0" w:evenHBand="1" w:firstRowFirstColumn="0" w:firstRowLastColumn="0" w:lastRowFirstColumn="0" w:lastRowLastColumn="0"/>
              <w:rPr>
                <w:rFonts w:eastAsia="Calibri"/>
                <w:color w:val="3B3B3C"/>
                <w:sz w:val="15"/>
                <w:szCs w:val="15"/>
              </w:rPr>
            </w:pPr>
            <w:r w:rsidRPr="00E65EAA">
              <w:rPr>
                <w:rFonts w:eastAsia="Calibri"/>
                <w:color w:val="3B3B3C" w:themeColor="text1"/>
                <w:sz w:val="15"/>
                <w:szCs w:val="15"/>
              </w:rPr>
              <w:t>65.32%</w:t>
            </w:r>
          </w:p>
        </w:tc>
        <w:tc>
          <w:tcPr>
            <w:tcW w:w="1692" w:type="dxa"/>
          </w:tcPr>
          <w:p w14:paraId="7416FC4B" w14:textId="77777777" w:rsidR="005C6649" w:rsidRPr="00E65EAA" w:rsidRDefault="005C6649" w:rsidP="4977AA67">
            <w:pPr>
              <w:jc w:val="center"/>
              <w:cnfStyle w:val="000000010000" w:firstRow="0" w:lastRow="0" w:firstColumn="0" w:lastColumn="0" w:oddVBand="0" w:evenVBand="0" w:oddHBand="0" w:evenHBand="1" w:firstRowFirstColumn="0" w:firstRowLastColumn="0" w:lastRowFirstColumn="0" w:lastRowLastColumn="0"/>
              <w:rPr>
                <w:rFonts w:eastAsia="Calibri"/>
                <w:color w:val="3B3B3C"/>
                <w:sz w:val="15"/>
                <w:szCs w:val="15"/>
              </w:rPr>
            </w:pPr>
          </w:p>
          <w:p w14:paraId="30D9AD94" w14:textId="77777777" w:rsidR="005C6649" w:rsidRPr="00E65EAA" w:rsidRDefault="6EFB111B" w:rsidP="4977AA67">
            <w:pPr>
              <w:jc w:val="center"/>
              <w:cnfStyle w:val="000000010000" w:firstRow="0" w:lastRow="0" w:firstColumn="0" w:lastColumn="0" w:oddVBand="0" w:evenVBand="0" w:oddHBand="0" w:evenHBand="1" w:firstRowFirstColumn="0" w:firstRowLastColumn="0" w:lastRowFirstColumn="0" w:lastRowLastColumn="0"/>
              <w:rPr>
                <w:rFonts w:eastAsia="Calibri"/>
                <w:color w:val="3B3B3C"/>
                <w:sz w:val="15"/>
                <w:szCs w:val="15"/>
              </w:rPr>
            </w:pPr>
            <w:r w:rsidRPr="00E65EAA">
              <w:rPr>
                <w:rFonts w:eastAsia="Calibri"/>
                <w:color w:val="3B3B3C" w:themeColor="text1"/>
                <w:sz w:val="15"/>
                <w:szCs w:val="15"/>
              </w:rPr>
              <w:t>74.8%</w:t>
            </w:r>
          </w:p>
        </w:tc>
      </w:tr>
      <w:tr w:rsidR="005C6649" w:rsidRPr="00E65EAA" w14:paraId="59CCD570" w14:textId="77777777" w:rsidTr="4977AA67">
        <w:trPr>
          <w:cnfStyle w:val="000000100000" w:firstRow="0" w:lastRow="0" w:firstColumn="0" w:lastColumn="0" w:oddVBand="0" w:evenVBand="0" w:oddHBand="1" w:evenHBand="0" w:firstRowFirstColumn="0" w:firstRowLastColumn="0" w:lastRowFirstColumn="0" w:lastRowLastColumn="0"/>
          <w:trHeight w:val="244"/>
          <w:jc w:val="center"/>
        </w:trPr>
        <w:tc>
          <w:tcPr>
            <w:cnfStyle w:val="001000000000" w:firstRow="0" w:lastRow="0" w:firstColumn="1" w:lastColumn="0" w:oddVBand="0" w:evenVBand="0" w:oddHBand="0" w:evenHBand="0" w:firstRowFirstColumn="0" w:firstRowLastColumn="0" w:lastRowFirstColumn="0" w:lastRowLastColumn="0"/>
            <w:tcW w:w="998" w:type="dxa"/>
          </w:tcPr>
          <w:p w14:paraId="480B9FB6" w14:textId="77777777" w:rsidR="005C6649" w:rsidRPr="00E65EAA" w:rsidRDefault="005C6649" w:rsidP="4977AA67">
            <w:pPr>
              <w:rPr>
                <w:rFonts w:eastAsia="Calibri"/>
                <w:color w:val="3B3B3C"/>
                <w:sz w:val="15"/>
                <w:szCs w:val="15"/>
              </w:rPr>
            </w:pPr>
          </w:p>
          <w:p w14:paraId="00FAE150" w14:textId="77777777" w:rsidR="005C6649" w:rsidRPr="00E65EAA" w:rsidRDefault="6EFB111B" w:rsidP="4977AA67">
            <w:pPr>
              <w:rPr>
                <w:rFonts w:eastAsia="Calibri"/>
                <w:color w:val="3B3B3C"/>
                <w:sz w:val="15"/>
                <w:szCs w:val="15"/>
              </w:rPr>
            </w:pPr>
            <w:r w:rsidRPr="00E65EAA">
              <w:rPr>
                <w:rFonts w:eastAsia="Calibri"/>
                <w:sz w:val="15"/>
                <w:szCs w:val="15"/>
              </w:rPr>
              <w:t xml:space="preserve">Morocco </w:t>
            </w:r>
          </w:p>
        </w:tc>
        <w:tc>
          <w:tcPr>
            <w:tcW w:w="1165" w:type="dxa"/>
          </w:tcPr>
          <w:p w14:paraId="33A26586" w14:textId="77777777" w:rsidR="005C6649" w:rsidRPr="00E65EAA" w:rsidRDefault="005C6649" w:rsidP="4977AA67">
            <w:pPr>
              <w:tabs>
                <w:tab w:val="left" w:pos="445"/>
                <w:tab w:val="center" w:pos="736"/>
              </w:tabs>
              <w:cnfStyle w:val="000000100000" w:firstRow="0" w:lastRow="0" w:firstColumn="0" w:lastColumn="0" w:oddVBand="0" w:evenVBand="0" w:oddHBand="1" w:evenHBand="0" w:firstRowFirstColumn="0" w:firstRowLastColumn="0" w:lastRowFirstColumn="0" w:lastRowLastColumn="0"/>
              <w:rPr>
                <w:rFonts w:eastAsia="Calibri"/>
                <w:color w:val="3B3B3C"/>
                <w:sz w:val="15"/>
                <w:szCs w:val="15"/>
              </w:rPr>
            </w:pPr>
            <w:r w:rsidRPr="00E65EAA">
              <w:rPr>
                <w:rFonts w:eastAsia="Calibri"/>
                <w:color w:val="3B3B3C"/>
                <w:sz w:val="15"/>
                <w:szCs w:val="15"/>
              </w:rPr>
              <w:tab/>
            </w:r>
          </w:p>
          <w:p w14:paraId="781D86A4" w14:textId="77777777" w:rsidR="005C6649" w:rsidRPr="00E65EAA" w:rsidRDefault="005C6649" w:rsidP="4977AA67">
            <w:pPr>
              <w:tabs>
                <w:tab w:val="left" w:pos="445"/>
                <w:tab w:val="center" w:pos="736"/>
              </w:tabs>
              <w:cnfStyle w:val="000000100000" w:firstRow="0" w:lastRow="0" w:firstColumn="0" w:lastColumn="0" w:oddVBand="0" w:evenVBand="0" w:oddHBand="1" w:evenHBand="0" w:firstRowFirstColumn="0" w:firstRowLastColumn="0" w:lastRowFirstColumn="0" w:lastRowLastColumn="0"/>
              <w:rPr>
                <w:rFonts w:eastAsia="Calibri"/>
                <w:color w:val="3B3B3C"/>
                <w:sz w:val="15"/>
                <w:szCs w:val="15"/>
              </w:rPr>
            </w:pPr>
            <w:r w:rsidRPr="00E65EAA">
              <w:rPr>
                <w:rFonts w:eastAsia="Calibri"/>
                <w:color w:val="3B3B3C"/>
                <w:sz w:val="15"/>
                <w:szCs w:val="15"/>
              </w:rPr>
              <w:tab/>
            </w:r>
            <w:r w:rsidR="6EFB111B" w:rsidRPr="00E65EAA">
              <w:rPr>
                <w:rFonts w:eastAsia="Calibri"/>
                <w:color w:val="3B3B3C"/>
                <w:sz w:val="15"/>
                <w:szCs w:val="15"/>
              </w:rPr>
              <w:t>43.7%</w:t>
            </w:r>
          </w:p>
        </w:tc>
        <w:tc>
          <w:tcPr>
            <w:tcW w:w="1780" w:type="dxa"/>
          </w:tcPr>
          <w:p w14:paraId="1FC3396E" w14:textId="77777777" w:rsidR="005C6649" w:rsidRPr="00E65EAA" w:rsidRDefault="6EFB111B" w:rsidP="4977AA67">
            <w:pPr>
              <w:jc w:val="center"/>
              <w:cnfStyle w:val="000000100000" w:firstRow="0" w:lastRow="0" w:firstColumn="0" w:lastColumn="0" w:oddVBand="0" w:evenVBand="0" w:oddHBand="1" w:evenHBand="0" w:firstRowFirstColumn="0" w:firstRowLastColumn="0" w:lastRowFirstColumn="0" w:lastRowLastColumn="0"/>
              <w:rPr>
                <w:rFonts w:eastAsia="Calibri"/>
                <w:color w:val="3B3B3C"/>
                <w:sz w:val="15"/>
                <w:szCs w:val="15"/>
              </w:rPr>
            </w:pPr>
            <w:r w:rsidRPr="00E65EAA">
              <w:rPr>
                <w:rFonts w:eastAsia="Calibri"/>
                <w:color w:val="3B3B3C" w:themeColor="text1"/>
                <w:sz w:val="15"/>
                <w:szCs w:val="15"/>
              </w:rPr>
              <w:t>(+15%)</w:t>
            </w:r>
          </w:p>
          <w:p w14:paraId="1F7EE5CA" w14:textId="77777777" w:rsidR="005C6649" w:rsidRPr="00E65EAA" w:rsidRDefault="6EFB111B" w:rsidP="4977AA67">
            <w:pPr>
              <w:jc w:val="center"/>
              <w:cnfStyle w:val="000000100000" w:firstRow="0" w:lastRow="0" w:firstColumn="0" w:lastColumn="0" w:oddVBand="0" w:evenVBand="0" w:oddHBand="1" w:evenHBand="0" w:firstRowFirstColumn="0" w:firstRowLastColumn="0" w:lastRowFirstColumn="0" w:lastRowLastColumn="0"/>
              <w:rPr>
                <w:rFonts w:eastAsia="Calibri"/>
                <w:color w:val="3B3B3C"/>
                <w:sz w:val="15"/>
                <w:szCs w:val="15"/>
              </w:rPr>
            </w:pPr>
            <w:r w:rsidRPr="00E65EAA">
              <w:rPr>
                <w:rFonts w:eastAsia="Calibri"/>
                <w:color w:val="3B3B3C" w:themeColor="text1"/>
                <w:sz w:val="15"/>
                <w:szCs w:val="15"/>
              </w:rPr>
              <w:t>50.26%</w:t>
            </w:r>
          </w:p>
        </w:tc>
        <w:tc>
          <w:tcPr>
            <w:tcW w:w="1692" w:type="dxa"/>
          </w:tcPr>
          <w:p w14:paraId="62422C08" w14:textId="77777777" w:rsidR="005C6649" w:rsidRPr="00E65EAA" w:rsidRDefault="005C6649" w:rsidP="4977AA67">
            <w:pPr>
              <w:jc w:val="center"/>
              <w:cnfStyle w:val="000000100000" w:firstRow="0" w:lastRow="0" w:firstColumn="0" w:lastColumn="0" w:oddVBand="0" w:evenVBand="0" w:oddHBand="1" w:evenHBand="0" w:firstRowFirstColumn="0" w:firstRowLastColumn="0" w:lastRowFirstColumn="0" w:lastRowLastColumn="0"/>
              <w:rPr>
                <w:rFonts w:eastAsia="Calibri"/>
                <w:color w:val="3B3B3C"/>
                <w:sz w:val="15"/>
                <w:szCs w:val="15"/>
              </w:rPr>
            </w:pPr>
          </w:p>
          <w:p w14:paraId="1FA00AD8" w14:textId="77777777" w:rsidR="005C6649" w:rsidRPr="00E65EAA" w:rsidRDefault="6EFB111B" w:rsidP="4977AA67">
            <w:pPr>
              <w:jc w:val="center"/>
              <w:cnfStyle w:val="000000100000" w:firstRow="0" w:lastRow="0" w:firstColumn="0" w:lastColumn="0" w:oddVBand="0" w:evenVBand="0" w:oddHBand="1" w:evenHBand="0" w:firstRowFirstColumn="0" w:firstRowLastColumn="0" w:lastRowFirstColumn="0" w:lastRowLastColumn="0"/>
              <w:rPr>
                <w:rFonts w:eastAsia="Calibri"/>
                <w:color w:val="3B3B3C"/>
                <w:sz w:val="15"/>
                <w:szCs w:val="15"/>
              </w:rPr>
            </w:pPr>
            <w:r w:rsidRPr="00E65EAA">
              <w:rPr>
                <w:rFonts w:eastAsia="Calibri"/>
                <w:color w:val="3B3B3C" w:themeColor="text1"/>
                <w:sz w:val="15"/>
                <w:szCs w:val="15"/>
              </w:rPr>
              <w:t>64.2%</w:t>
            </w:r>
          </w:p>
        </w:tc>
      </w:tr>
      <w:tr w:rsidR="005C6649" w:rsidRPr="00E65EAA" w14:paraId="1AE863F4" w14:textId="77777777" w:rsidTr="4977AA67">
        <w:trPr>
          <w:cnfStyle w:val="000000010000" w:firstRow="0" w:lastRow="0" w:firstColumn="0" w:lastColumn="0" w:oddVBand="0" w:evenVBand="0" w:oddHBand="0" w:evenHBand="1" w:firstRowFirstColumn="0" w:firstRowLastColumn="0" w:lastRowFirstColumn="0" w:lastRowLastColumn="0"/>
          <w:trHeight w:val="244"/>
          <w:jc w:val="center"/>
        </w:trPr>
        <w:tc>
          <w:tcPr>
            <w:cnfStyle w:val="001000000000" w:firstRow="0" w:lastRow="0" w:firstColumn="1" w:lastColumn="0" w:oddVBand="0" w:evenVBand="0" w:oddHBand="0" w:evenHBand="0" w:firstRowFirstColumn="0" w:firstRowLastColumn="0" w:lastRowFirstColumn="0" w:lastRowLastColumn="0"/>
            <w:tcW w:w="998" w:type="dxa"/>
          </w:tcPr>
          <w:p w14:paraId="222502C8" w14:textId="77777777" w:rsidR="005C6649" w:rsidRPr="00E65EAA" w:rsidRDefault="005C6649" w:rsidP="4977AA67">
            <w:pPr>
              <w:rPr>
                <w:rFonts w:eastAsia="Calibri"/>
                <w:color w:val="3B3B3C"/>
                <w:sz w:val="15"/>
                <w:szCs w:val="15"/>
              </w:rPr>
            </w:pPr>
          </w:p>
          <w:p w14:paraId="00E86503" w14:textId="77777777" w:rsidR="005C6649" w:rsidRPr="00E65EAA" w:rsidRDefault="6EFB111B" w:rsidP="4977AA67">
            <w:pPr>
              <w:rPr>
                <w:rFonts w:eastAsia="Calibri"/>
                <w:color w:val="3B3B3C"/>
                <w:sz w:val="15"/>
                <w:szCs w:val="15"/>
              </w:rPr>
            </w:pPr>
            <w:r w:rsidRPr="00E65EAA">
              <w:rPr>
                <w:rFonts w:eastAsia="Calibri"/>
                <w:sz w:val="15"/>
                <w:szCs w:val="15"/>
              </w:rPr>
              <w:t>Palestine</w:t>
            </w:r>
          </w:p>
        </w:tc>
        <w:tc>
          <w:tcPr>
            <w:tcW w:w="1165" w:type="dxa"/>
          </w:tcPr>
          <w:p w14:paraId="6E77D9F6" w14:textId="77777777" w:rsidR="005C6649" w:rsidRPr="00E65EAA" w:rsidRDefault="005C6649" w:rsidP="4977AA67">
            <w:pPr>
              <w:jc w:val="center"/>
              <w:cnfStyle w:val="000000010000" w:firstRow="0" w:lastRow="0" w:firstColumn="0" w:lastColumn="0" w:oddVBand="0" w:evenVBand="0" w:oddHBand="0" w:evenHBand="1" w:firstRowFirstColumn="0" w:firstRowLastColumn="0" w:lastRowFirstColumn="0" w:lastRowLastColumn="0"/>
              <w:rPr>
                <w:rFonts w:eastAsia="Calibri"/>
                <w:color w:val="3B3B3C"/>
                <w:sz w:val="15"/>
                <w:szCs w:val="15"/>
              </w:rPr>
            </w:pPr>
          </w:p>
          <w:p w14:paraId="06F1A337" w14:textId="77777777" w:rsidR="005C6649" w:rsidRPr="00E65EAA" w:rsidRDefault="6EFB111B" w:rsidP="4977AA67">
            <w:pPr>
              <w:jc w:val="center"/>
              <w:cnfStyle w:val="000000010000" w:firstRow="0" w:lastRow="0" w:firstColumn="0" w:lastColumn="0" w:oddVBand="0" w:evenVBand="0" w:oddHBand="0" w:evenHBand="1" w:firstRowFirstColumn="0" w:firstRowLastColumn="0" w:lastRowFirstColumn="0" w:lastRowLastColumn="0"/>
              <w:rPr>
                <w:rFonts w:eastAsia="Calibri"/>
                <w:color w:val="3B3B3C"/>
                <w:sz w:val="15"/>
                <w:szCs w:val="15"/>
              </w:rPr>
            </w:pPr>
            <w:r w:rsidRPr="00E65EAA">
              <w:rPr>
                <w:rFonts w:eastAsia="Calibri"/>
                <w:color w:val="3B3B3C" w:themeColor="text1"/>
                <w:sz w:val="15"/>
                <w:szCs w:val="15"/>
              </w:rPr>
              <w:t>36.9%</w:t>
            </w:r>
          </w:p>
        </w:tc>
        <w:tc>
          <w:tcPr>
            <w:tcW w:w="1780" w:type="dxa"/>
          </w:tcPr>
          <w:p w14:paraId="7F0F22C2" w14:textId="77777777" w:rsidR="005C6649" w:rsidRPr="00E65EAA" w:rsidRDefault="6EFB111B" w:rsidP="4977AA67">
            <w:pPr>
              <w:jc w:val="center"/>
              <w:cnfStyle w:val="000000010000" w:firstRow="0" w:lastRow="0" w:firstColumn="0" w:lastColumn="0" w:oddVBand="0" w:evenVBand="0" w:oddHBand="0" w:evenHBand="1" w:firstRowFirstColumn="0" w:firstRowLastColumn="0" w:lastRowFirstColumn="0" w:lastRowLastColumn="0"/>
              <w:rPr>
                <w:rFonts w:eastAsia="Calibri"/>
                <w:color w:val="3B3B3C"/>
                <w:sz w:val="15"/>
                <w:szCs w:val="15"/>
              </w:rPr>
            </w:pPr>
            <w:r w:rsidRPr="00E65EAA">
              <w:rPr>
                <w:rFonts w:eastAsia="Calibri"/>
                <w:color w:val="3B3B3C" w:themeColor="text1"/>
                <w:sz w:val="15"/>
                <w:szCs w:val="15"/>
              </w:rPr>
              <w:t>(+15%)</w:t>
            </w:r>
          </w:p>
          <w:p w14:paraId="02B56C02" w14:textId="77777777" w:rsidR="005C6649" w:rsidRPr="00E65EAA" w:rsidRDefault="6EFB111B" w:rsidP="4977AA67">
            <w:pPr>
              <w:jc w:val="center"/>
              <w:cnfStyle w:val="000000010000" w:firstRow="0" w:lastRow="0" w:firstColumn="0" w:lastColumn="0" w:oddVBand="0" w:evenVBand="0" w:oddHBand="0" w:evenHBand="1" w:firstRowFirstColumn="0" w:firstRowLastColumn="0" w:lastRowFirstColumn="0" w:lastRowLastColumn="0"/>
              <w:rPr>
                <w:rFonts w:eastAsia="Calibri"/>
                <w:color w:val="3B3B3C"/>
                <w:sz w:val="15"/>
                <w:szCs w:val="15"/>
              </w:rPr>
            </w:pPr>
            <w:r w:rsidRPr="00E65EAA">
              <w:rPr>
                <w:rFonts w:eastAsia="Calibri"/>
                <w:color w:val="3B3B3C" w:themeColor="text1"/>
                <w:sz w:val="15"/>
                <w:szCs w:val="15"/>
              </w:rPr>
              <w:t>42.44%</w:t>
            </w:r>
          </w:p>
        </w:tc>
        <w:tc>
          <w:tcPr>
            <w:tcW w:w="1692" w:type="dxa"/>
          </w:tcPr>
          <w:p w14:paraId="04FD4233" w14:textId="77777777" w:rsidR="005C40AB" w:rsidRPr="00E65EAA" w:rsidRDefault="005C40AB" w:rsidP="4977AA67">
            <w:pPr>
              <w:ind w:left="0"/>
              <w:cnfStyle w:val="000000010000" w:firstRow="0" w:lastRow="0" w:firstColumn="0" w:lastColumn="0" w:oddVBand="0" w:evenVBand="0" w:oddHBand="0" w:evenHBand="1" w:firstRowFirstColumn="0" w:firstRowLastColumn="0" w:lastRowFirstColumn="0" w:lastRowLastColumn="0"/>
              <w:rPr>
                <w:rFonts w:eastAsia="Calibri"/>
                <w:color w:val="3B3B3C"/>
                <w:sz w:val="15"/>
                <w:szCs w:val="15"/>
              </w:rPr>
            </w:pPr>
          </w:p>
          <w:p w14:paraId="02E15E39" w14:textId="77777777" w:rsidR="005C6649" w:rsidRPr="00E65EAA" w:rsidRDefault="6EFB111B" w:rsidP="4977AA67">
            <w:pPr>
              <w:jc w:val="center"/>
              <w:cnfStyle w:val="000000010000" w:firstRow="0" w:lastRow="0" w:firstColumn="0" w:lastColumn="0" w:oddVBand="0" w:evenVBand="0" w:oddHBand="0" w:evenHBand="1" w:firstRowFirstColumn="0" w:firstRowLastColumn="0" w:lastRowFirstColumn="0" w:lastRowLastColumn="0"/>
              <w:rPr>
                <w:rFonts w:eastAsia="Calibri"/>
                <w:color w:val="3B3B3C"/>
                <w:sz w:val="15"/>
                <w:szCs w:val="15"/>
              </w:rPr>
            </w:pPr>
            <w:r w:rsidRPr="00E65EAA">
              <w:rPr>
                <w:rFonts w:eastAsia="Calibri"/>
                <w:color w:val="3B3B3C" w:themeColor="text1"/>
                <w:sz w:val="15"/>
                <w:szCs w:val="15"/>
              </w:rPr>
              <w:t>64.3%</w:t>
            </w:r>
          </w:p>
        </w:tc>
      </w:tr>
    </w:tbl>
    <w:p w14:paraId="604F3527" w14:textId="77777777" w:rsidR="000845D0" w:rsidRDefault="000845D0" w:rsidP="00DD6CEB">
      <w:pPr>
        <w:pStyle w:val="ItadNormalText"/>
      </w:pPr>
    </w:p>
    <w:p w14:paraId="59B6F4E1" w14:textId="77777777" w:rsidR="006F2F6D" w:rsidRPr="006A561F" w:rsidRDefault="0C46233B" w:rsidP="00EB486D">
      <w:pPr>
        <w:pStyle w:val="ItadNormalText"/>
        <w:jc w:val="both"/>
      </w:pPr>
      <w:r w:rsidRPr="006A561F">
        <w:t xml:space="preserve">The focus group data collected by the evaluation team as well as </w:t>
      </w:r>
      <w:r w:rsidR="719B4B0E" w:rsidRPr="006A561F">
        <w:t>the</w:t>
      </w:r>
      <w:r w:rsidRPr="006A561F">
        <w:t xml:space="preserve"> Virtual Monitoring Reports</w:t>
      </w:r>
      <w:r w:rsidR="006F2F6D" w:rsidRPr="076A58FF">
        <w:rPr>
          <w:rStyle w:val="FootnoteReference"/>
          <w:sz w:val="22"/>
          <w:szCs w:val="22"/>
        </w:rPr>
        <w:footnoteReference w:id="159"/>
      </w:r>
      <w:r w:rsidRPr="006A561F">
        <w:t xml:space="preserve"> and Most Significant Change</w:t>
      </w:r>
      <w:r w:rsidR="2890EDF2" w:rsidRPr="006A561F">
        <w:t xml:space="preserve"> (MSC)</w:t>
      </w:r>
      <w:r w:rsidR="006F2F6D" w:rsidRPr="076A58FF">
        <w:rPr>
          <w:rStyle w:val="FootnoteReference"/>
          <w:sz w:val="22"/>
          <w:szCs w:val="22"/>
        </w:rPr>
        <w:footnoteReference w:id="160"/>
      </w:r>
      <w:r w:rsidRPr="006A561F">
        <w:t xml:space="preserve"> stories generated by the MWGE programme confirmed this positive picture. Some men said they had taken violence against women for granted, as a cultural norm, but were now questioning these views. Women</w:t>
      </w:r>
      <w:r w:rsidR="2890EDF2" w:rsidRPr="006A561F">
        <w:t>,</w:t>
      </w:r>
      <w:r w:rsidRPr="006A561F">
        <w:t xml:space="preserve"> too</w:t>
      </w:r>
      <w:r w:rsidR="2890EDF2" w:rsidRPr="006A561F">
        <w:t>,</w:t>
      </w:r>
      <w:r w:rsidRPr="006A561F">
        <w:t xml:space="preserve"> noticed these changes, saying that their husbands had reduced</w:t>
      </w:r>
      <w:r w:rsidR="2890EDF2" w:rsidRPr="006A561F">
        <w:t xml:space="preserve"> –</w:t>
      </w:r>
      <w:r w:rsidRPr="006A561F">
        <w:t xml:space="preserve"> although not completely stopped</w:t>
      </w:r>
      <w:r w:rsidR="2890EDF2" w:rsidRPr="006A561F">
        <w:t xml:space="preserve"> –</w:t>
      </w:r>
      <w:r w:rsidRPr="006A561F">
        <w:t xml:space="preserve"> their use of insulting and aggressive language, and were more willing to listen to their wives’ views.</w:t>
      </w:r>
      <w:r w:rsidR="006F2F6D" w:rsidRPr="076A58FF">
        <w:rPr>
          <w:rStyle w:val="FootnoteReference"/>
          <w:sz w:val="22"/>
          <w:szCs w:val="22"/>
        </w:rPr>
        <w:footnoteReference w:id="161"/>
      </w:r>
    </w:p>
    <w:p w14:paraId="5ADD422A" w14:textId="77777777" w:rsidR="006F2F6D" w:rsidRPr="006A561F" w:rsidRDefault="0C46233B" w:rsidP="00EB486D">
      <w:pPr>
        <w:pStyle w:val="ItadNormalText"/>
        <w:jc w:val="both"/>
      </w:pPr>
      <w:r w:rsidRPr="006A561F">
        <w:t>There was good evidence that attitudes towards gender roles in the household and in childcare were shifting. For instance, one man said he had realised it was not shameful to cook and do household chores, to get his children ready for school or change their diapers.</w:t>
      </w:r>
      <w:r w:rsidR="006F2F6D" w:rsidRPr="076A58FF">
        <w:rPr>
          <w:rStyle w:val="FootnoteReference"/>
          <w:sz w:val="22"/>
          <w:szCs w:val="22"/>
        </w:rPr>
        <w:footnoteReference w:id="162"/>
      </w:r>
      <w:r w:rsidRPr="006A561F">
        <w:t xml:space="preserve"> Another man in Morocco commented that he used to worry what the neighbours would think if he mopped the floor outside their house, but now this no longer concerned him.</w:t>
      </w:r>
      <w:r w:rsidR="006F2F6D" w:rsidRPr="076A58FF">
        <w:rPr>
          <w:rStyle w:val="FootnoteReference"/>
          <w:sz w:val="22"/>
          <w:szCs w:val="22"/>
        </w:rPr>
        <w:footnoteReference w:id="163"/>
      </w:r>
      <w:r w:rsidRPr="006A561F">
        <w:t xml:space="preserve"> Women were no longer accepting of always having to serve food to their male relatives or to do all the household chores when they were also working outside the home</w:t>
      </w:r>
      <w:r w:rsidR="2890EDF2" w:rsidRPr="006A561F">
        <w:t>.</w:t>
      </w:r>
      <w:r w:rsidR="006F2F6D" w:rsidRPr="076A58FF">
        <w:rPr>
          <w:rStyle w:val="FootnoteReference"/>
          <w:sz w:val="22"/>
          <w:szCs w:val="22"/>
        </w:rPr>
        <w:footnoteReference w:id="164"/>
      </w:r>
    </w:p>
    <w:p w14:paraId="75402AB5" w14:textId="77777777" w:rsidR="4977AA67" w:rsidRDefault="4977AA67" w:rsidP="4977AA67">
      <w:pPr>
        <w:pStyle w:val="ItadNormalText"/>
        <w:jc w:val="both"/>
        <w:rPr>
          <w:b/>
          <w:bCs/>
          <w:color w:val="E37230" w:themeColor="accent2"/>
        </w:rPr>
      </w:pPr>
    </w:p>
    <w:p w14:paraId="39B35FB6" w14:textId="77777777" w:rsidR="006F2F6D" w:rsidRPr="006A561F" w:rsidRDefault="0743636A" w:rsidP="001D302D">
      <w:pPr>
        <w:pStyle w:val="ItadNormalText"/>
        <w:jc w:val="both"/>
        <w:rPr>
          <w:b/>
          <w:bCs/>
        </w:rPr>
      </w:pPr>
      <w:r w:rsidRPr="006A561F">
        <w:rPr>
          <w:b/>
          <w:bCs/>
          <w:color w:val="E37230" w:themeColor="accent2"/>
        </w:rPr>
        <w:t>Finding 5.</w:t>
      </w:r>
      <w:r w:rsidR="03754613" w:rsidRPr="006A561F">
        <w:rPr>
          <w:b/>
          <w:bCs/>
          <w:color w:val="E37230" w:themeColor="accent2"/>
        </w:rPr>
        <w:t>3</w:t>
      </w:r>
      <w:r w:rsidRPr="006A561F">
        <w:rPr>
          <w:b/>
          <w:bCs/>
          <w:color w:val="E37230" w:themeColor="accent2"/>
        </w:rPr>
        <w:t xml:space="preserve">: </w:t>
      </w:r>
      <w:r w:rsidRPr="006A561F">
        <w:rPr>
          <w:b/>
          <w:bCs/>
        </w:rPr>
        <w:t>There were many examples</w:t>
      </w:r>
      <w:r w:rsidR="006F2F6D" w:rsidRPr="0D4BD307">
        <w:rPr>
          <w:rStyle w:val="FootnoteReference"/>
          <w:sz w:val="22"/>
          <w:szCs w:val="22"/>
        </w:rPr>
        <w:footnoteReference w:id="165"/>
      </w:r>
      <w:r w:rsidRPr="006A561F">
        <w:rPr>
          <w:b/>
          <w:bCs/>
        </w:rPr>
        <w:t xml:space="preserve"> of beneficiaries gaining new skills and confidence to challenge discrimination and inequality in their families and wider communities</w:t>
      </w:r>
      <w:r w:rsidR="7C299251" w:rsidRPr="006A561F">
        <w:rPr>
          <w:b/>
          <w:bCs/>
        </w:rPr>
        <w:t xml:space="preserve"> reflecting positive self-efficacy</w:t>
      </w:r>
      <w:r w:rsidR="0004AA62" w:rsidRPr="4977AA67">
        <w:rPr>
          <w:rStyle w:val="EndnoteReference"/>
        </w:rPr>
        <w:footnoteReference w:id="166"/>
      </w:r>
      <w:r w:rsidR="7C299251" w:rsidRPr="4977AA67">
        <w:rPr>
          <w:rStyle w:val="EndnoteReference"/>
        </w:rPr>
        <w:t>.</w:t>
      </w:r>
    </w:p>
    <w:p w14:paraId="316B89A2" w14:textId="77777777" w:rsidR="006F2F6D" w:rsidRPr="006A561F" w:rsidRDefault="0C46233B" w:rsidP="001D302D">
      <w:pPr>
        <w:pStyle w:val="ItadNormalText"/>
        <w:jc w:val="both"/>
      </w:pPr>
      <w:r w:rsidRPr="006A561F">
        <w:t>The evaluative evidence suggests that Men and women had learn</w:t>
      </w:r>
      <w:r w:rsidR="2890EDF2" w:rsidRPr="006A561F">
        <w:t>ed</w:t>
      </w:r>
      <w:r w:rsidRPr="006A561F">
        <w:t xml:space="preserve"> how to challenge discrimination in their families and </w:t>
      </w:r>
      <w:r w:rsidR="3B33B4A5" w:rsidRPr="006A561F">
        <w:t>communities and</w:t>
      </w:r>
      <w:r w:rsidRPr="006A561F">
        <w:t xml:space="preserve"> felt confident to do so.</w:t>
      </w:r>
      <w:r w:rsidR="4675461D">
        <w:t xml:space="preserve">  </w:t>
      </w:r>
      <w:r w:rsidRPr="006A561F">
        <w:t xml:space="preserve">Examples were shared of men challenging their own brother </w:t>
      </w:r>
      <w:r w:rsidR="09A246A0" w:rsidRPr="006A561F">
        <w:t>and colleague</w:t>
      </w:r>
      <w:r w:rsidRPr="006A561F">
        <w:t xml:space="preserve"> for shouting at their </w:t>
      </w:r>
      <w:r w:rsidR="09A246A0" w:rsidRPr="006A561F">
        <w:t>wives and</w:t>
      </w:r>
      <w:r w:rsidRPr="006A561F">
        <w:t xml:space="preserve"> inviting his brother to join the programme</w:t>
      </w:r>
      <w:r w:rsidR="006F2F6D" w:rsidRPr="076A58FF">
        <w:rPr>
          <w:rStyle w:val="FootnoteReference"/>
          <w:sz w:val="22"/>
          <w:szCs w:val="22"/>
        </w:rPr>
        <w:footnoteReference w:id="167"/>
      </w:r>
      <w:r w:rsidR="42503CBB" w:rsidRPr="006A561F">
        <w:t>; men</w:t>
      </w:r>
      <w:r w:rsidRPr="006A561F">
        <w:t xml:space="preserve"> being asked to respect a female nurse and her work instead of criticising her </w:t>
      </w:r>
      <w:r w:rsidR="09A246A0" w:rsidRPr="006A561F">
        <w:t>late-night</w:t>
      </w:r>
      <w:r w:rsidRPr="006A561F">
        <w:t xml:space="preserve"> return from work.</w:t>
      </w:r>
      <w:r w:rsidR="006F2F6D" w:rsidRPr="076A58FF">
        <w:rPr>
          <w:rStyle w:val="FootnoteReference"/>
          <w:sz w:val="22"/>
          <w:szCs w:val="22"/>
        </w:rPr>
        <w:footnoteReference w:id="168"/>
      </w:r>
    </w:p>
    <w:p w14:paraId="058BCE64" w14:textId="77777777" w:rsidR="006F2F6D" w:rsidRPr="006A561F" w:rsidRDefault="0743636A" w:rsidP="001D302D">
      <w:pPr>
        <w:pStyle w:val="ItadNormalText"/>
        <w:jc w:val="both"/>
      </w:pPr>
      <w:r w:rsidRPr="006A561F">
        <w:t>One Moroccan woman said that both her father and cousin expressed sexist attitudes, which she now challenged.</w:t>
      </w:r>
      <w:r w:rsidR="006F2F6D" w:rsidRPr="0D4BD307">
        <w:rPr>
          <w:rStyle w:val="FootnoteReference"/>
          <w:sz w:val="22"/>
          <w:szCs w:val="22"/>
        </w:rPr>
        <w:footnoteReference w:id="169"/>
      </w:r>
      <w:r w:rsidRPr="006A561F">
        <w:t xml:space="preserve"> Another had persuaded her younger brother to tidy up his bedroom, and he had now advised his friend to do the same</w:t>
      </w:r>
      <w:r w:rsidR="57433E20" w:rsidRPr="006A561F">
        <w:t>.</w:t>
      </w:r>
      <w:r w:rsidR="006F2F6D" w:rsidRPr="0D4BD307">
        <w:rPr>
          <w:rStyle w:val="FootnoteReference"/>
          <w:sz w:val="22"/>
          <w:szCs w:val="22"/>
        </w:rPr>
        <w:footnoteReference w:id="170"/>
      </w:r>
      <w:r w:rsidRPr="006A561F">
        <w:t xml:space="preserve"> They observed that they had learn</w:t>
      </w:r>
      <w:r w:rsidR="57433E20" w:rsidRPr="006A561F">
        <w:t>ed</w:t>
      </w:r>
      <w:r w:rsidRPr="006A561F">
        <w:t xml:space="preserve"> how to influence different community members, using folk stories for older men, citing the life of the Prophet Mohammed</w:t>
      </w:r>
      <w:r w:rsidR="006F2F6D" w:rsidRPr="0D4BD307">
        <w:rPr>
          <w:rStyle w:val="FootnoteReference"/>
          <w:sz w:val="22"/>
          <w:szCs w:val="22"/>
        </w:rPr>
        <w:footnoteReference w:id="171"/>
      </w:r>
      <w:r w:rsidRPr="006A561F">
        <w:t xml:space="preserve"> or providing examples of role models for younger people.</w:t>
      </w:r>
      <w:r w:rsidR="006F2F6D" w:rsidRPr="0D4BD307">
        <w:rPr>
          <w:rStyle w:val="FootnoteReference"/>
          <w:sz w:val="22"/>
          <w:szCs w:val="22"/>
        </w:rPr>
        <w:footnoteReference w:id="172"/>
      </w:r>
    </w:p>
    <w:p w14:paraId="5F799131" w14:textId="77777777" w:rsidR="006F2F6D" w:rsidRPr="006A561F" w:rsidRDefault="0C46233B" w:rsidP="001D302D">
      <w:pPr>
        <w:pStyle w:val="ItadNormalText"/>
        <w:jc w:val="both"/>
      </w:pPr>
      <w:r w:rsidRPr="006A561F">
        <w:t xml:space="preserve">Women were also able to influence their husbands after the couples had participated in the parenting camps. Examples were given of wives influencing their husbands against FGM and child marriage, and </w:t>
      </w:r>
      <w:r w:rsidR="1A0BDA39" w:rsidRPr="006A561F">
        <w:t xml:space="preserve">of </w:t>
      </w:r>
      <w:r w:rsidR="1A0BDA39" w:rsidRPr="006A561F">
        <w:lastRenderedPageBreak/>
        <w:t>husbands</w:t>
      </w:r>
      <w:r w:rsidRPr="006A561F">
        <w:t xml:space="preserve"> permit</w:t>
      </w:r>
      <w:r w:rsidR="1A0BDA39" w:rsidRPr="006A561F">
        <w:t>ting</w:t>
      </w:r>
      <w:r w:rsidRPr="006A561F">
        <w:t xml:space="preserve"> them to work outside the home for the first time.</w:t>
      </w:r>
      <w:r w:rsidR="006F2F6D" w:rsidRPr="076A58FF">
        <w:rPr>
          <w:rStyle w:val="FootnoteReference"/>
          <w:sz w:val="22"/>
          <w:szCs w:val="22"/>
        </w:rPr>
        <w:footnoteReference w:id="173"/>
      </w:r>
      <w:r w:rsidRPr="006A561F">
        <w:t xml:space="preserve"> One Moroccan woman who had been subjected to child marriage demand</w:t>
      </w:r>
      <w:r w:rsidR="20BD3F73" w:rsidRPr="006A561F">
        <w:t>ed</w:t>
      </w:r>
      <w:r w:rsidRPr="006A561F">
        <w:t xml:space="preserve"> a divorce after she learn</w:t>
      </w:r>
      <w:r w:rsidR="1A0BDA39" w:rsidRPr="006A561F">
        <w:t>ed</w:t>
      </w:r>
      <w:r w:rsidRPr="006A561F">
        <w:t xml:space="preserve"> about her rights;</w:t>
      </w:r>
      <w:r w:rsidR="006F2F6D" w:rsidRPr="076A58FF">
        <w:rPr>
          <w:rStyle w:val="FootnoteReference"/>
          <w:sz w:val="22"/>
          <w:szCs w:val="22"/>
        </w:rPr>
        <w:footnoteReference w:id="174"/>
      </w:r>
      <w:r w:rsidRPr="006A561F">
        <w:t xml:space="preserve"> and another reported to have gained </w:t>
      </w:r>
      <w:r w:rsidR="1A0BDA39" w:rsidRPr="006A561F">
        <w:t>the</w:t>
      </w:r>
      <w:r w:rsidRPr="006A561F">
        <w:t xml:space="preserve"> confiden</w:t>
      </w:r>
      <w:r w:rsidR="1A0BDA39" w:rsidRPr="006A561F">
        <w:t>ce</w:t>
      </w:r>
      <w:r w:rsidRPr="006A561F">
        <w:t xml:space="preserve"> to demand her inheritance after participating in a training session</w:t>
      </w:r>
      <w:r w:rsidR="1A0BDA39" w:rsidRPr="006A561F">
        <w:t>.</w:t>
      </w:r>
      <w:r w:rsidR="006F2F6D" w:rsidRPr="076A58FF">
        <w:rPr>
          <w:rStyle w:val="FootnoteReference"/>
          <w:sz w:val="22"/>
          <w:szCs w:val="22"/>
        </w:rPr>
        <w:footnoteReference w:id="175"/>
      </w:r>
    </w:p>
    <w:p w14:paraId="55C3EDD9" w14:textId="77777777" w:rsidR="4977AA67" w:rsidRDefault="4977AA67" w:rsidP="4977AA67">
      <w:pPr>
        <w:pStyle w:val="ItadNormalText"/>
        <w:jc w:val="both"/>
        <w:rPr>
          <w:b/>
          <w:bCs/>
          <w:color w:val="588B46" w:themeColor="text2"/>
        </w:rPr>
      </w:pPr>
    </w:p>
    <w:p w14:paraId="588890FF" w14:textId="77777777" w:rsidR="000A3C61" w:rsidRPr="006A561F" w:rsidRDefault="3774BE70" w:rsidP="00864E7F">
      <w:pPr>
        <w:pStyle w:val="ItadNormalText"/>
        <w:jc w:val="both"/>
        <w:rPr>
          <w:b/>
          <w:bCs/>
        </w:rPr>
      </w:pPr>
      <w:r w:rsidRPr="4977AA67">
        <w:rPr>
          <w:b/>
          <w:bCs/>
          <w:color w:val="588B46" w:themeColor="text2"/>
        </w:rPr>
        <w:t>Finding 5.</w:t>
      </w:r>
      <w:r w:rsidR="67D19D1D" w:rsidRPr="4977AA67">
        <w:rPr>
          <w:b/>
          <w:bCs/>
          <w:color w:val="588B46" w:themeColor="text2"/>
        </w:rPr>
        <w:t>4</w:t>
      </w:r>
      <w:r w:rsidRPr="4977AA67">
        <w:rPr>
          <w:b/>
          <w:bCs/>
          <w:color w:val="588B46" w:themeColor="text2"/>
        </w:rPr>
        <w:t xml:space="preserve">: </w:t>
      </w:r>
      <w:r w:rsidRPr="4977AA67">
        <w:rPr>
          <w:b/>
          <w:bCs/>
        </w:rPr>
        <w:t>There was strong evidence of behaviour changes among beneficiary groups. The clearest evidence was in men’s engagement in household duties and childcare, parenting practices and participatory decision</w:t>
      </w:r>
      <w:r w:rsidR="144FC47A" w:rsidRPr="4977AA67">
        <w:rPr>
          <w:b/>
          <w:bCs/>
        </w:rPr>
        <w:t xml:space="preserve"> </w:t>
      </w:r>
      <w:r w:rsidRPr="4977AA67">
        <w:rPr>
          <w:b/>
          <w:bCs/>
        </w:rPr>
        <w:t>making.</w:t>
      </w:r>
    </w:p>
    <w:p w14:paraId="0A2F6773" w14:textId="77777777" w:rsidR="006F2F6D" w:rsidRPr="006A561F" w:rsidRDefault="0C46233B" w:rsidP="00864E7F">
      <w:pPr>
        <w:pStyle w:val="ItadNormalText"/>
        <w:jc w:val="both"/>
      </w:pPr>
      <w:r>
        <w:t xml:space="preserve">There was some evidence of change regarding violence against women, mainly </w:t>
      </w:r>
      <w:proofErr w:type="gramStart"/>
      <w:r>
        <w:t>in the area of</w:t>
      </w:r>
      <w:proofErr w:type="gramEnd"/>
      <w:r>
        <w:t xml:space="preserve"> </w:t>
      </w:r>
      <w:bookmarkStart w:id="44" w:name="_Hlk98238720"/>
      <w:r w:rsidR="1A0BDA39">
        <w:t>i</w:t>
      </w:r>
      <w:r>
        <w:t xml:space="preserve">ntimate </w:t>
      </w:r>
      <w:r w:rsidR="1A0BDA39">
        <w:t>p</w:t>
      </w:r>
      <w:r>
        <w:t xml:space="preserve">artner </w:t>
      </w:r>
      <w:r w:rsidR="1A0BDA39">
        <w:t>v</w:t>
      </w:r>
      <w:r>
        <w:t>iolence</w:t>
      </w:r>
      <w:bookmarkEnd w:id="44"/>
      <w:r w:rsidR="1A0BDA39">
        <w:t xml:space="preserve"> (IPV)</w:t>
      </w:r>
      <w:r>
        <w:t>. However, the degree of change was not as strong regarding prevalence of IPV</w:t>
      </w:r>
      <w:r w:rsidR="1A0BDA39">
        <w:t>,</w:t>
      </w:r>
      <w:r>
        <w:t xml:space="preserve"> and a substantial proportion of beneficiaries said that violence was still used against women in their families.</w:t>
      </w:r>
      <w:r w:rsidR="002E7718">
        <w:rPr>
          <w:rStyle w:val="FootnoteReference"/>
        </w:rPr>
        <w:footnoteReference w:id="176"/>
      </w:r>
    </w:p>
    <w:p w14:paraId="57A04DF7" w14:textId="781E3F72" w:rsidR="00E0234A" w:rsidRDefault="0C46233B" w:rsidP="00864E7F">
      <w:pPr>
        <w:pStyle w:val="ItadNormalText"/>
        <w:jc w:val="both"/>
      </w:pPr>
      <w:r>
        <w:t>The baseline</w:t>
      </w:r>
      <w:r w:rsidR="1A0BDA39">
        <w:t>–</w:t>
      </w:r>
      <w:r>
        <w:t xml:space="preserve">endline studies found </w:t>
      </w:r>
      <w:r w:rsidR="19B93E7E">
        <w:t xml:space="preserve">notable </w:t>
      </w:r>
      <w:r>
        <w:t>positive shifts in behaviours in Morocco</w:t>
      </w:r>
      <w:r w:rsidR="19B93E7E">
        <w:t xml:space="preserve"> and </w:t>
      </w:r>
      <w:r>
        <w:t xml:space="preserve">Palestine, </w:t>
      </w:r>
      <w:r w:rsidR="19B93E7E">
        <w:t xml:space="preserve">and to a lesser extent in </w:t>
      </w:r>
      <w:r>
        <w:t xml:space="preserve">Lebanon </w:t>
      </w:r>
      <w:r w:rsidRPr="00C32338">
        <w:t>and Egypt</w:t>
      </w:r>
      <w:r w:rsidR="00651994" w:rsidRPr="00C32338">
        <w:rPr>
          <w:rStyle w:val="FootnoteReference"/>
        </w:rPr>
        <w:footnoteReference w:id="177"/>
      </w:r>
      <w:r w:rsidR="23DDC47C" w:rsidRPr="00C32338">
        <w:t xml:space="preserve">. Figure </w:t>
      </w:r>
      <w:r w:rsidR="00C32338" w:rsidRPr="00C32338">
        <w:t>4</w:t>
      </w:r>
      <w:r w:rsidR="23DDC47C" w:rsidRPr="00C32338">
        <w:t xml:space="preserve"> presents the</w:t>
      </w:r>
      <w:r w:rsidR="23DDC47C">
        <w:t xml:space="preserve"> relative changes </w:t>
      </w:r>
      <w:r w:rsidR="4C8DAF7F">
        <w:t>for shifts in behaviours across phases I and II</w:t>
      </w:r>
      <w:r w:rsidR="667DAC9A">
        <w:t xml:space="preserve">, </w:t>
      </w:r>
      <w:proofErr w:type="gramStart"/>
      <w:r w:rsidR="667DAC9A">
        <w:t>and also</w:t>
      </w:r>
      <w:proofErr w:type="gramEnd"/>
      <w:r w:rsidR="667DAC9A">
        <w:t xml:space="preserve"> demonstrates disparity in gender-equitable results between men and women in Egypt and Lebanon.</w:t>
      </w:r>
    </w:p>
    <w:p w14:paraId="3BDBD67F" w14:textId="77777777" w:rsidR="001C4D3B" w:rsidRPr="00CC084C" w:rsidRDefault="04C658F3" w:rsidP="00CC084C">
      <w:pPr>
        <w:pStyle w:val="ItadFigureText"/>
      </w:pPr>
      <w:r w:rsidRPr="00CC084C">
        <w:t xml:space="preserve"> </w:t>
      </w:r>
      <w:bookmarkStart w:id="45" w:name="_Toc123126148"/>
      <w:r w:rsidR="2758DE48" w:rsidRPr="00CC084C">
        <w:t xml:space="preserve">Relative changes (percentage) in </w:t>
      </w:r>
      <w:r w:rsidR="37F6513A" w:rsidRPr="00CC084C">
        <w:t>positive behaviours</w:t>
      </w:r>
      <w:r w:rsidR="2758DE48" w:rsidRPr="00CC084C">
        <w:t xml:space="preserve"> (baseline to endline) by country and sex</w:t>
      </w:r>
      <w:r w:rsidR="00000AD5" w:rsidRPr="4977AA67">
        <w:rPr>
          <w:rStyle w:val="EndnoteReference"/>
        </w:rPr>
        <w:footnoteReference w:id="178"/>
      </w:r>
      <w:bookmarkEnd w:id="45"/>
      <w:r w:rsidR="611158AD" w:rsidRPr="4977AA67">
        <w:rPr>
          <w:rStyle w:val="EndnoteReference"/>
        </w:rPr>
        <w:t xml:space="preserve"> </w:t>
      </w:r>
    </w:p>
    <w:p w14:paraId="7BC090D6" w14:textId="77777777" w:rsidR="006F2F6D" w:rsidRDefault="006F2F6D" w:rsidP="00DD6CEB">
      <w:pPr>
        <w:pStyle w:val="ItadNormalText"/>
      </w:pPr>
    </w:p>
    <w:p w14:paraId="2581659E" w14:textId="77777777" w:rsidR="006F2F6D" w:rsidRDefault="002E22A6" w:rsidP="00000AD5">
      <w:pPr>
        <w:pStyle w:val="ItadNormalText"/>
        <w:jc w:val="center"/>
      </w:pPr>
      <w:r>
        <w:rPr>
          <w:noProof/>
        </w:rPr>
        <w:drawing>
          <wp:inline distT="0" distB="0" distL="0" distR="0" wp14:anchorId="2EFADD08" wp14:editId="77B45515">
            <wp:extent cx="4572000" cy="2580238"/>
            <wp:effectExtent l="0" t="0" r="12700" b="10795"/>
            <wp:docPr id="14" name="Chart 14">
              <a:extLst xmlns:a="http://schemas.openxmlformats.org/drawingml/2006/main">
                <a:ext uri="{FF2B5EF4-FFF2-40B4-BE49-F238E27FC236}">
                  <a16:creationId xmlns:a16="http://schemas.microsoft.com/office/drawing/2014/main" id="{97CB52FE-EDA0-42BE-B6A3-D38CDCFFBC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0242C3F" w14:textId="77777777" w:rsidR="00000AD5" w:rsidRPr="006A561F" w:rsidRDefault="00000AD5" w:rsidP="00000AD5">
      <w:pPr>
        <w:pStyle w:val="ItadNormalText"/>
        <w:jc w:val="center"/>
      </w:pPr>
    </w:p>
    <w:p w14:paraId="36C26286" w14:textId="77777777" w:rsidR="006F2F6D" w:rsidRPr="006A561F" w:rsidRDefault="2A3CDF27" w:rsidP="00E03B33">
      <w:pPr>
        <w:pStyle w:val="ItadNormalText"/>
        <w:jc w:val="both"/>
      </w:pPr>
      <w:r>
        <w:t xml:space="preserve">Drawing on the data from the UN Women Quantitative </w:t>
      </w:r>
      <w:r w:rsidR="16A50A50">
        <w:t>review</w:t>
      </w:r>
      <w:r>
        <w:t xml:space="preserve"> of Community-Based initiatives</w:t>
      </w:r>
      <w:r w:rsidR="47F255AE">
        <w:t xml:space="preserve"> i</w:t>
      </w:r>
      <w:r w:rsidR="0C46233B" w:rsidRPr="006A561F">
        <w:t>n Lebanon</w:t>
      </w:r>
      <w:r w:rsidR="3479B0A8" w:rsidRPr="4977AA67">
        <w:rPr>
          <w:rStyle w:val="EndnoteReference"/>
        </w:rPr>
        <w:footnoteReference w:id="179"/>
      </w:r>
      <w:r w:rsidR="0C46233B" w:rsidRPr="006A561F">
        <w:t xml:space="preserve">, men changed their behaviours in relation to household chores, male </w:t>
      </w:r>
      <w:proofErr w:type="gramStart"/>
      <w:r w:rsidR="0C46233B" w:rsidRPr="006A561F">
        <w:t>guardianship</w:t>
      </w:r>
      <w:proofErr w:type="gramEnd"/>
      <w:r w:rsidR="0C46233B" w:rsidRPr="006A561F">
        <w:t xml:space="preserve"> and girls’ access to the </w:t>
      </w:r>
      <w:r w:rsidR="4B07DC1F" w:rsidRPr="006A561F">
        <w:t>I</w:t>
      </w:r>
      <w:r w:rsidR="0C46233B" w:rsidRPr="006A561F">
        <w:t xml:space="preserve">nternet. However, </w:t>
      </w:r>
      <w:r w:rsidR="4B07DC1F" w:rsidRPr="006A561F">
        <w:t xml:space="preserve">the </w:t>
      </w:r>
      <w:r w:rsidR="0C46233B" w:rsidRPr="006A561F">
        <w:t xml:space="preserve">prevalence of </w:t>
      </w:r>
      <w:r w:rsidR="4B07DC1F" w:rsidRPr="006A561F">
        <w:t>GBV</w:t>
      </w:r>
      <w:r w:rsidR="0C46233B" w:rsidRPr="006A561F">
        <w:t xml:space="preserve"> in families remained unchanged, and there was limited improvement in women’s involvement in decision making. In Morocco, there were strong positive changes in men’s behaviour regarding engagement in household chores and childcare, participatory decision making, and the prevalence of VAWG. In Egypt, behavioural change was lower than in other countries, and was much lower among men than among women.</w:t>
      </w:r>
      <w:r w:rsidR="006F2F6D" w:rsidRPr="076A58FF">
        <w:rPr>
          <w:rStyle w:val="FootnoteReference"/>
          <w:sz w:val="22"/>
          <w:szCs w:val="22"/>
        </w:rPr>
        <w:footnoteReference w:id="180"/>
      </w:r>
      <w:r w:rsidR="0C46233B" w:rsidRPr="006A561F">
        <w:t xml:space="preserve"> In Palestine, improvements </w:t>
      </w:r>
      <w:r w:rsidR="4B07DC1F" w:rsidRPr="006A561F">
        <w:t xml:space="preserve">were </w:t>
      </w:r>
      <w:r w:rsidR="0C46233B" w:rsidRPr="006A561F">
        <w:t xml:space="preserve">reported in men’s behaviours regarding women’s decision making, engagement in childcare and household chores, and the prevalence of VAWG. However, around 44% of men still claimed that men took the final </w:t>
      </w:r>
      <w:r w:rsidR="0C46233B" w:rsidRPr="006A561F">
        <w:lastRenderedPageBreak/>
        <w:t>decision in their homes, 47% said that cooking and family care were women’s roles, and around a third said that men sometimes beat women in their families.</w:t>
      </w:r>
      <w:r w:rsidR="6FF1F4B5">
        <w:t xml:space="preserve"> From a more positive perspective, </w:t>
      </w:r>
      <w:r w:rsidR="252DA8AE">
        <w:t xml:space="preserve">the figures could be seen from the other side – </w:t>
      </w:r>
      <w:r w:rsidR="4CA5D799">
        <w:t>i.e.,</w:t>
      </w:r>
      <w:r w:rsidR="252DA8AE">
        <w:t xml:space="preserve"> 56% </w:t>
      </w:r>
      <w:r w:rsidR="75B8A7BB">
        <w:t xml:space="preserve">claimed that women took the final decision, while 53% claimed </w:t>
      </w:r>
      <w:r w:rsidR="06B1094A">
        <w:t xml:space="preserve">household care burden was not only the </w:t>
      </w:r>
      <w:proofErr w:type="spellStart"/>
      <w:r w:rsidR="06B1094A">
        <w:t>womens</w:t>
      </w:r>
      <w:proofErr w:type="spellEnd"/>
      <w:r w:rsidR="06B1094A">
        <w:t xml:space="preserve">’ role in the household. </w:t>
      </w:r>
    </w:p>
    <w:p w14:paraId="5A4A8F69" w14:textId="77777777" w:rsidR="006F2F6D" w:rsidRPr="006A561F" w:rsidRDefault="0C46233B" w:rsidP="00E03B33">
      <w:pPr>
        <w:pStyle w:val="ItadNormalText"/>
        <w:jc w:val="both"/>
      </w:pPr>
      <w:r w:rsidRPr="006A561F">
        <w:t xml:space="preserve">Evaluation data from </w:t>
      </w:r>
      <w:r w:rsidR="4B07DC1F" w:rsidRPr="006A561F">
        <w:t>FGDs</w:t>
      </w:r>
      <w:r w:rsidRPr="006A561F">
        <w:t xml:space="preserve"> and </w:t>
      </w:r>
      <w:r w:rsidR="4B07DC1F" w:rsidRPr="006A561F">
        <w:t>KIIs</w:t>
      </w:r>
      <w:r w:rsidRPr="006A561F">
        <w:t xml:space="preserve"> suggest</w:t>
      </w:r>
      <w:r w:rsidR="45D5A822" w:rsidRPr="006A561F">
        <w:t>ed</w:t>
      </w:r>
      <w:r w:rsidRPr="006A561F">
        <w:t xml:space="preserve"> that there have been some reductions in VAWG in Egypt. One woman said that her husband used to beat her for not serving his family to his satisfaction. She persuaded her husband to take part in the parenting sessions </w:t>
      </w:r>
      <w:r w:rsidR="03D407A4">
        <w:t>in</w:t>
      </w:r>
      <w:r w:rsidR="03D407A4" w:rsidRPr="006A561F">
        <w:t xml:space="preserve"> </w:t>
      </w:r>
      <w:proofErr w:type="spellStart"/>
      <w:r w:rsidRPr="006A561F">
        <w:t>Sohag</w:t>
      </w:r>
      <w:proofErr w:type="spellEnd"/>
      <w:r w:rsidR="4B07DC1F" w:rsidRPr="006A561F">
        <w:t>;</w:t>
      </w:r>
      <w:r w:rsidRPr="006A561F">
        <w:t xml:space="preserve"> through the better communications they achieved, he had stopped being violent and assisted her with household chores</w:t>
      </w:r>
      <w:r w:rsidR="4B07DC1F" w:rsidRPr="006A561F">
        <w:t>.</w:t>
      </w:r>
      <w:r w:rsidR="006F2F6D" w:rsidRPr="076A58FF">
        <w:rPr>
          <w:rStyle w:val="FootnoteReference"/>
          <w:sz w:val="22"/>
          <w:szCs w:val="22"/>
        </w:rPr>
        <w:footnoteReference w:id="181"/>
      </w:r>
      <w:r w:rsidRPr="006A561F">
        <w:t xml:space="preserve"> Levels of VAWG had</w:t>
      </w:r>
      <w:r w:rsidR="4B07DC1F" w:rsidRPr="006A561F">
        <w:t>,</w:t>
      </w:r>
      <w:r w:rsidRPr="006A561F">
        <w:t xml:space="preserve"> reportedly</w:t>
      </w:r>
      <w:r w:rsidR="4B07DC1F" w:rsidRPr="006A561F">
        <w:t>,</w:t>
      </w:r>
      <w:r w:rsidRPr="006A561F">
        <w:t xml:space="preserve"> reduced among men who took part in the fatherhood camps run by Wellspring.</w:t>
      </w:r>
      <w:r w:rsidR="006F2F6D" w:rsidRPr="076A58FF">
        <w:rPr>
          <w:rStyle w:val="FootnoteReference"/>
          <w:sz w:val="22"/>
          <w:szCs w:val="22"/>
        </w:rPr>
        <w:footnoteReference w:id="182"/>
      </w:r>
    </w:p>
    <w:p w14:paraId="796C9C16" w14:textId="77777777" w:rsidR="006F2F6D" w:rsidRPr="006A561F" w:rsidRDefault="0743636A" w:rsidP="00E03B33">
      <w:pPr>
        <w:pStyle w:val="ItadNormalText"/>
        <w:jc w:val="both"/>
      </w:pPr>
      <w:r w:rsidRPr="006A561F">
        <w:t xml:space="preserve">Stronger </w:t>
      </w:r>
      <w:proofErr w:type="gramStart"/>
      <w:r w:rsidRPr="006A561F">
        <w:t>progress</w:t>
      </w:r>
      <w:proofErr w:type="gramEnd"/>
      <w:r w:rsidRPr="006A561F">
        <w:t xml:space="preserve"> </w:t>
      </w:r>
      <w:r w:rsidR="35E47B3C" w:rsidRPr="006A561F">
        <w:t>were</w:t>
      </w:r>
      <w:r w:rsidRPr="006A561F">
        <w:t xml:space="preserve"> made in sharing household chores and in childcare. Many examples were </w:t>
      </w:r>
      <w:r w:rsidR="71608346" w:rsidRPr="006A561F">
        <w:t xml:space="preserve">shared by the evaluation stakeholders </w:t>
      </w:r>
      <w:r w:rsidRPr="006A561F">
        <w:t>from Palestine, Morocco and Egypt of husbands sharing household duties, doing the shopping, taking children to school, doing laundry and cooking.</w:t>
      </w:r>
      <w:r w:rsidR="006F2F6D" w:rsidRPr="0D4BD307">
        <w:rPr>
          <w:rStyle w:val="FootnoteReference"/>
          <w:sz w:val="22"/>
          <w:szCs w:val="22"/>
        </w:rPr>
        <w:footnoteReference w:id="183"/>
      </w:r>
      <w:r w:rsidRPr="006A561F">
        <w:t xml:space="preserve"> These changes seemed to be sustainable</w:t>
      </w:r>
      <w:r w:rsidR="3CB49767" w:rsidRPr="006A561F">
        <w:t>,</w:t>
      </w:r>
      <w:r w:rsidRPr="006A561F">
        <w:t xml:space="preserve"> and beneficiaries were maintaining their positive behaviours after their engagement with the programme had ended.</w:t>
      </w:r>
      <w:r w:rsidR="006F2F6D" w:rsidRPr="0D4BD307">
        <w:rPr>
          <w:rStyle w:val="FootnoteReference"/>
          <w:sz w:val="22"/>
          <w:szCs w:val="22"/>
        </w:rPr>
        <w:footnoteReference w:id="184"/>
      </w:r>
    </w:p>
    <w:p w14:paraId="56ACFC3D" w14:textId="77777777" w:rsidR="005512A4" w:rsidRDefault="4623AD95" w:rsidP="00E03B33">
      <w:pPr>
        <w:pStyle w:val="ItadNormalText"/>
        <w:jc w:val="both"/>
      </w:pPr>
      <w:r>
        <w:t>Again,</w:t>
      </w:r>
      <w:r w:rsidR="5793DCA7">
        <w:t xml:space="preserve"> drawing on the FGD and KII data, p</w:t>
      </w:r>
      <w:r w:rsidR="0C46233B" w:rsidRPr="006A561F">
        <w:t xml:space="preserve">arenting practices </w:t>
      </w:r>
      <w:r w:rsidR="5793DCA7">
        <w:t>appeared to have</w:t>
      </w:r>
      <w:r w:rsidR="0C46233B" w:rsidRPr="006A561F">
        <w:t xml:space="preserve"> shifted, moving away from physical discipline </w:t>
      </w:r>
      <w:r w:rsidR="4B07DC1F" w:rsidRPr="006A561F">
        <w:t xml:space="preserve">and </w:t>
      </w:r>
      <w:r w:rsidR="0C46233B" w:rsidRPr="006A561F">
        <w:t>to</w:t>
      </w:r>
      <w:r w:rsidR="4B07DC1F" w:rsidRPr="006A561F">
        <w:t>wards</w:t>
      </w:r>
      <w:r w:rsidR="0C46233B" w:rsidRPr="006A561F">
        <w:t xml:space="preserve"> talking and listening and using non-violent forms of discipline. These changes were strongest in Egypt and Palestine, where </w:t>
      </w:r>
      <w:r w:rsidR="4B07DC1F" w:rsidRPr="006A561F">
        <w:t>GTP</w:t>
      </w:r>
      <w:r w:rsidR="0C46233B" w:rsidRPr="006A561F">
        <w:t xml:space="preserve"> programmes had been implemented. Men and women were calmer in dealing with their </w:t>
      </w:r>
      <w:r w:rsidR="0E10F689" w:rsidRPr="006A561F">
        <w:t>children, and</w:t>
      </w:r>
      <w:r w:rsidR="0C46233B" w:rsidRPr="006A561F">
        <w:t xml:space="preserve"> avoided beating and insulting them.</w:t>
      </w:r>
      <w:r w:rsidR="006F2F6D" w:rsidRPr="076A58FF">
        <w:rPr>
          <w:rStyle w:val="FootnoteReference"/>
          <w:sz w:val="22"/>
          <w:szCs w:val="22"/>
        </w:rPr>
        <w:footnoteReference w:id="185"/>
      </w:r>
      <w:r w:rsidR="0C46233B" w:rsidRPr="006A561F">
        <w:t xml:space="preserve"> Fathers who took part in the Wellspring parenting camps in Egypt were more involved in their children’s education, discussed their problems, and encouraged their children to express their feelings and not to fear their fathers.</w:t>
      </w:r>
      <w:r w:rsidR="006F2F6D" w:rsidRPr="076A58FF">
        <w:rPr>
          <w:rStyle w:val="FootnoteReference"/>
          <w:sz w:val="22"/>
          <w:szCs w:val="22"/>
        </w:rPr>
        <w:footnoteReference w:id="186"/>
      </w:r>
      <w:r w:rsidR="43E6967C">
        <w:t xml:space="preserve"> However, </w:t>
      </w:r>
      <w:r w:rsidR="6D61CBB6">
        <w:t xml:space="preserve">it should be noted that </w:t>
      </w:r>
      <w:r w:rsidR="43E6967C">
        <w:t xml:space="preserve">quantitative </w:t>
      </w:r>
      <w:r w:rsidR="2586BD6B">
        <w:t>reviews</w:t>
      </w:r>
      <w:r w:rsidR="003E50F8">
        <w:rPr>
          <w:rStyle w:val="FootnoteReference"/>
        </w:rPr>
        <w:footnoteReference w:id="187"/>
      </w:r>
      <w:r w:rsidR="43E6967C">
        <w:t xml:space="preserve"> of </w:t>
      </w:r>
      <w:r w:rsidR="6F780850">
        <w:t>the GTP programming</w:t>
      </w:r>
      <w:r w:rsidR="43E6967C">
        <w:t xml:space="preserve">  w</w:t>
      </w:r>
      <w:r w:rsidR="3FDF0D50">
        <w:t>as</w:t>
      </w:r>
      <w:r w:rsidR="43E6967C">
        <w:t xml:space="preserve"> not available to the evaluation team at the time of writing</w:t>
      </w:r>
      <w:r w:rsidR="083B129D">
        <w:t xml:space="preserve"> </w:t>
      </w:r>
      <w:r w:rsidR="15035885">
        <w:t>so these</w:t>
      </w:r>
      <w:r w:rsidR="487C1E23">
        <w:t xml:space="preserve"> findings</w:t>
      </w:r>
      <w:r w:rsidR="6D61CBB6">
        <w:t xml:space="preserve"> </w:t>
      </w:r>
      <w:r w:rsidR="15C8C6B8">
        <w:t>should be</w:t>
      </w:r>
      <w:r w:rsidR="6D61CBB6">
        <w:t xml:space="preserve"> triangulated with the </w:t>
      </w:r>
      <w:r w:rsidR="15C8C6B8">
        <w:t xml:space="preserve">emerging </w:t>
      </w:r>
      <w:r w:rsidR="6D61CBB6">
        <w:t xml:space="preserve">quantitative findings in order to form a robust picture of </w:t>
      </w:r>
      <w:r w:rsidR="15C8C6B8">
        <w:t xml:space="preserve">the impact of GTP programming. </w:t>
      </w:r>
    </w:p>
    <w:p w14:paraId="4555A0ED" w14:textId="77777777" w:rsidR="00BF5D79" w:rsidRPr="006A561F" w:rsidRDefault="00BF5D79" w:rsidP="00E03B33">
      <w:pPr>
        <w:pStyle w:val="ItadNormalText"/>
        <w:jc w:val="both"/>
      </w:pPr>
    </w:p>
    <w:p w14:paraId="7136DBF9" w14:textId="77777777" w:rsidR="00C32338" w:rsidRDefault="3774BE70" w:rsidP="00E03B33">
      <w:pPr>
        <w:pStyle w:val="ItadNormalText"/>
        <w:jc w:val="both"/>
        <w:rPr>
          <w:b/>
          <w:bCs/>
        </w:rPr>
      </w:pPr>
      <w:r w:rsidRPr="4977AA67">
        <w:rPr>
          <w:b/>
          <w:bCs/>
          <w:color w:val="E37230" w:themeColor="accent2"/>
        </w:rPr>
        <w:t>Finding 5.</w:t>
      </w:r>
      <w:r w:rsidR="7965220D" w:rsidRPr="4977AA67">
        <w:rPr>
          <w:b/>
          <w:bCs/>
          <w:color w:val="E37230" w:themeColor="accent2"/>
        </w:rPr>
        <w:t>5</w:t>
      </w:r>
      <w:r w:rsidRPr="4977AA67">
        <w:rPr>
          <w:b/>
          <w:bCs/>
          <w:color w:val="E37230" w:themeColor="accent2"/>
        </w:rPr>
        <w:t>:</w:t>
      </w:r>
      <w:r w:rsidRPr="4977AA67">
        <w:rPr>
          <w:b/>
          <w:bCs/>
        </w:rPr>
        <w:t xml:space="preserve"> </w:t>
      </w:r>
      <w:r w:rsidR="3AA1800D" w:rsidRPr="4977AA67">
        <w:rPr>
          <w:b/>
          <w:bCs/>
        </w:rPr>
        <w:t xml:space="preserve">Social norms: </w:t>
      </w:r>
      <w:r w:rsidRPr="4977AA67">
        <w:rPr>
          <w:b/>
          <w:bCs/>
        </w:rPr>
        <w:t xml:space="preserve">There was good evidence of participants sharing their new knowledge, </w:t>
      </w:r>
      <w:proofErr w:type="gramStart"/>
      <w:r w:rsidRPr="4977AA67">
        <w:rPr>
          <w:b/>
          <w:bCs/>
        </w:rPr>
        <w:t>attitudes</w:t>
      </w:r>
      <w:proofErr w:type="gramEnd"/>
      <w:r w:rsidRPr="4977AA67">
        <w:rPr>
          <w:b/>
          <w:bCs/>
        </w:rPr>
        <w:t xml:space="preserve"> and behaviours among their networks. </w:t>
      </w:r>
      <w:r w:rsidR="12811809" w:rsidRPr="4977AA67">
        <w:rPr>
          <w:b/>
          <w:bCs/>
        </w:rPr>
        <w:t xml:space="preserve">Although the first steps towards social norm change were being taken by positive deviants and beneficiaries, there was </w:t>
      </w:r>
      <w:r w:rsidR="3E99AEF1" w:rsidRPr="4977AA67">
        <w:rPr>
          <w:b/>
          <w:bCs/>
        </w:rPr>
        <w:t>yet</w:t>
      </w:r>
      <w:r w:rsidR="12811809" w:rsidRPr="4977AA67">
        <w:rPr>
          <w:b/>
          <w:bCs/>
        </w:rPr>
        <w:t xml:space="preserve"> little sign of change in empirical or normative expectations in the wider communities, although evidence of attitudinal and GEMS score change </w:t>
      </w:r>
      <w:r w:rsidR="77F5CE60" w:rsidRPr="4977AA67">
        <w:rPr>
          <w:b/>
          <w:bCs/>
        </w:rPr>
        <w:t>wa</w:t>
      </w:r>
      <w:r w:rsidR="12811809" w:rsidRPr="4977AA67">
        <w:rPr>
          <w:b/>
          <w:bCs/>
        </w:rPr>
        <w:t>s evident at individual level.</w:t>
      </w:r>
    </w:p>
    <w:p w14:paraId="330A796B" w14:textId="709B26E8" w:rsidR="006F2F6D" w:rsidRPr="00C32338" w:rsidRDefault="0743636A" w:rsidP="00E03B33">
      <w:pPr>
        <w:pStyle w:val="ItadNormalText"/>
        <w:jc w:val="both"/>
        <w:rPr>
          <w:b/>
          <w:bCs/>
        </w:rPr>
      </w:pPr>
      <w:r w:rsidRPr="006A561F">
        <w:t>For the positive deviants, this followed a structured programme, often visiting peers in their homes to support them to shift their behaviours. For other beneficiaries – for example, those who had taken part in parenting programmes in Egypt and Palestine – they discussed what they had learn</w:t>
      </w:r>
      <w:r w:rsidR="3148EB36" w:rsidRPr="006A561F">
        <w:t>ed</w:t>
      </w:r>
      <w:r w:rsidRPr="006A561F">
        <w:t xml:space="preserve"> with family members, neighbours, friends and colleagues informally.</w:t>
      </w:r>
      <w:r w:rsidR="006F2F6D" w:rsidRPr="0D4BD307">
        <w:rPr>
          <w:rStyle w:val="FootnoteReference"/>
          <w:sz w:val="22"/>
          <w:szCs w:val="22"/>
        </w:rPr>
        <w:footnoteReference w:id="188"/>
      </w:r>
      <w:r w:rsidRPr="006A561F">
        <w:t xml:space="preserve"> For example, one woman in Morocco said she invited her brother to the training with </w:t>
      </w:r>
      <w:proofErr w:type="spellStart"/>
      <w:r w:rsidRPr="006A561F">
        <w:t>Tildat</w:t>
      </w:r>
      <w:proofErr w:type="spellEnd"/>
      <w:r w:rsidRPr="006A561F">
        <w:t xml:space="preserve"> and that he helped to explain gender equality to their parents</w:t>
      </w:r>
      <w:r w:rsidR="3148EB36" w:rsidRPr="006A561F">
        <w:t>,</w:t>
      </w:r>
      <w:r w:rsidRPr="006A561F">
        <w:t xml:space="preserve"> who were more conservative</w:t>
      </w:r>
      <w:r w:rsidR="3148EB36" w:rsidRPr="006A561F">
        <w:t>.</w:t>
      </w:r>
      <w:r w:rsidR="006F2F6D" w:rsidRPr="0D4BD307">
        <w:rPr>
          <w:rStyle w:val="FootnoteReference"/>
          <w:sz w:val="22"/>
          <w:szCs w:val="22"/>
        </w:rPr>
        <w:footnoteReference w:id="189"/>
      </w:r>
      <w:r w:rsidRPr="006A561F">
        <w:t xml:space="preserve"> Another man in Palestine who was participating with the Brilliant Future Association said that his sister asked him to speak to her fiancé about sharing household chores.</w:t>
      </w:r>
      <w:r w:rsidR="006F2F6D" w:rsidRPr="0D4BD307">
        <w:rPr>
          <w:rStyle w:val="FootnoteReference"/>
          <w:sz w:val="22"/>
          <w:szCs w:val="22"/>
        </w:rPr>
        <w:footnoteReference w:id="190"/>
      </w:r>
    </w:p>
    <w:p w14:paraId="33E0CBA6" w14:textId="712BDBF3" w:rsidR="00F27FA2" w:rsidRPr="006A561F" w:rsidRDefault="0743636A" w:rsidP="00E03B33">
      <w:pPr>
        <w:pStyle w:val="ItadNormalText"/>
        <w:jc w:val="both"/>
      </w:pPr>
      <w:r w:rsidRPr="006A561F">
        <w:t>In Palestine, the peers who had engaged with the programme were supporting each other to promote gender equality. In one location, the local town had established a club for older and younger men to meet and exchange ideas on masculinity and gender.</w:t>
      </w:r>
      <w:r w:rsidR="006F2F6D" w:rsidRPr="0D4BD307">
        <w:rPr>
          <w:rStyle w:val="FootnoteReference"/>
          <w:sz w:val="22"/>
          <w:szCs w:val="22"/>
        </w:rPr>
        <w:footnoteReference w:id="191"/>
      </w:r>
      <w:r w:rsidRPr="006A561F">
        <w:t xml:space="preserve"> They also met with other like-minded couples during the camping activity which concluded the GTP programme, established a new network of friends, and had the opportunity to share experiences</w:t>
      </w:r>
      <w:r w:rsidR="4BFED588" w:rsidRPr="006A561F">
        <w:t xml:space="preserve"> and</w:t>
      </w:r>
      <w:r w:rsidRPr="006A561F">
        <w:t xml:space="preserve"> challenges a</w:t>
      </w:r>
      <w:r w:rsidR="4BFED588" w:rsidRPr="006A561F">
        <w:t>s well as</w:t>
      </w:r>
      <w:r w:rsidRPr="006A561F">
        <w:t xml:space="preserve"> ideas </w:t>
      </w:r>
      <w:r w:rsidR="4BFED588" w:rsidRPr="006A561F">
        <w:t>for</w:t>
      </w:r>
      <w:r w:rsidRPr="006A561F">
        <w:t xml:space="preserve"> overcom</w:t>
      </w:r>
      <w:r w:rsidR="4BFED588" w:rsidRPr="006A561F">
        <w:t>ing</w:t>
      </w:r>
      <w:r w:rsidRPr="006A561F">
        <w:t xml:space="preserve"> them.</w:t>
      </w:r>
      <w:r w:rsidR="006F2F6D" w:rsidRPr="0D4BD307">
        <w:rPr>
          <w:rStyle w:val="FootnoteReference"/>
          <w:sz w:val="22"/>
          <w:szCs w:val="22"/>
        </w:rPr>
        <w:footnoteReference w:id="192"/>
      </w:r>
    </w:p>
    <w:p w14:paraId="51F1731C" w14:textId="3AA1E4F3" w:rsidR="00F6567A" w:rsidRDefault="009855D5" w:rsidP="00864E7F">
      <w:pPr>
        <w:pStyle w:val="ItadNormalText"/>
        <w:jc w:val="both"/>
      </w:pPr>
      <w:r w:rsidRPr="006A561F">
        <w:rPr>
          <w:rFonts w:cstheme="minorHAnsi"/>
          <w:b/>
          <w:bCs/>
          <w:noProof/>
          <w:color w:val="3FB84E" w:themeColor="accent3"/>
          <w:shd w:val="clear" w:color="auto" w:fill="E6E6E6"/>
        </w:rPr>
        <w:lastRenderedPageBreak/>
        <mc:AlternateContent>
          <mc:Choice Requires="wps">
            <w:drawing>
              <wp:anchor distT="45720" distB="45720" distL="114300" distR="114300" simplePos="0" relativeHeight="251655680" behindDoc="0" locked="0" layoutInCell="1" allowOverlap="1" wp14:anchorId="7D077644" wp14:editId="55C90D4D">
                <wp:simplePos x="0" y="0"/>
                <wp:positionH relativeFrom="margin">
                  <wp:posOffset>-182245</wp:posOffset>
                </wp:positionH>
                <wp:positionV relativeFrom="paragraph">
                  <wp:posOffset>711835</wp:posOffset>
                </wp:positionV>
                <wp:extent cx="4370705" cy="2296160"/>
                <wp:effectExtent l="0" t="0" r="10795" b="1524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0705" cy="2296160"/>
                        </a:xfrm>
                        <a:prstGeom prst="roundRect">
                          <a:avLst/>
                        </a:prstGeom>
                        <a:ln>
                          <a:solidFill>
                            <a:schemeClr val="accent2"/>
                          </a:solidFill>
                          <a:headEnd/>
                          <a:tailEnd/>
                        </a:ln>
                      </wps:spPr>
                      <wps:style>
                        <a:lnRef idx="2">
                          <a:schemeClr val="accent4"/>
                        </a:lnRef>
                        <a:fillRef idx="1">
                          <a:schemeClr val="lt1"/>
                        </a:fillRef>
                        <a:effectRef idx="0">
                          <a:schemeClr val="accent4"/>
                        </a:effectRef>
                        <a:fontRef idx="minor">
                          <a:schemeClr val="dk1"/>
                        </a:fontRef>
                      </wps:style>
                      <wps:txbx>
                        <w:txbxContent>
                          <w:p w14:paraId="7EABF610" w14:textId="77777777" w:rsidR="006F2F6D" w:rsidRPr="009365B2" w:rsidRDefault="00B07E8C" w:rsidP="009365B2">
                            <w:r w:rsidRPr="009365B2">
                              <w:t xml:space="preserve"> </w:t>
                            </w:r>
                            <w:r w:rsidR="006F2F6D" w:rsidRPr="009365B2">
                              <w:t>Social norms</w:t>
                            </w:r>
                          </w:p>
                          <w:p w14:paraId="260BD1A7" w14:textId="77777777" w:rsidR="006F2F6D" w:rsidRPr="0091205C" w:rsidRDefault="006F2F6D" w:rsidP="006F2F6D">
                            <w:pPr>
                              <w:contextualSpacing/>
                              <w:rPr>
                                <w:rFonts w:cstheme="minorHAnsi"/>
                              </w:rPr>
                            </w:pPr>
                            <w:r w:rsidRPr="0091205C">
                              <w:rPr>
                                <w:rFonts w:cstheme="minorHAnsi"/>
                              </w:rPr>
                              <w:t xml:space="preserve">Social norms are the unwritten rules about the way people are expected to behave within a social group and what is considered to be acceptable behaviour. For a social norm to exist, there need to be expectations around what we think others do (empirical expectations) and what we think we are expected to do (normative expectations). Usually there are sanctions for breaching the norm and rewards for complying. Social norm change therefore requires shifts in the wider community (rather than </w:t>
                            </w:r>
                            <w:r w:rsidR="00B07E8C">
                              <w:rPr>
                                <w:rFonts w:cstheme="minorHAnsi"/>
                              </w:rPr>
                              <w:t>at</w:t>
                            </w:r>
                            <w:r w:rsidRPr="0091205C">
                              <w:rPr>
                                <w:rFonts w:cstheme="minorHAnsi"/>
                              </w:rPr>
                              <w:t xml:space="preserve"> individual level), such as the family, peer group, local community, and institutions.</w:t>
                            </w:r>
                          </w:p>
                          <w:p w14:paraId="2E76C7AA" w14:textId="77777777" w:rsidR="006F2F6D" w:rsidRPr="004D383C" w:rsidRDefault="006F2F6D" w:rsidP="006F2F6D">
                            <w:pPr>
                              <w:rPr>
                                <w:rFonts w:cstheme="minorHAnsi"/>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7D077644" id="_x0000_s1032" style="position:absolute;left:0;text-align:left;margin-left:-14.35pt;margin-top:56.05pt;width:344.15pt;height:180.8pt;z-index:251655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B+rfSwIAANoEAAAOAAAAZHJzL2Uyb0RvYy54bWysVMlu2zAQvRfoPxC815IVx2kEy0HqNEWB&#13;&#10;dEHSfgDNxSJCcVSStuR+fYeUoqRpgAJFLwSXmffmzcLVRd8YcpDOa7AVnc9ySqTlILTdVfT7t+s3&#13;&#10;bynxgVnBDFhZ0aP09GL9+tWqa0tZQA1GSEcQxPqyaytah9CWWeZ5LRvmZ9BKi48KXMMCHt0uE451&#13;&#10;iN6YrMjzZdaBE60DLr3H26vhka4TvlKShy9KeRmIqSjGFtLq0rqNa7ZesXLnWFtrPobB/iGKhmmL&#13;&#10;pBPUFQuM7J3+A6rR3IEHFWYcmgyU0lwmDahmnj9Tc1ezViYtmBzfTmny/w+Wfz7ctV8dCf076LGA&#13;&#10;SYRvb4Dfe2JhUzO7k5fOQVdLJpB4HlOWda0vR9eYal/6CLLtPoHAIrN9gATUK9fErKBOguhYgOOU&#13;&#10;dNkHwvFycXKWn+WnlHB8K4rz5XyZypKx8sG9dT58kNCQuKmog70Vt1jaxMEONz7EmFj5YBcpjY2r&#13;&#10;B6PFtTYmHWJTyY1x5MCwHRjn0oYi6XlmGbW+tyI1R2DaDHtkiKhJfNQ7Kg9HIwfGW6mIFqipGNL4&#13;&#10;Et9i5DMWraObwugmxzH/vzuaMCR9so1uMjX35Jj/nXHySKxgw+TcaAvuJQBxPzEP9g/qB82x8KHf&#13;&#10;9ii6oidRWLzZgjhiMzgYhg0/B9zU4H5S0uGgVdT/2DMnKTEfLTbU+XyxiJOZDovTswIP7unL9ukL&#13;&#10;sxyhKhooGbabkKY5arJwiY2ndOqGx0jGmHGAUpOMwx4n9Ok5WT1+SetfAAAA//8DAFBLAwQUAAYA&#13;&#10;CAAAACEAkSQAcOIAAAAQAQAADwAAAGRycy9kb3ducmV2LnhtbExPTU+DQBC9m/gfNmPirV1AhUpZ&#13;&#10;GqO2PZpWf8CWHQHLzhJ2ofjvHU96ecnkvXkfxWa2nZhw8K0jBfEyAoFUOdNSreDjfbtYgfBBk9Gd&#13;&#10;I1TwjR425fVVoXPjLnTA6RhqwSbkc62gCaHPpfRVg1b7peuRmPt0g9WBz6GWZtAXNredTKIolVa3&#13;&#10;xAmN7vG5wep8HK2Cw1tSh8RK/PJ22mfb3Wu/G89K3d7ML2uGpzWIgHP4+4DfDdwfSi52ciMZLzoF&#13;&#10;i2SVsZSJOIlBsCJ9eExBnBTcZ3cZyLKQ/4eUPwAAAP//AwBQSwECLQAUAAYACAAAACEAtoM4kv4A&#13;&#10;AADhAQAAEwAAAAAAAAAAAAAAAAAAAAAAW0NvbnRlbnRfVHlwZXNdLnhtbFBLAQItABQABgAIAAAA&#13;&#10;IQA4/SH/1gAAAJQBAAALAAAAAAAAAAAAAAAAAC8BAABfcmVscy8ucmVsc1BLAQItABQABgAIAAAA&#13;&#10;IQCVB+rfSwIAANoEAAAOAAAAAAAAAAAAAAAAAC4CAABkcnMvZTJvRG9jLnhtbFBLAQItABQABgAI&#13;&#10;AAAAIQCRJABw4gAAABABAAAPAAAAAAAAAAAAAAAAAKUEAABkcnMvZG93bnJldi54bWxQSwUGAAAA&#13;&#10;AAQABADzAAAAtAUAAAAA&#13;&#10;" fillcolor="white [3201]" strokecolor="#e37230 [3205]" strokeweight="1pt">
                <v:stroke joinstyle="miter"/>
                <v:textbox>
                  <w:txbxContent>
                    <w:p w14:paraId="7EABF610" w14:textId="77777777" w:rsidR="006F2F6D" w:rsidRPr="009365B2" w:rsidRDefault="00B07E8C" w:rsidP="009365B2">
                      <w:r w:rsidRPr="009365B2">
                        <w:t xml:space="preserve"> </w:t>
                      </w:r>
                      <w:r w:rsidR="006F2F6D" w:rsidRPr="009365B2">
                        <w:t>Social norms</w:t>
                      </w:r>
                    </w:p>
                    <w:p w14:paraId="260BD1A7" w14:textId="77777777" w:rsidR="006F2F6D" w:rsidRPr="0091205C" w:rsidRDefault="006F2F6D" w:rsidP="006F2F6D">
                      <w:pPr>
                        <w:contextualSpacing/>
                        <w:rPr>
                          <w:rFonts w:cstheme="minorHAnsi"/>
                        </w:rPr>
                      </w:pPr>
                      <w:r w:rsidRPr="0091205C">
                        <w:rPr>
                          <w:rFonts w:cstheme="minorHAnsi"/>
                        </w:rPr>
                        <w:t xml:space="preserve">Social norms are the unwritten rules about the way people are expected to behave within a social group and what is considered to be acceptable behaviour. For a social norm to exist, there need to be expectations around what we think others do (empirical expectations) and what we think we are expected to do (normative expectations). Usually there are sanctions for breaching the norm and rewards for complying. Social norm change therefore requires shifts in the wider community (rather than </w:t>
                      </w:r>
                      <w:r w:rsidR="00B07E8C">
                        <w:rPr>
                          <w:rFonts w:cstheme="minorHAnsi"/>
                        </w:rPr>
                        <w:t>at</w:t>
                      </w:r>
                      <w:r w:rsidRPr="0091205C">
                        <w:rPr>
                          <w:rFonts w:cstheme="minorHAnsi"/>
                        </w:rPr>
                        <w:t xml:space="preserve"> individual level), such as the family, peer group, local community, and institutions.</w:t>
                      </w:r>
                    </w:p>
                    <w:p w14:paraId="2E76C7AA" w14:textId="77777777" w:rsidR="006F2F6D" w:rsidRPr="004D383C" w:rsidRDefault="006F2F6D" w:rsidP="006F2F6D">
                      <w:pPr>
                        <w:rPr>
                          <w:rFonts w:cstheme="minorHAnsi"/>
                          <w:u w:val="single"/>
                        </w:rPr>
                      </w:pPr>
                    </w:p>
                  </w:txbxContent>
                </v:textbox>
                <w10:wrap type="square" anchorx="margin"/>
              </v:roundrect>
            </w:pict>
          </mc:Fallback>
        </mc:AlternateContent>
      </w:r>
      <w:r w:rsidR="3704BFE1">
        <w:t>A small number of mo</w:t>
      </w:r>
      <w:r w:rsidR="0743636A" w:rsidRPr="006A561F">
        <w:t>thers-in-law were reported to fear that their sons would lose authority and respect in their households if they shared domestic chores with their wives.</w:t>
      </w:r>
      <w:r w:rsidR="006F2F6D" w:rsidRPr="0D4BD307">
        <w:rPr>
          <w:rStyle w:val="FootnoteReference"/>
          <w:sz w:val="22"/>
          <w:szCs w:val="22"/>
        </w:rPr>
        <w:footnoteReference w:id="193"/>
      </w:r>
      <w:r w:rsidR="0743636A" w:rsidRPr="006A561F">
        <w:t xml:space="preserve"> </w:t>
      </w:r>
      <w:r w:rsidR="1D83318B">
        <w:t>A handful of</w:t>
      </w:r>
      <w:r w:rsidR="1D83318B" w:rsidRPr="006A561F">
        <w:t xml:space="preserve"> </w:t>
      </w:r>
      <w:r w:rsidR="0743636A" w:rsidRPr="006A561F">
        <w:t>women in Morocco</w:t>
      </w:r>
      <w:r w:rsidR="1D83318B">
        <w:t xml:space="preserve"> (only a small number, given the sample size)</w:t>
      </w:r>
      <w:r w:rsidR="0743636A" w:rsidRPr="006A561F">
        <w:t xml:space="preserve"> reported that their fathers, brothers and male relatives tried to control their behaviour, in terms of where they went, when they went out, what they wore and who they socialised with.</w:t>
      </w:r>
      <w:r w:rsidR="006F2F6D" w:rsidRPr="0D4BD307">
        <w:rPr>
          <w:rStyle w:val="FootnoteReference"/>
          <w:sz w:val="22"/>
          <w:szCs w:val="22"/>
        </w:rPr>
        <w:footnoteReference w:id="194"/>
      </w:r>
      <w:r w:rsidR="0743636A" w:rsidRPr="006A561F">
        <w:t xml:space="preserve"> </w:t>
      </w:r>
    </w:p>
    <w:p w14:paraId="36D9EC86" w14:textId="77777777" w:rsidR="00031060" w:rsidRPr="007F6DFD" w:rsidRDefault="5DABFB19" w:rsidP="00864E7F">
      <w:pPr>
        <w:pStyle w:val="ItadNormalText"/>
        <w:ind w:left="567" w:right="452"/>
        <w:jc w:val="both"/>
        <w:rPr>
          <w:i/>
          <w:iCs/>
        </w:rPr>
      </w:pPr>
      <w:r w:rsidRPr="4977AA67">
        <w:rPr>
          <w:i/>
          <w:iCs/>
        </w:rPr>
        <w:t xml:space="preserve">“I have this uncle who always comments about the way I dress, and my studies and how he wouldn’t allow me to this if I were his daughter. I just avoid debating with him.” </w:t>
      </w:r>
      <w:r w:rsidR="00061991" w:rsidRPr="4977AA67">
        <w:rPr>
          <w:rStyle w:val="FootnoteReference"/>
          <w:i/>
          <w:iCs/>
        </w:rPr>
        <w:footnoteReference w:id="195"/>
      </w:r>
      <w:r w:rsidRPr="4977AA67">
        <w:rPr>
          <w:i/>
          <w:iCs/>
        </w:rPr>
        <w:t xml:space="preserve"> </w:t>
      </w:r>
    </w:p>
    <w:p w14:paraId="6153AFB0" w14:textId="77777777" w:rsidR="4977AA67" w:rsidRDefault="4977AA67" w:rsidP="4977AA67">
      <w:pPr>
        <w:pStyle w:val="ItadNormalText"/>
        <w:jc w:val="both"/>
      </w:pPr>
    </w:p>
    <w:p w14:paraId="6287D910" w14:textId="77777777" w:rsidR="006F2F6D" w:rsidRPr="006A561F" w:rsidRDefault="0743636A" w:rsidP="00864E7F">
      <w:pPr>
        <w:pStyle w:val="ItadNormalText"/>
        <w:jc w:val="both"/>
      </w:pPr>
      <w:r w:rsidRPr="006A561F">
        <w:t>One woman in Egypt, who had participated in the Wellspring parenting camps, reported that she had convinced her husband that she should not take sole responsibility for serving all his relatives when they came to stay. However, her husband’s relatives were so offended by this that they refused to visit him in future.</w:t>
      </w:r>
      <w:r w:rsidR="006F2F6D" w:rsidRPr="0D4BD307">
        <w:rPr>
          <w:rStyle w:val="FootnoteReference"/>
          <w:sz w:val="22"/>
          <w:szCs w:val="22"/>
        </w:rPr>
        <w:footnoteReference w:id="196"/>
      </w:r>
    </w:p>
    <w:p w14:paraId="109F2AC2" w14:textId="77777777" w:rsidR="00F27FA2" w:rsidRPr="006A561F" w:rsidRDefault="56BA44FC" w:rsidP="00864E7F">
      <w:pPr>
        <w:pStyle w:val="ItadNormalText"/>
        <w:jc w:val="both"/>
      </w:pPr>
      <w:r w:rsidRPr="006A561F">
        <w:t>S</w:t>
      </w:r>
      <w:r w:rsidR="0C46233B" w:rsidRPr="006A561F">
        <w:t xml:space="preserve">anctions </w:t>
      </w:r>
      <w:r w:rsidRPr="006A561F">
        <w:t xml:space="preserve">were </w:t>
      </w:r>
      <w:r w:rsidR="0C46233B" w:rsidRPr="006A561F">
        <w:t xml:space="preserve">applied to </w:t>
      </w:r>
      <w:r w:rsidR="34373CA3">
        <w:t xml:space="preserve">many </w:t>
      </w:r>
      <w:r w:rsidR="0C46233B" w:rsidRPr="006A561F">
        <w:t xml:space="preserve">men and women who breached social norms by behaving in more gender equal ways. </w:t>
      </w:r>
      <w:r w:rsidR="34373CA3">
        <w:t>Several</w:t>
      </w:r>
      <w:r w:rsidR="34373CA3" w:rsidRPr="006A561F">
        <w:t xml:space="preserve"> </w:t>
      </w:r>
      <w:r w:rsidR="0C46233B" w:rsidRPr="006A561F">
        <w:t xml:space="preserve">male participants were criticised, </w:t>
      </w:r>
      <w:proofErr w:type="gramStart"/>
      <w:r w:rsidR="0C46233B" w:rsidRPr="006A561F">
        <w:t>ridiculed</w:t>
      </w:r>
      <w:proofErr w:type="gramEnd"/>
      <w:r w:rsidR="0C46233B" w:rsidRPr="006A561F">
        <w:t xml:space="preserve"> or bullied as a result of their gender equal behaviours. Men who shared household chores and childcare with their wives might be seen as weak, losing their authority or becoming </w:t>
      </w:r>
      <w:r w:rsidRPr="006A561F">
        <w:t>‘</w:t>
      </w:r>
      <w:r w:rsidR="0C46233B" w:rsidRPr="006A561F">
        <w:t>womanised</w:t>
      </w:r>
      <w:r w:rsidRPr="006A561F">
        <w:t>’.</w:t>
      </w:r>
      <w:r w:rsidR="006F2F6D" w:rsidRPr="076A58FF">
        <w:rPr>
          <w:rStyle w:val="FootnoteReference"/>
          <w:sz w:val="22"/>
          <w:szCs w:val="22"/>
        </w:rPr>
        <w:footnoteReference w:id="197"/>
      </w:r>
      <w:r w:rsidR="0C46233B" w:rsidRPr="006A561F">
        <w:t xml:space="preserve"> One woman beneficiary from </w:t>
      </w:r>
      <w:r w:rsidR="702BD885" w:rsidRPr="006A561F">
        <w:t>Egypt reported</w:t>
      </w:r>
      <w:r w:rsidR="0C46233B" w:rsidRPr="006A561F">
        <w:t xml:space="preserve"> that since her husband had stopped beating her, his brothers ridiculed him, saying that his wife was now the </w:t>
      </w:r>
      <w:r w:rsidRPr="006A561F">
        <w:t>‘</w:t>
      </w:r>
      <w:r w:rsidR="0C46233B" w:rsidRPr="006A561F">
        <w:t>man</w:t>
      </w:r>
      <w:r w:rsidRPr="006A561F">
        <w:t>’</w:t>
      </w:r>
      <w:r w:rsidR="0C46233B" w:rsidRPr="006A561F">
        <w:t xml:space="preserve"> of the house</w:t>
      </w:r>
      <w:r w:rsidRPr="006A561F">
        <w:t>.</w:t>
      </w:r>
      <w:r w:rsidR="006F2F6D" w:rsidRPr="076A58FF">
        <w:rPr>
          <w:rStyle w:val="FootnoteReference"/>
          <w:sz w:val="22"/>
          <w:szCs w:val="22"/>
        </w:rPr>
        <w:footnoteReference w:id="198"/>
      </w:r>
      <w:r w:rsidR="0C46233B" w:rsidRPr="006A561F">
        <w:t xml:space="preserve"> Another reported that if her husband wanted to ask her opinion, he would never do it in front of their children, in case the children believed that </w:t>
      </w:r>
      <w:r w:rsidRPr="006A561F">
        <w:t>‘</w:t>
      </w:r>
      <w:r w:rsidR="0C46233B" w:rsidRPr="006A561F">
        <w:t>the wife is leading the husband</w:t>
      </w:r>
      <w:r w:rsidRPr="006A561F">
        <w:t>’</w:t>
      </w:r>
      <w:r w:rsidR="0C46233B" w:rsidRPr="006A561F">
        <w:t>.</w:t>
      </w:r>
    </w:p>
    <w:p w14:paraId="3AD501C0" w14:textId="77777777" w:rsidR="00C32338" w:rsidRDefault="4EAA50EC" w:rsidP="00864E7F">
      <w:pPr>
        <w:jc w:val="both"/>
      </w:pPr>
      <w:r w:rsidRPr="006A561F">
        <w:t xml:space="preserve">Those who practiced gender equal behaviours risked being stigmatised and ridiculed within their communities, and </w:t>
      </w:r>
      <w:r w:rsidR="56835167" w:rsidRPr="006A561F">
        <w:t xml:space="preserve">in </w:t>
      </w:r>
      <w:r w:rsidRPr="006A561F">
        <w:t xml:space="preserve">some </w:t>
      </w:r>
      <w:r w:rsidR="1D22940D" w:rsidRPr="006A561F">
        <w:t>cases,</w:t>
      </w:r>
      <w:r w:rsidRPr="006A561F">
        <w:t xml:space="preserve"> they hid this behaviour. This emphasises the importance of providing support mechanisms for beneficiaries – as had happened in Palestine – so </w:t>
      </w:r>
      <w:r w:rsidR="56835167" w:rsidRPr="006A561F">
        <w:t xml:space="preserve">that </w:t>
      </w:r>
      <w:r w:rsidRPr="006A561F">
        <w:t xml:space="preserve">they can maintain motivation and challenge resistance. It also suggests that programming targeting the wider community (for example schools, colleges, religious leaders, local politicians, </w:t>
      </w:r>
      <w:r w:rsidR="0A9D6687" w:rsidRPr="006A561F">
        <w:t>etc.</w:t>
      </w:r>
      <w:r w:rsidRPr="006A561F">
        <w:t xml:space="preserve">) in the same areas where the positive deviants </w:t>
      </w:r>
      <w:r w:rsidR="2453327D" w:rsidRPr="006A561F">
        <w:t>were</w:t>
      </w:r>
      <w:r w:rsidRPr="006A561F">
        <w:t xml:space="preserve"> working could help accelerate and scale</w:t>
      </w:r>
      <w:r w:rsidR="1D22940D">
        <w:t>-</w:t>
      </w:r>
      <w:r w:rsidRPr="006A561F">
        <w:t>up norm change by creating an enabling environment for gender equality.</w:t>
      </w:r>
    </w:p>
    <w:p w14:paraId="45381630" w14:textId="60A1D0D2" w:rsidR="006F2F6D" w:rsidRPr="00223BD6" w:rsidRDefault="006F2F6D" w:rsidP="00864E7F">
      <w:pPr>
        <w:jc w:val="both"/>
      </w:pPr>
      <w:r w:rsidRPr="006A561F">
        <w:rPr>
          <w:noProof/>
          <w:color w:val="2B579A"/>
          <w:shd w:val="clear" w:color="auto" w:fill="E6E6E6"/>
        </w:rPr>
        <mc:AlternateContent>
          <mc:Choice Requires="wps">
            <w:drawing>
              <wp:anchor distT="0" distB="0" distL="114300" distR="114300" simplePos="0" relativeHeight="251652608" behindDoc="0" locked="0" layoutInCell="1" allowOverlap="1" wp14:anchorId="1B1767A2" wp14:editId="6BEF792E">
                <wp:simplePos x="0" y="0"/>
                <wp:positionH relativeFrom="column">
                  <wp:posOffset>-4420870</wp:posOffset>
                </wp:positionH>
                <wp:positionV relativeFrom="paragraph">
                  <wp:posOffset>10882630</wp:posOffset>
                </wp:positionV>
                <wp:extent cx="4675742" cy="1195366"/>
                <wp:effectExtent l="0" t="0" r="0" b="0"/>
                <wp:wrapNone/>
                <wp:docPr id="9" name="Text Placeholder 3">
                  <a:extLst xmlns:a="http://schemas.openxmlformats.org/drawingml/2006/main">
                    <a:ext uri="{FF2B5EF4-FFF2-40B4-BE49-F238E27FC236}">
                      <a16:creationId xmlns:a16="http://schemas.microsoft.com/office/drawing/2014/main" id="{56FE4F62-B7CB-4E3E-8826-BAA42813A3B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75742" cy="1195366"/>
                        </a:xfrm>
                        <a:prstGeom prst="rect">
                          <a:avLst/>
                        </a:prstGeom>
                      </wps:spPr>
                      <wps:txbx>
                        <w:txbxContent>
                          <w:p w14:paraId="4B5E9E79" w14:textId="77777777" w:rsidR="006F2F6D" w:rsidRDefault="006F2F6D" w:rsidP="006F2F6D">
                            <w:pPr>
                              <w:rPr>
                                <w:rFonts w:asciiTheme="minorHAnsi" w:cstheme="minorBidi"/>
                                <w:color w:val="3B3B3C" w:themeColor="text1"/>
                                <w:kern w:val="24"/>
                                <w:sz w:val="28"/>
                                <w:szCs w:val="28"/>
                                <w:lang w:val="en-US"/>
                              </w:rPr>
                            </w:pPr>
                            <w:r>
                              <w:rPr>
                                <w:rFonts w:asciiTheme="minorHAnsi" w:cstheme="minorBidi"/>
                                <w:color w:val="3B3B3C" w:themeColor="text1"/>
                                <w:kern w:val="24"/>
                                <w:sz w:val="28"/>
                                <w:szCs w:val="28"/>
                                <w:lang w:val="en-US"/>
                              </w:rPr>
                              <w:t xml:space="preserve">Source: MWGE Semi-Annual update – rev Sept ’21, Feb ‘22 </w:t>
                            </w:r>
                          </w:p>
                        </w:txbxContent>
                      </wps:txbx>
                      <wps:bodyPr/>
                    </wps:wsp>
                  </a:graphicData>
                </a:graphic>
              </wp:anchor>
            </w:drawing>
          </mc:Choice>
          <mc:Fallback>
            <w:pict>
              <v:shape w14:anchorId="1B1767A2" id="Text Placeholder 3" o:spid="_x0000_s1033" type="#_x0000_t202" style="position:absolute;left:0;text-align:left;margin-left:-348.1pt;margin-top:856.9pt;width:368.15pt;height:94.1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WfbwEAAMwCAAAOAAAAZHJzL2Uyb0RvYy54bWysUk1PwzAMvSPxH6LcWbaxDajWTUITXCaY&#13;&#10;NPgBWZqsFU0dxWHt/j1O9oXghrg4je08v/fc6byzNdtpjxU0OR/0+pzpRkFRNducv7893dxzhkE2&#13;&#10;hayh0Tnfa+Tz2fXVtHWZHkIJdaE9I5AGs9blvAzBZUKgKrWV2AOnGyoa8FYGuvqtKLxsCd3WYtjv&#13;&#10;T0QLvnAelEak7OJQ5LOEb4xW4dUY1IHVOSduIUWf4iZGMZvKbOulKyt1pCH/wMLKqqGhZ6iFDJJ9&#13;&#10;+uoXlK2UBwQTegqsAGMqpZMGUjPo/1CzLqXTSQuZg+5sE/4frHrZrd3Ks9A9QkcLTCLQLUF9IHkj&#13;&#10;WofZsSd6ihlSdxTaGW/jSRIYPSRv92c/dReYouRocje+Gw05U1QbDB7Gt5NJdFxcnjuP4VmDZfEj&#13;&#10;554WlijI3RLDofXUcmRzIBCphG7TsaqgORE0ZjZQ7Ff+xJssS7OO6407+X5PeJefcPYFAAD//wMA&#13;&#10;UEsDBBQABgAIAAAAIQAustGF4wAAABIBAAAPAAAAZHJzL2Rvd25yZXYueG1sTE9NT8MwDL0j8R8i&#13;&#10;I3HbkpZRaNd0QkxcQRsfEres8dqKxqmabC3/HnOCiyX7Pb+PcjO7XpxxDJ0nDclSgUCqve2o0fD2&#13;&#10;+rS4BxGiIWt6T6jhGwNsqsuL0hTWT7TD8z42gkUoFEZDG+NQSBnqFp0JSz8gMXb0ozOR17GRdjQT&#13;&#10;i7tepkpl0pmO2KE1Az62WH/tT07D+/Px82OlXpqtux0mPytJLpdaX1/N2zWPhzWIiHP8+4DfDpwf&#13;&#10;Kg528CeyQfQaFlmepcxl5C654SrMWakExIEvuUoVyKqU/6tUPwAAAP//AwBQSwECLQAUAAYACAAA&#13;&#10;ACEAtoM4kv4AAADhAQAAEwAAAAAAAAAAAAAAAAAAAAAAW0NvbnRlbnRfVHlwZXNdLnhtbFBLAQIt&#13;&#10;ABQABgAIAAAAIQA4/SH/1gAAAJQBAAALAAAAAAAAAAAAAAAAAC8BAABfcmVscy8ucmVsc1BLAQIt&#13;&#10;ABQABgAIAAAAIQCmC/WfbwEAAMwCAAAOAAAAAAAAAAAAAAAAAC4CAABkcnMvZTJvRG9jLnhtbFBL&#13;&#10;AQItABQABgAIAAAAIQAustGF4wAAABIBAAAPAAAAAAAAAAAAAAAAAMkDAABkcnMvZG93bnJldi54&#13;&#10;bWxQSwUGAAAAAAQABADzAAAA2QQAAAAA&#13;&#10;" filled="f" stroked="f">
                <v:textbox>
                  <w:txbxContent>
                    <w:p w14:paraId="4B5E9E79" w14:textId="77777777" w:rsidR="006F2F6D" w:rsidRDefault="006F2F6D" w:rsidP="006F2F6D">
                      <w:pPr>
                        <w:rPr>
                          <w:rFonts w:asciiTheme="minorHAnsi" w:cstheme="minorBidi"/>
                          <w:color w:val="3B3B3C" w:themeColor="text1"/>
                          <w:kern w:val="24"/>
                          <w:sz w:val="28"/>
                          <w:szCs w:val="28"/>
                          <w:lang w:val="en-US"/>
                        </w:rPr>
                      </w:pPr>
                      <w:r>
                        <w:rPr>
                          <w:rFonts w:asciiTheme="minorHAnsi" w:cstheme="minorBidi"/>
                          <w:color w:val="3B3B3C" w:themeColor="text1"/>
                          <w:kern w:val="24"/>
                          <w:sz w:val="28"/>
                          <w:szCs w:val="28"/>
                          <w:lang w:val="en-US"/>
                        </w:rPr>
                        <w:t xml:space="preserve">Source: MWGE Semi-Annual update – rev Sept ’21, Feb ‘22 </w:t>
                      </w:r>
                    </w:p>
                  </w:txbxContent>
                </v:textbox>
              </v:shape>
            </w:pict>
          </mc:Fallback>
        </mc:AlternateContent>
      </w:r>
      <w:r w:rsidRPr="006A561F">
        <w:rPr>
          <w:noProof/>
          <w:color w:val="2B579A"/>
          <w:shd w:val="clear" w:color="auto" w:fill="E6E6E6"/>
        </w:rPr>
        <mc:AlternateContent>
          <mc:Choice Requires="wps">
            <w:drawing>
              <wp:anchor distT="0" distB="0" distL="114300" distR="114300" simplePos="0" relativeHeight="251653632" behindDoc="0" locked="0" layoutInCell="1" allowOverlap="1" wp14:anchorId="5D08D6EA" wp14:editId="3729BCEE">
                <wp:simplePos x="0" y="0"/>
                <wp:positionH relativeFrom="column">
                  <wp:posOffset>-4672330</wp:posOffset>
                </wp:positionH>
                <wp:positionV relativeFrom="paragraph">
                  <wp:posOffset>4429125</wp:posOffset>
                </wp:positionV>
                <wp:extent cx="1386672" cy="393768"/>
                <wp:effectExtent l="0" t="0" r="0" b="0"/>
                <wp:wrapNone/>
                <wp:docPr id="10" name="Text Placeholder 3">
                  <a:extLst xmlns:a="http://schemas.openxmlformats.org/drawingml/2006/main">
                    <a:ext uri="{FF2B5EF4-FFF2-40B4-BE49-F238E27FC236}">
                      <a16:creationId xmlns:a16="http://schemas.microsoft.com/office/drawing/2014/main" id="{A41EE521-989D-4274-9D1F-1453A8C0A58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6672" cy="393768"/>
                        </a:xfrm>
                        <a:prstGeom prst="rect">
                          <a:avLst/>
                        </a:prstGeom>
                      </wps:spPr>
                      <wps:txbx>
                        <w:txbxContent>
                          <w:p w14:paraId="783FC50C" w14:textId="77777777" w:rsidR="006F2F6D" w:rsidRDefault="006F2F6D" w:rsidP="006F2F6D">
                            <w:pPr>
                              <w:rPr>
                                <w:rFonts w:asciiTheme="minorHAnsi" w:cstheme="minorBidi"/>
                                <w:b/>
                                <w:color w:val="F1B249" w:themeColor="accent4"/>
                                <w:kern w:val="24"/>
                                <w:sz w:val="28"/>
                                <w:szCs w:val="28"/>
                                <w:lang w:val="en-US"/>
                              </w:rPr>
                            </w:pPr>
                            <w:r>
                              <w:rPr>
                                <w:rFonts w:asciiTheme="minorHAnsi" w:cstheme="minorBidi"/>
                                <w:b/>
                                <w:color w:val="F1B249" w:themeColor="accent4"/>
                                <w:kern w:val="24"/>
                                <w:sz w:val="28"/>
                                <w:szCs w:val="28"/>
                                <w:lang w:val="en-US"/>
                              </w:rPr>
                              <w:t>[in progress]</w:t>
                            </w:r>
                          </w:p>
                        </w:txbxContent>
                      </wps:txbx>
                      <wps:bodyPr/>
                    </wps:wsp>
                  </a:graphicData>
                </a:graphic>
              </wp:anchor>
            </w:drawing>
          </mc:Choice>
          <mc:Fallback>
            <w:pict>
              <v:shape w14:anchorId="5D08D6EA" id="_x0000_s1034" type="#_x0000_t202" style="position:absolute;left:0;text-align:left;margin-left:-367.9pt;margin-top:348.75pt;width:109.2pt;height:31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ep5ebgEAAMsCAAAOAAAAZHJzL2Uyb0RvYy54bWysUstOwzAQvCPxD5bv1H2ItkRNK6EKLhVU&#13;&#10;KnyA69hNRJy1vKZJ/561+0JwQ1zWj13Pzsx6tuhszfbaYwVNzge9Pme6UVBUzS7n729Pd1POMMim&#13;&#10;kDU0OucHjXwxv72ZtS7TQyihLrRnBNJg1rqclyG4TAhUpbYSe+B0Q0kD3spAR78ThZctodtaDPv9&#13;&#10;sWjBF86D0oh0uzwm+TzhG6NVeDUGdWB1zolbSNGnuI1RzGcy23npykqdaMg/sLCyaqjpBWopg2Sf&#13;&#10;vvoFZSvlAcGEngIrwJhK6aSB1Az6P9RsSul00kLmoLvYhP8Hq172G7f2LHSP0NEAkwh0K1AfSN6I&#13;&#10;1mF2qomeYoZUHYV2xtu4kgRGD8nbw8VP3QWmItpoOh5Phpwpyo0eRpPxNBourq+dx/CswbK4ybmn&#13;&#10;eSUGcr/CcCw9l5zIHPtHJqHbdqwqcn4fQePNForD2p9pk2Op12m6cSTfzwnv+gfnXwAAAP//AwBQ&#13;&#10;SwMEFAAGAAgAAAAhAEYjOqLmAAAAEgEAAA8AAABkcnMvZG93bnJldi54bWxMj81OwzAQhO9IvIO1&#13;&#10;SNxSp1A3JI1TISquIMqPxM2Nt0lEvI5itwlvz3KCy0qj3Z2Zr9zOrhdnHEPnScNykYJAqr3tqNHw&#13;&#10;9vqY3IEI0ZA1vSfU8I0BttXlRWkK6yd6wfM+NoJNKBRGQxvjUEgZ6hadCQs/IPHu6EdnIsuxkXY0&#13;&#10;E5u7Xt6k6Vo60xEntGbAhxbrr/3JaXh/On5+rNLnZufUMPk5leRyqfX11bzb8LjfgIg4x78P+GXg&#13;&#10;/lBxsYM/kQ2i15Bkt4oBooZ1nikQfJKoZbYCcdCQqVyBrEr5H6X6AQAA//8DAFBLAQItABQABgAI&#13;&#10;AAAAIQC2gziS/gAAAOEBAAATAAAAAAAAAAAAAAAAAAAAAABbQ29udGVudF9UeXBlc10ueG1sUEsB&#13;&#10;Ai0AFAAGAAgAAAAhADj9If/WAAAAlAEAAAsAAAAAAAAAAAAAAAAALwEAAF9yZWxzLy5yZWxzUEsB&#13;&#10;Ai0AFAAGAAgAAAAhADd6nl5uAQAAywIAAA4AAAAAAAAAAAAAAAAALgIAAGRycy9lMm9Eb2MueG1s&#13;&#10;UEsBAi0AFAAGAAgAAAAhAEYjOqLmAAAAEgEAAA8AAAAAAAAAAAAAAAAAyAMAAGRycy9kb3ducmV2&#13;&#10;LnhtbFBLBQYAAAAABAAEAPMAAADbBAAAAAA=&#13;&#10;" filled="f" stroked="f">
                <v:textbox>
                  <w:txbxContent>
                    <w:p w14:paraId="783FC50C" w14:textId="77777777" w:rsidR="006F2F6D" w:rsidRDefault="006F2F6D" w:rsidP="006F2F6D">
                      <w:pPr>
                        <w:rPr>
                          <w:rFonts w:asciiTheme="minorHAnsi" w:cstheme="minorBidi"/>
                          <w:b/>
                          <w:color w:val="F1B249" w:themeColor="accent4"/>
                          <w:kern w:val="24"/>
                          <w:sz w:val="28"/>
                          <w:szCs w:val="28"/>
                          <w:lang w:val="en-US"/>
                        </w:rPr>
                      </w:pPr>
                      <w:r>
                        <w:rPr>
                          <w:rFonts w:asciiTheme="minorHAnsi" w:cstheme="minorBidi"/>
                          <w:b/>
                          <w:color w:val="F1B249" w:themeColor="accent4"/>
                          <w:kern w:val="24"/>
                          <w:sz w:val="28"/>
                          <w:szCs w:val="28"/>
                          <w:lang w:val="en-US"/>
                        </w:rPr>
                        <w:t>[in progress]</w:t>
                      </w:r>
                    </w:p>
                  </w:txbxContent>
                </v:textbox>
              </v:shape>
            </w:pict>
          </mc:Fallback>
        </mc:AlternateContent>
      </w:r>
      <w:r w:rsidRPr="006A561F">
        <w:rPr>
          <w:noProof/>
          <w:color w:val="2B579A"/>
          <w:shd w:val="clear" w:color="auto" w:fill="E6E6E6"/>
        </w:rPr>
        <mc:AlternateContent>
          <mc:Choice Requires="wps">
            <w:drawing>
              <wp:anchor distT="0" distB="0" distL="114300" distR="114300" simplePos="0" relativeHeight="251654656" behindDoc="0" locked="0" layoutInCell="1" allowOverlap="1" wp14:anchorId="5741BBD8" wp14:editId="0FD02EF4">
                <wp:simplePos x="0" y="0"/>
                <wp:positionH relativeFrom="column">
                  <wp:posOffset>-4672330</wp:posOffset>
                </wp:positionH>
                <wp:positionV relativeFrom="paragraph">
                  <wp:posOffset>4989830</wp:posOffset>
                </wp:positionV>
                <wp:extent cx="1386672" cy="393768"/>
                <wp:effectExtent l="0" t="0" r="0" b="0"/>
                <wp:wrapNone/>
                <wp:docPr id="7" name="Text Placeholder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6672" cy="393768"/>
                        </a:xfrm>
                        <a:prstGeom prst="rect">
                          <a:avLst/>
                        </a:prstGeom>
                      </wps:spPr>
                      <wps:txbx>
                        <w:txbxContent>
                          <w:p w14:paraId="189E2DE5" w14:textId="77777777" w:rsidR="006F2F6D" w:rsidRDefault="006F2F6D" w:rsidP="006F2F6D">
                            <w:pPr>
                              <w:rPr>
                                <w:rFonts w:asciiTheme="minorHAnsi" w:cstheme="minorBidi"/>
                                <w:b/>
                                <w:color w:val="F1B249" w:themeColor="accent4"/>
                                <w:kern w:val="24"/>
                                <w:sz w:val="28"/>
                                <w:szCs w:val="28"/>
                                <w:lang w:val="en-US"/>
                              </w:rPr>
                            </w:pPr>
                            <w:r>
                              <w:rPr>
                                <w:rFonts w:asciiTheme="minorHAnsi" w:cstheme="minorBidi"/>
                                <w:b/>
                                <w:color w:val="F1B249" w:themeColor="accent4"/>
                                <w:kern w:val="24"/>
                                <w:sz w:val="28"/>
                                <w:szCs w:val="28"/>
                                <w:lang w:val="en-US"/>
                              </w:rPr>
                              <w:t>[in progress]</w:t>
                            </w:r>
                          </w:p>
                        </w:txbxContent>
                      </wps:txbx>
                      <wps:bodyPr/>
                    </wps:wsp>
                  </a:graphicData>
                </a:graphic>
              </wp:anchor>
            </w:drawing>
          </mc:Choice>
          <mc:Fallback>
            <w:pict>
              <v:shape w14:anchorId="5741BBD8" id="_x0000_s1035" type="#_x0000_t202" style="position:absolute;left:0;text-align:left;margin-left:-367.9pt;margin-top:392.9pt;width:109.2pt;height:31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MjS1bgEAAMsCAAAOAAAAZHJzL2Uyb0RvYy54bWysUstOwzAQvCPxD5bv1H1IaYmaVkIVXCqo&#13;&#10;VPgA17GbiDhreU2T/j1r9wGCG+Kyfux6dmbW82VvG3bQHmtoCz4aDDnTrYKybvcFf3t9vJtxhkG2&#13;&#10;pWyg1QU/auTLxe3NvHO5HkMFTak9I5AW884VvArB5UKgqrSVOACnW0oa8FYGOvq9KL3sCN02Yjwc&#13;&#10;ZqIDXzoPSiPS7eqU5IuEb4xW4cUY1IE1BSduIUWf4i5GsZjLfO+lq2p1piH/wMLKuqWmV6iVDJJ9&#13;&#10;+PoXlK2VBwQTBgqsAGNqpZMGUjMa/lCzraTTSQuZg+5qE/4frHo+bN3Gs9A/QE8DTCLQrUG9I3kj&#13;&#10;Oof5uSZ6ijlSdRTaG2/jShIYPSRvj1c/dR+YimiTWZZNx5wpyk3uJ9NsFg0XX6+dx/CkwbK4Kbin&#13;&#10;eSUG8rDGcCq9lJzJnPpHJqHf9awuC55F0Hizg/K48Rfa5FjqdZ5uHMn3c8L7+oOLTwAAAP//AwBQ&#13;&#10;SwMEFAAGAAgAAAAhAEuMsXTlAAAAEgEAAA8AAABkcnMvZG93bnJldi54bWxMj0FPwzAMhe9I/IfI&#13;&#10;SNy6dNDS0tWdEBNXEGND4pY1WVvROFWTreXf453gYtmy/d77yvVse3E2o+8cISwXMQhDtdMdNQi7&#13;&#10;j5coB+GDIq16Rwbhx3hYV9dXpSq0m+jdnLehESxCvlAIbQhDIaWvW2OVX7jBEO+ObrQq8Dg2Uo9q&#13;&#10;YnHby7s4fpBWdcQOrRrMc2vq7+3JIuxfj1+fSfzWbGw6TG6OJdlHiXh7M29WXJ5WIIKZw98HXBg4&#13;&#10;P1Qc7OBOpL3oEaLsPmWAgJDll4ZPonSZJSAOCHmS5SCrUv5HqX4BAAD//wMAUEsBAi0AFAAGAAgA&#13;&#10;AAAhALaDOJL+AAAA4QEAABMAAAAAAAAAAAAAAAAAAAAAAFtDb250ZW50X1R5cGVzXS54bWxQSwEC&#13;&#10;LQAUAAYACAAAACEAOP0h/9YAAACUAQAACwAAAAAAAAAAAAAAAAAvAQAAX3JlbHMvLnJlbHNQSwEC&#13;&#10;LQAUAAYACAAAACEAijI0tW4BAADLAgAADgAAAAAAAAAAAAAAAAAuAgAAZHJzL2Uyb0RvYy54bWxQ&#13;&#10;SwECLQAUAAYACAAAACEAS4yxdOUAAAASAQAADwAAAAAAAAAAAAAAAADIAwAAZHJzL2Rvd25yZXYu&#13;&#10;eG1sUEsFBgAAAAAEAAQA8wAAANoEAAAAAA==&#13;&#10;" filled="f" stroked="f">
                <v:textbox>
                  <w:txbxContent>
                    <w:p w14:paraId="189E2DE5" w14:textId="77777777" w:rsidR="006F2F6D" w:rsidRDefault="006F2F6D" w:rsidP="006F2F6D">
                      <w:pPr>
                        <w:rPr>
                          <w:rFonts w:asciiTheme="minorHAnsi" w:cstheme="minorBidi"/>
                          <w:b/>
                          <w:color w:val="F1B249" w:themeColor="accent4"/>
                          <w:kern w:val="24"/>
                          <w:sz w:val="28"/>
                          <w:szCs w:val="28"/>
                          <w:lang w:val="en-US"/>
                        </w:rPr>
                      </w:pPr>
                      <w:r>
                        <w:rPr>
                          <w:rFonts w:asciiTheme="minorHAnsi" w:cstheme="minorBidi"/>
                          <w:b/>
                          <w:color w:val="F1B249" w:themeColor="accent4"/>
                          <w:kern w:val="24"/>
                          <w:sz w:val="28"/>
                          <w:szCs w:val="28"/>
                          <w:lang w:val="en-US"/>
                        </w:rPr>
                        <w:t>[in progress]</w:t>
                      </w:r>
                    </w:p>
                  </w:txbxContent>
                </v:textbox>
              </v:shape>
            </w:pict>
          </mc:Fallback>
        </mc:AlternateContent>
      </w:r>
    </w:p>
    <w:p w14:paraId="13B814BE" w14:textId="77777777" w:rsidR="00F37307" w:rsidRDefault="4EAA50EC" w:rsidP="4977AA67">
      <w:pPr>
        <w:pStyle w:val="ItadNormalText"/>
        <w:jc w:val="both"/>
        <w:rPr>
          <w:b/>
          <w:bCs/>
        </w:rPr>
      </w:pPr>
      <w:r w:rsidRPr="4977AA67">
        <w:rPr>
          <w:b/>
          <w:bCs/>
          <w:color w:val="588B46" w:themeColor="text2"/>
        </w:rPr>
        <w:t>Finding 5.</w:t>
      </w:r>
      <w:r w:rsidR="3D448374" w:rsidRPr="4977AA67">
        <w:rPr>
          <w:b/>
          <w:bCs/>
          <w:color w:val="588B46" w:themeColor="text2"/>
        </w:rPr>
        <w:t>6</w:t>
      </w:r>
      <w:r w:rsidRPr="4977AA67">
        <w:rPr>
          <w:b/>
          <w:bCs/>
          <w:color w:val="588B46" w:themeColor="text2"/>
        </w:rPr>
        <w:t xml:space="preserve">: </w:t>
      </w:r>
      <w:r w:rsidRPr="4977AA67">
        <w:rPr>
          <w:b/>
          <w:bCs/>
        </w:rPr>
        <w:t xml:space="preserve">Policy change: </w:t>
      </w:r>
      <w:r w:rsidR="4ECEA5A6" w:rsidRPr="4977AA67">
        <w:rPr>
          <w:b/>
          <w:bCs/>
        </w:rPr>
        <w:t xml:space="preserve">The programme was able influence and contribute to a range of national level legislative and policy processes frameworks though not always with full success. </w:t>
      </w:r>
      <w:r w:rsidR="4ECEA5A6" w:rsidRPr="4977AA67">
        <w:rPr>
          <w:rFonts w:cstheme="minorBidi"/>
          <w:b/>
          <w:bCs/>
        </w:rPr>
        <w:t>At the regional level</w:t>
      </w:r>
      <w:r w:rsidR="15E536DA" w:rsidRPr="4977AA67">
        <w:rPr>
          <w:rFonts w:cstheme="minorBidi"/>
          <w:b/>
          <w:bCs/>
        </w:rPr>
        <w:t>,</w:t>
      </w:r>
      <w:r w:rsidR="4ECEA5A6" w:rsidRPr="4977AA67">
        <w:rPr>
          <w:rFonts w:cstheme="minorBidi"/>
          <w:b/>
          <w:bCs/>
        </w:rPr>
        <w:t xml:space="preserve"> the programme suffered, to a degree, from the lack of a clear advocacy target for its messages</w:t>
      </w:r>
      <w:r w:rsidR="75CD0DD4" w:rsidRPr="4977AA67">
        <w:rPr>
          <w:rFonts w:cstheme="minorBidi"/>
          <w:b/>
          <w:bCs/>
        </w:rPr>
        <w:t>.</w:t>
      </w:r>
      <w:r w:rsidR="75CD0DD4" w:rsidRPr="4977AA67">
        <w:rPr>
          <w:b/>
          <w:bCs/>
        </w:rPr>
        <w:t xml:space="preserve"> The policy change advocacy component of the programme was </w:t>
      </w:r>
      <w:r w:rsidR="1C96F60D" w:rsidRPr="4977AA67">
        <w:rPr>
          <w:b/>
          <w:bCs/>
        </w:rPr>
        <w:t xml:space="preserve">also </w:t>
      </w:r>
      <w:r w:rsidR="75CD0DD4" w:rsidRPr="4977AA67">
        <w:rPr>
          <w:b/>
          <w:bCs/>
        </w:rPr>
        <w:t>less well-funded.</w:t>
      </w:r>
    </w:p>
    <w:p w14:paraId="180086AE" w14:textId="769BC746" w:rsidR="00F37307" w:rsidRDefault="67292D14" w:rsidP="4977AA67">
      <w:pPr>
        <w:pStyle w:val="ItadNormalText"/>
        <w:jc w:val="both"/>
        <w:rPr>
          <w:rFonts w:cstheme="minorBidi"/>
        </w:rPr>
      </w:pPr>
      <w:r>
        <w:t>S</w:t>
      </w:r>
      <w:r w:rsidR="530F5E22">
        <w:t xml:space="preserve">upported by </w:t>
      </w:r>
      <w:r w:rsidR="530F5E22" w:rsidRPr="006757CB">
        <w:t xml:space="preserve">four thematic regional policy briefs produced in phase </w:t>
      </w:r>
      <w:r w:rsidR="74F9D2D7" w:rsidRPr="006757CB">
        <w:t>I</w:t>
      </w:r>
      <w:r w:rsidR="530F5E22" w:rsidRPr="006757CB">
        <w:t xml:space="preserve"> </w:t>
      </w:r>
      <w:r w:rsidR="530F5E22">
        <w:t xml:space="preserve">as well </w:t>
      </w:r>
      <w:r w:rsidR="6880A7A3">
        <w:t>as four</w:t>
      </w:r>
      <w:r w:rsidR="530F5E22" w:rsidRPr="006757CB">
        <w:t xml:space="preserve"> policy round tables</w:t>
      </w:r>
      <w:r w:rsidR="586CB611" w:rsidRPr="006A561F">
        <w:t xml:space="preserve"> – the policy change component of MWGE </w:t>
      </w:r>
      <w:r w:rsidR="0743636A" w:rsidRPr="006A561F">
        <w:t xml:space="preserve">was a less well-funded workstream compared to others. </w:t>
      </w:r>
      <w:r w:rsidR="40DFC276" w:rsidRPr="006A561F">
        <w:t>The programme was able influence and contribute to</w:t>
      </w:r>
      <w:r w:rsidR="40DFC276" w:rsidRPr="006A561F" w:rsidDel="001E3886">
        <w:t xml:space="preserve"> </w:t>
      </w:r>
      <w:r w:rsidR="0743636A" w:rsidRPr="006A561F">
        <w:t>a range of national level legislative and policy processes frameworks which, though not always with full success</w:t>
      </w:r>
      <w:r w:rsidR="39F71291" w:rsidRPr="006A561F">
        <w:t>-</w:t>
      </w:r>
      <w:r w:rsidR="0743636A" w:rsidRPr="006A561F">
        <w:t xml:space="preserve"> see Annex </w:t>
      </w:r>
      <w:r w:rsidR="126F93CF">
        <w:t>6</w:t>
      </w:r>
      <w:r w:rsidR="0743636A" w:rsidRPr="006A561F">
        <w:t xml:space="preserve"> for a list</w:t>
      </w:r>
      <w:r w:rsidR="0FC3A8DC" w:rsidRPr="006A561F">
        <w:t xml:space="preserve"> and</w:t>
      </w:r>
      <w:r w:rsidR="75889015" w:rsidRPr="006A561F">
        <w:t xml:space="preserve"> Box </w:t>
      </w:r>
      <w:r w:rsidR="009855D5">
        <w:t>1</w:t>
      </w:r>
      <w:r w:rsidR="75889015" w:rsidRPr="006A561F">
        <w:t xml:space="preserve"> below</w:t>
      </w:r>
      <w:r w:rsidR="0743636A" w:rsidRPr="006A561F">
        <w:t xml:space="preserve">. </w:t>
      </w:r>
      <w:r w:rsidR="40DFC276" w:rsidRPr="006A561F">
        <w:t>T</w:t>
      </w:r>
      <w:r w:rsidR="0743636A" w:rsidRPr="006A561F">
        <w:t xml:space="preserve">he programme outputs </w:t>
      </w:r>
      <w:r w:rsidR="6A5DD1D6" w:rsidRPr="006A561F">
        <w:t>that</w:t>
      </w:r>
      <w:r w:rsidR="0743636A" w:rsidRPr="006A561F">
        <w:t xml:space="preserve"> were most consistently mentioned as having had the most impact regionally, as </w:t>
      </w:r>
      <w:r w:rsidR="0743636A" w:rsidRPr="006A561F">
        <w:lastRenderedPageBreak/>
        <w:t xml:space="preserve">well as in Lebanon, </w:t>
      </w:r>
      <w:proofErr w:type="gramStart"/>
      <w:r w:rsidR="0743636A" w:rsidRPr="006A561F">
        <w:t>Morocco</w:t>
      </w:r>
      <w:proofErr w:type="gramEnd"/>
      <w:r w:rsidR="0743636A" w:rsidRPr="006A561F">
        <w:t xml:space="preserve"> and Palestine</w:t>
      </w:r>
      <w:r w:rsidR="40DFC276" w:rsidRPr="006A561F">
        <w:t>,</w:t>
      </w:r>
      <w:r w:rsidR="0743636A" w:rsidRPr="006A561F">
        <w:t xml:space="preserve"> were the IMAGES studies themselves, and it is hoped that they will have a similar impact in Jordan and Tunisia.</w:t>
      </w:r>
      <w:r w:rsidR="006F2F6D" w:rsidRPr="0D4BD307">
        <w:rPr>
          <w:rStyle w:val="FootnoteReference"/>
          <w:sz w:val="22"/>
          <w:szCs w:val="22"/>
        </w:rPr>
        <w:footnoteReference w:id="199"/>
      </w:r>
      <w:r w:rsidR="0743636A" w:rsidRPr="006A561F">
        <w:t xml:space="preserve"> </w:t>
      </w:r>
    </w:p>
    <w:p w14:paraId="673B89E4" w14:textId="77777777" w:rsidR="00F37307" w:rsidRDefault="0743636A" w:rsidP="00864E7F">
      <w:pPr>
        <w:pStyle w:val="ItadNormalText"/>
        <w:jc w:val="both"/>
      </w:pPr>
      <w:r w:rsidRPr="006A561F">
        <w:t xml:space="preserve">MWGE also contributed </w:t>
      </w:r>
      <w:r w:rsidR="40DFC276" w:rsidRPr="006A561F">
        <w:t xml:space="preserve">successfully </w:t>
      </w:r>
      <w:r w:rsidRPr="006A561F">
        <w:t>to other policy processes</w:t>
      </w:r>
      <w:r w:rsidR="0E69F7B3">
        <w:t xml:space="preserve"> and engagements</w:t>
      </w:r>
      <w:r w:rsidRPr="006A561F">
        <w:t xml:space="preserve">, such as the </w:t>
      </w:r>
      <w:r w:rsidR="40DFC276" w:rsidRPr="006A561F">
        <w:t>a</w:t>
      </w:r>
      <w:r w:rsidRPr="006A561F">
        <w:t>nti-</w:t>
      </w:r>
      <w:r w:rsidR="40DFC276" w:rsidRPr="006A561F">
        <w:t>s</w:t>
      </w:r>
      <w:r w:rsidRPr="006A561F">
        <w:t xml:space="preserve">exual </w:t>
      </w:r>
      <w:r w:rsidR="40DFC276" w:rsidRPr="006A561F">
        <w:t>h</w:t>
      </w:r>
      <w:r w:rsidRPr="006A561F">
        <w:t>arassment legislation</w:t>
      </w:r>
      <w:r w:rsidR="347D7837">
        <w:t xml:space="preserve"> </w:t>
      </w:r>
      <w:r w:rsidRPr="006A561F">
        <w:t xml:space="preserve">in Lebanon </w:t>
      </w:r>
      <w:r w:rsidR="40DFC276" w:rsidRPr="006A561F">
        <w:t>and</w:t>
      </w:r>
      <w:r w:rsidR="028BBDFC">
        <w:t>, to a lesser extent,</w:t>
      </w:r>
      <w:r w:rsidR="40DFC276" w:rsidRPr="006A561F">
        <w:t xml:space="preserve"> the</w:t>
      </w:r>
      <w:r w:rsidRPr="006A561F">
        <w:t xml:space="preserve"> parental leave policies in Egypt and Palestine</w:t>
      </w:r>
      <w:r w:rsidR="5A292DFD">
        <w:t xml:space="preserve"> (see also </w:t>
      </w:r>
      <w:r w:rsidR="39CDD7EF">
        <w:t>respective country case studies)</w:t>
      </w:r>
      <w:r w:rsidRPr="006A561F">
        <w:t>.</w:t>
      </w:r>
      <w:r w:rsidR="006F2F6D" w:rsidRPr="0D4BD307">
        <w:rPr>
          <w:rStyle w:val="FootnoteReference"/>
          <w:sz w:val="22"/>
          <w:szCs w:val="22"/>
        </w:rPr>
        <w:footnoteReference w:id="200"/>
      </w:r>
      <w:r w:rsidRPr="006A561F">
        <w:t xml:space="preserve"> While institutional uptake among government actors and national GEWE machineries was </w:t>
      </w:r>
      <w:r w:rsidR="40DFC276" w:rsidRPr="006A561F">
        <w:t xml:space="preserve">slow </w:t>
      </w:r>
      <w:r w:rsidRPr="006A561F">
        <w:t xml:space="preserve">at times, there were also successes with the Ministry of Youth, Ministry of Education and </w:t>
      </w:r>
      <w:r w:rsidR="1204578C">
        <w:t>the National Council for Women (</w:t>
      </w:r>
      <w:r w:rsidRPr="006A561F">
        <w:t>NCW</w:t>
      </w:r>
      <w:r w:rsidR="1204578C">
        <w:t>)</w:t>
      </w:r>
      <w:r w:rsidRPr="006A561F">
        <w:t xml:space="preserve"> in Egypt, </w:t>
      </w:r>
      <w:r w:rsidR="1204578C">
        <w:t>Ministry of Women’s Affairs (</w:t>
      </w:r>
      <w:proofErr w:type="spellStart"/>
      <w:r w:rsidRPr="006A561F">
        <w:t>MoWA</w:t>
      </w:r>
      <w:proofErr w:type="spellEnd"/>
      <w:r w:rsidR="1204578C">
        <w:t>)</w:t>
      </w:r>
      <w:r w:rsidRPr="006A561F">
        <w:t xml:space="preserve"> in Palestine and </w:t>
      </w:r>
      <w:r w:rsidR="63378FB2" w:rsidRPr="006A561F">
        <w:t>Ministry of Social Affairs (</w:t>
      </w:r>
      <w:proofErr w:type="spellStart"/>
      <w:r w:rsidRPr="006A561F">
        <w:t>MoSA</w:t>
      </w:r>
      <w:proofErr w:type="spellEnd"/>
      <w:r w:rsidR="63378FB2" w:rsidRPr="006A561F">
        <w:t>)</w:t>
      </w:r>
      <w:r w:rsidR="55681E13">
        <w:t xml:space="preserve"> and </w:t>
      </w:r>
      <w:r w:rsidR="55681E13" w:rsidRPr="00A16E46">
        <w:t xml:space="preserve">the </w:t>
      </w:r>
      <w:r w:rsidR="79D6D299" w:rsidRPr="00A16E46">
        <w:t>P</w:t>
      </w:r>
      <w:r w:rsidR="55681E13" w:rsidRPr="00A16E46">
        <w:t>arliamentary committee of women and children</w:t>
      </w:r>
      <w:r w:rsidRPr="006A561F">
        <w:t xml:space="preserve"> in Lebanon. In Lebanon, the programme had a somewhat unique impact with</w:t>
      </w:r>
      <w:r w:rsidR="4CCF47C2">
        <w:t xml:space="preserve"> the Lebanese Armed Forces (</w:t>
      </w:r>
      <w:r w:rsidRPr="4977AA67">
        <w:rPr>
          <w:rFonts w:cstheme="minorBidi"/>
        </w:rPr>
        <w:t>LAF</w:t>
      </w:r>
      <w:r w:rsidR="4CCF47C2" w:rsidRPr="4977AA67">
        <w:rPr>
          <w:rFonts w:cstheme="minorBidi"/>
        </w:rPr>
        <w:t>)</w:t>
      </w:r>
      <w:r w:rsidRPr="4977AA67">
        <w:rPr>
          <w:rFonts w:cstheme="minorBidi"/>
        </w:rPr>
        <w:t xml:space="preserve">, </w:t>
      </w:r>
      <w:r w:rsidR="53DD51BB" w:rsidRPr="4977AA67">
        <w:rPr>
          <w:rFonts w:cstheme="minorBidi"/>
        </w:rPr>
        <w:t>Internal Security Forces (</w:t>
      </w:r>
      <w:r w:rsidRPr="4977AA67">
        <w:rPr>
          <w:rFonts w:cstheme="minorBidi"/>
        </w:rPr>
        <w:t>ISF</w:t>
      </w:r>
      <w:r w:rsidR="53DD51BB" w:rsidRPr="4977AA67">
        <w:rPr>
          <w:rFonts w:cstheme="minorBidi"/>
        </w:rPr>
        <w:t>)</w:t>
      </w:r>
      <w:r w:rsidRPr="4977AA67">
        <w:rPr>
          <w:rFonts w:cstheme="minorBidi"/>
        </w:rPr>
        <w:t xml:space="preserve"> and General Security in integrating W</w:t>
      </w:r>
      <w:r w:rsidR="5F089C4D" w:rsidRPr="4977AA67">
        <w:rPr>
          <w:rFonts w:cstheme="minorBidi"/>
        </w:rPr>
        <w:t xml:space="preserve">omen </w:t>
      </w:r>
      <w:r w:rsidRPr="4977AA67">
        <w:rPr>
          <w:rFonts w:cstheme="minorBidi"/>
        </w:rPr>
        <w:t>P</w:t>
      </w:r>
      <w:r w:rsidR="7EC541AD" w:rsidRPr="4977AA67">
        <w:rPr>
          <w:rFonts w:cstheme="minorBidi"/>
        </w:rPr>
        <w:t xml:space="preserve">eace and </w:t>
      </w:r>
      <w:r w:rsidRPr="4977AA67">
        <w:rPr>
          <w:rFonts w:cstheme="minorBidi"/>
        </w:rPr>
        <w:t>S</w:t>
      </w:r>
      <w:r w:rsidR="00D997AB" w:rsidRPr="4977AA67">
        <w:rPr>
          <w:rFonts w:cstheme="minorBidi"/>
        </w:rPr>
        <w:t>ecurity (WPS)</w:t>
      </w:r>
      <w:r w:rsidRPr="4977AA67">
        <w:rPr>
          <w:rFonts w:cstheme="minorBidi"/>
        </w:rPr>
        <w:t xml:space="preserve"> perspectives and </w:t>
      </w:r>
      <w:r w:rsidRPr="006A561F">
        <w:t>establishing a Gender Unit.</w:t>
      </w:r>
      <w:r w:rsidR="006F2F6D" w:rsidRPr="0D4BD307">
        <w:rPr>
          <w:rStyle w:val="FootnoteReference"/>
          <w:sz w:val="22"/>
          <w:szCs w:val="22"/>
        </w:rPr>
        <w:footnoteReference w:id="201"/>
      </w:r>
      <w:r w:rsidRPr="006A561F">
        <w:t xml:space="preserve"> </w:t>
      </w:r>
    </w:p>
    <w:p w14:paraId="7225D102" w14:textId="77777777" w:rsidR="00015FB9" w:rsidRDefault="0C46233B" w:rsidP="4977AA67">
      <w:pPr>
        <w:pStyle w:val="ItadNormalText"/>
        <w:jc w:val="both"/>
        <w:rPr>
          <w:rFonts w:cstheme="minorBidi"/>
        </w:rPr>
      </w:pPr>
      <w:r w:rsidRPr="006A561F">
        <w:t xml:space="preserve">The programme also sought to engage with a range of influential non-state organisations, such as the </w:t>
      </w:r>
      <w:r w:rsidR="4675461D">
        <w:t xml:space="preserve">Lebanese and </w:t>
      </w:r>
      <w:r w:rsidRPr="006A561F">
        <w:t>Egyptian Scouts, Palestinian trade unions and the Moroccan</w:t>
      </w:r>
      <w:r w:rsidR="59D9B9E5" w:rsidRPr="006A561F">
        <w:t xml:space="preserve"> </w:t>
      </w:r>
      <w:bookmarkStart w:id="46" w:name="_Hlk98240389"/>
      <w:r w:rsidR="59D9B9E5" w:rsidRPr="006A561F">
        <w:t>Higher</w:t>
      </w:r>
      <w:r w:rsidRPr="006A561F">
        <w:t xml:space="preserve"> </w:t>
      </w:r>
      <w:r w:rsidRPr="4977AA67">
        <w:rPr>
          <w:rFonts w:cstheme="minorBidi"/>
        </w:rPr>
        <w:t>Institute of Information and Communication</w:t>
      </w:r>
      <w:bookmarkEnd w:id="46"/>
      <w:r w:rsidRPr="4977AA67">
        <w:rPr>
          <w:rFonts w:cstheme="minorBidi"/>
        </w:rPr>
        <w:t xml:space="preserve"> (ISIC), which trains future journalists and media professionals</w:t>
      </w:r>
      <w:r w:rsidR="0E69F7B3" w:rsidRPr="4977AA67">
        <w:rPr>
          <w:rFonts w:cstheme="minorBidi"/>
        </w:rPr>
        <w:t xml:space="preserve">, and </w:t>
      </w:r>
      <w:r w:rsidR="0E69F7B3">
        <w:t xml:space="preserve">the </w:t>
      </w:r>
      <w:r w:rsidR="0E69F7B3" w:rsidRPr="00A16E46">
        <w:t xml:space="preserve">Gender Mashreq Facility </w:t>
      </w:r>
      <w:r w:rsidR="0E69F7B3">
        <w:t xml:space="preserve">(World Bank) in </w:t>
      </w:r>
      <w:r w:rsidR="53BABDF6">
        <w:t>Lebanon.</w:t>
      </w:r>
      <w:r w:rsidR="006F2F6D" w:rsidRPr="076A58FF">
        <w:rPr>
          <w:rStyle w:val="FootnoteReference"/>
          <w:sz w:val="22"/>
          <w:szCs w:val="22"/>
        </w:rPr>
        <w:footnoteReference w:id="202"/>
      </w:r>
      <w:r w:rsidRPr="4977AA67">
        <w:rPr>
          <w:rFonts w:cstheme="minorBidi"/>
        </w:rPr>
        <w:t xml:space="preserve"> While the programme was agile and responsive in capitalising on openings of institutional uptake and had some notable successes, the resultant overall picture </w:t>
      </w:r>
      <w:r w:rsidR="16DE7A4F" w:rsidRPr="4977AA67">
        <w:rPr>
          <w:rFonts w:cstheme="minorBidi"/>
        </w:rPr>
        <w:t xml:space="preserve">was </w:t>
      </w:r>
      <w:r w:rsidRPr="4977AA67">
        <w:rPr>
          <w:rFonts w:cstheme="minorBidi"/>
        </w:rPr>
        <w:t xml:space="preserve">somewhat scattershot. </w:t>
      </w:r>
    </w:p>
    <w:p w14:paraId="2FD02A1F" w14:textId="77777777" w:rsidR="00F27FA2" w:rsidRDefault="4EAA50EC" w:rsidP="4977AA67">
      <w:pPr>
        <w:pStyle w:val="ItadNormalText"/>
        <w:jc w:val="both"/>
        <w:rPr>
          <w:rFonts w:cstheme="minorBidi"/>
        </w:rPr>
      </w:pPr>
      <w:r w:rsidRPr="4977AA67">
        <w:rPr>
          <w:rFonts w:cstheme="minorBidi"/>
        </w:rPr>
        <w:t xml:space="preserve">At </w:t>
      </w:r>
      <w:r w:rsidR="0864295E" w:rsidRPr="4977AA67">
        <w:rPr>
          <w:rFonts w:cstheme="minorBidi"/>
        </w:rPr>
        <w:t xml:space="preserve">the </w:t>
      </w:r>
      <w:r w:rsidRPr="4977AA67">
        <w:rPr>
          <w:rFonts w:cstheme="minorBidi"/>
        </w:rPr>
        <w:t>regional level the programme suffered</w:t>
      </w:r>
      <w:r w:rsidR="46B0494A" w:rsidRPr="4977AA67">
        <w:rPr>
          <w:rFonts w:cstheme="minorBidi"/>
        </w:rPr>
        <w:t>,</w:t>
      </w:r>
      <w:r w:rsidRPr="4977AA67">
        <w:rPr>
          <w:rFonts w:cstheme="minorBidi"/>
        </w:rPr>
        <w:t xml:space="preserve"> to a degree</w:t>
      </w:r>
      <w:r w:rsidR="46B0494A" w:rsidRPr="4977AA67">
        <w:rPr>
          <w:rFonts w:cstheme="minorBidi"/>
        </w:rPr>
        <w:t>,</w:t>
      </w:r>
      <w:r w:rsidRPr="4977AA67">
        <w:rPr>
          <w:rFonts w:cstheme="minorBidi"/>
        </w:rPr>
        <w:t xml:space="preserve"> from </w:t>
      </w:r>
      <w:r w:rsidR="46B0494A" w:rsidRPr="4977AA67">
        <w:rPr>
          <w:rFonts w:cstheme="minorBidi"/>
        </w:rPr>
        <w:t>the</w:t>
      </w:r>
      <w:r w:rsidRPr="4977AA67">
        <w:rPr>
          <w:rFonts w:cstheme="minorBidi"/>
        </w:rPr>
        <w:t xml:space="preserve"> lack of a clear advocacy target for its messages, </w:t>
      </w:r>
      <w:r w:rsidR="4B24D5D3" w:rsidRPr="4977AA67">
        <w:rPr>
          <w:rFonts w:cstheme="minorBidi"/>
        </w:rPr>
        <w:t xml:space="preserve">as the </w:t>
      </w:r>
      <w:r w:rsidR="25D2D727" w:rsidRPr="4977AA67">
        <w:rPr>
          <w:rFonts w:cstheme="minorBidi"/>
        </w:rPr>
        <w:t>League of Arab States d</w:t>
      </w:r>
      <w:r w:rsidR="396C6CF6" w:rsidRPr="4977AA67">
        <w:rPr>
          <w:rFonts w:cstheme="minorBidi"/>
        </w:rPr>
        <w:t>id</w:t>
      </w:r>
      <w:r w:rsidR="25D2D727" w:rsidRPr="4977AA67">
        <w:rPr>
          <w:rFonts w:cstheme="minorBidi"/>
        </w:rPr>
        <w:t xml:space="preserve"> not have the same kind of </w:t>
      </w:r>
      <w:r w:rsidR="7D8FA69C" w:rsidRPr="4977AA67">
        <w:rPr>
          <w:rFonts w:cstheme="minorBidi"/>
        </w:rPr>
        <w:t>normative leverage</w:t>
      </w:r>
      <w:r w:rsidR="52AF104E" w:rsidRPr="4977AA67">
        <w:rPr>
          <w:rFonts w:cstheme="minorBidi"/>
        </w:rPr>
        <w:t xml:space="preserve"> on issues of gender equality</w:t>
      </w:r>
      <w:r w:rsidR="2E9F99A3" w:rsidRPr="4977AA67">
        <w:rPr>
          <w:rFonts w:cstheme="minorBidi"/>
        </w:rPr>
        <w:t>, or let alone labour law questions,</w:t>
      </w:r>
      <w:r w:rsidR="7D8FA69C" w:rsidRPr="4977AA67">
        <w:rPr>
          <w:rFonts w:cstheme="minorBidi"/>
        </w:rPr>
        <w:t xml:space="preserve"> as some regional organisations elsewhere, such as for example the European Union</w:t>
      </w:r>
      <w:r w:rsidR="2E9F99A3" w:rsidRPr="4977AA67">
        <w:rPr>
          <w:rFonts w:cstheme="minorBidi"/>
        </w:rPr>
        <w:t>.</w:t>
      </w:r>
      <w:r w:rsidR="7D8FA69C" w:rsidRPr="4977AA67">
        <w:rPr>
          <w:rFonts w:cstheme="minorBidi"/>
        </w:rPr>
        <w:t xml:space="preserve"> </w:t>
      </w:r>
      <w:r w:rsidR="2E9F99A3" w:rsidRPr="4977AA67">
        <w:rPr>
          <w:rFonts w:cstheme="minorBidi"/>
        </w:rPr>
        <w:t>Nevertheless, the programme</w:t>
      </w:r>
      <w:r w:rsidR="1850729C" w:rsidRPr="4977AA67">
        <w:rPr>
          <w:rFonts w:cstheme="minorBidi"/>
        </w:rPr>
        <w:t xml:space="preserve"> </w:t>
      </w:r>
      <w:r w:rsidRPr="4977AA67">
        <w:rPr>
          <w:rFonts w:cstheme="minorBidi"/>
        </w:rPr>
        <w:t xml:space="preserve">did actively engage with the League of Arab States, the Arab Women’s </w:t>
      </w:r>
      <w:proofErr w:type="gramStart"/>
      <w:r w:rsidRPr="4977AA67">
        <w:rPr>
          <w:rFonts w:cstheme="minorBidi"/>
        </w:rPr>
        <w:t>Organisation</w:t>
      </w:r>
      <w:proofErr w:type="gramEnd"/>
      <w:r w:rsidRPr="4977AA67">
        <w:rPr>
          <w:rFonts w:cstheme="minorBidi"/>
        </w:rPr>
        <w:t xml:space="preserve"> and the Youth Department of the League.</w:t>
      </w:r>
    </w:p>
    <w:p w14:paraId="5FECAC6B" w14:textId="77777777" w:rsidR="45A7AD35" w:rsidRDefault="45A7AD35" w:rsidP="4977AA67">
      <w:pPr>
        <w:pStyle w:val="ItadNormalText"/>
        <w:jc w:val="both"/>
      </w:pPr>
      <w:r>
        <w:rPr>
          <w:noProof/>
        </w:rPr>
        <w:lastRenderedPageBreak/>
        <mc:AlternateContent>
          <mc:Choice Requires="wps">
            <w:drawing>
              <wp:inline distT="45720" distB="45720" distL="114300" distR="114300" wp14:anchorId="40A6062E" wp14:editId="3C47EDC0">
                <wp:extent cx="5760085" cy="6296025"/>
                <wp:effectExtent l="0" t="0" r="12065" b="28575"/>
                <wp:docPr id="11428009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6296025"/>
                        </a:xfrm>
                        <a:prstGeom prst="roundRect">
                          <a:avLst/>
                        </a:prstGeom>
                        <a:ln>
                          <a:solidFill>
                            <a:schemeClr val="accent2"/>
                          </a:solidFill>
                          <a:headEnd/>
                          <a:tailEnd/>
                        </a:ln>
                      </wps:spPr>
                      <wps:style>
                        <a:lnRef idx="2">
                          <a:schemeClr val="accent4"/>
                        </a:lnRef>
                        <a:fillRef idx="1">
                          <a:schemeClr val="lt1"/>
                        </a:fillRef>
                        <a:effectRef idx="0">
                          <a:schemeClr val="accent4"/>
                        </a:effectRef>
                        <a:fontRef idx="minor">
                          <a:schemeClr val="dk1"/>
                        </a:fontRef>
                      </wps:style>
                      <wps:txbx>
                        <w:txbxContent>
                          <w:p w14:paraId="280BAEF4" w14:textId="77777777" w:rsidR="001A6F3B" w:rsidRPr="001A6F3B" w:rsidRDefault="001A6F3B" w:rsidP="00D80EF4">
                            <w:pPr>
                              <w:pStyle w:val="Itadboxnumbers"/>
                              <w:ind w:left="426"/>
                            </w:pPr>
                            <w:bookmarkStart w:id="47" w:name="_Toc123126133"/>
                            <w:r w:rsidRPr="001A6F3B">
                              <w:t>Affecting policy change – two examples</w:t>
                            </w:r>
                            <w:bookmarkEnd w:id="47"/>
                          </w:p>
                          <w:p w14:paraId="63439012" w14:textId="77777777" w:rsidR="00A21E5A" w:rsidRPr="00C80D78" w:rsidRDefault="00A21E5A" w:rsidP="00A21E5A">
                            <w:pPr>
                              <w:rPr>
                                <w:rFonts w:cstheme="minorHAnsi"/>
                                <w:sz w:val="20"/>
                                <w:szCs w:val="20"/>
                              </w:rPr>
                            </w:pPr>
                            <w:r w:rsidRPr="00C80D78">
                              <w:rPr>
                                <w:rFonts w:cstheme="minorHAnsi"/>
                                <w:sz w:val="20"/>
                                <w:szCs w:val="20"/>
                              </w:rPr>
                              <w:t>The policy advocacy component of MWGE (Outcome 3) was underfunded but nevertheless was able to contribute to policy change and uptake to some degree in all implementation countries (see Annex 6).</w:t>
                            </w:r>
                          </w:p>
                          <w:p w14:paraId="31FADCAE" w14:textId="77777777" w:rsidR="00A21E5A" w:rsidRPr="00C80D78" w:rsidRDefault="00A21E5A" w:rsidP="00A21E5A">
                            <w:pPr>
                              <w:rPr>
                                <w:rFonts w:cstheme="minorHAnsi"/>
                                <w:b/>
                                <w:bCs/>
                                <w:sz w:val="20"/>
                                <w:szCs w:val="20"/>
                              </w:rPr>
                            </w:pPr>
                          </w:p>
                          <w:p w14:paraId="7FF0C664" w14:textId="77777777" w:rsidR="00A21E5A" w:rsidRPr="00C80D78" w:rsidRDefault="00A21E5A" w:rsidP="00A21E5A">
                            <w:pPr>
                              <w:rPr>
                                <w:rFonts w:cstheme="minorHAnsi"/>
                                <w:sz w:val="20"/>
                                <w:szCs w:val="20"/>
                              </w:rPr>
                            </w:pPr>
                            <w:r w:rsidRPr="00C80D78">
                              <w:rPr>
                                <w:rFonts w:cstheme="minorHAnsi"/>
                                <w:sz w:val="20"/>
                                <w:szCs w:val="20"/>
                              </w:rPr>
                              <w:t xml:space="preserve">The degree to which policies, especially at national level, can be changed is highly contingent on external factors, such as the political will of decision-makers, being able to create a window of opportunity as well as momentum, and being able to capitalise on it. A comparison between two advocacy campaigns which were run under the umbrella of MWGE illustrates the context-specific nature of this work. </w:t>
                            </w:r>
                          </w:p>
                          <w:p w14:paraId="52F7D999" w14:textId="77777777" w:rsidR="00A21E5A" w:rsidRPr="00C80D78" w:rsidRDefault="00A21E5A" w:rsidP="00A21E5A">
                            <w:pPr>
                              <w:rPr>
                                <w:rFonts w:cstheme="minorHAnsi"/>
                                <w:sz w:val="20"/>
                                <w:szCs w:val="20"/>
                              </w:rPr>
                            </w:pPr>
                          </w:p>
                          <w:p w14:paraId="09639262" w14:textId="77777777" w:rsidR="00A21E5A" w:rsidRPr="00C80D78" w:rsidRDefault="00A21E5A" w:rsidP="00A21E5A">
                            <w:pPr>
                              <w:rPr>
                                <w:rFonts w:cstheme="minorHAnsi"/>
                                <w:sz w:val="20"/>
                                <w:szCs w:val="20"/>
                              </w:rPr>
                            </w:pPr>
                            <w:r w:rsidRPr="00C80D78">
                              <w:rPr>
                                <w:rFonts w:cstheme="minorHAnsi"/>
                                <w:sz w:val="20"/>
                                <w:szCs w:val="20"/>
                              </w:rPr>
                              <w:t xml:space="preserve">In Egypt, as in other implementation countries, MWGE sought to improve parental leave legislation, and worked on this both at the national level though the NCW as well as through a bottom-up advocacy approach involving the implementing partners (see also Egypt Country Case Study). The CBO El Shabab organised public awareness campaigns and collected signatures for a petition calling for a change, and worked with a parliamentarian whom they knew. In spite of increasing the number of signatures and shifting the focus of the proposed legislation to focus on the public sector – as this was seen as easier than focusing on the private sector – the proposed legislation </w:t>
                            </w:r>
                            <w:r w:rsidR="00AD0753">
                              <w:rPr>
                                <w:rFonts w:cstheme="minorHAnsi"/>
                                <w:sz w:val="20"/>
                                <w:szCs w:val="20"/>
                              </w:rPr>
                              <w:t>became</w:t>
                            </w:r>
                            <w:r w:rsidRPr="00C80D78">
                              <w:rPr>
                                <w:rFonts w:cstheme="minorHAnsi"/>
                                <w:sz w:val="20"/>
                                <w:szCs w:val="20"/>
                              </w:rPr>
                              <w:t xml:space="preserve"> stalled in parliamentary committees. </w:t>
                            </w:r>
                            <w:r w:rsidR="00944C7F">
                              <w:rPr>
                                <w:rFonts w:cstheme="minorHAnsi"/>
                                <w:sz w:val="20"/>
                                <w:szCs w:val="20"/>
                              </w:rPr>
                              <w:t xml:space="preserve">Furthermore, the framing of the legislation was limited (1 day) – which falls short of international standards. </w:t>
                            </w:r>
                            <w:r w:rsidRPr="00C80D78">
                              <w:rPr>
                                <w:rFonts w:cstheme="minorHAnsi"/>
                                <w:sz w:val="20"/>
                                <w:szCs w:val="20"/>
                              </w:rPr>
                              <w:t xml:space="preserve">El Shabab’s campaign was not picked up by the umbrella organisation and other CBOs to the degree that they had hoped for. Political interest in the campaign waned in parliament, but other parliamentarians were later able to increase parental leave by one day in the new labour law. </w:t>
                            </w:r>
                          </w:p>
                          <w:p w14:paraId="4BF37E3C" w14:textId="77777777" w:rsidR="00A21E5A" w:rsidRPr="00C80D78" w:rsidRDefault="00A21E5A" w:rsidP="00A21E5A">
                            <w:pPr>
                              <w:rPr>
                                <w:rFonts w:cstheme="minorHAnsi"/>
                                <w:sz w:val="20"/>
                                <w:szCs w:val="20"/>
                              </w:rPr>
                            </w:pPr>
                          </w:p>
                          <w:p w14:paraId="573EAC52" w14:textId="77777777" w:rsidR="00A21E5A" w:rsidRPr="00C80D78" w:rsidRDefault="00A21E5A" w:rsidP="00A21E5A">
                            <w:pPr>
                              <w:contextualSpacing/>
                              <w:rPr>
                                <w:rFonts w:cstheme="minorHAnsi"/>
                                <w:sz w:val="20"/>
                                <w:szCs w:val="20"/>
                              </w:rPr>
                            </w:pPr>
                            <w:r w:rsidRPr="00C80D78">
                              <w:rPr>
                                <w:rFonts w:cstheme="minorHAnsi"/>
                                <w:sz w:val="20"/>
                                <w:szCs w:val="20"/>
                              </w:rPr>
                              <w:t xml:space="preserve">MWGE’s support for the campaign in Lebanon on a new anti-sexual harassment law was a more successful effort, and also was able to ensure meso- and micro-level follow up. UN Women convinced CIBEL and NCLW to combine their proposals for a law on the issue, and funded the campaign, which successfully passed parliament. Apart from the strong, evidence-based lobby efforts, of the partners, the campaign was also able to make use of the fact that the government, under pressure from the public, was looking for legislative victories. MWGE then supported local level awareness-raising on the law, and the CBO Mosawat conducted a study on sexual harassment by taxi drivers, developed campaign videos and conducted trainings with taxi drivers. The programme thus was able to successfully unite and mobilise forces around a common demand, and make use of a politically opportune moment. Furthermore, MWGE also able to connect the macro-level advocacy success with meso- and micro-level follow up and implementation.      </w:t>
                            </w:r>
                          </w:p>
                          <w:p w14:paraId="1A65AE8B" w14:textId="77777777" w:rsidR="00A21E5A" w:rsidRPr="004D383C" w:rsidRDefault="00A21E5A" w:rsidP="00A21E5A">
                            <w:pPr>
                              <w:rPr>
                                <w:rFonts w:cstheme="minorHAnsi"/>
                                <w:u w:val="single"/>
                              </w:rPr>
                            </w:pPr>
                          </w:p>
                        </w:txbxContent>
                      </wps:txbx>
                      <wps:bodyPr rot="0" vert="horz" wrap="square" lIns="91440" tIns="45720" rIns="91440" bIns="45720" anchor="t" anchorCtr="0">
                        <a:noAutofit/>
                      </wps:bodyPr>
                    </wps:wsp>
                  </a:graphicData>
                </a:graphic>
              </wp:inline>
            </w:drawing>
          </mc:Choice>
          <mc:Fallback>
            <w:pict>
              <v:roundrect w14:anchorId="40A6062E" id="Text Box 2" o:spid="_x0000_s1036" style="width:453.55pt;height:495.7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YFWrSwIAANoEAAAOAAAAZHJzL2Uyb0RvYy54bWysVNtu2zAMfR+wfxD0vtgxcmmNOEWXrsOA&#13;&#10;7oJ2+wBFkmOhsuhJSuzs60vJjptuBQYMexEkkTyHhyK1uupqTQ7SOgWmoNNJSok0HIQyu4L++H77&#13;&#10;7oIS55kRTIORBT1KR6/Wb9+s2iaXGVSghbQEQYzL26aglfdNniSOV7JmbgKNNGgswdbM49HuEmFZ&#13;&#10;i+i1TrI0XSQtWNFY4NI5vL3pjXQd8ctScv+1LJ30RBcUc/NxtXHdhjVZr1i+s6ypFB/SYP+QRc2U&#13;&#10;QdIR6oZ5RvZW/QFVK27BQeknHOoEylJxGTWgmmn6m5qHijUyasHiuGYsk/t/sPzL4aH5Zonv3kOH&#13;&#10;DxhFuOYO+KMjBjYVMzt5bS20lWQCiaehZEnbuHwIDaV2uQsg2/YzCHxktvcQgbrS1qEqqJMgOj7A&#13;&#10;cSy67DzheDlfLtL0Yk4JR9siu1yk2TxysPwU3ljnP0qoSdgU1MLeiHt82sjBDnfOh5xYfvILlNqE&#13;&#10;1YFW4lZpHQ+hqeRGW3Jg2A6Mc2l8NnC98AxaPxgRm8Mzpfs9MgTUKD7oHZT7o5Y9470siRKoKevL&#13;&#10;+BrfbODTBr1DWInZjYFD/V8Gat8XffQNYTI29xiY/p1xjIisYPwYXCsD9jUA8Tgy9/4n9b3m8PC+&#13;&#10;23YouqDLICzcbEEcsRks9MOGnwNuKrC/KGlx0Arqfu6ZlZToTwYb6nI6m4XJjIfZfJnhwZ5btucW&#13;&#10;ZjhCFdRT0m83Pk5z0GTgGhuvVLEbnjMZcsYBik0yDHuY0PNz9Hr+ktZPAAAA//8DAFBLAwQUAAYA&#13;&#10;CAAAACEAX9Z4Z9wAAAAKAQAADwAAAGRycy9kb3ducmV2LnhtbEyPwU7DQAxE70j8w8pI3OgmkaA0&#13;&#10;zaZCQMsRtfABbtYkoVlvlN2k4e8xXOAysjXyeF6xmV2nJhpC69lAukhAEVfetlwbeH/b3tyDChHZ&#13;&#10;YueZDHxRgE15eVFgbv2Z9zQdYq0khEOOBpoY+1zrUDXkMCx8Tyzehx8cRlmHWtsBzxLuOp0lyZ12&#13;&#10;2LJ8aLCnx4aq02F0BvavWR0zp+kzuOllud0997vxZMz11fy0FnlYg4o0x78L+GGQ/lBKsaMf2QbV&#13;&#10;GRCa+KvirZJlCuoowyq9BV0W+j9C+Q0AAP//AwBQSwECLQAUAAYACAAAACEAtoM4kv4AAADhAQAA&#13;&#10;EwAAAAAAAAAAAAAAAAAAAAAAW0NvbnRlbnRfVHlwZXNdLnhtbFBLAQItABQABgAIAAAAIQA4/SH/&#13;&#10;1gAAAJQBAAALAAAAAAAAAAAAAAAAAC8BAABfcmVscy8ucmVsc1BLAQItABQABgAIAAAAIQDwYFWr&#13;&#10;SwIAANoEAAAOAAAAAAAAAAAAAAAAAC4CAABkcnMvZTJvRG9jLnhtbFBLAQItABQABgAIAAAAIQBf&#13;&#10;1nhn3AAAAAoBAAAPAAAAAAAAAAAAAAAAAKUEAABkcnMvZG93bnJldi54bWxQSwUGAAAAAAQABADz&#13;&#10;AAAArgUAAAAA&#13;&#10;" fillcolor="white [3201]" strokecolor="#e37230 [3205]" strokeweight="1pt">
                <v:stroke joinstyle="miter"/>
                <v:textbox>
                  <w:txbxContent>
                    <w:p w14:paraId="280BAEF4" w14:textId="77777777" w:rsidR="001A6F3B" w:rsidRPr="001A6F3B" w:rsidRDefault="001A6F3B" w:rsidP="00D80EF4">
                      <w:pPr>
                        <w:pStyle w:val="Itadboxnumbers"/>
                        <w:ind w:left="426"/>
                      </w:pPr>
                      <w:bookmarkStart w:id="48" w:name="_Toc123126133"/>
                      <w:r w:rsidRPr="001A6F3B">
                        <w:t>Affecting policy change – two examples</w:t>
                      </w:r>
                      <w:bookmarkEnd w:id="48"/>
                    </w:p>
                    <w:p w14:paraId="63439012" w14:textId="77777777" w:rsidR="00A21E5A" w:rsidRPr="00C80D78" w:rsidRDefault="00A21E5A" w:rsidP="00A21E5A">
                      <w:pPr>
                        <w:rPr>
                          <w:rFonts w:cstheme="minorHAnsi"/>
                          <w:sz w:val="20"/>
                          <w:szCs w:val="20"/>
                        </w:rPr>
                      </w:pPr>
                      <w:r w:rsidRPr="00C80D78">
                        <w:rPr>
                          <w:rFonts w:cstheme="minorHAnsi"/>
                          <w:sz w:val="20"/>
                          <w:szCs w:val="20"/>
                        </w:rPr>
                        <w:t>The policy advocacy component of MWGE (Outcome 3) was underfunded but nevertheless was able to contribute to policy change and uptake to some degree in all implementation countries (see Annex 6).</w:t>
                      </w:r>
                    </w:p>
                    <w:p w14:paraId="31FADCAE" w14:textId="77777777" w:rsidR="00A21E5A" w:rsidRPr="00C80D78" w:rsidRDefault="00A21E5A" w:rsidP="00A21E5A">
                      <w:pPr>
                        <w:rPr>
                          <w:rFonts w:cstheme="minorHAnsi"/>
                          <w:b/>
                          <w:bCs/>
                          <w:sz w:val="20"/>
                          <w:szCs w:val="20"/>
                        </w:rPr>
                      </w:pPr>
                    </w:p>
                    <w:p w14:paraId="7FF0C664" w14:textId="77777777" w:rsidR="00A21E5A" w:rsidRPr="00C80D78" w:rsidRDefault="00A21E5A" w:rsidP="00A21E5A">
                      <w:pPr>
                        <w:rPr>
                          <w:rFonts w:cstheme="minorHAnsi"/>
                          <w:sz w:val="20"/>
                          <w:szCs w:val="20"/>
                        </w:rPr>
                      </w:pPr>
                      <w:r w:rsidRPr="00C80D78">
                        <w:rPr>
                          <w:rFonts w:cstheme="minorHAnsi"/>
                          <w:sz w:val="20"/>
                          <w:szCs w:val="20"/>
                        </w:rPr>
                        <w:t xml:space="preserve">The degree to which policies, especially at national level, can be changed is highly contingent on external factors, such as the political will of decision-makers, being able to create a window of opportunity as well as momentum, and being able to capitalise on it. A comparison between two advocacy campaigns which were run under the umbrella of MWGE illustrates the context-specific nature of this work. </w:t>
                      </w:r>
                    </w:p>
                    <w:p w14:paraId="52F7D999" w14:textId="77777777" w:rsidR="00A21E5A" w:rsidRPr="00C80D78" w:rsidRDefault="00A21E5A" w:rsidP="00A21E5A">
                      <w:pPr>
                        <w:rPr>
                          <w:rFonts w:cstheme="minorHAnsi"/>
                          <w:sz w:val="20"/>
                          <w:szCs w:val="20"/>
                        </w:rPr>
                      </w:pPr>
                    </w:p>
                    <w:p w14:paraId="09639262" w14:textId="77777777" w:rsidR="00A21E5A" w:rsidRPr="00C80D78" w:rsidRDefault="00A21E5A" w:rsidP="00A21E5A">
                      <w:pPr>
                        <w:rPr>
                          <w:rFonts w:cstheme="minorHAnsi"/>
                          <w:sz w:val="20"/>
                          <w:szCs w:val="20"/>
                        </w:rPr>
                      </w:pPr>
                      <w:r w:rsidRPr="00C80D78">
                        <w:rPr>
                          <w:rFonts w:cstheme="minorHAnsi"/>
                          <w:sz w:val="20"/>
                          <w:szCs w:val="20"/>
                        </w:rPr>
                        <w:t xml:space="preserve">In Egypt, as in other implementation countries, MWGE sought to improve parental leave legislation, and worked on this both at the national level though the NCW as well as through a bottom-up advocacy approach involving the implementing partners (see also Egypt Country Case Study). The CBO El Shabab organised public awareness campaigns and collected signatures for a petition calling for a change, and worked with a parliamentarian whom they knew. In spite of increasing the number of signatures and shifting the focus of the proposed legislation to focus on the public sector – as this was seen as easier than focusing on the private sector – the proposed legislation </w:t>
                      </w:r>
                      <w:r w:rsidR="00AD0753">
                        <w:rPr>
                          <w:rFonts w:cstheme="minorHAnsi"/>
                          <w:sz w:val="20"/>
                          <w:szCs w:val="20"/>
                        </w:rPr>
                        <w:t>became</w:t>
                      </w:r>
                      <w:r w:rsidRPr="00C80D78">
                        <w:rPr>
                          <w:rFonts w:cstheme="minorHAnsi"/>
                          <w:sz w:val="20"/>
                          <w:szCs w:val="20"/>
                        </w:rPr>
                        <w:t xml:space="preserve"> stalled in parliamentary committees. </w:t>
                      </w:r>
                      <w:r w:rsidR="00944C7F">
                        <w:rPr>
                          <w:rFonts w:cstheme="minorHAnsi"/>
                          <w:sz w:val="20"/>
                          <w:szCs w:val="20"/>
                        </w:rPr>
                        <w:t xml:space="preserve">Furthermore, the framing of the legislation was limited (1 day) – which falls short of international standards. </w:t>
                      </w:r>
                      <w:r w:rsidRPr="00C80D78">
                        <w:rPr>
                          <w:rFonts w:cstheme="minorHAnsi"/>
                          <w:sz w:val="20"/>
                          <w:szCs w:val="20"/>
                        </w:rPr>
                        <w:t xml:space="preserve">El Shabab’s campaign was not picked up by the umbrella organisation and other CBOs to the degree that they had hoped for. Political interest in the campaign waned in parliament, but other parliamentarians were later able to increase parental leave by one day in the new labour law. </w:t>
                      </w:r>
                    </w:p>
                    <w:p w14:paraId="4BF37E3C" w14:textId="77777777" w:rsidR="00A21E5A" w:rsidRPr="00C80D78" w:rsidRDefault="00A21E5A" w:rsidP="00A21E5A">
                      <w:pPr>
                        <w:rPr>
                          <w:rFonts w:cstheme="minorHAnsi"/>
                          <w:sz w:val="20"/>
                          <w:szCs w:val="20"/>
                        </w:rPr>
                      </w:pPr>
                    </w:p>
                    <w:p w14:paraId="573EAC52" w14:textId="77777777" w:rsidR="00A21E5A" w:rsidRPr="00C80D78" w:rsidRDefault="00A21E5A" w:rsidP="00A21E5A">
                      <w:pPr>
                        <w:contextualSpacing/>
                        <w:rPr>
                          <w:rFonts w:cstheme="minorHAnsi"/>
                          <w:sz w:val="20"/>
                          <w:szCs w:val="20"/>
                        </w:rPr>
                      </w:pPr>
                      <w:r w:rsidRPr="00C80D78">
                        <w:rPr>
                          <w:rFonts w:cstheme="minorHAnsi"/>
                          <w:sz w:val="20"/>
                          <w:szCs w:val="20"/>
                        </w:rPr>
                        <w:t xml:space="preserve">MWGE’s support for the campaign in Lebanon on a new anti-sexual harassment law was a more successful effort, and also was able to ensure meso- and micro-level follow up. UN Women convinced CIBEL and NCLW to combine their proposals for a law on the issue, and funded the campaign, which successfully passed parliament. Apart from the strong, evidence-based lobby efforts, of the partners, the campaign was also able to make use of the fact that the government, under pressure from the public, was looking for legislative victories. MWGE then supported local level awareness-raising on the law, and the CBO Mosawat conducted a study on sexual harassment by taxi drivers, developed campaign videos and conducted trainings with taxi drivers. The programme thus was able to successfully unite and mobilise forces around a common demand, and make use of a politically opportune moment. Furthermore, MWGE also able to connect the macro-level advocacy success with meso- and micro-level follow up and implementation.      </w:t>
                      </w:r>
                    </w:p>
                    <w:p w14:paraId="1A65AE8B" w14:textId="77777777" w:rsidR="00A21E5A" w:rsidRPr="004D383C" w:rsidRDefault="00A21E5A" w:rsidP="00A21E5A">
                      <w:pPr>
                        <w:rPr>
                          <w:rFonts w:cstheme="minorHAnsi"/>
                          <w:u w:val="single"/>
                        </w:rPr>
                      </w:pPr>
                    </w:p>
                  </w:txbxContent>
                </v:textbox>
                <w10:anchorlock/>
              </v:roundrect>
            </w:pict>
          </mc:Fallback>
        </mc:AlternateContent>
      </w:r>
    </w:p>
    <w:p w14:paraId="159F77D0" w14:textId="77777777" w:rsidR="4977AA67" w:rsidRDefault="4977AA67" w:rsidP="4977AA67">
      <w:pPr>
        <w:pStyle w:val="ItadNormalText"/>
        <w:jc w:val="both"/>
        <w:rPr>
          <w:b/>
          <w:bCs/>
          <w:color w:val="588B46" w:themeColor="text2"/>
        </w:rPr>
      </w:pPr>
    </w:p>
    <w:p w14:paraId="21C43278" w14:textId="77777777" w:rsidR="006F2F6D" w:rsidRPr="006A561F" w:rsidRDefault="3774BE70" w:rsidP="00446791">
      <w:pPr>
        <w:pStyle w:val="ItadNormalText"/>
        <w:jc w:val="both"/>
        <w:rPr>
          <w:b/>
          <w:bCs/>
        </w:rPr>
      </w:pPr>
      <w:r w:rsidRPr="4977AA67">
        <w:rPr>
          <w:b/>
          <w:bCs/>
          <w:color w:val="588B46" w:themeColor="text2"/>
        </w:rPr>
        <w:t>Finding 5.</w:t>
      </w:r>
      <w:r w:rsidR="6D673A26" w:rsidRPr="4977AA67">
        <w:rPr>
          <w:b/>
          <w:bCs/>
          <w:color w:val="588B46" w:themeColor="text2"/>
        </w:rPr>
        <w:t>7</w:t>
      </w:r>
      <w:r w:rsidRPr="4977AA67">
        <w:rPr>
          <w:b/>
          <w:bCs/>
          <w:color w:val="588B46" w:themeColor="text2"/>
        </w:rPr>
        <w:t xml:space="preserve">: </w:t>
      </w:r>
      <w:r w:rsidRPr="4977AA67">
        <w:rPr>
          <w:b/>
          <w:bCs/>
        </w:rPr>
        <w:t xml:space="preserve">Institutional and national capacity development: </w:t>
      </w:r>
      <w:r w:rsidR="6DB5BC03" w:rsidRPr="4977AA67">
        <w:rPr>
          <w:b/>
          <w:bCs/>
        </w:rPr>
        <w:t>u</w:t>
      </w:r>
      <w:r w:rsidRPr="4977AA67">
        <w:rPr>
          <w:b/>
          <w:bCs/>
        </w:rPr>
        <w:t>mbrella organi</w:t>
      </w:r>
      <w:r w:rsidR="6DB5BC03" w:rsidRPr="4977AA67">
        <w:rPr>
          <w:b/>
          <w:bCs/>
        </w:rPr>
        <w:t>s</w:t>
      </w:r>
      <w:r w:rsidRPr="4977AA67">
        <w:rPr>
          <w:b/>
          <w:bCs/>
        </w:rPr>
        <w:t>ations</w:t>
      </w:r>
      <w:r w:rsidR="6DB5BC03" w:rsidRPr="4977AA67">
        <w:rPr>
          <w:b/>
          <w:bCs/>
        </w:rPr>
        <w:t xml:space="preserve">, </w:t>
      </w:r>
      <w:r w:rsidRPr="4977AA67">
        <w:rPr>
          <w:b/>
          <w:bCs/>
        </w:rPr>
        <w:t>CBO</w:t>
      </w:r>
      <w:r w:rsidR="6DB5BC03" w:rsidRPr="4977AA67">
        <w:rPr>
          <w:b/>
          <w:bCs/>
        </w:rPr>
        <w:t xml:space="preserve">s and </w:t>
      </w:r>
      <w:r w:rsidRPr="4977AA67">
        <w:rPr>
          <w:b/>
          <w:bCs/>
        </w:rPr>
        <w:t xml:space="preserve">research partners </w:t>
      </w:r>
      <w:r w:rsidR="6DB5BC03" w:rsidRPr="4977AA67">
        <w:rPr>
          <w:b/>
          <w:bCs/>
        </w:rPr>
        <w:t>were</w:t>
      </w:r>
      <w:r w:rsidRPr="4977AA67">
        <w:rPr>
          <w:b/>
          <w:bCs/>
        </w:rPr>
        <w:t xml:space="preserve"> central to success, but </w:t>
      </w:r>
      <w:r w:rsidR="6DB5BC03" w:rsidRPr="4977AA67">
        <w:rPr>
          <w:b/>
          <w:bCs/>
        </w:rPr>
        <w:t xml:space="preserve">their </w:t>
      </w:r>
      <w:r w:rsidRPr="4977AA67">
        <w:rPr>
          <w:b/>
          <w:bCs/>
        </w:rPr>
        <w:t>role</w:t>
      </w:r>
      <w:r w:rsidR="6DB5BC03" w:rsidRPr="4977AA67">
        <w:rPr>
          <w:b/>
          <w:bCs/>
        </w:rPr>
        <w:t xml:space="preserve"> and </w:t>
      </w:r>
      <w:r w:rsidRPr="4977AA67">
        <w:rPr>
          <w:b/>
          <w:bCs/>
        </w:rPr>
        <w:t xml:space="preserve">utility </w:t>
      </w:r>
      <w:r w:rsidR="6DB5BC03" w:rsidRPr="4977AA67">
        <w:rPr>
          <w:b/>
          <w:bCs/>
        </w:rPr>
        <w:t xml:space="preserve">were </w:t>
      </w:r>
      <w:r w:rsidRPr="4977AA67">
        <w:rPr>
          <w:b/>
          <w:bCs/>
        </w:rPr>
        <w:t xml:space="preserve">dependent on context and </w:t>
      </w:r>
      <w:r w:rsidR="6DB5BC03" w:rsidRPr="4977AA67">
        <w:rPr>
          <w:b/>
          <w:bCs/>
        </w:rPr>
        <w:t xml:space="preserve">the </w:t>
      </w:r>
      <w:r w:rsidRPr="4977AA67">
        <w:rPr>
          <w:b/>
          <w:bCs/>
        </w:rPr>
        <w:t xml:space="preserve">stages of </w:t>
      </w:r>
      <w:r w:rsidR="6DB5BC03" w:rsidRPr="4977AA67">
        <w:rPr>
          <w:b/>
          <w:bCs/>
        </w:rPr>
        <w:t xml:space="preserve">the </w:t>
      </w:r>
      <w:r w:rsidRPr="4977AA67">
        <w:rPr>
          <w:b/>
          <w:bCs/>
        </w:rPr>
        <w:t>programme</w:t>
      </w:r>
      <w:r w:rsidR="6DB5BC03" w:rsidRPr="4977AA67">
        <w:rPr>
          <w:b/>
          <w:bCs/>
        </w:rPr>
        <w:t xml:space="preserve">; this was </w:t>
      </w:r>
      <w:r w:rsidRPr="4977AA67">
        <w:rPr>
          <w:b/>
          <w:bCs/>
        </w:rPr>
        <w:t>especially</w:t>
      </w:r>
      <w:r w:rsidR="6DB5BC03" w:rsidRPr="4977AA67">
        <w:rPr>
          <w:b/>
          <w:bCs/>
        </w:rPr>
        <w:t xml:space="preserve"> the case for</w:t>
      </w:r>
      <w:r w:rsidRPr="4977AA67">
        <w:rPr>
          <w:b/>
          <w:bCs/>
        </w:rPr>
        <w:t xml:space="preserve"> </w:t>
      </w:r>
      <w:r w:rsidR="6DB5BC03" w:rsidRPr="4977AA67">
        <w:rPr>
          <w:b/>
          <w:bCs/>
        </w:rPr>
        <w:t>u</w:t>
      </w:r>
      <w:r w:rsidRPr="4977AA67">
        <w:rPr>
          <w:b/>
          <w:bCs/>
        </w:rPr>
        <w:t xml:space="preserve">mbrella organisations. </w:t>
      </w:r>
      <w:r w:rsidR="6DB5BC03" w:rsidRPr="4977AA67">
        <w:rPr>
          <w:b/>
          <w:bCs/>
        </w:rPr>
        <w:t>A t</w:t>
      </w:r>
      <w:r w:rsidRPr="4977AA67">
        <w:rPr>
          <w:b/>
          <w:bCs/>
        </w:rPr>
        <w:t>ransparent selection process</w:t>
      </w:r>
      <w:r w:rsidR="6DB5BC03" w:rsidRPr="4977AA67">
        <w:rPr>
          <w:b/>
          <w:bCs/>
        </w:rPr>
        <w:t xml:space="preserve"> was valued, as was the</w:t>
      </w:r>
      <w:r w:rsidRPr="4977AA67">
        <w:rPr>
          <w:b/>
          <w:bCs/>
        </w:rPr>
        <w:t xml:space="preserve"> possibility </w:t>
      </w:r>
      <w:r w:rsidR="6DB5BC03" w:rsidRPr="4977AA67">
        <w:rPr>
          <w:b/>
          <w:bCs/>
        </w:rPr>
        <w:t>for</w:t>
      </w:r>
      <w:r w:rsidRPr="4977AA67">
        <w:rPr>
          <w:b/>
          <w:bCs/>
        </w:rPr>
        <w:t xml:space="preserve"> CBOs to ‘graduate’.</w:t>
      </w:r>
    </w:p>
    <w:p w14:paraId="7ED0D924" w14:textId="77777777" w:rsidR="006F2F6D" w:rsidRPr="006A561F" w:rsidRDefault="0743636A" w:rsidP="00446791">
      <w:pPr>
        <w:pStyle w:val="ItadNormalText"/>
        <w:jc w:val="both"/>
      </w:pPr>
      <w:r w:rsidRPr="006A561F">
        <w:t xml:space="preserve">The use of umbrella organisations was largely seen by UN Women staff </w:t>
      </w:r>
      <w:r w:rsidR="3A1461F7" w:rsidRPr="006A561F">
        <w:t>– and by</w:t>
      </w:r>
      <w:r w:rsidRPr="006A561F">
        <w:t xml:space="preserve"> the implementing partners themselves</w:t>
      </w:r>
      <w:r w:rsidR="3A1461F7" w:rsidRPr="006A561F">
        <w:t xml:space="preserve"> –</w:t>
      </w:r>
      <w:r w:rsidRPr="006A561F">
        <w:t xml:space="preserve"> as a successful mode of engaging with national implementers, especially smaller and less experienced CBOs. </w:t>
      </w:r>
      <w:r w:rsidR="706928BF" w:rsidRPr="006A561F">
        <w:t>O</w:t>
      </w:r>
      <w:r w:rsidRPr="006A561F">
        <w:t xml:space="preserve">ne drawback was that </w:t>
      </w:r>
      <w:r w:rsidR="1207C2F7">
        <w:t>the umbrella organisations</w:t>
      </w:r>
      <w:r w:rsidR="1207C2F7" w:rsidRPr="006A561F">
        <w:t xml:space="preserve"> </w:t>
      </w:r>
      <w:r w:rsidRPr="006A561F">
        <w:t>created an additional level of distance between UN Women</w:t>
      </w:r>
      <w:r w:rsidR="1207C2F7">
        <w:t xml:space="preserve"> and the CBOs</w:t>
      </w:r>
      <w:r w:rsidR="24952C12">
        <w:t>– as noted in the case study from Palestine</w:t>
      </w:r>
      <w:r w:rsidRPr="006A561F">
        <w:t>.</w:t>
      </w:r>
      <w:r w:rsidR="006F2F6D" w:rsidRPr="4977AA67">
        <w:rPr>
          <w:rStyle w:val="FootnoteReference"/>
          <w:rFonts w:cstheme="minorBidi"/>
          <w:sz w:val="22"/>
          <w:szCs w:val="22"/>
        </w:rPr>
        <w:footnoteReference w:id="203"/>
      </w:r>
      <w:r w:rsidRPr="006A561F">
        <w:t xml:space="preserve"> However, on the positive side, this allowed UN Women to focus on other aspects of the programme while the umbrella organisation handled capacity building and coordination with various CBOs. The transparent selection of </w:t>
      </w:r>
      <w:r w:rsidRPr="006A561F">
        <w:lastRenderedPageBreak/>
        <w:t>CBO implementing partners</w:t>
      </w:r>
      <w:r w:rsidR="3A1461F7" w:rsidRPr="006A561F">
        <w:t>, and the</w:t>
      </w:r>
      <w:r w:rsidRPr="006A561F">
        <w:t xml:space="preserve"> positive impact of the support given to them by the umbrella organisations</w:t>
      </w:r>
      <w:r w:rsidR="3A1461F7" w:rsidRPr="006A561F">
        <w:t>,</w:t>
      </w:r>
      <w:r w:rsidRPr="006A561F">
        <w:t xml:space="preserve"> found positive resonance among the CBOs as well as other development partners.</w:t>
      </w:r>
      <w:r w:rsidR="006F2F6D" w:rsidRPr="4977AA67">
        <w:rPr>
          <w:rStyle w:val="FootnoteReference"/>
          <w:rFonts w:cstheme="minorBidi"/>
          <w:sz w:val="22"/>
          <w:szCs w:val="22"/>
        </w:rPr>
        <w:footnoteReference w:id="204"/>
      </w:r>
      <w:r w:rsidRPr="006A561F">
        <w:t xml:space="preserve"> </w:t>
      </w:r>
    </w:p>
    <w:p w14:paraId="2D273915" w14:textId="2FD16952" w:rsidR="00015FB9" w:rsidRPr="006A561F" w:rsidRDefault="0DBF88AF" w:rsidP="00446791">
      <w:pPr>
        <w:pStyle w:val="ItadNormalText"/>
        <w:jc w:val="both"/>
      </w:pPr>
      <w:proofErr w:type="gramStart"/>
      <w:r>
        <w:t>A n</w:t>
      </w:r>
      <w:r w:rsidR="3774BE70">
        <w:t>umber of</w:t>
      </w:r>
      <w:proofErr w:type="gramEnd"/>
      <w:r w:rsidR="3774BE70">
        <w:t xml:space="preserve"> tools and training exercises were undertaken with CBOs in all country programmes, resulting in proven gains in capacity across 12 monitoring domains – the top three of which showed gains in advocacy planning, conducting advocacy, and undertaking the monitoring and evaluation of advocacy</w:t>
      </w:r>
      <w:r w:rsidR="68236B03">
        <w:t xml:space="preserve"> –</w:t>
      </w:r>
      <w:r w:rsidR="3774BE70">
        <w:t xml:space="preserve"> with gains of 68%, 60% and 41% </w:t>
      </w:r>
      <w:r w:rsidR="3774BE70" w:rsidRPr="00C32338">
        <w:t xml:space="preserve">respectively (see </w:t>
      </w:r>
      <w:r w:rsidR="5D009A10" w:rsidRPr="00C32338">
        <w:t xml:space="preserve">figure </w:t>
      </w:r>
      <w:r w:rsidR="00C32338" w:rsidRPr="00C32338">
        <w:t>5</w:t>
      </w:r>
      <w:r w:rsidR="3774BE70" w:rsidRPr="00C32338">
        <w:t>).</w:t>
      </w:r>
    </w:p>
    <w:p w14:paraId="54C5AFF9" w14:textId="77777777" w:rsidR="006832F4" w:rsidRPr="008146BE" w:rsidRDefault="7FB9C46B" w:rsidP="008146BE">
      <w:pPr>
        <w:pStyle w:val="ItadFigureText"/>
      </w:pPr>
      <w:bookmarkStart w:id="49" w:name="_Toc123126149"/>
      <w:r w:rsidRPr="008146BE">
        <w:t>Advocacy ca</w:t>
      </w:r>
      <w:r w:rsidR="6DA01A89" w:rsidRPr="008146BE">
        <w:t>p</w:t>
      </w:r>
      <w:r w:rsidRPr="008146BE">
        <w:t>acity improvement by category</w:t>
      </w:r>
      <w:r w:rsidR="00015FB9">
        <w:rPr>
          <w:rStyle w:val="FootnoteReference"/>
        </w:rPr>
        <w:footnoteReference w:id="205"/>
      </w:r>
      <w:bookmarkEnd w:id="49"/>
    </w:p>
    <w:p w14:paraId="3EFCB907" w14:textId="77777777" w:rsidR="006F2F6D" w:rsidRPr="006A561F" w:rsidRDefault="006F2F6D" w:rsidP="006F2F6D">
      <w:pPr>
        <w:tabs>
          <w:tab w:val="left" w:pos="1418"/>
        </w:tabs>
        <w:spacing w:before="120" w:after="120"/>
        <w:rPr>
          <w:rFonts w:eastAsia="Calibri"/>
          <w:bCs/>
        </w:rPr>
      </w:pPr>
      <w:r w:rsidRPr="006A561F">
        <w:rPr>
          <w:noProof/>
          <w:color w:val="2B579A"/>
          <w:shd w:val="clear" w:color="auto" w:fill="E6E6E6"/>
        </w:rPr>
        <mc:AlternateContent>
          <mc:Choice Requires="cx2">
            <w:drawing>
              <wp:inline distT="0" distB="0" distL="0" distR="0" wp14:anchorId="2E78ACD4" wp14:editId="668AFED4">
                <wp:extent cx="5848350" cy="2743200"/>
                <wp:effectExtent l="0" t="0" r="0" b="0"/>
                <wp:docPr id="19" name="Chart 19">
                  <a:extLst xmlns:a="http://schemas.openxmlformats.org/drawingml/2006/main">
                    <a:ext uri="{FF2B5EF4-FFF2-40B4-BE49-F238E27FC236}">
                      <a16:creationId xmlns:a16="http://schemas.microsoft.com/office/drawing/2014/main" id="{4175DA35-A17C-4935-A0D3-076088DE14CD}"/>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8"/>
                  </a:graphicData>
                </a:graphic>
              </wp:inline>
            </w:drawing>
          </mc:Choice>
          <mc:Fallback xmlns:a="http://schemas.openxmlformats.org/drawingml/2006/main" xmlns:pic="http://schemas.openxmlformats.org/drawingml/2006/picture" xmlns:a14="http://schemas.microsoft.com/office/drawing/2010/main" xmlns:a16="http://schemas.microsoft.com/office/drawing/2014/main" xmlns:c="http://schemas.openxmlformats.org/drawingml/2006/chart">
            <w:drawing>
              <wp:inline distT="0" distB="0" distL="0" distR="0" wp14:anchorId="65FDBE8F" wp14:editId="0F240C1D">
                <wp:extent cx="5848350" cy="2743200"/>
                <wp:effectExtent l="0" t="0" r="0" b="0"/>
                <wp:docPr id="1005067853" name="Chart 19">
                  <a:extLst xmlns:a="http://schemas.openxmlformats.org/drawingml/2006/main">
                    <a:ext uri="{FF2B5EF4-FFF2-40B4-BE49-F238E27FC236}">
                      <a16:creationId xmlns:a16="http://schemas.microsoft.com/office/drawing/2014/main" id="{4175DA35-A17C-4935-A0D3-076088DE14CD}"/>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9" name="Chart 19">
                          <a:extLst>
                            <a:ext uri="{FF2B5EF4-FFF2-40B4-BE49-F238E27FC236}">
                              <a16:creationId xmlns:a16="http://schemas.microsoft.com/office/drawing/2014/main" id="{4175DA35-A17C-4935-A0D3-076088DE14CD}"/>
                            </a:ext>
                          </a:extLst>
                        </pic:cNvPr>
                        <pic:cNvPicPr>
                          <a:picLocks noGrp="1" noRot="1" noChangeAspect="1" noMove="1" noResize="1" noEditPoints="1" noAdjustHandles="1" noChangeArrowheads="1" noChangeShapeType="1"/>
                        </pic:cNvPicPr>
                      </pic:nvPicPr>
                      <pic:blipFill>
                        <a:blip r:embed="rId29"/>
                        <a:stretch>
                          <a:fillRect/>
                        </a:stretch>
                      </pic:blipFill>
                      <pic:spPr>
                        <a:xfrm>
                          <a:off x="0" y="0"/>
                          <a:ext cx="5848350" cy="2743200"/>
                        </a:xfrm>
                        <a:prstGeom prst="rect">
                          <a:avLst/>
                        </a:prstGeom>
                      </pic:spPr>
                    </pic:pic>
                  </a:graphicData>
                </a:graphic>
              </wp:inline>
            </w:drawing>
          </mc:Fallback>
        </mc:AlternateContent>
      </w:r>
    </w:p>
    <w:p w14:paraId="005305A8" w14:textId="77777777" w:rsidR="0035765B" w:rsidRDefault="0035765B" w:rsidP="00DD6CEB">
      <w:pPr>
        <w:pStyle w:val="ItadNormalText"/>
      </w:pPr>
    </w:p>
    <w:p w14:paraId="0C0CB5C8" w14:textId="42B1334B" w:rsidR="006F2F6D" w:rsidRPr="006A561F" w:rsidRDefault="0743636A" w:rsidP="00DD6CEB">
      <w:pPr>
        <w:pStyle w:val="ItadNormalText"/>
      </w:pPr>
      <w:r w:rsidRPr="006A561F">
        <w:t>The CBO capacity building MEL data also show</w:t>
      </w:r>
      <w:r w:rsidR="7C5A2369" w:rsidRPr="006A561F">
        <w:t>ed</w:t>
      </w:r>
      <w:r w:rsidRPr="006A561F">
        <w:t xml:space="preserve"> that enhancements </w:t>
      </w:r>
      <w:r w:rsidR="6354BC1D" w:rsidRPr="006A561F">
        <w:t>we</w:t>
      </w:r>
      <w:r w:rsidRPr="006A561F">
        <w:t xml:space="preserve">re noticeable across all </w:t>
      </w:r>
      <w:r w:rsidR="78990EFA" w:rsidRPr="006A561F">
        <w:t>P</w:t>
      </w:r>
      <w:r w:rsidRPr="006A561F">
        <w:t xml:space="preserve">hase I </w:t>
      </w:r>
      <w:r w:rsidR="78990EFA" w:rsidRPr="006A561F">
        <w:t>and</w:t>
      </w:r>
      <w:r w:rsidRPr="006A561F">
        <w:t xml:space="preserve"> II countries – particularly in </w:t>
      </w:r>
      <w:r w:rsidRPr="00C32338">
        <w:t xml:space="preserve">Egypt and Palestine (see </w:t>
      </w:r>
      <w:r w:rsidR="411BA2CA" w:rsidRPr="00C32338">
        <w:t xml:space="preserve">figure </w:t>
      </w:r>
      <w:r w:rsidR="00C32338" w:rsidRPr="00C32338">
        <w:t>6</w:t>
      </w:r>
      <w:r w:rsidRPr="00C32338">
        <w:t>). Overall</w:t>
      </w:r>
      <w:r w:rsidRPr="006A561F">
        <w:t>, the average capacity of all CBOs across capacity categories in all countries expanded by 37% from baseline to endline</w:t>
      </w:r>
      <w:r w:rsidR="78990EFA" w:rsidRPr="006A561F">
        <w:t>.</w:t>
      </w:r>
      <w:r w:rsidR="006F2F6D" w:rsidRPr="0D4BD307">
        <w:rPr>
          <w:rStyle w:val="FootnoteReference"/>
          <w:rFonts w:eastAsia="Calibri"/>
          <w:sz w:val="22"/>
          <w:szCs w:val="22"/>
        </w:rPr>
        <w:footnoteReference w:id="206"/>
      </w:r>
    </w:p>
    <w:p w14:paraId="5EA67287" w14:textId="77777777" w:rsidR="006832F4" w:rsidRPr="006A561F" w:rsidRDefault="7FB9C46B" w:rsidP="008146BE">
      <w:pPr>
        <w:pStyle w:val="ItadFigureText"/>
      </w:pPr>
      <w:r w:rsidRPr="006A561F">
        <w:t xml:space="preserve"> </w:t>
      </w:r>
      <w:bookmarkStart w:id="50" w:name="_Toc123126150"/>
      <w:r w:rsidRPr="006A561F">
        <w:t xml:space="preserve">Average </w:t>
      </w:r>
      <w:proofErr w:type="gramStart"/>
      <w:r w:rsidRPr="006A561F">
        <w:t>score</w:t>
      </w:r>
      <w:proofErr w:type="gramEnd"/>
      <w:r w:rsidRPr="006A561F">
        <w:t xml:space="preserve"> increase for CBO advocacy capacity support – across Phase I and II, and average</w:t>
      </w:r>
      <w:r w:rsidR="00C7543B">
        <w:rPr>
          <w:rStyle w:val="FootnoteReference"/>
        </w:rPr>
        <w:footnoteReference w:id="207"/>
      </w:r>
      <w:bookmarkEnd w:id="50"/>
    </w:p>
    <w:p w14:paraId="32848817" w14:textId="77777777" w:rsidR="006F2F6D" w:rsidRPr="006A561F" w:rsidRDefault="00BD636C" w:rsidP="076A58FF">
      <w:pPr>
        <w:rPr>
          <w:rFonts w:cstheme="minorBidi"/>
          <w:b/>
          <w:bCs/>
          <w:color w:val="E37230" w:themeColor="accent2"/>
        </w:rPr>
      </w:pPr>
      <w:r>
        <w:rPr>
          <w:noProof/>
        </w:rPr>
        <w:drawing>
          <wp:inline distT="0" distB="0" distL="0" distR="0" wp14:anchorId="7D5F0598" wp14:editId="41669EB7">
            <wp:extent cx="5895975" cy="2914650"/>
            <wp:effectExtent l="0" t="0" r="9525" b="0"/>
            <wp:docPr id="24" name="Chart 24">
              <a:extLst xmlns:a="http://schemas.openxmlformats.org/drawingml/2006/main">
                <a:ext uri="{FF2B5EF4-FFF2-40B4-BE49-F238E27FC236}">
                  <a16:creationId xmlns:a16="http://schemas.microsoft.com/office/drawing/2014/main" id="{5B0B0455-E17F-4C9C-8E54-6D1B57CEF0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165A9DB" w14:textId="77777777" w:rsidR="006F2F6D" w:rsidRPr="006A561F" w:rsidRDefault="006F2F6D" w:rsidP="006F2F6D">
      <w:pPr>
        <w:rPr>
          <w:rFonts w:cstheme="minorHAnsi"/>
          <w:b/>
          <w:bCs/>
          <w:color w:val="E37230" w:themeColor="accent2"/>
        </w:rPr>
      </w:pPr>
    </w:p>
    <w:p w14:paraId="543205AF" w14:textId="77777777" w:rsidR="006F2F6D" w:rsidRPr="006A561F" w:rsidRDefault="0C46233B" w:rsidP="00446791">
      <w:pPr>
        <w:pStyle w:val="ItadNormalText"/>
        <w:jc w:val="both"/>
        <w:rPr>
          <w:rFonts w:cs="Calibri"/>
        </w:rPr>
      </w:pPr>
      <w:r w:rsidRPr="006A561F">
        <w:lastRenderedPageBreak/>
        <w:t>All CBOs demonstrate</w:t>
      </w:r>
      <w:r w:rsidR="54F7D30C" w:rsidRPr="006A561F">
        <w:t>d</w:t>
      </w:r>
      <w:r w:rsidRPr="006A561F">
        <w:t xml:space="preserve"> some notable highlights with respect to demonstration of these capacity gains. For example, the umbrella NGO in Egypt enhanced human resource capacity in several CBOs</w:t>
      </w:r>
      <w:r w:rsidR="4915EF17" w:rsidRPr="006A561F">
        <w:t>,</w:t>
      </w:r>
      <w:r w:rsidRPr="006A561F">
        <w:t xml:space="preserve"> such that these CBOs engaged in gender</w:t>
      </w:r>
      <w:r w:rsidR="21EFBC19">
        <w:t>-</w:t>
      </w:r>
      <w:r w:rsidRPr="006A561F">
        <w:t xml:space="preserve">responsive </w:t>
      </w:r>
      <w:r w:rsidR="082090C7" w:rsidRPr="006A561F">
        <w:t>programming in</w:t>
      </w:r>
      <w:r w:rsidRPr="006A561F">
        <w:t xml:space="preserve"> their other programmes and developed knowledge products that </w:t>
      </w:r>
      <w:r w:rsidR="544A1C74" w:rsidRPr="006A561F">
        <w:t xml:space="preserve">were </w:t>
      </w:r>
      <w:r w:rsidRPr="006A561F">
        <w:t>being used by the CBOs in other ongoing projects.</w:t>
      </w:r>
      <w:r w:rsidR="006F2F6D" w:rsidRPr="006A561F">
        <w:rPr>
          <w:vertAlign w:val="superscript"/>
        </w:rPr>
        <w:footnoteReference w:id="208"/>
      </w:r>
      <w:r w:rsidRPr="006A561F">
        <w:t xml:space="preserve"> In Lebanon, CBOs continued working on 16 days of activism with no budget provided from the programme, providing evidence of their commitment and buy-in.</w:t>
      </w:r>
      <w:r w:rsidR="006F2F6D" w:rsidRPr="076A58FF">
        <w:rPr>
          <w:vertAlign w:val="superscript"/>
        </w:rPr>
        <w:footnoteReference w:id="209"/>
      </w:r>
      <w:r w:rsidRPr="006A561F">
        <w:t xml:space="preserve"> CBOs built trust</w:t>
      </w:r>
      <w:r w:rsidR="74203B2C" w:rsidRPr="006A561F">
        <w:t>ed</w:t>
      </w:r>
      <w:r w:rsidRPr="006A561F">
        <w:t xml:space="preserve"> relationships with local stakeholders with increased capacity to advocate and connect with government entities (</w:t>
      </w:r>
      <w:r w:rsidR="7E92FC2B" w:rsidRPr="006A561F">
        <w:t>e.g.,</w:t>
      </w:r>
      <w:r w:rsidR="6D25047F" w:rsidRPr="006A561F">
        <w:t xml:space="preserve"> </w:t>
      </w:r>
      <w:r w:rsidRPr="006A561F">
        <w:t>MOSAWAT CBO), religious leaders (</w:t>
      </w:r>
      <w:r w:rsidR="23189842" w:rsidRPr="006A561F">
        <w:t>e.g.,</w:t>
      </w:r>
      <w:r w:rsidR="0A0B6A71" w:rsidRPr="006A561F">
        <w:t xml:space="preserve"> </w:t>
      </w:r>
      <w:proofErr w:type="spellStart"/>
      <w:r w:rsidRPr="006A561F">
        <w:t>Abnaa</w:t>
      </w:r>
      <w:proofErr w:type="spellEnd"/>
      <w:r w:rsidRPr="006A561F">
        <w:t xml:space="preserve"> Saida) and other local CBOs (</w:t>
      </w:r>
      <w:r w:rsidR="49135F91" w:rsidRPr="006A561F">
        <w:t>e.g.,</w:t>
      </w:r>
      <w:r w:rsidR="2A63BA42" w:rsidRPr="006A561F">
        <w:t xml:space="preserve"> </w:t>
      </w:r>
      <w:r w:rsidRPr="006A561F">
        <w:t>Al Jalil). Lebanese CBOs were also encouraged to engage in the feminist network that was formed following the Beirut blast in 2020, which provide</w:t>
      </w:r>
      <w:r w:rsidR="448AFAAF" w:rsidRPr="006A561F">
        <w:t>d</w:t>
      </w:r>
      <w:r w:rsidRPr="006A561F">
        <w:t xml:space="preserve"> a common platform for activists and NGOs to join efforts in advancing the Charter of Demands, which is operational at present.</w:t>
      </w:r>
      <w:r w:rsidR="006F2F6D" w:rsidRPr="076A58FF">
        <w:rPr>
          <w:vertAlign w:val="superscript"/>
        </w:rPr>
        <w:footnoteReference w:id="210"/>
      </w:r>
      <w:r w:rsidRPr="006A561F">
        <w:t xml:space="preserve"> In Palestine, </w:t>
      </w:r>
      <w:r w:rsidRPr="006A561F">
        <w:rPr>
          <w:rFonts w:cs="Calibri"/>
        </w:rPr>
        <w:t>several CBOs felt empowered to build on their vision, strategies and frameworks: Reform, for example, received funds from Oxfam,</w:t>
      </w:r>
      <w:r w:rsidR="006F2F6D" w:rsidRPr="076A58FF">
        <w:rPr>
          <w:rFonts w:cs="Calibri"/>
          <w:vertAlign w:val="superscript"/>
        </w:rPr>
        <w:footnoteReference w:id="211"/>
      </w:r>
      <w:r w:rsidRPr="006A561F">
        <w:rPr>
          <w:rFonts w:cs="Calibri"/>
        </w:rPr>
        <w:t xml:space="preserve"> and </w:t>
      </w:r>
      <w:proofErr w:type="spellStart"/>
      <w:r w:rsidRPr="006A561F">
        <w:rPr>
          <w:rFonts w:cs="Calibri"/>
        </w:rPr>
        <w:t>Benna</w:t>
      </w:r>
      <w:proofErr w:type="spellEnd"/>
      <w:r w:rsidRPr="006A561F">
        <w:rPr>
          <w:rFonts w:cs="Calibri"/>
        </w:rPr>
        <w:t xml:space="preserve"> received funds to continue the interventions in Gaza.</w:t>
      </w:r>
      <w:r w:rsidR="006F2F6D" w:rsidRPr="076A58FF">
        <w:rPr>
          <w:rFonts w:cs="Calibri"/>
          <w:vertAlign w:val="superscript"/>
        </w:rPr>
        <w:footnoteReference w:id="212"/>
      </w:r>
    </w:p>
    <w:p w14:paraId="1E10DD39" w14:textId="77777777" w:rsidR="00F27FA2" w:rsidRPr="006A561F" w:rsidRDefault="0743636A" w:rsidP="00446791">
      <w:pPr>
        <w:pStyle w:val="ItadNormalText"/>
        <w:jc w:val="both"/>
      </w:pPr>
      <w:r w:rsidRPr="006A561F">
        <w:t xml:space="preserve">The findings of CBO capacity building survey conducted by the </w:t>
      </w:r>
      <w:r w:rsidR="54FD8ABC" w:rsidRPr="006A561F">
        <w:t>e</w:t>
      </w:r>
      <w:r w:rsidRPr="006A561F">
        <w:t xml:space="preserve">valuation </w:t>
      </w:r>
      <w:r w:rsidR="54FD8ABC" w:rsidRPr="006A561F">
        <w:t>t</w:t>
      </w:r>
      <w:r w:rsidRPr="006A561F">
        <w:t>eam with the implementing partners echo these results from the point of view of the CBOs/CSOs. The capacity</w:t>
      </w:r>
      <w:r w:rsidR="54FD8ABC" w:rsidRPr="006A561F">
        <w:t xml:space="preserve"> </w:t>
      </w:r>
      <w:r w:rsidRPr="006A561F">
        <w:t>building by the umbrella organisations and the knowledge exchange between CBOs/CSOs to improve their collective action in advocacy w</w:t>
      </w:r>
      <w:r w:rsidR="54FD8ABC" w:rsidRPr="006A561F">
        <w:t>ere</w:t>
      </w:r>
      <w:r w:rsidRPr="006A561F">
        <w:t xml:space="preserve"> seen as having had great, significant or transformative impact by 18 organisations out of 28, with only four judging it as having had little impact.</w:t>
      </w:r>
      <w:r w:rsidR="006F2F6D" w:rsidRPr="0D4BD307">
        <w:rPr>
          <w:rStyle w:val="FootnoteReference"/>
          <w:sz w:val="22"/>
          <w:szCs w:val="22"/>
        </w:rPr>
        <w:footnoteReference w:id="213"/>
      </w:r>
      <w:r w:rsidRPr="006A561F">
        <w:t xml:space="preserve"> Similarly, advocacy capacity building support was seen as having been a major or fairly important factor in contributing to any policy or legislature changes achieved by the CBOs/CSOs by 18 organisations, with two considering the contribution as having been minor. Nonetheless, implementing partner respondents still highlighted the need for more support in terms of making their engagement with government and with local community leaders more effective, including in terms of giving them better skills to overcome resistance. A further growth area </w:t>
      </w:r>
      <w:r w:rsidR="36EDD19A" w:rsidRPr="006A561F">
        <w:t>was</w:t>
      </w:r>
      <w:r w:rsidRPr="006A561F">
        <w:t xml:space="preserve"> in tailoring tools to the needs of CBOs/CSOs, though this scored moderately well. At least one implementing partner also saw a need to increase their own capacity in terms of monitoring and evaluating the impact of their activities, rather than just activities and outputs.</w:t>
      </w:r>
      <w:r w:rsidR="006F2F6D" w:rsidRPr="0D4BD307">
        <w:rPr>
          <w:rStyle w:val="FootnoteReference"/>
          <w:sz w:val="22"/>
          <w:szCs w:val="22"/>
        </w:rPr>
        <w:footnoteReference w:id="214"/>
      </w:r>
      <w:r w:rsidRPr="006A561F">
        <w:t xml:space="preserve"> The positive reception of the capacity building is confirmed in findings from the CBO survey. Gains in research and analysis, </w:t>
      </w:r>
      <w:r w:rsidR="54FD8ABC" w:rsidRPr="006A561F">
        <w:t>and in</w:t>
      </w:r>
      <w:r w:rsidRPr="006A561F">
        <w:t xml:space="preserve"> reporting and publications</w:t>
      </w:r>
      <w:r w:rsidR="54FD8ABC" w:rsidRPr="006A561F">
        <w:t>,</w:t>
      </w:r>
      <w:r w:rsidRPr="006A561F">
        <w:t xml:space="preserve"> have also been notable (33% and 24%</w:t>
      </w:r>
      <w:r w:rsidR="2FDCADAD" w:rsidRPr="006A561F">
        <w:t xml:space="preserve"> respectively</w:t>
      </w:r>
      <w:r w:rsidRPr="006A561F">
        <w:t>)</w:t>
      </w:r>
      <w:r w:rsidR="54FD8ABC" w:rsidRPr="006A561F">
        <w:t>.</w:t>
      </w:r>
      <w:r w:rsidR="006F2F6D" w:rsidRPr="0D4BD307">
        <w:rPr>
          <w:rStyle w:val="FootnoteReference"/>
          <w:sz w:val="22"/>
          <w:szCs w:val="22"/>
        </w:rPr>
        <w:footnoteReference w:id="215"/>
      </w:r>
    </w:p>
    <w:p w14:paraId="08039499" w14:textId="77777777" w:rsidR="00AD0BDE" w:rsidRDefault="00AD0BDE" w:rsidP="00DD6CEB">
      <w:pPr>
        <w:pStyle w:val="ItadNormalText"/>
        <w:rPr>
          <w:b/>
          <w:bCs/>
          <w:color w:val="E37230" w:themeColor="accent2"/>
        </w:rPr>
      </w:pPr>
    </w:p>
    <w:p w14:paraId="0C68709A" w14:textId="77777777" w:rsidR="006F2F6D" w:rsidRPr="006A561F" w:rsidRDefault="4EAA50EC" w:rsidP="00AD0BDE">
      <w:pPr>
        <w:pStyle w:val="ItadNormalText"/>
        <w:jc w:val="both"/>
        <w:rPr>
          <w:b/>
          <w:bCs/>
        </w:rPr>
      </w:pPr>
      <w:r w:rsidRPr="4977AA67">
        <w:rPr>
          <w:b/>
          <w:bCs/>
          <w:color w:val="E37230" w:themeColor="accent2"/>
        </w:rPr>
        <w:t>Finding 5.</w:t>
      </w:r>
      <w:r w:rsidR="49107C56" w:rsidRPr="4977AA67">
        <w:rPr>
          <w:b/>
          <w:bCs/>
          <w:color w:val="E37230" w:themeColor="accent2"/>
        </w:rPr>
        <w:t>8</w:t>
      </w:r>
      <w:r w:rsidRPr="4977AA67">
        <w:rPr>
          <w:b/>
          <w:bCs/>
          <w:color w:val="E37230" w:themeColor="accent2"/>
        </w:rPr>
        <w:t>:</w:t>
      </w:r>
      <w:r w:rsidRPr="4977AA67">
        <w:rPr>
          <w:b/>
          <w:bCs/>
        </w:rPr>
        <w:t xml:space="preserve"> Institutional and national capacity development: </w:t>
      </w:r>
      <w:r w:rsidR="217D6553" w:rsidRPr="4977AA67">
        <w:rPr>
          <w:b/>
          <w:bCs/>
        </w:rPr>
        <w:t>The MWGE programme demonstrated u</w:t>
      </w:r>
      <w:r w:rsidRPr="4977AA67">
        <w:rPr>
          <w:b/>
          <w:bCs/>
        </w:rPr>
        <w:t xml:space="preserve">se of adaptable and scalable approaches (Program P, IMAGES, </w:t>
      </w:r>
      <w:r w:rsidR="4C5CAA56" w:rsidRPr="4977AA67">
        <w:rPr>
          <w:b/>
          <w:bCs/>
        </w:rPr>
        <w:t>P</w:t>
      </w:r>
      <w:r w:rsidRPr="4977AA67">
        <w:rPr>
          <w:b/>
          <w:bCs/>
        </w:rPr>
        <w:t xml:space="preserve">ositive </w:t>
      </w:r>
      <w:r w:rsidR="4C5CAA56" w:rsidRPr="4977AA67">
        <w:rPr>
          <w:b/>
          <w:bCs/>
        </w:rPr>
        <w:t>D</w:t>
      </w:r>
      <w:r w:rsidRPr="4977AA67">
        <w:rPr>
          <w:b/>
          <w:bCs/>
        </w:rPr>
        <w:t>eviance)</w:t>
      </w:r>
      <w:r w:rsidR="29232DBB" w:rsidRPr="4977AA67">
        <w:rPr>
          <w:b/>
          <w:bCs/>
        </w:rPr>
        <w:t xml:space="preserve">. </w:t>
      </w:r>
      <w:r w:rsidR="64FEF553" w:rsidRPr="4977AA67">
        <w:rPr>
          <w:b/>
          <w:bCs/>
        </w:rPr>
        <w:t>The regional team</w:t>
      </w:r>
      <w:r w:rsidR="67CF0FA2" w:rsidRPr="4977AA67">
        <w:rPr>
          <w:b/>
          <w:bCs/>
        </w:rPr>
        <w:t xml:space="preserve"> </w:t>
      </w:r>
      <w:r w:rsidR="283A1BB0" w:rsidRPr="4977AA67">
        <w:rPr>
          <w:b/>
          <w:bCs/>
        </w:rPr>
        <w:t>coordinated</w:t>
      </w:r>
      <w:r w:rsidR="461DC90C" w:rsidRPr="4977AA67">
        <w:rPr>
          <w:b/>
          <w:bCs/>
        </w:rPr>
        <w:t xml:space="preserve"> and </w:t>
      </w:r>
      <w:r w:rsidR="283A1BB0" w:rsidRPr="4977AA67">
        <w:rPr>
          <w:b/>
          <w:bCs/>
        </w:rPr>
        <w:t>supported COs in</w:t>
      </w:r>
      <w:r w:rsidR="76E53149" w:rsidRPr="4977AA67">
        <w:rPr>
          <w:b/>
          <w:bCs/>
        </w:rPr>
        <w:t xml:space="preserve"> </w:t>
      </w:r>
      <w:r w:rsidR="21C4A79D" w:rsidRPr="4977AA67">
        <w:rPr>
          <w:b/>
          <w:bCs/>
        </w:rPr>
        <w:t>building national capacity and facilitated excha</w:t>
      </w:r>
      <w:r w:rsidR="38894A61" w:rsidRPr="4977AA67">
        <w:rPr>
          <w:b/>
          <w:bCs/>
        </w:rPr>
        <w:t>n</w:t>
      </w:r>
      <w:r w:rsidR="21C4A79D" w:rsidRPr="4977AA67">
        <w:rPr>
          <w:b/>
          <w:bCs/>
        </w:rPr>
        <w:t xml:space="preserve">ges of </w:t>
      </w:r>
      <w:r w:rsidR="38894A61" w:rsidRPr="4977AA67">
        <w:rPr>
          <w:b/>
          <w:bCs/>
        </w:rPr>
        <w:t>experiences.</w:t>
      </w:r>
      <w:r w:rsidR="461DC90C" w:rsidRPr="4977AA67">
        <w:rPr>
          <w:b/>
          <w:bCs/>
        </w:rPr>
        <w:t xml:space="preserve"> </w:t>
      </w:r>
      <w:r w:rsidR="5A1FF579" w:rsidRPr="4977AA67">
        <w:rPr>
          <w:b/>
          <w:bCs/>
        </w:rPr>
        <w:t xml:space="preserve"> </w:t>
      </w:r>
      <w:r w:rsidR="23F0873D" w:rsidRPr="4977AA67">
        <w:rPr>
          <w:b/>
          <w:bCs/>
        </w:rPr>
        <w:t>W</w:t>
      </w:r>
      <w:r w:rsidR="5A1FF579" w:rsidRPr="4977AA67">
        <w:rPr>
          <w:b/>
          <w:bCs/>
        </w:rPr>
        <w:t xml:space="preserve">hile there has been an improved integration of </w:t>
      </w:r>
      <w:proofErr w:type="spellStart"/>
      <w:r w:rsidR="5A1FF579" w:rsidRPr="4977AA67">
        <w:rPr>
          <w:b/>
          <w:bCs/>
        </w:rPr>
        <w:t>Musawah’s</w:t>
      </w:r>
      <w:proofErr w:type="spellEnd"/>
      <w:r w:rsidR="5A1FF579" w:rsidRPr="4977AA67">
        <w:rPr>
          <w:b/>
          <w:bCs/>
        </w:rPr>
        <w:t xml:space="preserve"> component with the </w:t>
      </w:r>
      <w:r w:rsidR="661AA36C" w:rsidRPr="4977AA67">
        <w:rPr>
          <w:b/>
          <w:bCs/>
        </w:rPr>
        <w:t>programme, this could be further enhanced.</w:t>
      </w:r>
      <w:r w:rsidR="1A8456E5" w:rsidRPr="4977AA67">
        <w:rPr>
          <w:b/>
          <w:bCs/>
        </w:rPr>
        <w:t xml:space="preserve"> </w:t>
      </w:r>
      <w:r w:rsidR="250F6D40" w:rsidRPr="4977AA67">
        <w:rPr>
          <w:b/>
          <w:bCs/>
        </w:rPr>
        <w:t xml:space="preserve">The </w:t>
      </w:r>
      <w:r w:rsidR="4E173A4F" w:rsidRPr="4977AA67">
        <w:rPr>
          <w:b/>
          <w:bCs/>
        </w:rPr>
        <w:t>approaches</w:t>
      </w:r>
      <w:r w:rsidR="250F6D40" w:rsidRPr="4977AA67">
        <w:rPr>
          <w:b/>
          <w:bCs/>
        </w:rPr>
        <w:t xml:space="preserve"> developed in Egypt </w:t>
      </w:r>
      <w:r w:rsidR="4E173A4F" w:rsidRPr="4977AA67">
        <w:rPr>
          <w:b/>
          <w:bCs/>
        </w:rPr>
        <w:t xml:space="preserve">for working with men living with disabilities </w:t>
      </w:r>
      <w:r w:rsidR="38894A61" w:rsidRPr="4977AA67">
        <w:rPr>
          <w:b/>
          <w:bCs/>
        </w:rPr>
        <w:t xml:space="preserve">also </w:t>
      </w:r>
      <w:r w:rsidR="4E173A4F" w:rsidRPr="4977AA67">
        <w:rPr>
          <w:b/>
          <w:bCs/>
        </w:rPr>
        <w:t>offer</w:t>
      </w:r>
      <w:r w:rsidR="0A093309" w:rsidRPr="4977AA67">
        <w:rPr>
          <w:b/>
          <w:bCs/>
        </w:rPr>
        <w:t xml:space="preserve"> further opportunities for scaling up both nationally and regionally</w:t>
      </w:r>
      <w:r w:rsidR="612EBF11" w:rsidRPr="4977AA67">
        <w:rPr>
          <w:b/>
          <w:bCs/>
        </w:rPr>
        <w:t>.</w:t>
      </w:r>
    </w:p>
    <w:p w14:paraId="1DB46E35" w14:textId="77777777" w:rsidR="006F2F6D" w:rsidRPr="006A561F" w:rsidRDefault="0C46233B" w:rsidP="00AD0BDE">
      <w:pPr>
        <w:pStyle w:val="ItadNormalText"/>
        <w:jc w:val="both"/>
      </w:pPr>
      <w:r w:rsidRPr="006A561F">
        <w:t>The MWGE programme did not seek to develop its research tools and interventions from scratch but rather used existing tools and approaches</w:t>
      </w:r>
      <w:r w:rsidR="647499E9" w:rsidRPr="006A561F">
        <w:t>,</w:t>
      </w:r>
      <w:r w:rsidRPr="006A561F">
        <w:t xml:space="preserve"> </w:t>
      </w:r>
      <w:r w:rsidR="60698E57" w:rsidRPr="006A561F">
        <w:t>e.g.,</w:t>
      </w:r>
      <w:r w:rsidRPr="006A561F">
        <w:t xml:space="preserve"> IMAGES, </w:t>
      </w:r>
      <w:proofErr w:type="spellStart"/>
      <w:r w:rsidRPr="006A561F">
        <w:t>Promundo’s</w:t>
      </w:r>
      <w:proofErr w:type="spellEnd"/>
      <w:r w:rsidRPr="006A561F">
        <w:t xml:space="preserve"> positive fatherhood-focused Program P </w:t>
      </w:r>
      <w:r w:rsidR="647499E9" w:rsidRPr="006A561F">
        <w:t>and</w:t>
      </w:r>
      <w:r w:rsidRPr="006A561F">
        <w:t xml:space="preserve"> </w:t>
      </w:r>
      <w:r w:rsidR="647499E9" w:rsidRPr="006A561F">
        <w:t>P</w:t>
      </w:r>
      <w:r w:rsidRPr="006A561F">
        <w:t xml:space="preserve">ositive </w:t>
      </w:r>
      <w:r w:rsidR="647499E9" w:rsidRPr="006A561F">
        <w:t>D</w:t>
      </w:r>
      <w:r w:rsidRPr="006A561F">
        <w:t xml:space="preserve">eviance approaches. These were adapted to regional and </w:t>
      </w:r>
      <w:r w:rsidR="647499E9" w:rsidRPr="006A561F">
        <w:t xml:space="preserve">the </w:t>
      </w:r>
      <w:r w:rsidRPr="006A561F">
        <w:t>respective country contexts, using more easily accessible language but also remov</w:t>
      </w:r>
      <w:r w:rsidR="647499E9" w:rsidRPr="006A561F">
        <w:t>ing</w:t>
      </w:r>
      <w:r w:rsidRPr="006A561F">
        <w:t xml:space="preserve"> issues deemed as too sensitive or controversial, such as LGBT issues from the IMAGES survey in Egypt and Palestine.</w:t>
      </w:r>
      <w:r w:rsidR="006F2F6D" w:rsidRPr="4977AA67">
        <w:rPr>
          <w:rStyle w:val="FootnoteReference"/>
          <w:rFonts w:cstheme="minorBidi"/>
          <w:sz w:val="22"/>
          <w:szCs w:val="22"/>
        </w:rPr>
        <w:footnoteReference w:id="216"/>
      </w:r>
      <w:r w:rsidRPr="006A561F">
        <w:t xml:space="preserve"> A particularly notable adaptation in Egypt was the development of material based on the programme for use with hearing-</w:t>
      </w:r>
      <w:r w:rsidR="647499E9" w:rsidRPr="006A561F">
        <w:t>impaired</w:t>
      </w:r>
      <w:r w:rsidRPr="006A561F">
        <w:t xml:space="preserve"> and visually impaired</w:t>
      </w:r>
      <w:r w:rsidR="647499E9" w:rsidRPr="006A561F">
        <w:t xml:space="preserve"> people</w:t>
      </w:r>
      <w:r w:rsidRPr="006A561F">
        <w:t>.</w:t>
      </w:r>
      <w:r w:rsidR="006F2F6D" w:rsidRPr="4977AA67">
        <w:rPr>
          <w:rStyle w:val="FootnoteReference"/>
          <w:rFonts w:cstheme="minorBidi"/>
          <w:sz w:val="22"/>
          <w:szCs w:val="22"/>
        </w:rPr>
        <w:footnoteReference w:id="217"/>
      </w:r>
      <w:r w:rsidRPr="006A561F">
        <w:t xml:space="preserve"> A thorough process of local adaptation of the IMAGES methodology by national research partners in Tunisia and Jordan </w:t>
      </w:r>
      <w:r w:rsidR="3479B785" w:rsidRPr="006A561F">
        <w:t>was</w:t>
      </w:r>
      <w:r w:rsidRPr="006A561F">
        <w:t xml:space="preserve"> a central element of the expansion of the programme into these two countries. The process was seen by the involved partners and UN Women as having been a highly </w:t>
      </w:r>
      <w:r w:rsidRPr="006A561F">
        <w:lastRenderedPageBreak/>
        <w:t xml:space="preserve">successful one, though it </w:t>
      </w:r>
      <w:r w:rsidR="30BF5435" w:rsidRPr="006A561F">
        <w:t>wa</w:t>
      </w:r>
      <w:r w:rsidRPr="006A561F">
        <w:t xml:space="preserve">s not possible to assess the </w:t>
      </w:r>
      <w:proofErr w:type="gramStart"/>
      <w:r w:rsidRPr="006A561F">
        <w:t>final outcome</w:t>
      </w:r>
      <w:proofErr w:type="gramEnd"/>
      <w:r w:rsidRPr="006A561F">
        <w:t xml:space="preserve"> of </w:t>
      </w:r>
      <w:r w:rsidR="267F08DC" w:rsidRPr="006A561F">
        <w:t>it</w:t>
      </w:r>
      <w:r w:rsidRPr="006A561F">
        <w:t xml:space="preserve"> yet as the studies </w:t>
      </w:r>
      <w:r w:rsidR="44065627" w:rsidRPr="006A561F">
        <w:t xml:space="preserve">were </w:t>
      </w:r>
      <w:r w:rsidRPr="006A561F">
        <w:t>not finalised.</w:t>
      </w:r>
      <w:r w:rsidR="006F2F6D" w:rsidRPr="4977AA67">
        <w:rPr>
          <w:rStyle w:val="FootnoteReference"/>
          <w:rFonts w:cstheme="minorBidi"/>
          <w:sz w:val="22"/>
          <w:szCs w:val="22"/>
        </w:rPr>
        <w:footnoteReference w:id="218"/>
      </w:r>
    </w:p>
    <w:p w14:paraId="2DF4ABD1" w14:textId="77777777" w:rsidR="006F2F6D" w:rsidRPr="006A561F" w:rsidRDefault="51877208" w:rsidP="00AD0BDE">
      <w:pPr>
        <w:pStyle w:val="ItadNormalText"/>
        <w:jc w:val="both"/>
      </w:pPr>
      <w:r>
        <w:t xml:space="preserve">The regional office </w:t>
      </w:r>
      <w:r w:rsidR="3B8165CB" w:rsidRPr="007F6DFD">
        <w:t>coordinated and supported COs in building national capacity and facilitated exchanges of experiences</w:t>
      </w:r>
      <w:r w:rsidR="3B8165CB">
        <w:t xml:space="preserve"> in</w:t>
      </w:r>
      <w:r w:rsidR="03442440">
        <w:t xml:space="preserve"> implementing IMAGES and Program P</w:t>
      </w:r>
      <w:r w:rsidR="6EEF2AB4">
        <w:t xml:space="preserve"> regionally between the countries, tri-laterally with </w:t>
      </w:r>
      <w:proofErr w:type="spellStart"/>
      <w:r w:rsidR="6EEF2AB4">
        <w:t>Promundo</w:t>
      </w:r>
      <w:proofErr w:type="spellEnd"/>
      <w:r w:rsidR="6EEF2AB4">
        <w:t xml:space="preserve"> </w:t>
      </w:r>
      <w:r w:rsidR="1A89C1A1">
        <w:t>and bi</w:t>
      </w:r>
      <w:r w:rsidR="6EEF2AB4">
        <w:t xml:space="preserve">-laterally with the </w:t>
      </w:r>
      <w:proofErr w:type="spellStart"/>
      <w:r w:rsidR="6EEF2AB4">
        <w:t>COs.</w:t>
      </w:r>
      <w:proofErr w:type="spellEnd"/>
      <w:r w:rsidR="00147184">
        <w:rPr>
          <w:rStyle w:val="FootnoteReference"/>
        </w:rPr>
        <w:footnoteReference w:id="219"/>
      </w:r>
      <w:r w:rsidR="6EEF2AB4">
        <w:t xml:space="preserve"> </w:t>
      </w:r>
    </w:p>
    <w:p w14:paraId="1E702C1F" w14:textId="77777777" w:rsidR="00F27FA2" w:rsidRDefault="3DBFB0C1" w:rsidP="00AD0BDE">
      <w:pPr>
        <w:pStyle w:val="ItadNormalText"/>
        <w:jc w:val="both"/>
      </w:pPr>
      <w:r>
        <w:t>O</w:t>
      </w:r>
      <w:r w:rsidR="0C46233B" w:rsidRPr="006A561F">
        <w:t xml:space="preserve">ne of the recommendations of the </w:t>
      </w:r>
      <w:r w:rsidR="18759F61" w:rsidRPr="006A561F">
        <w:t>midterm review (</w:t>
      </w:r>
      <w:r w:rsidR="0C46233B" w:rsidRPr="006A561F">
        <w:t>MTR</w:t>
      </w:r>
      <w:r w:rsidR="18759F61" w:rsidRPr="006A561F">
        <w:t>)</w:t>
      </w:r>
      <w:r w:rsidR="0C46233B" w:rsidRPr="006A561F">
        <w:t xml:space="preserve"> </w:t>
      </w:r>
      <w:r w:rsidR="7352C28C" w:rsidRPr="006A561F">
        <w:t xml:space="preserve">of the MWGE </w:t>
      </w:r>
      <w:proofErr w:type="spellStart"/>
      <w:r w:rsidR="7352C28C" w:rsidRPr="006A561F">
        <w:t>progrmme</w:t>
      </w:r>
      <w:proofErr w:type="spellEnd"/>
      <w:r w:rsidR="7352C28C" w:rsidRPr="006A561F">
        <w:t xml:space="preserve"> </w:t>
      </w:r>
      <w:r w:rsidR="0C46233B" w:rsidRPr="006A561F">
        <w:t xml:space="preserve">was to </w:t>
      </w:r>
      <w:r w:rsidR="18759F61" w:rsidRPr="006A561F">
        <w:t xml:space="preserve">better </w:t>
      </w:r>
      <w:r w:rsidR="0C46233B" w:rsidRPr="006A561F">
        <w:t xml:space="preserve">integrate the work of </w:t>
      </w:r>
      <w:proofErr w:type="spellStart"/>
      <w:r w:rsidR="0C46233B" w:rsidRPr="006A561F">
        <w:t>Musawah</w:t>
      </w:r>
      <w:proofErr w:type="spellEnd"/>
      <w:r w:rsidR="0C46233B" w:rsidRPr="006A561F">
        <w:t xml:space="preserve"> </w:t>
      </w:r>
      <w:r w:rsidR="4977AA67" w:rsidRPr="006A561F">
        <w:t>￼</w:t>
      </w:r>
      <w:r w:rsidR="325A7F4D" w:rsidRPr="4977AA67">
        <w:rPr>
          <w:rStyle w:val="EndnoteReference"/>
        </w:rPr>
        <w:footnoteReference w:id="220"/>
      </w:r>
      <w:r w:rsidR="0C46233B" w:rsidRPr="006A561F">
        <w:t>with the rest of the MWGE programme and with national institutions.</w:t>
      </w:r>
      <w:r w:rsidR="006F2F6D" w:rsidRPr="4977AA67">
        <w:rPr>
          <w:rStyle w:val="FootnoteReference"/>
          <w:rFonts w:cstheme="minorBidi"/>
          <w:sz w:val="22"/>
          <w:szCs w:val="22"/>
        </w:rPr>
        <w:footnoteReference w:id="221"/>
      </w:r>
      <w:r w:rsidR="0C46233B" w:rsidRPr="006A561F">
        <w:t xml:space="preserve"> This was improved in Phase II of the programme, including linking </w:t>
      </w:r>
      <w:proofErr w:type="spellStart"/>
      <w:r w:rsidR="0C46233B" w:rsidRPr="006A561F">
        <w:t>Musawah’s</w:t>
      </w:r>
      <w:proofErr w:type="spellEnd"/>
      <w:r w:rsidR="0C46233B" w:rsidRPr="006A561F">
        <w:t xml:space="preserve"> work with the Youth Agora and in the training of Sharia court judges in Palestine.</w:t>
      </w:r>
      <w:r w:rsidR="006F2F6D" w:rsidRPr="4977AA67">
        <w:rPr>
          <w:rStyle w:val="FootnoteReference"/>
          <w:rFonts w:cstheme="minorBidi"/>
          <w:sz w:val="22"/>
          <w:szCs w:val="22"/>
        </w:rPr>
        <w:footnoteReference w:id="222"/>
      </w:r>
      <w:r w:rsidR="0C46233B" w:rsidRPr="006A561F">
        <w:t xml:space="preserve"> Nonetheless, several implementing partners expressed a wish for a closer engagement with </w:t>
      </w:r>
      <w:proofErr w:type="spellStart"/>
      <w:r w:rsidR="0C46233B" w:rsidRPr="006A561F">
        <w:t>Musawah</w:t>
      </w:r>
      <w:proofErr w:type="spellEnd"/>
      <w:r w:rsidR="0C46233B" w:rsidRPr="006A561F">
        <w:t>, as they felt that this would be an important addition to their work.</w:t>
      </w:r>
      <w:r w:rsidR="006F2F6D" w:rsidRPr="4977AA67">
        <w:rPr>
          <w:rStyle w:val="FootnoteReference"/>
          <w:rFonts w:cstheme="minorBidi"/>
          <w:sz w:val="22"/>
          <w:szCs w:val="22"/>
        </w:rPr>
        <w:footnoteReference w:id="223"/>
      </w:r>
      <w:r w:rsidR="0C46233B" w:rsidRPr="006A561F">
        <w:t xml:space="preserve"> Furthermore, the use of an Islam-based narrative to promoting gender equality allows the programme to have impact beyond the focus countries across the Arab region and in the Islamic world more broadly.</w:t>
      </w:r>
    </w:p>
    <w:p w14:paraId="505967C5" w14:textId="77777777" w:rsidR="00FB4524" w:rsidRPr="006A561F" w:rsidRDefault="48CBF2D1" w:rsidP="00AD0BDE">
      <w:pPr>
        <w:pStyle w:val="ItadNormalText"/>
        <w:jc w:val="both"/>
      </w:pPr>
      <w:r>
        <w:t xml:space="preserve">The approaches developed in Egypt </w:t>
      </w:r>
      <w:r w:rsidR="3DC36CDC">
        <w:t>for working with visually and hearing</w:t>
      </w:r>
      <w:r w:rsidR="50D08F0F">
        <w:t>-</w:t>
      </w:r>
      <w:r w:rsidR="3DC36CDC">
        <w:t>impaired men further offer opportunities for scaling up and replicating these both nationally and regionally.</w:t>
      </w:r>
      <w:r w:rsidR="009A1267">
        <w:rPr>
          <w:rStyle w:val="FootnoteReference"/>
        </w:rPr>
        <w:footnoteReference w:id="224"/>
      </w:r>
    </w:p>
    <w:p w14:paraId="10EEC77D" w14:textId="77777777" w:rsidR="4977AA67" w:rsidRDefault="4977AA67" w:rsidP="4977AA67">
      <w:pPr>
        <w:pStyle w:val="ItadNormalText"/>
        <w:jc w:val="both"/>
      </w:pPr>
    </w:p>
    <w:p w14:paraId="3367AE7F" w14:textId="77777777" w:rsidR="006F2F6D" w:rsidRPr="006A561F" w:rsidRDefault="4EAA50EC" w:rsidP="00AD0BDE">
      <w:pPr>
        <w:pStyle w:val="ItadNormalText"/>
        <w:jc w:val="both"/>
        <w:rPr>
          <w:b/>
          <w:bCs/>
        </w:rPr>
      </w:pPr>
      <w:r w:rsidRPr="4977AA67">
        <w:rPr>
          <w:b/>
          <w:bCs/>
          <w:color w:val="588B46" w:themeColor="text2"/>
        </w:rPr>
        <w:t>Finding 5.</w:t>
      </w:r>
      <w:r w:rsidR="07B56188" w:rsidRPr="4977AA67">
        <w:rPr>
          <w:b/>
          <w:bCs/>
          <w:color w:val="588B46" w:themeColor="text2"/>
        </w:rPr>
        <w:t>9</w:t>
      </w:r>
      <w:r w:rsidRPr="4977AA67">
        <w:rPr>
          <w:b/>
          <w:bCs/>
          <w:color w:val="588B46" w:themeColor="text2"/>
        </w:rPr>
        <w:t xml:space="preserve">: </w:t>
      </w:r>
      <w:r w:rsidRPr="4977AA67">
        <w:rPr>
          <w:b/>
          <w:bCs/>
        </w:rPr>
        <w:t xml:space="preserve">The programme as a whole and the implementing partners at their respective working levels showed high levels of innovation, including in adapting to new circumstances </w:t>
      </w:r>
      <w:r w:rsidR="725CD910" w:rsidRPr="4977AA67">
        <w:rPr>
          <w:b/>
          <w:bCs/>
        </w:rPr>
        <w:t>because of</w:t>
      </w:r>
      <w:r w:rsidRPr="4977AA67">
        <w:rPr>
          <w:b/>
          <w:bCs/>
        </w:rPr>
        <w:t xml:space="preserve"> social and political dynamics as well as the COVID-19 pandemic. Other innovations arose directly out of the work of the programme. Some of these innovations were seen across the </w:t>
      </w:r>
      <w:proofErr w:type="gramStart"/>
      <w:r w:rsidRPr="4977AA67">
        <w:rPr>
          <w:b/>
          <w:bCs/>
        </w:rPr>
        <w:t>programme as a whole</w:t>
      </w:r>
      <w:r w:rsidR="725CD910" w:rsidRPr="4977AA67">
        <w:rPr>
          <w:b/>
          <w:bCs/>
        </w:rPr>
        <w:t>,</w:t>
      </w:r>
      <w:r w:rsidRPr="4977AA67">
        <w:rPr>
          <w:b/>
          <w:bCs/>
        </w:rPr>
        <w:t xml:space="preserve"> while</w:t>
      </w:r>
      <w:proofErr w:type="gramEnd"/>
      <w:r w:rsidRPr="4977AA67">
        <w:rPr>
          <w:b/>
          <w:bCs/>
        </w:rPr>
        <w:t xml:space="preserve"> others</w:t>
      </w:r>
      <w:r w:rsidR="725CD910" w:rsidRPr="4977AA67">
        <w:rPr>
          <w:b/>
          <w:bCs/>
        </w:rPr>
        <w:t xml:space="preserve"> –</w:t>
      </w:r>
      <w:r w:rsidRPr="4977AA67">
        <w:rPr>
          <w:b/>
          <w:bCs/>
        </w:rPr>
        <w:t xml:space="preserve"> such as the work with persons with disabilities</w:t>
      </w:r>
      <w:r w:rsidR="725CD910" w:rsidRPr="4977AA67">
        <w:rPr>
          <w:b/>
          <w:bCs/>
        </w:rPr>
        <w:t xml:space="preserve"> –</w:t>
      </w:r>
      <w:r w:rsidRPr="4977AA67">
        <w:rPr>
          <w:b/>
          <w:bCs/>
        </w:rPr>
        <w:t xml:space="preserve"> remained localised but could be scaled up.</w:t>
      </w:r>
    </w:p>
    <w:p w14:paraId="2B9E1ECC" w14:textId="77777777" w:rsidR="00F27FA2" w:rsidRPr="006A561F" w:rsidRDefault="0C46233B" w:rsidP="00AD0BDE">
      <w:pPr>
        <w:pStyle w:val="ItadNormalText"/>
        <w:jc w:val="both"/>
      </w:pPr>
      <w:r w:rsidRPr="006A561F">
        <w:t>MWGE implementation on the ground led to a variety of innovative approaches, often localised and often in response to crises. First and foremost, the C</w:t>
      </w:r>
      <w:r w:rsidR="2C3C64A4" w:rsidRPr="006A561F">
        <w:t>OVID</w:t>
      </w:r>
      <w:r w:rsidRPr="006A561F">
        <w:t xml:space="preserve">-19 pandemic forced implementing partners and UN Women at all levels to quickly rethink and adapt </w:t>
      </w:r>
      <w:proofErr w:type="gramStart"/>
      <w:r w:rsidRPr="006A561F">
        <w:t>all of</w:t>
      </w:r>
      <w:proofErr w:type="gramEnd"/>
      <w:r w:rsidRPr="006A561F">
        <w:t xml:space="preserve"> their research preparation and programming, </w:t>
      </w:r>
      <w:r w:rsidR="2C3C64A4" w:rsidRPr="006A561F">
        <w:t>and</w:t>
      </w:r>
      <w:r w:rsidRPr="006A561F">
        <w:t xml:space="preserve"> also </w:t>
      </w:r>
      <w:r w:rsidR="2C3C64A4" w:rsidRPr="006A561F">
        <w:t>the</w:t>
      </w:r>
      <w:r w:rsidRPr="006A561F">
        <w:t xml:space="preserve"> monitoring and evaluation, </w:t>
      </w:r>
      <w:r w:rsidR="2C3C64A4" w:rsidRPr="006A561F">
        <w:t>as</w:t>
      </w:r>
      <w:r w:rsidRPr="006A561F">
        <w:t xml:space="preserve"> in-person spot checks had to be replaced.</w:t>
      </w:r>
      <w:r w:rsidR="006F2F6D" w:rsidRPr="076A58FF">
        <w:rPr>
          <w:rStyle w:val="FootnoteReference"/>
          <w:rFonts w:cs="Calibri"/>
          <w:sz w:val="22"/>
          <w:szCs w:val="22"/>
        </w:rPr>
        <w:footnoteReference w:id="225"/>
      </w:r>
      <w:r w:rsidRPr="006A561F">
        <w:t xml:space="preserve"> Adaptations</w:t>
      </w:r>
      <w:r w:rsidR="2C3C64A4" w:rsidRPr="006A561F">
        <w:t xml:space="preserve"> were made</w:t>
      </w:r>
      <w:r w:rsidRPr="006A561F">
        <w:t xml:space="preserve"> to community interventions, </w:t>
      </w:r>
      <w:r w:rsidR="26ADED38" w:rsidRPr="006A561F">
        <w:t>e.g.,</w:t>
      </w:r>
      <w:r w:rsidRPr="006A561F">
        <w:t xml:space="preserve"> finding alternate spaces for implementing ‘</w:t>
      </w:r>
      <w:r w:rsidR="2C3C64A4" w:rsidRPr="006A561F">
        <w:t>P</w:t>
      </w:r>
      <w:r w:rsidRPr="006A561F">
        <w:t xml:space="preserve">ositive </w:t>
      </w:r>
      <w:r w:rsidR="2C3C64A4" w:rsidRPr="006A561F">
        <w:t>D</w:t>
      </w:r>
      <w:r w:rsidRPr="006A561F">
        <w:t>eviance’ activities (see also EQ 2). In Palestine, ‘positive deviants’ also increased their engagement in spreading pro-gender equality messages in online conversations.</w:t>
      </w:r>
      <w:r w:rsidR="006F2F6D" w:rsidRPr="076A58FF">
        <w:rPr>
          <w:rStyle w:val="FootnoteReference"/>
          <w:rFonts w:cs="Calibri"/>
          <w:sz w:val="22"/>
          <w:szCs w:val="22"/>
        </w:rPr>
        <w:footnoteReference w:id="226"/>
      </w:r>
      <w:r w:rsidRPr="006A561F">
        <w:t xml:space="preserve"> In Egypt, </w:t>
      </w:r>
      <w:proofErr w:type="gramStart"/>
      <w:r w:rsidRPr="006A561F">
        <w:t>Morocco</w:t>
      </w:r>
      <w:proofErr w:type="gramEnd"/>
      <w:r w:rsidRPr="006A561F">
        <w:t xml:space="preserve"> and Palestine especially, the programme made good use of visual arts, theatre, sports and local traditions of song in its messaging, in particular in rural areas, and national implementing</w:t>
      </w:r>
      <w:r w:rsidR="17F8750F">
        <w:t xml:space="preserve"> partners often made </w:t>
      </w:r>
      <w:r w:rsidR="5FA522C1" w:rsidRPr="006A561F">
        <w:t>efforts</w:t>
      </w:r>
      <w:r w:rsidRPr="006A561F">
        <w:t xml:space="preserve"> to engage with hard-to-reach populations. In Lebanon, the multiple crises since 2019 led to a reconfiguration of the approach to implementing MWGE. This also included innovations such as UN Women/MWGE playing a key role in establishing a feminist platform in the aftermath of the August 2020 Beirut Port Blast as well as engaging with new, innovative avenues for its work, </w:t>
      </w:r>
      <w:r w:rsidR="6D28C369" w:rsidRPr="006A561F">
        <w:t>e.g.,</w:t>
      </w:r>
      <w:r w:rsidRPr="006A561F">
        <w:t xml:space="preserve"> working with taxi drivers to prevent sexual harassment or preventing </w:t>
      </w:r>
      <w:r w:rsidR="2C3C64A4" w:rsidRPr="006A561F">
        <w:t xml:space="preserve">the </w:t>
      </w:r>
      <w:r w:rsidRPr="006A561F">
        <w:t>sexual harassment and abuse of women journalists. In Egypt, the programme pioneered work with hearing</w:t>
      </w:r>
      <w:r w:rsidR="2C3C64A4" w:rsidRPr="006A561F">
        <w:t>-</w:t>
      </w:r>
      <w:r w:rsidRPr="006A561F">
        <w:t xml:space="preserve">impaired men on preventing violence and shifting gender norms, as well as having Braille transcripts of outreach materials of MWGE, </w:t>
      </w:r>
      <w:r w:rsidR="20DBD367" w:rsidRPr="006A561F">
        <w:t>e.g.,</w:t>
      </w:r>
      <w:r w:rsidRPr="006A561F">
        <w:t xml:space="preserve"> theatre plays, for the visually impaired (see also EQ 7).</w:t>
      </w:r>
      <w:r w:rsidR="5BD1F30C">
        <w:t xml:space="preserve"> This could be scaled-up and/or be systematically utilised across the region, with the potential for sharing experiences among CSOs working with people with disabilities</w:t>
      </w:r>
      <w:r w:rsidR="113B5F7D">
        <w:t>.</w:t>
      </w:r>
    </w:p>
    <w:p w14:paraId="6C1037B9" w14:textId="77777777" w:rsidR="4977AA67" w:rsidRDefault="4977AA67" w:rsidP="4977AA67">
      <w:pPr>
        <w:pStyle w:val="ItadNormalText"/>
        <w:jc w:val="both"/>
      </w:pPr>
    </w:p>
    <w:p w14:paraId="45369637" w14:textId="77777777" w:rsidR="006F2F6D" w:rsidRPr="006A561F" w:rsidRDefault="4EAA50EC" w:rsidP="4977AA67">
      <w:pPr>
        <w:pStyle w:val="ItadNormalText"/>
        <w:jc w:val="both"/>
        <w:rPr>
          <w:b/>
          <w:bCs/>
          <w:color w:val="588B46" w:themeColor="text2"/>
        </w:rPr>
      </w:pPr>
      <w:r w:rsidRPr="4977AA67">
        <w:rPr>
          <w:b/>
          <w:bCs/>
          <w:color w:val="588B46" w:themeColor="text2"/>
        </w:rPr>
        <w:lastRenderedPageBreak/>
        <w:t>Finding 5.1</w:t>
      </w:r>
      <w:r w:rsidR="4883E57A" w:rsidRPr="4977AA67">
        <w:rPr>
          <w:b/>
          <w:bCs/>
          <w:color w:val="588B46" w:themeColor="text2"/>
        </w:rPr>
        <w:t>0</w:t>
      </w:r>
      <w:r w:rsidRPr="4977AA67">
        <w:rPr>
          <w:b/>
          <w:bCs/>
          <w:color w:val="588B46" w:themeColor="text2"/>
        </w:rPr>
        <w:t xml:space="preserve">: </w:t>
      </w:r>
      <w:r w:rsidRPr="4977AA67">
        <w:rPr>
          <w:b/>
          <w:bCs/>
        </w:rPr>
        <w:t xml:space="preserve">The programme had unintended and/or unforeseen consequences, both positive and negative. On the positive side, these included a far greater reach than anticipated </w:t>
      </w:r>
      <w:r w:rsidR="328574D7" w:rsidRPr="4977AA67">
        <w:rPr>
          <w:b/>
          <w:bCs/>
        </w:rPr>
        <w:t>and</w:t>
      </w:r>
      <w:r w:rsidRPr="4977AA67">
        <w:rPr>
          <w:b/>
          <w:bCs/>
        </w:rPr>
        <w:t xml:space="preserve"> the creation of positive momentum around the key messages of the programme. On the negative side, the </w:t>
      </w:r>
      <w:r w:rsidR="3B96F0CB" w:rsidRPr="4977AA67">
        <w:rPr>
          <w:b/>
          <w:bCs/>
        </w:rPr>
        <w:t xml:space="preserve">subject matter </w:t>
      </w:r>
      <w:r w:rsidR="247306B2" w:rsidRPr="4977AA67">
        <w:rPr>
          <w:b/>
          <w:bCs/>
        </w:rPr>
        <w:t xml:space="preserve">– concerning gender equality and human rights </w:t>
      </w:r>
      <w:r w:rsidR="070A6113" w:rsidRPr="4977AA67">
        <w:rPr>
          <w:b/>
          <w:bCs/>
        </w:rPr>
        <w:t>- did</w:t>
      </w:r>
      <w:r w:rsidRPr="4977AA67">
        <w:rPr>
          <w:b/>
          <w:bCs/>
        </w:rPr>
        <w:t xml:space="preserve"> trigger opposition from socially conservative forces</w:t>
      </w:r>
      <w:r w:rsidR="0894415D" w:rsidRPr="4977AA67">
        <w:rPr>
          <w:b/>
          <w:bCs/>
        </w:rPr>
        <w:t xml:space="preserve">, which </w:t>
      </w:r>
      <w:r w:rsidR="64FBFD30" w:rsidRPr="4977AA67">
        <w:rPr>
          <w:b/>
          <w:bCs/>
        </w:rPr>
        <w:t>was expected.</w:t>
      </w:r>
      <w:r w:rsidRPr="4977AA67">
        <w:rPr>
          <w:b/>
          <w:bCs/>
        </w:rPr>
        <w:t xml:space="preserve"> </w:t>
      </w:r>
      <w:r w:rsidR="64FBFD30" w:rsidRPr="4977AA67">
        <w:rPr>
          <w:b/>
          <w:bCs/>
        </w:rPr>
        <w:t>More unexpectedly, however,</w:t>
      </w:r>
      <w:r w:rsidRPr="4977AA67">
        <w:rPr>
          <w:b/>
          <w:bCs/>
        </w:rPr>
        <w:t xml:space="preserve"> some </w:t>
      </w:r>
      <w:r w:rsidR="64FBFD30" w:rsidRPr="4977AA67">
        <w:rPr>
          <w:b/>
          <w:bCs/>
        </w:rPr>
        <w:t xml:space="preserve">of the </w:t>
      </w:r>
      <w:r w:rsidRPr="4977AA67">
        <w:rPr>
          <w:b/>
          <w:bCs/>
        </w:rPr>
        <w:t>outreach messaging</w:t>
      </w:r>
      <w:r w:rsidR="328574D7" w:rsidRPr="4977AA67">
        <w:rPr>
          <w:b/>
          <w:bCs/>
        </w:rPr>
        <w:t xml:space="preserve"> </w:t>
      </w:r>
      <w:r w:rsidR="7AFC2541" w:rsidRPr="4977AA67">
        <w:rPr>
          <w:b/>
          <w:bCs/>
        </w:rPr>
        <w:t xml:space="preserve">led to </w:t>
      </w:r>
      <w:r w:rsidR="205A8739" w:rsidRPr="4977AA67">
        <w:rPr>
          <w:b/>
          <w:bCs/>
        </w:rPr>
        <w:t>push back</w:t>
      </w:r>
      <w:r w:rsidR="7AFC2541" w:rsidRPr="4977AA67">
        <w:rPr>
          <w:b/>
          <w:bCs/>
        </w:rPr>
        <w:t xml:space="preserve"> </w:t>
      </w:r>
      <w:r w:rsidRPr="4977AA67">
        <w:rPr>
          <w:b/>
          <w:bCs/>
        </w:rPr>
        <w:t>from feminist movements</w:t>
      </w:r>
      <w:r w:rsidR="7AFC2541" w:rsidRPr="4977AA67">
        <w:rPr>
          <w:b/>
          <w:bCs/>
        </w:rPr>
        <w:t>,</w:t>
      </w:r>
      <w:r w:rsidRPr="4977AA67">
        <w:rPr>
          <w:b/>
          <w:bCs/>
        </w:rPr>
        <w:t xml:space="preserve"> </w:t>
      </w:r>
      <w:r w:rsidR="7AFC2541" w:rsidRPr="4977AA67">
        <w:rPr>
          <w:b/>
          <w:bCs/>
        </w:rPr>
        <w:t xml:space="preserve">underscoring </w:t>
      </w:r>
      <w:r w:rsidRPr="4977AA67">
        <w:rPr>
          <w:b/>
          <w:bCs/>
        </w:rPr>
        <w:t>the need for COs to adhere to regional-level quality assurance mechanisms.</w:t>
      </w:r>
    </w:p>
    <w:p w14:paraId="5A2D85EF" w14:textId="77777777" w:rsidR="006F2F6D" w:rsidRPr="006A561F" w:rsidRDefault="0743636A" w:rsidP="00AD0BDE">
      <w:pPr>
        <w:pStyle w:val="ItadNormalText"/>
        <w:jc w:val="both"/>
      </w:pPr>
      <w:r w:rsidRPr="006A561F">
        <w:t xml:space="preserve">MWGE has had several unintended consequences, </w:t>
      </w:r>
      <w:r w:rsidR="635C3B9D" w:rsidRPr="006A561F">
        <w:t>al</w:t>
      </w:r>
      <w:r w:rsidRPr="006A561F">
        <w:t xml:space="preserve">though in terms of the positive consequences they are better described as unforeseen, as they do follow from the programme’s intervention logic. The unforeseen positive impacts </w:t>
      </w:r>
      <w:r w:rsidR="7088F0D2" w:rsidRPr="006A561F">
        <w:t>were</w:t>
      </w:r>
      <w:r w:rsidRPr="006A561F">
        <w:t xml:space="preserve"> </w:t>
      </w:r>
      <w:r w:rsidR="02741A15" w:rsidRPr="006A561F">
        <w:t>related to</w:t>
      </w:r>
      <w:r w:rsidRPr="006A561F">
        <w:t xml:space="preserve"> </w:t>
      </w:r>
      <w:r w:rsidR="7F1D5977" w:rsidRPr="006A561F">
        <w:t xml:space="preserve">an </w:t>
      </w:r>
      <w:r w:rsidRPr="006A561F">
        <w:t xml:space="preserve">unexpectedly high number of women and men participating in community-based activities as well as the high outreach numbers, though the latter </w:t>
      </w:r>
      <w:r w:rsidR="050A8B7E" w:rsidRPr="006A561F">
        <w:t xml:space="preserve">should be </w:t>
      </w:r>
      <w:r w:rsidRPr="006A561F">
        <w:t>treated with some caution (see also Thematic Paper on Social Norm Change).</w:t>
      </w:r>
      <w:r w:rsidR="006F2F6D" w:rsidRPr="0D4BD307">
        <w:rPr>
          <w:rStyle w:val="FootnoteReference"/>
          <w:rFonts w:cs="Calibri"/>
          <w:sz w:val="22"/>
          <w:szCs w:val="22"/>
        </w:rPr>
        <w:footnoteReference w:id="227"/>
      </w:r>
      <w:r w:rsidRPr="006A561F">
        <w:t xml:space="preserve"> Further positive momentum was created by the </w:t>
      </w:r>
      <w:r w:rsidR="635C3B9D" w:rsidRPr="006A561F">
        <w:t>P</w:t>
      </w:r>
      <w:r w:rsidRPr="006A561F">
        <w:t xml:space="preserve">ositive </w:t>
      </w:r>
      <w:r w:rsidR="635C3B9D" w:rsidRPr="006A561F">
        <w:t>D</w:t>
      </w:r>
      <w:r w:rsidRPr="006A561F">
        <w:t>eviance peer-to-peer approaches as well as in the drive for a paternity leave petition in Palestine.</w:t>
      </w:r>
      <w:r w:rsidR="006F2F6D" w:rsidRPr="0D4BD307">
        <w:rPr>
          <w:rStyle w:val="FootnoteReference"/>
          <w:rFonts w:cs="Calibri"/>
          <w:sz w:val="22"/>
          <w:szCs w:val="22"/>
        </w:rPr>
        <w:footnoteReference w:id="228"/>
      </w:r>
    </w:p>
    <w:p w14:paraId="1F780661" w14:textId="77777777" w:rsidR="006F2F6D" w:rsidRPr="006A561F" w:rsidRDefault="5D770F2B" w:rsidP="00AD0BDE">
      <w:pPr>
        <w:pStyle w:val="ItadNormalText"/>
        <w:jc w:val="both"/>
      </w:pPr>
      <w:r>
        <w:t>T</w:t>
      </w:r>
      <w:r w:rsidR="0C46233B" w:rsidRPr="006A561F">
        <w:t xml:space="preserve">he programme sparked resistance at micro, </w:t>
      </w:r>
      <w:proofErr w:type="spellStart"/>
      <w:r w:rsidR="0C46233B" w:rsidRPr="006A561F">
        <w:t>meso</w:t>
      </w:r>
      <w:proofErr w:type="spellEnd"/>
      <w:r w:rsidR="0C46233B" w:rsidRPr="006A561F">
        <w:t xml:space="preserve"> and macro</w:t>
      </w:r>
      <w:r w:rsidR="7AD5384D" w:rsidRPr="006A561F">
        <w:t xml:space="preserve"> </w:t>
      </w:r>
      <w:r w:rsidR="0C46233B" w:rsidRPr="006A561F">
        <w:t>level</w:t>
      </w:r>
      <w:r w:rsidR="2C3C64A4" w:rsidRPr="006A561F">
        <w:t>s</w:t>
      </w:r>
      <w:r>
        <w:t xml:space="preserve">, which was </w:t>
      </w:r>
      <w:r w:rsidR="6DA1C7EF">
        <w:t>not unexpected but did lead the programme to adapt its approache</w:t>
      </w:r>
      <w:r w:rsidR="61BAD113">
        <w:t xml:space="preserve">s </w:t>
      </w:r>
      <w:proofErr w:type="gramStart"/>
      <w:r w:rsidR="61BAD113">
        <w:t>in particular at</w:t>
      </w:r>
      <w:proofErr w:type="gramEnd"/>
      <w:r w:rsidR="61BAD113">
        <w:t xml:space="preserve"> the </w:t>
      </w:r>
      <w:proofErr w:type="spellStart"/>
      <w:r w:rsidR="61BAD113">
        <w:t>meso</w:t>
      </w:r>
      <w:proofErr w:type="spellEnd"/>
      <w:r w:rsidR="61BAD113">
        <w:t xml:space="preserve"> and macro level</w:t>
      </w:r>
      <w:r w:rsidR="0C46233B" w:rsidRPr="006A561F">
        <w:t>. At micro</w:t>
      </w:r>
      <w:r w:rsidR="7AD5384D" w:rsidRPr="006A561F">
        <w:t xml:space="preserve"> </w:t>
      </w:r>
      <w:r w:rsidR="0C46233B" w:rsidRPr="006A561F">
        <w:t>level, participants reported resistance and pushback</w:t>
      </w:r>
      <w:r w:rsidR="78DFE4ED" w:rsidRPr="006A561F">
        <w:t>s</w:t>
      </w:r>
      <w:r w:rsidR="0C46233B" w:rsidRPr="006A561F">
        <w:t xml:space="preserve"> from peers and family members. </w:t>
      </w:r>
      <w:r w:rsidR="0DB05A0F" w:rsidRPr="006A561F">
        <w:t>For instance, a</w:t>
      </w:r>
      <w:r w:rsidR="01719FEF" w:rsidRPr="006A561F">
        <w:t xml:space="preserve">s per the </w:t>
      </w:r>
      <w:r w:rsidR="01719FEF">
        <w:t>FGDs and KIIs, i</w:t>
      </w:r>
      <w:r w:rsidR="0C46233B" w:rsidRPr="006A561F">
        <w:t xml:space="preserve">n Egypt, it was </w:t>
      </w:r>
      <w:r w:rsidR="39258088" w:rsidRPr="006A561F">
        <w:t>the</w:t>
      </w:r>
      <w:r w:rsidR="0C46233B" w:rsidRPr="006A561F">
        <w:t xml:space="preserve"> mothers of the husbands </w:t>
      </w:r>
      <w:r w:rsidR="094F083C" w:rsidRPr="006A561F">
        <w:t>who wer</w:t>
      </w:r>
      <w:r w:rsidR="0C46233B" w:rsidRPr="006A561F">
        <w:t>e most resistant to their sons’ changed behaviour after attending the MWGE sessions.</w:t>
      </w:r>
      <w:r w:rsidR="006F2F6D" w:rsidRPr="076A58FF">
        <w:rPr>
          <w:rStyle w:val="FootnoteReference"/>
          <w:rFonts w:cs="Calibri"/>
          <w:sz w:val="22"/>
          <w:szCs w:val="22"/>
        </w:rPr>
        <w:footnoteReference w:id="229"/>
      </w:r>
      <w:r w:rsidR="0C46233B" w:rsidRPr="006A561F">
        <w:t xml:space="preserve"> At </w:t>
      </w:r>
      <w:r w:rsidR="453687D4">
        <w:t xml:space="preserve">the </w:t>
      </w:r>
      <w:proofErr w:type="spellStart"/>
      <w:r w:rsidR="0C46233B" w:rsidRPr="006A561F">
        <w:t>meso</w:t>
      </w:r>
      <w:proofErr w:type="spellEnd"/>
      <w:r w:rsidR="7AD5384D" w:rsidRPr="006A561F">
        <w:t xml:space="preserve"> </w:t>
      </w:r>
      <w:r w:rsidR="0C46233B" w:rsidRPr="006A561F">
        <w:t xml:space="preserve">level, the programme faced resistance in some communities in Palestine, where socially conservative groups rallied against </w:t>
      </w:r>
      <w:r w:rsidR="115402A8" w:rsidRPr="000D16D8">
        <w:t>the family protection bill</w:t>
      </w:r>
      <w:r w:rsidR="28573690">
        <w:t xml:space="preserve">, </w:t>
      </w:r>
      <w:r w:rsidR="115402A8" w:rsidRPr="000D16D8">
        <w:t xml:space="preserve">CEDAW and the </w:t>
      </w:r>
      <w:r w:rsidR="49B3C7D5" w:rsidRPr="000D16D8">
        <w:t>institutions</w:t>
      </w:r>
      <w:r w:rsidR="115402A8" w:rsidRPr="000D16D8">
        <w:t xml:space="preserve"> </w:t>
      </w:r>
      <w:r w:rsidR="28573690">
        <w:t>that promote these agendas</w:t>
      </w:r>
      <w:r w:rsidR="2C3C64A4" w:rsidRPr="006A561F">
        <w:t>.</w:t>
      </w:r>
      <w:r w:rsidR="006F2F6D" w:rsidRPr="076A58FF">
        <w:rPr>
          <w:rStyle w:val="FootnoteReference"/>
          <w:rFonts w:cs="Calibri"/>
          <w:sz w:val="22"/>
          <w:szCs w:val="22"/>
        </w:rPr>
        <w:footnoteReference w:id="230"/>
      </w:r>
      <w:r w:rsidR="0C46233B" w:rsidRPr="006A561F">
        <w:t xml:space="preserve"> This </w:t>
      </w:r>
      <w:r w:rsidR="2C3C64A4" w:rsidRPr="006A561F">
        <w:t>coul</w:t>
      </w:r>
      <w:r w:rsidR="63381675" w:rsidRPr="006A561F">
        <w:t>d,</w:t>
      </w:r>
      <w:r w:rsidR="0C46233B" w:rsidRPr="006A561F">
        <w:t xml:space="preserve"> however</w:t>
      </w:r>
      <w:r w:rsidR="63381675" w:rsidRPr="006A561F">
        <w:t>,</w:t>
      </w:r>
      <w:r w:rsidR="0C46233B" w:rsidRPr="006A561F">
        <w:t xml:space="preserve"> be part of a growing regional macro-level issue, as interviewees in Jordan also expressed concern about growing ‘anti-CEDAW’ movements that </w:t>
      </w:r>
      <w:r w:rsidR="21DAD5AB" w:rsidRPr="006A561F">
        <w:t>we</w:t>
      </w:r>
      <w:r w:rsidR="0C46233B" w:rsidRPr="006A561F">
        <w:t>re opposed to work on gender equality</w:t>
      </w:r>
      <w:r w:rsidR="7210BDF9">
        <w:t xml:space="preserve">, and the </w:t>
      </w:r>
      <w:r w:rsidR="01899C50">
        <w:t>labelling of this work as being a ‘western agenda</w:t>
      </w:r>
      <w:r w:rsidR="0C46233B" w:rsidRPr="006A561F">
        <w:t>.</w:t>
      </w:r>
      <w:r w:rsidR="01899C50">
        <w:t>’</w:t>
      </w:r>
      <w:r w:rsidR="0C46233B" w:rsidRPr="006A561F">
        <w:t xml:space="preserve"> Similarly, in Morocco there w</w:t>
      </w:r>
      <w:r w:rsidR="774BD67F" w:rsidRPr="006A561F">
        <w:t>ere</w:t>
      </w:r>
      <w:r w:rsidR="0C46233B" w:rsidRPr="006A561F">
        <w:t xml:space="preserve"> resistance from socially conservative groups and individuals to the utilisation of the Quranic concept of </w:t>
      </w:r>
      <w:proofErr w:type="spellStart"/>
      <w:r w:rsidR="0C46233B" w:rsidRPr="4977AA67">
        <w:rPr>
          <w:i/>
          <w:iCs/>
        </w:rPr>
        <w:t>qiwamah</w:t>
      </w:r>
      <w:proofErr w:type="spellEnd"/>
      <w:r w:rsidR="006F2F6D" w:rsidRPr="076A58FF">
        <w:rPr>
          <w:rStyle w:val="FootnoteReference"/>
          <w:rFonts w:cs="Calibri"/>
          <w:sz w:val="22"/>
          <w:szCs w:val="22"/>
        </w:rPr>
        <w:footnoteReference w:id="231"/>
      </w:r>
      <w:r w:rsidR="0C46233B" w:rsidRPr="006A561F">
        <w:t xml:space="preserve"> to push </w:t>
      </w:r>
      <w:r w:rsidR="139DE41E" w:rsidRPr="006A561F">
        <w:t xml:space="preserve">back </w:t>
      </w:r>
      <w:r w:rsidR="0C46233B" w:rsidRPr="006A561F">
        <w:t>for increased men’s engagement in household chores.</w:t>
      </w:r>
      <w:r w:rsidR="006F2F6D" w:rsidRPr="076A58FF">
        <w:rPr>
          <w:rStyle w:val="FootnoteReference"/>
          <w:rFonts w:cs="Calibri"/>
          <w:sz w:val="22"/>
          <w:szCs w:val="22"/>
        </w:rPr>
        <w:footnoteReference w:id="232"/>
      </w:r>
      <w:r w:rsidR="0C46233B" w:rsidRPr="006A561F">
        <w:t xml:space="preserve"> At </w:t>
      </w:r>
      <w:r w:rsidR="61BAD113">
        <w:t xml:space="preserve">the </w:t>
      </w:r>
      <w:r w:rsidR="0C46233B" w:rsidRPr="006A561F">
        <w:t>macro</w:t>
      </w:r>
      <w:r w:rsidR="54ED6128" w:rsidRPr="006A561F">
        <w:t xml:space="preserve"> </w:t>
      </w:r>
      <w:r w:rsidR="0C46233B" w:rsidRPr="006A561F">
        <w:t xml:space="preserve">level, </w:t>
      </w:r>
      <w:r w:rsidR="1543A95F">
        <w:t xml:space="preserve">societal </w:t>
      </w:r>
      <w:r w:rsidR="0C46233B" w:rsidRPr="006A561F">
        <w:t xml:space="preserve">resistance </w:t>
      </w:r>
      <w:r w:rsidR="1180E150">
        <w:t xml:space="preserve">to </w:t>
      </w:r>
      <w:r w:rsidR="0C46233B" w:rsidRPr="006A561F">
        <w:t>LGBT inclusion</w:t>
      </w:r>
      <w:r w:rsidR="1180E150">
        <w:t xml:space="preserve"> and the political risks involved led the programme to leave the issue out in Egypt and Palestine</w:t>
      </w:r>
      <w:r w:rsidR="0C46233B" w:rsidRPr="006A561F">
        <w:t xml:space="preserve">, </w:t>
      </w:r>
      <w:r w:rsidR="0C46233B" w:rsidRPr="00C80D78">
        <w:t xml:space="preserve">and the Egyptian government </w:t>
      </w:r>
      <w:r w:rsidR="15F0813D" w:rsidRPr="00C80D78">
        <w:t xml:space="preserve">did not </w:t>
      </w:r>
      <w:r w:rsidR="170E5F19" w:rsidRPr="00C80D78">
        <w:t xml:space="preserve">endorse </w:t>
      </w:r>
      <w:r w:rsidR="7C39C32C" w:rsidRPr="00C80D78">
        <w:t xml:space="preserve">the IMAGES </w:t>
      </w:r>
      <w:r w:rsidR="3DEBC674" w:rsidRPr="00C80D78">
        <w:t>study,</w:t>
      </w:r>
      <w:r w:rsidR="7C39C32C" w:rsidRPr="00C80D78">
        <w:t xml:space="preserve"> so the Egyptian IMAGES report was not published as a separate report. </w:t>
      </w:r>
      <w:r w:rsidR="0C46233B" w:rsidRPr="006A561F">
        <w:t xml:space="preserve"> </w:t>
      </w:r>
    </w:p>
    <w:p w14:paraId="5A9987EF" w14:textId="77777777" w:rsidR="008251B1" w:rsidRPr="006A561F" w:rsidRDefault="0C46233B" w:rsidP="007170A1">
      <w:pPr>
        <w:pStyle w:val="ItadNormalText"/>
        <w:jc w:val="both"/>
      </w:pPr>
      <w:r w:rsidRPr="006A561F">
        <w:t xml:space="preserve">There </w:t>
      </w:r>
      <w:r w:rsidR="665AE957" w:rsidRPr="006A561F">
        <w:t>were</w:t>
      </w:r>
      <w:r w:rsidRPr="006A561F">
        <w:t xml:space="preserve"> unintended negative pushback</w:t>
      </w:r>
      <w:r w:rsidR="358DC470" w:rsidRPr="006A561F">
        <w:t>s</w:t>
      </w:r>
      <w:r w:rsidRPr="006A561F">
        <w:t xml:space="preserve"> from women’s rights organisations, </w:t>
      </w:r>
      <w:proofErr w:type="gramStart"/>
      <w:r w:rsidRPr="006A561F">
        <w:t>in particular against</w:t>
      </w:r>
      <w:proofErr w:type="gramEnd"/>
      <w:r w:rsidRPr="006A561F">
        <w:t xml:space="preserve"> some of the </w:t>
      </w:r>
      <w:r w:rsidR="49B003DB">
        <w:t xml:space="preserve">BIAM </w:t>
      </w:r>
      <w:r w:rsidRPr="006A561F">
        <w:t>media products published in Morocco</w:t>
      </w:r>
      <w:r w:rsidR="1D652988">
        <w:t xml:space="preserve"> that were perceived to </w:t>
      </w:r>
      <w:r w:rsidR="351963C3">
        <w:t>amplify men’s agency at the expense of not simultaneously celebrating women’s agency</w:t>
      </w:r>
      <w:r w:rsidRPr="006A561F">
        <w:t xml:space="preserve"> (in Phase II) and </w:t>
      </w:r>
      <w:r w:rsidR="02C9D1BA">
        <w:t>from</w:t>
      </w:r>
      <w:r w:rsidR="02C9D1BA" w:rsidRPr="006A561F">
        <w:t xml:space="preserve"> </w:t>
      </w:r>
      <w:r w:rsidR="4657D8BC">
        <w:t xml:space="preserve">a small number of </w:t>
      </w:r>
      <w:r w:rsidR="02C9D1BA">
        <w:t>Lebanese</w:t>
      </w:r>
      <w:r w:rsidR="4657D8BC">
        <w:t xml:space="preserve"> feminist movements</w:t>
      </w:r>
      <w:r w:rsidR="02C9D1BA" w:rsidRPr="006A561F">
        <w:t xml:space="preserve"> </w:t>
      </w:r>
      <w:r w:rsidRPr="006A561F">
        <w:t>(in Phase I) under the programme which were seen as undermining key feminist messages.</w:t>
      </w:r>
      <w:r w:rsidR="006F2F6D" w:rsidRPr="076A58FF">
        <w:rPr>
          <w:rStyle w:val="FootnoteReference"/>
          <w:rFonts w:cs="Calibri"/>
          <w:sz w:val="22"/>
          <w:szCs w:val="22"/>
        </w:rPr>
        <w:footnoteReference w:id="233"/>
      </w:r>
    </w:p>
    <w:p w14:paraId="4F00CDB7" w14:textId="77777777" w:rsidR="006F2F6D" w:rsidRPr="006A561F" w:rsidRDefault="4EAA50EC" w:rsidP="007170A1">
      <w:pPr>
        <w:pStyle w:val="ItadNormalText"/>
        <w:jc w:val="both"/>
      </w:pPr>
      <w:r>
        <w:t xml:space="preserve">The feminist pushback in Morocco against some of the media messages </w:t>
      </w:r>
      <w:r w:rsidR="3EA61364">
        <w:t xml:space="preserve">also </w:t>
      </w:r>
      <w:r>
        <w:t>highlight</w:t>
      </w:r>
      <w:r w:rsidR="4BC60391">
        <w:t>ed</w:t>
      </w:r>
      <w:r>
        <w:t xml:space="preserve"> the potential risk of reinforcing unintended messages. Whether this occurred or not cannot be discerned fr</w:t>
      </w:r>
      <w:r w:rsidR="3EA61364">
        <w:t>o</w:t>
      </w:r>
      <w:r>
        <w:t>m the available data on media products</w:t>
      </w:r>
      <w:r w:rsidR="3EA61364">
        <w:t>;</w:t>
      </w:r>
      <w:r>
        <w:t xml:space="preserve"> however</w:t>
      </w:r>
      <w:r w:rsidR="3EA61364">
        <w:t>,</w:t>
      </w:r>
      <w:r>
        <w:t xml:space="preserve"> these are issues which the evaluators wanted to flag as a possible issue to be considered when moving into the next phase. These unintended consequences include</w:t>
      </w:r>
      <w:r w:rsidR="3EA61364">
        <w:t>:</w:t>
      </w:r>
      <w:r>
        <w:t xml:space="preserve"> having an explicitly or implicitly less-than</w:t>
      </w:r>
      <w:r w:rsidR="3EA61364">
        <w:t>-</w:t>
      </w:r>
      <w:r>
        <w:t>transformative message</w:t>
      </w:r>
      <w:r w:rsidR="6460479E">
        <w:t>,</w:t>
      </w:r>
      <w:r>
        <w:t xml:space="preserve"> e.g. celebrating men for ‘helping’ in the household rather than showing them taking on equal responsibilities</w:t>
      </w:r>
      <w:r w:rsidR="3EA61364">
        <w:t>;</w:t>
      </w:r>
      <w:r>
        <w:t xml:space="preserve"> inadvertently reinforcing traditional stereotypes</w:t>
      </w:r>
      <w:r w:rsidR="6460479E">
        <w:t xml:space="preserve"> by </w:t>
      </w:r>
      <w:r>
        <w:t>e.g. associating masculinity with str</w:t>
      </w:r>
      <w:r w:rsidR="3EA61364">
        <w:t>ength</w:t>
      </w:r>
      <w:r>
        <w:t>, and thus celebrating women when they take on ‘masculine’ roles</w:t>
      </w:r>
      <w:r w:rsidR="6460479E">
        <w:t>, or by</w:t>
      </w:r>
      <w:r>
        <w:t xml:space="preserve"> focusing on women as submissive, passive or victims only</w:t>
      </w:r>
      <w:r w:rsidR="3EA61364">
        <w:t>;</w:t>
      </w:r>
      <w:r>
        <w:t xml:space="preserve"> </w:t>
      </w:r>
      <w:r w:rsidR="3EA61364">
        <w:t>and</w:t>
      </w:r>
      <w:r>
        <w:t xml:space="preserve"> subliminally reinforcing problematic behaviours or norms by spending the majority of the time of a messaging clip focusing on th</w:t>
      </w:r>
      <w:r w:rsidR="3EA61364">
        <w:t>ose</w:t>
      </w:r>
      <w:r>
        <w:t xml:space="preserve"> rather than the hoped-for behaviour or norm.</w:t>
      </w:r>
    </w:p>
    <w:p w14:paraId="6CE0C2EA" w14:textId="77777777" w:rsidR="4977AA67" w:rsidRDefault="4977AA67" w:rsidP="4977AA67">
      <w:pPr>
        <w:pStyle w:val="ItadNormalText"/>
        <w:jc w:val="both"/>
      </w:pPr>
    </w:p>
    <w:p w14:paraId="05A27842" w14:textId="77777777" w:rsidR="006F2F6D" w:rsidRPr="006A561F" w:rsidRDefault="31672C56" w:rsidP="4977AA67">
      <w:pPr>
        <w:pStyle w:val="ItadH3Numbered"/>
        <w:numPr>
          <w:ilvl w:val="1"/>
          <w:numId w:val="0"/>
        </w:numPr>
        <w:rPr>
          <w:sz w:val="28"/>
          <w:szCs w:val="28"/>
          <w:lang w:val="en-GB"/>
        </w:rPr>
      </w:pPr>
      <w:r w:rsidRPr="4977AA67">
        <w:rPr>
          <w:sz w:val="28"/>
          <w:szCs w:val="28"/>
          <w:lang w:val="en-GB"/>
        </w:rPr>
        <w:t>5</w:t>
      </w:r>
      <w:r w:rsidR="2A56AD1F" w:rsidRPr="4977AA67">
        <w:rPr>
          <w:sz w:val="28"/>
          <w:szCs w:val="28"/>
          <w:lang w:val="en-GB"/>
        </w:rPr>
        <w:t xml:space="preserve">.3 </w:t>
      </w:r>
      <w:r w:rsidR="7DEA51AD" w:rsidRPr="4977AA67">
        <w:rPr>
          <w:sz w:val="28"/>
          <w:szCs w:val="28"/>
          <w:lang w:val="en-GB"/>
        </w:rPr>
        <w:t>E</w:t>
      </w:r>
      <w:r w:rsidR="4D4B5955" w:rsidRPr="4977AA67">
        <w:rPr>
          <w:sz w:val="28"/>
          <w:szCs w:val="28"/>
          <w:lang w:val="en-GB"/>
        </w:rPr>
        <w:t>fficiency</w:t>
      </w:r>
    </w:p>
    <w:p w14:paraId="44EC2929" w14:textId="77777777" w:rsidR="006F2F6D" w:rsidRPr="006A561F" w:rsidRDefault="4EAA50EC" w:rsidP="4977AA67">
      <w:pPr>
        <w:pStyle w:val="ItadH2"/>
        <w:jc w:val="both"/>
        <w:rPr>
          <w:sz w:val="20"/>
          <w:szCs w:val="20"/>
          <w:lang w:val="en-GB"/>
        </w:rPr>
      </w:pPr>
      <w:r w:rsidRPr="4977AA67">
        <w:rPr>
          <w:sz w:val="20"/>
          <w:szCs w:val="20"/>
          <w:lang w:val="en-GB"/>
        </w:rPr>
        <w:t>EQ 6. Has MWGE been efficient, achieving high</w:t>
      </w:r>
      <w:r w:rsidR="7448DE7B" w:rsidRPr="4977AA67">
        <w:rPr>
          <w:sz w:val="20"/>
          <w:szCs w:val="20"/>
          <w:lang w:val="en-GB"/>
        </w:rPr>
        <w:t>-</w:t>
      </w:r>
      <w:r w:rsidRPr="4977AA67">
        <w:rPr>
          <w:sz w:val="20"/>
          <w:szCs w:val="20"/>
          <w:lang w:val="en-GB"/>
        </w:rPr>
        <w:t xml:space="preserve">impact work in a cost-effective way, while using processes and systems to enable sufficient resources </w:t>
      </w:r>
      <w:r w:rsidR="7448DE7B" w:rsidRPr="4977AA67">
        <w:rPr>
          <w:sz w:val="20"/>
          <w:szCs w:val="20"/>
          <w:lang w:val="en-GB"/>
        </w:rPr>
        <w:t>to be</w:t>
      </w:r>
      <w:r w:rsidRPr="4977AA67">
        <w:rPr>
          <w:sz w:val="20"/>
          <w:szCs w:val="20"/>
          <w:lang w:val="en-GB"/>
        </w:rPr>
        <w:t xml:space="preserve"> made available in a timely manner to achieve planned results?</w:t>
      </w:r>
    </w:p>
    <w:p w14:paraId="32F3D1AD" w14:textId="77777777" w:rsidR="006F2F6D" w:rsidRPr="006A561F" w:rsidRDefault="006F2F6D" w:rsidP="007170A1">
      <w:pPr>
        <w:pStyle w:val="ItadNormalText"/>
        <w:jc w:val="both"/>
        <w:rPr>
          <w:b/>
          <w:bCs/>
          <w:color w:val="588B46" w:themeColor="text2"/>
        </w:rPr>
      </w:pPr>
      <w:r w:rsidRPr="006A561F">
        <w:rPr>
          <w:b/>
          <w:bCs/>
          <w:color w:val="588B46" w:themeColor="text2"/>
        </w:rPr>
        <w:t xml:space="preserve">Summary: </w:t>
      </w:r>
    </w:p>
    <w:p w14:paraId="4EBFB423" w14:textId="5A79C4E1" w:rsidR="006F2F6D" w:rsidRPr="006A561F" w:rsidRDefault="132B7958" w:rsidP="4977AA67">
      <w:pPr>
        <w:pStyle w:val="ItadNormalText"/>
        <w:jc w:val="both"/>
        <w:rPr>
          <w:color w:val="588B46" w:themeColor="text2"/>
        </w:rPr>
      </w:pPr>
      <w:r w:rsidRPr="4977AA67">
        <w:rPr>
          <w:color w:val="588B46" w:themeColor="text2"/>
        </w:rPr>
        <w:t>T</w:t>
      </w:r>
      <w:r w:rsidR="5A60531D" w:rsidRPr="4977AA67">
        <w:rPr>
          <w:color w:val="588B46" w:themeColor="text2"/>
        </w:rPr>
        <w:t xml:space="preserve">he </w:t>
      </w:r>
      <w:proofErr w:type="spellStart"/>
      <w:r w:rsidR="5A60531D" w:rsidRPr="4977AA67">
        <w:rPr>
          <w:color w:val="588B46" w:themeColor="text2"/>
        </w:rPr>
        <w:t>progrmme</w:t>
      </w:r>
      <w:proofErr w:type="spellEnd"/>
      <w:r w:rsidR="5A60531D" w:rsidRPr="4977AA67">
        <w:rPr>
          <w:color w:val="588B46" w:themeColor="text2"/>
        </w:rPr>
        <w:t xml:space="preserve"> </w:t>
      </w:r>
      <w:r w:rsidR="4EAA50EC" w:rsidRPr="4977AA67">
        <w:rPr>
          <w:color w:val="588B46" w:themeColor="text2"/>
        </w:rPr>
        <w:t>faced delays</w:t>
      </w:r>
      <w:r w:rsidR="7448DE7B" w:rsidRPr="4977AA67">
        <w:rPr>
          <w:color w:val="588B46" w:themeColor="text2"/>
        </w:rPr>
        <w:t xml:space="preserve"> –</w:t>
      </w:r>
      <w:r w:rsidR="4EAA50EC" w:rsidRPr="4977AA67">
        <w:rPr>
          <w:color w:val="588B46" w:themeColor="text2"/>
        </w:rPr>
        <w:t xml:space="preserve"> in part due to external circumstances (</w:t>
      </w:r>
      <w:r w:rsidR="00C32338" w:rsidRPr="4977AA67">
        <w:rPr>
          <w:color w:val="588B46" w:themeColor="text2"/>
        </w:rPr>
        <w:t>e.g.,</w:t>
      </w:r>
      <w:r w:rsidR="4EAA50EC" w:rsidRPr="4977AA67">
        <w:rPr>
          <w:color w:val="588B46" w:themeColor="text2"/>
        </w:rPr>
        <w:t xml:space="preserve"> COVID-19 pandemic</w:t>
      </w:r>
      <w:r w:rsidR="5815DEF4" w:rsidRPr="4977AA67">
        <w:rPr>
          <w:color w:val="588B46" w:themeColor="text2"/>
        </w:rPr>
        <w:t>, political and security context</w:t>
      </w:r>
      <w:r w:rsidR="4EAA50EC" w:rsidRPr="4977AA67">
        <w:rPr>
          <w:color w:val="588B46" w:themeColor="text2"/>
        </w:rPr>
        <w:t>) and in part due to processes internal to UN Women</w:t>
      </w:r>
      <w:r w:rsidR="7448DE7B" w:rsidRPr="4977AA67">
        <w:rPr>
          <w:color w:val="588B46" w:themeColor="text2"/>
        </w:rPr>
        <w:t xml:space="preserve"> –</w:t>
      </w:r>
      <w:r w:rsidR="4EAA50EC" w:rsidRPr="4977AA67">
        <w:rPr>
          <w:color w:val="588B46" w:themeColor="text2"/>
        </w:rPr>
        <w:t xml:space="preserve"> </w:t>
      </w:r>
      <w:r w:rsidR="29366C9B" w:rsidRPr="4977AA67">
        <w:rPr>
          <w:color w:val="588B46" w:themeColor="text2"/>
        </w:rPr>
        <w:t xml:space="preserve">but </w:t>
      </w:r>
      <w:r w:rsidR="766068F6" w:rsidRPr="4977AA67">
        <w:rPr>
          <w:color w:val="588B46" w:themeColor="text2"/>
        </w:rPr>
        <w:t>it managed to</w:t>
      </w:r>
      <w:r w:rsidR="4EAA50EC" w:rsidRPr="4977AA67">
        <w:rPr>
          <w:color w:val="588B46" w:themeColor="text2"/>
        </w:rPr>
        <w:t xml:space="preserve"> adapt many of its ways of working</w:t>
      </w:r>
      <w:r w:rsidR="131F040A" w:rsidRPr="4977AA67">
        <w:rPr>
          <w:color w:val="588B46" w:themeColor="text2"/>
        </w:rPr>
        <w:t>.</w:t>
      </w:r>
      <w:r w:rsidR="4EAA50EC" w:rsidRPr="4977AA67">
        <w:rPr>
          <w:color w:val="588B46" w:themeColor="text2"/>
        </w:rPr>
        <w:t xml:space="preserve"> </w:t>
      </w:r>
      <w:r w:rsidR="5EB32A82" w:rsidRPr="4977AA67">
        <w:rPr>
          <w:color w:val="588B46" w:themeColor="text2"/>
        </w:rPr>
        <w:t>It</w:t>
      </w:r>
      <w:r w:rsidR="4EAA50EC" w:rsidRPr="4977AA67">
        <w:rPr>
          <w:color w:val="588B46" w:themeColor="text2"/>
        </w:rPr>
        <w:t xml:space="preserve"> </w:t>
      </w:r>
      <w:r w:rsidR="3EE07987" w:rsidRPr="4977AA67">
        <w:rPr>
          <w:color w:val="588B46" w:themeColor="text2"/>
        </w:rPr>
        <w:t>demonstrated</w:t>
      </w:r>
      <w:r w:rsidR="4EAA50EC" w:rsidRPr="4977AA67">
        <w:rPr>
          <w:color w:val="588B46" w:themeColor="text2"/>
        </w:rPr>
        <w:t xml:space="preserve"> efficie</w:t>
      </w:r>
      <w:r w:rsidR="01C3E6BB" w:rsidRPr="4977AA67">
        <w:rPr>
          <w:color w:val="588B46" w:themeColor="text2"/>
        </w:rPr>
        <w:t>ncies</w:t>
      </w:r>
      <w:r w:rsidR="4EAA50EC" w:rsidRPr="4977AA67">
        <w:rPr>
          <w:color w:val="588B46" w:themeColor="text2"/>
        </w:rPr>
        <w:t xml:space="preserve"> </w:t>
      </w:r>
      <w:r w:rsidR="59214F96" w:rsidRPr="4977AA67">
        <w:rPr>
          <w:color w:val="588B46" w:themeColor="text2"/>
        </w:rPr>
        <w:t xml:space="preserve">including </w:t>
      </w:r>
      <w:r w:rsidR="4EAA50EC" w:rsidRPr="4977AA67">
        <w:rPr>
          <w:color w:val="588B46" w:themeColor="text2"/>
        </w:rPr>
        <w:t>cost-</w:t>
      </w:r>
      <w:r w:rsidR="2E49C93F" w:rsidRPr="4977AA67">
        <w:rPr>
          <w:color w:val="588B46" w:themeColor="text2"/>
        </w:rPr>
        <w:t>efficiencies</w:t>
      </w:r>
      <w:r w:rsidR="4EAA50EC" w:rsidRPr="4977AA67">
        <w:rPr>
          <w:color w:val="588B46" w:themeColor="text2"/>
        </w:rPr>
        <w:t xml:space="preserve"> in its delivery.  </w:t>
      </w:r>
      <w:r w:rsidR="61D29F4D" w:rsidRPr="4977AA67">
        <w:rPr>
          <w:color w:val="588B46" w:themeColor="text2"/>
        </w:rPr>
        <w:t>A</w:t>
      </w:r>
      <w:r w:rsidR="4EAA50EC" w:rsidRPr="4977AA67">
        <w:rPr>
          <w:color w:val="588B46" w:themeColor="text2"/>
        </w:rPr>
        <w:t xml:space="preserve"> potential third </w:t>
      </w:r>
      <w:r w:rsidR="7448DE7B" w:rsidRPr="4977AA67">
        <w:rPr>
          <w:color w:val="588B46" w:themeColor="text2"/>
        </w:rPr>
        <w:t>p</w:t>
      </w:r>
      <w:r w:rsidR="4EAA50EC" w:rsidRPr="4977AA67">
        <w:rPr>
          <w:color w:val="588B46" w:themeColor="text2"/>
        </w:rPr>
        <w:t>hase of MWGE (or a follow-up new programme) will</w:t>
      </w:r>
      <w:r w:rsidR="199508A4" w:rsidRPr="4977AA67">
        <w:rPr>
          <w:color w:val="588B46" w:themeColor="text2"/>
        </w:rPr>
        <w:t xml:space="preserve"> </w:t>
      </w:r>
      <w:r w:rsidR="4EAA50EC" w:rsidRPr="4977AA67">
        <w:rPr>
          <w:color w:val="588B46" w:themeColor="text2"/>
        </w:rPr>
        <w:t xml:space="preserve">require a fundamental discussion of how the programme can shore up the gains it has made and whether the next programme should focus on scaling up, scaling out or scaling deep. </w:t>
      </w:r>
    </w:p>
    <w:p w14:paraId="2B6E77D6" w14:textId="77777777" w:rsidR="4977AA67" w:rsidRDefault="4977AA67" w:rsidP="4977AA67">
      <w:pPr>
        <w:pStyle w:val="ItadNormalText"/>
        <w:jc w:val="both"/>
        <w:rPr>
          <w:b/>
          <w:bCs/>
          <w:color w:val="588B46" w:themeColor="text2"/>
        </w:rPr>
      </w:pPr>
    </w:p>
    <w:p w14:paraId="47F80D68" w14:textId="77777777" w:rsidR="076A58FF" w:rsidRDefault="3774BE70" w:rsidP="4977AA67">
      <w:pPr>
        <w:pStyle w:val="ItadNormalText"/>
        <w:jc w:val="both"/>
        <w:rPr>
          <w:b/>
          <w:bCs/>
        </w:rPr>
      </w:pPr>
      <w:r w:rsidRPr="4977AA67">
        <w:rPr>
          <w:b/>
          <w:bCs/>
          <w:color w:val="588B46" w:themeColor="text2"/>
        </w:rPr>
        <w:t xml:space="preserve">Finding 6.1: </w:t>
      </w:r>
      <w:r w:rsidRPr="4977AA67">
        <w:rPr>
          <w:rFonts w:cstheme="minorBidi"/>
          <w:b/>
          <w:bCs/>
          <w:color w:val="auto"/>
        </w:rPr>
        <w:t>Management efficiency: As with all similar</w:t>
      </w:r>
      <w:r w:rsidR="793D1A52" w:rsidRPr="4977AA67">
        <w:rPr>
          <w:rFonts w:cstheme="minorBidi"/>
          <w:b/>
          <w:bCs/>
          <w:color w:val="auto"/>
        </w:rPr>
        <w:t>ly complex</w:t>
      </w:r>
      <w:r w:rsidRPr="4977AA67">
        <w:rPr>
          <w:rFonts w:cstheme="minorBidi"/>
          <w:b/>
          <w:bCs/>
          <w:color w:val="auto"/>
        </w:rPr>
        <w:t xml:space="preserve"> programmes,</w:t>
      </w:r>
      <w:r w:rsidR="793D1A52" w:rsidRPr="4977AA67">
        <w:rPr>
          <w:rFonts w:cstheme="minorBidi"/>
          <w:b/>
          <w:bCs/>
          <w:color w:val="auto"/>
        </w:rPr>
        <w:t xml:space="preserve"> the</w:t>
      </w:r>
      <w:r w:rsidRPr="4977AA67">
        <w:rPr>
          <w:rFonts w:cstheme="minorBidi"/>
          <w:b/>
          <w:bCs/>
          <w:color w:val="auto"/>
        </w:rPr>
        <w:t xml:space="preserve"> inevitable negotiation and balancing between regional</w:t>
      </w:r>
      <w:r w:rsidR="793D1A52" w:rsidRPr="4977AA67">
        <w:rPr>
          <w:rFonts w:cstheme="minorBidi"/>
          <w:b/>
          <w:bCs/>
          <w:color w:val="auto"/>
        </w:rPr>
        <w:t xml:space="preserve"> and </w:t>
      </w:r>
      <w:r w:rsidRPr="4977AA67">
        <w:rPr>
          <w:rFonts w:cstheme="minorBidi"/>
          <w:b/>
          <w:bCs/>
          <w:color w:val="auto"/>
        </w:rPr>
        <w:t>national level roles, priorities, competencies</w:t>
      </w:r>
      <w:r w:rsidR="793D1A52" w:rsidRPr="4977AA67">
        <w:rPr>
          <w:rFonts w:cstheme="minorBidi"/>
          <w:b/>
          <w:bCs/>
          <w:color w:val="auto"/>
        </w:rPr>
        <w:t xml:space="preserve"> proved </w:t>
      </w:r>
      <w:r w:rsidR="6ED635F6" w:rsidRPr="4977AA67">
        <w:rPr>
          <w:rFonts w:cstheme="minorBidi"/>
          <w:b/>
          <w:bCs/>
          <w:color w:val="auto"/>
        </w:rPr>
        <w:t>challenging</w:t>
      </w:r>
      <w:r w:rsidR="2A2FF84F" w:rsidRPr="4977AA67">
        <w:rPr>
          <w:rFonts w:cstheme="minorBidi"/>
          <w:b/>
          <w:bCs/>
          <w:color w:val="auto"/>
        </w:rPr>
        <w:t xml:space="preserve">. </w:t>
      </w:r>
      <w:r w:rsidR="2A2FF84F" w:rsidRPr="4977AA67">
        <w:rPr>
          <w:b/>
          <w:bCs/>
          <w:color w:val="auto"/>
        </w:rPr>
        <w:t xml:space="preserve">The </w:t>
      </w:r>
      <w:r w:rsidR="6FC6E21E" w:rsidRPr="4977AA67">
        <w:rPr>
          <w:b/>
          <w:bCs/>
          <w:color w:val="auto"/>
        </w:rPr>
        <w:t>regional</w:t>
      </w:r>
      <w:r w:rsidR="2A2FF84F" w:rsidRPr="4977AA67">
        <w:rPr>
          <w:b/>
          <w:bCs/>
          <w:color w:val="auto"/>
        </w:rPr>
        <w:t xml:space="preserve"> level Design, Monitoring, Evaluation and Learning (DMEL) system </w:t>
      </w:r>
      <w:r w:rsidR="4BF62DDB" w:rsidRPr="4977AA67">
        <w:rPr>
          <w:b/>
          <w:bCs/>
          <w:color w:val="auto"/>
        </w:rPr>
        <w:t>was</w:t>
      </w:r>
      <w:r w:rsidR="2A2FF84F" w:rsidRPr="4977AA67">
        <w:rPr>
          <w:b/>
          <w:bCs/>
          <w:color w:val="auto"/>
        </w:rPr>
        <w:t xml:space="preserve"> an overall positive addition to efficiency and effectiveness. A </w:t>
      </w:r>
      <w:r w:rsidR="64E4B710" w:rsidRPr="4977AA67">
        <w:rPr>
          <w:b/>
          <w:bCs/>
          <w:color w:val="auto"/>
        </w:rPr>
        <w:t>limitation</w:t>
      </w:r>
      <w:r w:rsidR="2A2FF84F" w:rsidRPr="4977AA67">
        <w:rPr>
          <w:b/>
          <w:bCs/>
          <w:color w:val="auto"/>
        </w:rPr>
        <w:t xml:space="preserve"> of the centralised DMEL system</w:t>
      </w:r>
      <w:r w:rsidR="569368D6" w:rsidRPr="4977AA67">
        <w:rPr>
          <w:b/>
          <w:bCs/>
          <w:color w:val="auto"/>
        </w:rPr>
        <w:t xml:space="preserve"> however</w:t>
      </w:r>
      <w:r w:rsidR="2A2FF84F" w:rsidRPr="4977AA67">
        <w:rPr>
          <w:b/>
          <w:bCs/>
          <w:color w:val="auto"/>
        </w:rPr>
        <w:t xml:space="preserve"> was that COs focus mostly on activity and output level, as impact monitoring and analysis were moved up to regional level. On the other hand, decentralised MEL activities – as conducted by partners – were rarely augmented </w:t>
      </w:r>
      <w:r w:rsidR="65810DE6" w:rsidRPr="4977AA67">
        <w:rPr>
          <w:b/>
          <w:bCs/>
          <w:color w:val="auto"/>
        </w:rPr>
        <w:t xml:space="preserve">and </w:t>
      </w:r>
      <w:r w:rsidR="2A2FF84F" w:rsidRPr="4977AA67">
        <w:rPr>
          <w:b/>
          <w:bCs/>
          <w:color w:val="auto"/>
        </w:rPr>
        <w:t>validated via third party stakeholders.</w:t>
      </w:r>
    </w:p>
    <w:p w14:paraId="12271F42" w14:textId="77777777" w:rsidR="076A58FF" w:rsidRDefault="0C46233B" w:rsidP="007170A1">
      <w:pPr>
        <w:pStyle w:val="ItadNormalText"/>
        <w:jc w:val="both"/>
      </w:pPr>
      <w:r w:rsidRPr="006A561F">
        <w:t xml:space="preserve">The programme, especially in its second phase, sought to ensure that it </w:t>
      </w:r>
      <w:r w:rsidR="1284FB96" w:rsidRPr="006A561F">
        <w:t>functions as a</w:t>
      </w:r>
      <w:r w:rsidRPr="006A561F">
        <w:t xml:space="preserve"> regional programme rather than a multi-country programme. </w:t>
      </w:r>
      <w:r w:rsidR="5822959E" w:rsidRPr="006A561F">
        <w:t>Thus,</w:t>
      </w:r>
      <w:r w:rsidRPr="006A561F">
        <w:t xml:space="preserve"> there was a conscious effort to ensure that MWGE implement</w:t>
      </w:r>
      <w:r w:rsidR="37C19C13" w:rsidRPr="006A561F">
        <w:t>ed</w:t>
      </w:r>
      <w:r w:rsidRPr="006A561F">
        <w:t xml:space="preserve"> a coherent and cohesive approach in all countries rather than </w:t>
      </w:r>
      <w:r w:rsidR="1BC05700" w:rsidRPr="006A561F">
        <w:t xml:space="preserve">implementing </w:t>
      </w:r>
      <w:r w:rsidRPr="006A561F">
        <w:t>a collection of different approaches in parallel.</w:t>
      </w:r>
      <w:r w:rsidR="006F2F6D" w:rsidRPr="4977AA67">
        <w:rPr>
          <w:rStyle w:val="FootnoteReference"/>
          <w:rFonts w:cstheme="minorBidi"/>
          <w:sz w:val="22"/>
          <w:szCs w:val="22"/>
        </w:rPr>
        <w:footnoteReference w:id="234"/>
      </w:r>
      <w:r w:rsidRPr="006A561F">
        <w:t xml:space="preserve"> At the same time, however, the programme needed to allow for flexibility at country level, as each context was different in terms of possibilities, </w:t>
      </w:r>
      <w:proofErr w:type="gramStart"/>
      <w:r w:rsidRPr="006A561F">
        <w:t>challenges</w:t>
      </w:r>
      <w:proofErr w:type="gramEnd"/>
      <w:r w:rsidRPr="006A561F">
        <w:t xml:space="preserve"> and entry points. The greatest deviance from the overall programme was arguably in Lebanon, in part </w:t>
      </w:r>
      <w:r w:rsidR="1BC05700" w:rsidRPr="006A561F">
        <w:t xml:space="preserve">owing </w:t>
      </w:r>
      <w:r w:rsidRPr="006A561F">
        <w:t xml:space="preserve">to the </w:t>
      </w:r>
      <w:r w:rsidR="5435A478">
        <w:t>shift toward the support and engagement of the feminist movement</w:t>
      </w:r>
      <w:r w:rsidRPr="006A561F">
        <w:t>.</w:t>
      </w:r>
      <w:r w:rsidR="006F2F6D" w:rsidRPr="4977AA67">
        <w:rPr>
          <w:rStyle w:val="FootnoteReference"/>
          <w:rFonts w:cstheme="minorBidi"/>
          <w:sz w:val="22"/>
          <w:szCs w:val="22"/>
        </w:rPr>
        <w:footnoteReference w:id="235"/>
      </w:r>
      <w:r w:rsidRPr="006A561F">
        <w:t xml:space="preserve"> As a result, the regional office sought to give the programme as much of a ‘steer’ as possible, </w:t>
      </w:r>
      <w:r w:rsidR="1BC05700" w:rsidRPr="006A561F">
        <w:t xml:space="preserve">to </w:t>
      </w:r>
      <w:r w:rsidRPr="006A561F">
        <w:t xml:space="preserve">create synergies and </w:t>
      </w:r>
      <w:r w:rsidR="426CB61A" w:rsidRPr="006A561F">
        <w:t>put</w:t>
      </w:r>
      <w:r w:rsidRPr="006A561F">
        <w:t xml:space="preserve"> common systems and standards where possible, while giving </w:t>
      </w:r>
      <w:r w:rsidR="4AFC29EB" w:rsidRPr="006A561F">
        <w:t>COs</w:t>
      </w:r>
      <w:r w:rsidRPr="006A561F">
        <w:t xml:space="preserve"> the necessary leeway and without entangling the programme by being micro-managerial.</w:t>
      </w:r>
      <w:r w:rsidR="006F2F6D" w:rsidRPr="4977AA67">
        <w:rPr>
          <w:rStyle w:val="FootnoteReference"/>
          <w:rFonts w:cstheme="minorBidi"/>
          <w:sz w:val="22"/>
          <w:szCs w:val="22"/>
        </w:rPr>
        <w:footnoteReference w:id="236"/>
      </w:r>
      <w:r w:rsidR="76B035B1">
        <w:t xml:space="preserve">The approach used in Lebanon to engage with KAFA, a Lebanese feminist NGO, as the umbrella organization for CBO interventions in Phase II (instead of an INGO, like Save the Children, in Phase I), </w:t>
      </w:r>
      <w:r w:rsidR="69B1232B">
        <w:t>was</w:t>
      </w:r>
      <w:r w:rsidR="76B035B1">
        <w:t xml:space="preserve"> regarded as a good practice contributing to strengthen local ownership and increase accountability towards the feminist movement.</w:t>
      </w:r>
      <w:r w:rsidR="00BE1F84">
        <w:rPr>
          <w:rStyle w:val="FootnoteReference"/>
        </w:rPr>
        <w:footnoteReference w:id="237"/>
      </w:r>
    </w:p>
    <w:p w14:paraId="01E6DD9A" w14:textId="77777777" w:rsidR="006F2F6D" w:rsidRDefault="0C46233B" w:rsidP="007170A1">
      <w:pPr>
        <w:pStyle w:val="ItadNormalText"/>
        <w:jc w:val="both"/>
      </w:pPr>
      <w:r w:rsidRPr="006A561F">
        <w:t xml:space="preserve">The regional-level management of the programme sought to provide quality assurance across the programme, though there were instances when </w:t>
      </w:r>
      <w:r w:rsidR="1BC05700" w:rsidRPr="006A561F">
        <w:t>COs</w:t>
      </w:r>
      <w:r w:rsidRPr="006A561F">
        <w:t xml:space="preserve"> did not consult the regional office in operational matters, such as when producing or launching some media and knowledge products (see also </w:t>
      </w:r>
      <w:r w:rsidR="34946570">
        <w:t>EQ 9</w:t>
      </w:r>
      <w:r w:rsidRPr="006A561F">
        <w:t>).</w:t>
      </w:r>
      <w:r w:rsidR="006F2F6D" w:rsidRPr="4977AA67">
        <w:rPr>
          <w:rStyle w:val="FootnoteReference"/>
          <w:rFonts w:cstheme="minorBidi"/>
          <w:sz w:val="22"/>
          <w:szCs w:val="22"/>
        </w:rPr>
        <w:footnoteReference w:id="238"/>
      </w:r>
      <w:r w:rsidRPr="006A561F">
        <w:t xml:space="preserve"> Several </w:t>
      </w:r>
      <w:r w:rsidR="1BC05700" w:rsidRPr="006A561F">
        <w:t>COs</w:t>
      </w:r>
      <w:r w:rsidRPr="006A561F">
        <w:t xml:space="preserve"> did</w:t>
      </w:r>
      <w:r w:rsidR="1BC05700" w:rsidRPr="006A561F">
        <w:t>,</w:t>
      </w:r>
      <w:r w:rsidRPr="006A561F">
        <w:t xml:space="preserve"> however</w:t>
      </w:r>
      <w:r w:rsidR="1BC05700" w:rsidRPr="006A561F">
        <w:t>,</w:t>
      </w:r>
      <w:r w:rsidRPr="006A561F">
        <w:t xml:space="preserve"> request </w:t>
      </w:r>
      <w:r w:rsidR="1BC05700" w:rsidRPr="006A561F">
        <w:t>that</w:t>
      </w:r>
      <w:r w:rsidRPr="006A561F">
        <w:t xml:space="preserve"> there be more supporting staff at regional level </w:t>
      </w:r>
      <w:r w:rsidR="1BC05700" w:rsidRPr="006A561F">
        <w:t>who</w:t>
      </w:r>
      <w:r w:rsidRPr="006A561F">
        <w:t xml:space="preserve"> could be drawn upon when needed, including further regional MEL support and support to help with politically sensitive issues and situations.</w:t>
      </w:r>
      <w:r w:rsidR="006F2F6D" w:rsidRPr="4977AA67">
        <w:rPr>
          <w:rStyle w:val="FootnoteReference"/>
          <w:rFonts w:cstheme="minorBidi"/>
          <w:sz w:val="22"/>
          <w:szCs w:val="22"/>
        </w:rPr>
        <w:footnoteReference w:id="239"/>
      </w:r>
    </w:p>
    <w:p w14:paraId="10D02062" w14:textId="77777777" w:rsidR="00F27FA2" w:rsidRPr="006A561F" w:rsidRDefault="0743636A" w:rsidP="007170A1">
      <w:pPr>
        <w:pStyle w:val="ItadNormalText"/>
        <w:jc w:val="both"/>
      </w:pPr>
      <w:r w:rsidRPr="006A561F">
        <w:t xml:space="preserve">Interviewees’ views on the utility of country-level steering and advisory committees were mixed. In Phase I, a regional Strategic Consultative Group (SCG) was established at regional level as well as in three of the implementation countries. While the regional SCG involved </w:t>
      </w:r>
      <w:proofErr w:type="spellStart"/>
      <w:r w:rsidRPr="006A561F">
        <w:t>Promundo</w:t>
      </w:r>
      <w:proofErr w:type="spellEnd"/>
      <w:r w:rsidRPr="006A561F">
        <w:t xml:space="preserve">, UN Women and the umbrella </w:t>
      </w:r>
      <w:r w:rsidRPr="006A561F">
        <w:lastRenderedPageBreak/>
        <w:t>organisations, at country level they also brought together government and civil society actors.</w:t>
      </w:r>
      <w:r w:rsidR="006F2F6D" w:rsidRPr="0D4BD307">
        <w:rPr>
          <w:rStyle w:val="FootnoteReference"/>
          <w:sz w:val="22"/>
          <w:szCs w:val="22"/>
        </w:rPr>
        <w:footnoteReference w:id="240"/>
      </w:r>
      <w:r w:rsidRPr="006A561F">
        <w:t xml:space="preserve"> In Egypt, the Country Advisory Board (CAB) was seen as a useful mechanism</w:t>
      </w:r>
      <w:r w:rsidR="7ED7CED6" w:rsidRPr="006A561F">
        <w:t xml:space="preserve"> both</w:t>
      </w:r>
      <w:r w:rsidRPr="006A561F">
        <w:t xml:space="preserve"> to ensure government engagement and </w:t>
      </w:r>
      <w:r w:rsidR="7ED7CED6" w:rsidRPr="006A561F">
        <w:t xml:space="preserve">to </w:t>
      </w:r>
      <w:r w:rsidRPr="006A561F">
        <w:t>create a space for dialogue between UN Women, government and civil society, even if it had no decision-making power.</w:t>
      </w:r>
      <w:r w:rsidR="006F2F6D" w:rsidRPr="4977AA67">
        <w:rPr>
          <w:rStyle w:val="FootnoteReference"/>
          <w:rFonts w:cstheme="minorBidi"/>
          <w:sz w:val="22"/>
          <w:szCs w:val="22"/>
        </w:rPr>
        <w:footnoteReference w:id="241"/>
      </w:r>
      <w:r w:rsidRPr="006A561F">
        <w:t xml:space="preserve"> The lack of such a mechanism bringing together various actors was seen as a drawback in Palestine.</w:t>
      </w:r>
      <w:r w:rsidR="006F2F6D" w:rsidRPr="4977AA67">
        <w:rPr>
          <w:rStyle w:val="FootnoteReference"/>
          <w:rFonts w:cstheme="minorBidi"/>
          <w:sz w:val="22"/>
          <w:szCs w:val="22"/>
        </w:rPr>
        <w:footnoteReference w:id="242"/>
      </w:r>
      <w:r w:rsidRPr="006A561F">
        <w:t xml:space="preserve"> In Lebanon, however, the advisory board, which only met once during Phase II, was not seen as efficient, and at least one interviewee suggested hav</w:t>
      </w:r>
      <w:r w:rsidR="7073A954" w:rsidRPr="006A561F">
        <w:t>ing</w:t>
      </w:r>
      <w:r w:rsidRPr="006A561F">
        <w:t xml:space="preserve"> a technical oversight committee</w:t>
      </w:r>
      <w:r w:rsidR="7073A954" w:rsidRPr="006A561F">
        <w:t xml:space="preserve"> instead</w:t>
      </w:r>
      <w:r w:rsidRPr="006A561F">
        <w:t>.</w:t>
      </w:r>
      <w:r w:rsidR="006F2F6D" w:rsidRPr="4977AA67">
        <w:rPr>
          <w:rStyle w:val="FootnoteReference"/>
          <w:rFonts w:cstheme="minorBidi"/>
          <w:sz w:val="22"/>
          <w:szCs w:val="22"/>
        </w:rPr>
        <w:footnoteReference w:id="243"/>
      </w:r>
    </w:p>
    <w:p w14:paraId="1B77155D" w14:textId="77777777" w:rsidR="00891D50" w:rsidRDefault="0C46233B" w:rsidP="0008034A">
      <w:pPr>
        <w:pStyle w:val="ItadNormalText"/>
        <w:jc w:val="both"/>
      </w:pPr>
      <w:r w:rsidRPr="006A561F">
        <w:t xml:space="preserve">Having a centralised </w:t>
      </w:r>
      <w:r w:rsidR="47BA10DA" w:rsidRPr="006A561F">
        <w:t>D</w:t>
      </w:r>
      <w:r w:rsidRPr="006A561F">
        <w:t xml:space="preserve">MEL system at regional level was seen by country office and regional office-level interviewees as benefiting the programme and as a gain in both efficiency and effectiveness. Having a regional system to collate and analyse </w:t>
      </w:r>
      <w:r w:rsidR="47BA10DA" w:rsidRPr="006A561F">
        <w:t>D</w:t>
      </w:r>
      <w:r w:rsidRPr="006A561F">
        <w:t xml:space="preserve">MEL data systematically across the programme freed up </w:t>
      </w:r>
      <w:r w:rsidR="039F4AA2" w:rsidRPr="006A561F">
        <w:t>COs</w:t>
      </w:r>
      <w:r w:rsidRPr="006A561F">
        <w:t xml:space="preserve"> to focus on implementation.</w:t>
      </w:r>
      <w:r w:rsidR="006F2F6D" w:rsidRPr="4977AA67">
        <w:rPr>
          <w:rStyle w:val="FootnoteReference"/>
          <w:rFonts w:cstheme="minorBidi"/>
          <w:sz w:val="22"/>
          <w:szCs w:val="22"/>
        </w:rPr>
        <w:footnoteReference w:id="244"/>
      </w:r>
      <w:r w:rsidRPr="006A561F">
        <w:t xml:space="preserve"> </w:t>
      </w:r>
      <w:r w:rsidR="165AA0E5" w:rsidRPr="006A561F">
        <w:t xml:space="preserve">The </w:t>
      </w:r>
      <w:r w:rsidR="165AA0E5">
        <w:t>COs and, to a lesser degree, implementing partners were engaged in all steps of developing the DMEL system, including how to track changes in attitudes and behaviours.</w:t>
      </w:r>
      <w:r w:rsidR="3D2807EF" w:rsidRPr="4977AA67">
        <w:rPr>
          <w:rStyle w:val="FootnoteReference"/>
          <w:rFonts w:cstheme="minorBidi"/>
          <w:sz w:val="22"/>
          <w:szCs w:val="22"/>
        </w:rPr>
        <w:footnoteReference w:id="245"/>
      </w:r>
      <w:r w:rsidR="165AA0E5">
        <w:t xml:space="preserve"> Feedback from the implementing partners was provided and reflected at all levels and passed by COs to regional level. When the regional DMEL team conducted in-person spot checks, CO staff attended some of the meetings as observers.</w:t>
      </w:r>
      <w:r w:rsidR="3D2807EF" w:rsidRPr="4977AA67">
        <w:rPr>
          <w:rStyle w:val="FootnoteReference"/>
          <w:rFonts w:cstheme="minorBidi"/>
          <w:sz w:val="22"/>
          <w:szCs w:val="22"/>
        </w:rPr>
        <w:footnoteReference w:id="246"/>
      </w:r>
      <w:r w:rsidR="165AA0E5">
        <w:t xml:space="preserve"> Nevertheless, one drawback of the centralised DMEL system was that COs ended up being focused on the delivery of activities and outputs, reflecting less on impacts as these are analysed at regional level. In addition, given the limited engagement of third-party stakeholders in MEL or associated validation and quality assurance processes across all COs, there has been a potential loss of triangulation or credibility of MEL data.</w:t>
      </w:r>
    </w:p>
    <w:p w14:paraId="427B5F63" w14:textId="77777777" w:rsidR="00891D50" w:rsidRDefault="0302F804" w:rsidP="0008034A">
      <w:pPr>
        <w:pStyle w:val="ItadNormalText"/>
        <w:jc w:val="both"/>
      </w:pPr>
      <w:r>
        <w:t>The data colle</w:t>
      </w:r>
      <w:r w:rsidR="00726AC6">
        <w:t>c</w:t>
      </w:r>
      <w:r>
        <w:t xml:space="preserve">ted </w:t>
      </w:r>
      <w:r w:rsidR="7A8D0E0A">
        <w:t xml:space="preserve">included standard activity </w:t>
      </w:r>
      <w:r w:rsidR="3D2DCA6A">
        <w:t xml:space="preserve">and output data, such as activities, sex and age-disaggregated number of participants, </w:t>
      </w:r>
      <w:r w:rsidR="684A74B4">
        <w:t xml:space="preserve">or the </w:t>
      </w:r>
      <w:r w:rsidR="3D2DCA6A">
        <w:t>nu</w:t>
      </w:r>
      <w:r w:rsidR="1F901846">
        <w:t>m</w:t>
      </w:r>
      <w:r w:rsidR="3D2DCA6A">
        <w:t>ber of outputs</w:t>
      </w:r>
      <w:r w:rsidR="1F901846">
        <w:t xml:space="preserve"> such as </w:t>
      </w:r>
      <w:r w:rsidR="684A74B4">
        <w:t>knowledge products</w:t>
      </w:r>
      <w:r w:rsidR="03EF5B0F">
        <w:t>, or expenditures</w:t>
      </w:r>
      <w:r w:rsidR="684A74B4">
        <w:t xml:space="preserve">. In addition, the DMEL </w:t>
      </w:r>
      <w:r w:rsidR="1D8698AA">
        <w:t xml:space="preserve">data sought to capture the impact of various </w:t>
      </w:r>
      <w:r w:rsidR="277A6FD0">
        <w:t xml:space="preserve">aspects of the programme using </w:t>
      </w:r>
      <w:r w:rsidR="33C9DDB5">
        <w:t xml:space="preserve">a range of quantitative and qualitative tools. </w:t>
      </w:r>
      <w:r w:rsidR="708EB444">
        <w:t>Quantitative tools included measuring t</w:t>
      </w:r>
      <w:r w:rsidR="33C9DDB5">
        <w:t>he impact of</w:t>
      </w:r>
      <w:r w:rsidR="708EB444">
        <w:t xml:space="preserve"> </w:t>
      </w:r>
      <w:r w:rsidR="6F1B6048">
        <w:t xml:space="preserve">capacity-building trainings as well of </w:t>
      </w:r>
      <w:r w:rsidR="5346C475">
        <w:t xml:space="preserve">CBO activities by </w:t>
      </w:r>
      <w:r w:rsidR="098CB767">
        <w:t>tracking changes in knowledg</w:t>
      </w:r>
      <w:r w:rsidR="5781A2C5">
        <w:t xml:space="preserve">e, and for the </w:t>
      </w:r>
      <w:r w:rsidR="14761B15">
        <w:t xml:space="preserve">beneficiaries also in attitudes and behaviours. For the baseline and endline </w:t>
      </w:r>
      <w:r w:rsidR="5BFF2172">
        <w:t xml:space="preserve">surveys with beneficiaries, the GEMS scale was used. Furthermore, reach data was collected </w:t>
      </w:r>
      <w:r w:rsidR="186A19C3">
        <w:t xml:space="preserve">for public awareness and outreach campaigns. Qualitative monitoring </w:t>
      </w:r>
      <w:r w:rsidR="03EF5B0F">
        <w:t>data</w:t>
      </w:r>
      <w:r w:rsidR="186A19C3">
        <w:t xml:space="preserve"> </w:t>
      </w:r>
      <w:r w:rsidR="4C827545">
        <w:t>of the impact of community-level interventions was</w:t>
      </w:r>
      <w:r w:rsidR="03EF5B0F">
        <w:t xml:space="preserve"> mainly </w:t>
      </w:r>
      <w:r w:rsidR="4C827545">
        <w:t>collected using the</w:t>
      </w:r>
      <w:r w:rsidR="03EF5B0F">
        <w:t xml:space="preserve"> Most Significant Change (MSC)</w:t>
      </w:r>
      <w:r w:rsidR="4C827545">
        <w:t xml:space="preserve"> technique</w:t>
      </w:r>
      <w:r w:rsidR="53C34448">
        <w:t xml:space="preserve">, as well as </w:t>
      </w:r>
      <w:r w:rsidR="186943C7">
        <w:t>virtual monitoring of community events</w:t>
      </w:r>
      <w:r w:rsidR="4C827545">
        <w:t xml:space="preserve">. </w:t>
      </w:r>
      <w:r w:rsidR="61C3E2E5">
        <w:t xml:space="preserve">Prior to the Covid-19 pandemic, on-site spot checks were conducted with the implementing partners. </w:t>
      </w:r>
      <w:r w:rsidR="4C827545">
        <w:t>While the DMEL system thus</w:t>
      </w:r>
      <w:r w:rsidR="61C3E2E5">
        <w:t xml:space="preserve"> collected a wide variety of data on the </w:t>
      </w:r>
      <w:r w:rsidR="3B08E3B9">
        <w:t>programme, it did also have its limitations, as discussed in section 4.5.</w:t>
      </w:r>
      <w:r w:rsidR="4C827545">
        <w:t xml:space="preserve"> </w:t>
      </w:r>
      <w:r w:rsidR="03EF5B0F">
        <w:t xml:space="preserve">   </w:t>
      </w:r>
      <w:r w:rsidR="5BFF2172">
        <w:t xml:space="preserve"> </w:t>
      </w:r>
      <w:r w:rsidR="098CB767">
        <w:t xml:space="preserve"> </w:t>
      </w:r>
      <w:r w:rsidR="6F1B6048">
        <w:t xml:space="preserve"> </w:t>
      </w:r>
      <w:r w:rsidR="33C9DDB5">
        <w:t xml:space="preserve"> </w:t>
      </w:r>
      <w:r w:rsidR="684A74B4">
        <w:t xml:space="preserve"> </w:t>
      </w:r>
    </w:p>
    <w:p w14:paraId="12072133" w14:textId="77777777" w:rsidR="006F2F6D" w:rsidRPr="006A561F" w:rsidRDefault="0C46233B" w:rsidP="0008034A">
      <w:pPr>
        <w:pStyle w:val="ItadNormalText"/>
        <w:jc w:val="both"/>
      </w:pPr>
      <w:r w:rsidRPr="006A561F">
        <w:t xml:space="preserve">The </w:t>
      </w:r>
      <w:r w:rsidR="47BA10DA" w:rsidRPr="006A561F">
        <w:t>D</w:t>
      </w:r>
      <w:r w:rsidRPr="006A561F">
        <w:t>MEL system had to be adapted with the pandemic as in-person spot checks were no longer possible and was able to continue monitoring online.</w:t>
      </w:r>
      <w:r w:rsidR="006F2F6D" w:rsidRPr="4977AA67">
        <w:rPr>
          <w:rStyle w:val="FootnoteReference"/>
          <w:rFonts w:cstheme="minorBidi"/>
          <w:sz w:val="22"/>
          <w:szCs w:val="22"/>
        </w:rPr>
        <w:footnoteReference w:id="247"/>
      </w:r>
      <w:r w:rsidRPr="006A561F">
        <w:t xml:space="preserve"> </w:t>
      </w:r>
      <w:r w:rsidR="15583241">
        <w:t xml:space="preserve">In at least Lebanon, the programme also </w:t>
      </w:r>
      <w:r w:rsidR="469337DF">
        <w:t xml:space="preserve">organised additional FGDs with youth activists to </w:t>
      </w:r>
      <w:r w:rsidR="0302F804">
        <w:t xml:space="preserve">compensate for monitoring data that could not </w:t>
      </w:r>
      <w:r w:rsidR="3B08E3B9">
        <w:t xml:space="preserve">be collected </w:t>
      </w:r>
      <w:r w:rsidR="5E192F94">
        <w:t>by the CBOs due to restrictions.</w:t>
      </w:r>
      <w:r w:rsidR="00145E61">
        <w:rPr>
          <w:rStyle w:val="FootnoteReference"/>
        </w:rPr>
        <w:footnoteReference w:id="248"/>
      </w:r>
      <w:r w:rsidRPr="006A561F">
        <w:t xml:space="preserve"> </w:t>
      </w:r>
    </w:p>
    <w:p w14:paraId="369158E6" w14:textId="77777777" w:rsidR="4977AA67" w:rsidRDefault="4977AA67" w:rsidP="4977AA67">
      <w:pPr>
        <w:pStyle w:val="ItadNormalText"/>
        <w:jc w:val="both"/>
        <w:rPr>
          <w:b/>
          <w:bCs/>
          <w:color w:val="E37230" w:themeColor="accent2"/>
        </w:rPr>
      </w:pPr>
    </w:p>
    <w:p w14:paraId="010C5250" w14:textId="77777777" w:rsidR="006F2F6D" w:rsidRPr="006A561F" w:rsidRDefault="3774BE70" w:rsidP="4977AA67">
      <w:pPr>
        <w:pStyle w:val="ItadNormalText"/>
        <w:jc w:val="both"/>
        <w:rPr>
          <w:b/>
          <w:bCs/>
        </w:rPr>
      </w:pPr>
      <w:r w:rsidRPr="4977AA67">
        <w:rPr>
          <w:b/>
          <w:bCs/>
          <w:color w:val="E37230" w:themeColor="accent2"/>
        </w:rPr>
        <w:t>Finding 6.</w:t>
      </w:r>
      <w:r w:rsidR="4117F519" w:rsidRPr="4977AA67">
        <w:rPr>
          <w:b/>
          <w:bCs/>
          <w:color w:val="E37230" w:themeColor="accent2"/>
        </w:rPr>
        <w:t>2</w:t>
      </w:r>
      <w:r w:rsidRPr="4977AA67">
        <w:rPr>
          <w:b/>
          <w:bCs/>
          <w:color w:val="E37230" w:themeColor="accent2"/>
        </w:rPr>
        <w:t xml:space="preserve">: </w:t>
      </w:r>
      <w:r w:rsidRPr="4977AA67">
        <w:rPr>
          <w:rFonts w:cstheme="minorBidi"/>
          <w:b/>
          <w:bCs/>
        </w:rPr>
        <w:t xml:space="preserve">The </w:t>
      </w:r>
      <w:r w:rsidR="763A224E" w:rsidRPr="4977AA67">
        <w:rPr>
          <w:rFonts w:cstheme="minorBidi"/>
          <w:b/>
          <w:bCs/>
        </w:rPr>
        <w:t>p</w:t>
      </w:r>
      <w:r w:rsidRPr="4977AA67">
        <w:rPr>
          <w:rFonts w:cstheme="minorBidi"/>
          <w:b/>
          <w:bCs/>
        </w:rPr>
        <w:t>rogramme was able to leverage ‘economies of scale’/sharing of resources regionally, using tested, manuali</w:t>
      </w:r>
      <w:r w:rsidR="6E63CB30" w:rsidRPr="4977AA67">
        <w:rPr>
          <w:rFonts w:cstheme="minorBidi"/>
          <w:b/>
          <w:bCs/>
        </w:rPr>
        <w:t>s</w:t>
      </w:r>
      <w:r w:rsidRPr="4977AA67">
        <w:rPr>
          <w:rFonts w:cstheme="minorBidi"/>
          <w:b/>
          <w:bCs/>
        </w:rPr>
        <w:t xml:space="preserve">ed approaches. </w:t>
      </w:r>
      <w:r w:rsidR="2FA2EA44" w:rsidRPr="4977AA67">
        <w:rPr>
          <w:b/>
          <w:bCs/>
        </w:rPr>
        <w:t xml:space="preserve">There </w:t>
      </w:r>
      <w:r w:rsidR="329917B4" w:rsidRPr="4977AA67">
        <w:rPr>
          <w:b/>
          <w:bCs/>
        </w:rPr>
        <w:t xml:space="preserve">were </w:t>
      </w:r>
      <w:r w:rsidR="2FA2EA44" w:rsidRPr="4977AA67">
        <w:rPr>
          <w:b/>
          <w:bCs/>
        </w:rPr>
        <w:t>p</w:t>
      </w:r>
      <w:r w:rsidRPr="4977AA67">
        <w:rPr>
          <w:b/>
          <w:bCs/>
        </w:rPr>
        <w:t xml:space="preserve">otential gains in efficiency and effectiveness through of </w:t>
      </w:r>
      <w:r w:rsidR="63ABB926" w:rsidRPr="4977AA67">
        <w:rPr>
          <w:b/>
          <w:bCs/>
        </w:rPr>
        <w:t xml:space="preserve">the </w:t>
      </w:r>
      <w:r w:rsidRPr="4977AA67">
        <w:rPr>
          <w:b/>
          <w:bCs/>
        </w:rPr>
        <w:t xml:space="preserve">shift from </w:t>
      </w:r>
      <w:proofErr w:type="spellStart"/>
      <w:r w:rsidRPr="4977AA67">
        <w:rPr>
          <w:b/>
          <w:bCs/>
        </w:rPr>
        <w:t>Promundo</w:t>
      </w:r>
      <w:proofErr w:type="spellEnd"/>
      <w:r w:rsidRPr="4977AA67">
        <w:rPr>
          <w:b/>
          <w:bCs/>
        </w:rPr>
        <w:t xml:space="preserve"> to local research partners for IMAGES, especially in Jordan</w:t>
      </w:r>
      <w:r w:rsidR="763A224E" w:rsidRPr="4977AA67">
        <w:rPr>
          <w:b/>
          <w:bCs/>
        </w:rPr>
        <w:t>.</w:t>
      </w:r>
      <w:r w:rsidR="45549ECA" w:rsidRPr="4977AA67">
        <w:rPr>
          <w:b/>
          <w:bCs/>
        </w:rPr>
        <w:t xml:space="preserve"> The programme was affected by delays and bottlenecks within internal UN Women processes, staffing gaps and procurement</w:t>
      </w:r>
      <w:r w:rsidR="52A40DC7" w:rsidRPr="4977AA67">
        <w:rPr>
          <w:b/>
          <w:bCs/>
        </w:rPr>
        <w:t xml:space="preserve"> processes</w:t>
      </w:r>
      <w:r w:rsidR="45549ECA" w:rsidRPr="4977AA67">
        <w:rPr>
          <w:b/>
          <w:bCs/>
        </w:rPr>
        <w:t>, government approval processes, shifts toward Covid-19 sensitive programming, and wider political developments.</w:t>
      </w:r>
      <w:r w:rsidR="47FA753C" w:rsidRPr="4977AA67">
        <w:rPr>
          <w:b/>
          <w:bCs/>
        </w:rPr>
        <w:t xml:space="preserve"> </w:t>
      </w:r>
    </w:p>
    <w:p w14:paraId="50BE89F9" w14:textId="77777777" w:rsidR="006F2F6D" w:rsidRPr="006A561F" w:rsidRDefault="0C46233B" w:rsidP="0008034A">
      <w:pPr>
        <w:pStyle w:val="ItadNormalText"/>
        <w:jc w:val="both"/>
      </w:pPr>
      <w:r w:rsidRPr="4977AA67">
        <w:rPr>
          <w:rFonts w:cstheme="minorBidi"/>
        </w:rPr>
        <w:t xml:space="preserve">The </w:t>
      </w:r>
      <w:r w:rsidR="3C5587F4" w:rsidRPr="4977AA67">
        <w:rPr>
          <w:rFonts w:cstheme="minorBidi"/>
        </w:rPr>
        <w:t>p</w:t>
      </w:r>
      <w:r w:rsidRPr="4977AA67">
        <w:rPr>
          <w:rFonts w:cstheme="minorBidi"/>
        </w:rPr>
        <w:t xml:space="preserve">rogramme was able to leverage ‘economies of scale’ by using tested, proven and </w:t>
      </w:r>
      <w:r w:rsidR="3C5587F4" w:rsidRPr="4977AA67">
        <w:rPr>
          <w:rFonts w:cstheme="minorBidi"/>
        </w:rPr>
        <w:t>(</w:t>
      </w:r>
      <w:r w:rsidRPr="4977AA67">
        <w:rPr>
          <w:rFonts w:cstheme="minorBidi"/>
        </w:rPr>
        <w:t>in part</w:t>
      </w:r>
      <w:r w:rsidR="3C5587F4" w:rsidRPr="4977AA67">
        <w:rPr>
          <w:rFonts w:cstheme="minorBidi"/>
        </w:rPr>
        <w:t>)</w:t>
      </w:r>
      <w:r w:rsidRPr="4977AA67">
        <w:rPr>
          <w:rFonts w:cstheme="minorBidi"/>
        </w:rPr>
        <w:t xml:space="preserve"> manuali</w:t>
      </w:r>
      <w:r w:rsidR="6B0A8BC5" w:rsidRPr="4977AA67">
        <w:rPr>
          <w:rFonts w:cstheme="minorBidi"/>
        </w:rPr>
        <w:t>s</w:t>
      </w:r>
      <w:r w:rsidRPr="4977AA67">
        <w:rPr>
          <w:rFonts w:cstheme="minorBidi"/>
        </w:rPr>
        <w:t xml:space="preserve">ed approaches that could be adapted comparatively easily and rolled out across the region, </w:t>
      </w:r>
      <w:proofErr w:type="gramStart"/>
      <w:r w:rsidR="3C5587F4" w:rsidRPr="4977AA67">
        <w:rPr>
          <w:rFonts w:cstheme="minorBidi"/>
        </w:rPr>
        <w:t>e.g.</w:t>
      </w:r>
      <w:proofErr w:type="gramEnd"/>
      <w:r w:rsidRPr="4977AA67">
        <w:rPr>
          <w:rFonts w:cstheme="minorBidi"/>
        </w:rPr>
        <w:t xml:space="preserve"> IMAGES and </w:t>
      </w:r>
      <w:r w:rsidRPr="4977AA67">
        <w:rPr>
          <w:rFonts w:cstheme="minorBidi"/>
        </w:rPr>
        <w:lastRenderedPageBreak/>
        <w:t>Program P. Although substantial time and effort was invested into the local adaptation of these approaches</w:t>
      </w:r>
      <w:r w:rsidR="3C5587F4" w:rsidRPr="4977AA67">
        <w:rPr>
          <w:rFonts w:cstheme="minorBidi"/>
        </w:rPr>
        <w:t xml:space="preserve"> –</w:t>
      </w:r>
      <w:r w:rsidRPr="4977AA67">
        <w:rPr>
          <w:rFonts w:cstheme="minorBidi"/>
        </w:rPr>
        <w:t xml:space="preserve"> as</w:t>
      </w:r>
      <w:r w:rsidR="3C5587F4" w:rsidRPr="4977AA67">
        <w:rPr>
          <w:rFonts w:cstheme="minorBidi"/>
        </w:rPr>
        <w:t>,</w:t>
      </w:r>
      <w:r w:rsidRPr="4977AA67">
        <w:rPr>
          <w:rFonts w:cstheme="minorBidi"/>
        </w:rPr>
        <w:t xml:space="preserve"> for example</w:t>
      </w:r>
      <w:r w:rsidR="3C5587F4" w:rsidRPr="4977AA67">
        <w:rPr>
          <w:rFonts w:cstheme="minorBidi"/>
        </w:rPr>
        <w:t>,</w:t>
      </w:r>
      <w:r w:rsidRPr="4977AA67">
        <w:rPr>
          <w:rFonts w:cstheme="minorBidi"/>
        </w:rPr>
        <w:t xml:space="preserve"> with the Phase II adaptations of IMAGES for Jordan and Tunisia</w:t>
      </w:r>
      <w:r w:rsidR="3C5587F4" w:rsidRPr="4977AA67">
        <w:rPr>
          <w:rFonts w:cstheme="minorBidi"/>
        </w:rPr>
        <w:t xml:space="preserve"> –</w:t>
      </w:r>
      <w:r w:rsidRPr="4977AA67">
        <w:rPr>
          <w:rFonts w:cstheme="minorBidi"/>
        </w:rPr>
        <w:t xml:space="preserve"> these did not have to be developed from scratch. Furthermore, the common use of Arabic – </w:t>
      </w:r>
      <w:proofErr w:type="gramStart"/>
      <w:r w:rsidRPr="4977AA67">
        <w:rPr>
          <w:rFonts w:cstheme="minorBidi"/>
        </w:rPr>
        <w:t>in spite of</w:t>
      </w:r>
      <w:proofErr w:type="gramEnd"/>
      <w:r w:rsidRPr="4977AA67">
        <w:rPr>
          <w:rFonts w:cstheme="minorBidi"/>
        </w:rPr>
        <w:t xml:space="preserve"> national and regional differences – allowed for sharing of resources, media and knowledge products across the implementing countries and across the broader region. The regional approach also allowed the programme to have impact </w:t>
      </w:r>
      <w:r w:rsidR="2458B7E9" w:rsidRPr="4977AA67">
        <w:rPr>
          <w:rFonts w:cstheme="minorBidi"/>
        </w:rPr>
        <w:t>on</w:t>
      </w:r>
      <w:r w:rsidRPr="4977AA67">
        <w:rPr>
          <w:rFonts w:cstheme="minorBidi"/>
        </w:rPr>
        <w:t xml:space="preserve"> a larger scale.</w:t>
      </w:r>
      <w:r w:rsidR="006F2F6D" w:rsidRPr="4977AA67">
        <w:rPr>
          <w:rStyle w:val="FootnoteReference"/>
          <w:rFonts w:cstheme="minorBidi"/>
          <w:sz w:val="22"/>
          <w:szCs w:val="22"/>
        </w:rPr>
        <w:footnoteReference w:id="249"/>
      </w:r>
      <w:r w:rsidRPr="4977AA67">
        <w:rPr>
          <w:rFonts w:cstheme="minorBidi"/>
        </w:rPr>
        <w:t xml:space="preserve"> However, there was comparatively little opportunity to affect sustained policy change at regional level, for example with the League of Arab States.</w:t>
      </w:r>
      <w:r w:rsidR="006F2F6D" w:rsidRPr="4977AA67">
        <w:rPr>
          <w:rStyle w:val="FootnoteReference"/>
          <w:rFonts w:cstheme="minorBidi"/>
          <w:sz w:val="22"/>
          <w:szCs w:val="22"/>
        </w:rPr>
        <w:footnoteReference w:id="250"/>
      </w:r>
    </w:p>
    <w:p w14:paraId="38BFF72A" w14:textId="77777777" w:rsidR="00F27FA2" w:rsidRDefault="4EAA50EC" w:rsidP="0008034A">
      <w:pPr>
        <w:pStyle w:val="ItadNormalText"/>
        <w:jc w:val="both"/>
      </w:pPr>
      <w:r>
        <w:t>In MWGE Phase I, two umbrella organisations (Care in Egypt and Save the Children in Lebanon) were INGOs</w:t>
      </w:r>
      <w:r w:rsidR="4732E7CE">
        <w:t>,</w:t>
      </w:r>
      <w:r>
        <w:t xml:space="preserve"> and the</w:t>
      </w:r>
      <w:r w:rsidR="4732E7CE">
        <w:t xml:space="preserve"> United States</w:t>
      </w:r>
      <w:r>
        <w:t xml:space="preserve"> </w:t>
      </w:r>
      <w:r w:rsidR="4732E7CE">
        <w:t>(</w:t>
      </w:r>
      <w:r>
        <w:t>US</w:t>
      </w:r>
      <w:r w:rsidR="4732E7CE">
        <w:t>)</w:t>
      </w:r>
      <w:r>
        <w:t xml:space="preserve">-based INGO </w:t>
      </w:r>
      <w:proofErr w:type="spellStart"/>
      <w:r>
        <w:t>Promundo</w:t>
      </w:r>
      <w:proofErr w:type="spellEnd"/>
      <w:r>
        <w:t xml:space="preserve"> played </w:t>
      </w:r>
      <w:r w:rsidR="2CA4F6B7">
        <w:t xml:space="preserve">a </w:t>
      </w:r>
      <w:r>
        <w:t xml:space="preserve">central role in the IMAGES process, as well as in introducing Program P as an intervention. Phase II saw a greater degree of localisation, with KAFA in Lebanon becoming the umbrella organisation and </w:t>
      </w:r>
      <w:proofErr w:type="spellStart"/>
      <w:r>
        <w:t>Promundo</w:t>
      </w:r>
      <w:proofErr w:type="spellEnd"/>
      <w:r>
        <w:t xml:space="preserve"> taking a more advisory rather than implementing role. Given that the </w:t>
      </w:r>
      <w:r w:rsidR="00EEE003">
        <w:t>locally run</w:t>
      </w:r>
      <w:r>
        <w:t xml:space="preserve"> Jordan and Tunisia IMAGES studies </w:t>
      </w:r>
      <w:r w:rsidR="38DFFEB3">
        <w:t xml:space="preserve">were </w:t>
      </w:r>
      <w:r w:rsidR="737A8725">
        <w:t>being</w:t>
      </w:r>
      <w:r>
        <w:t xml:space="preserve"> finalised and the data on the impacts of the local adaptations of Program P and GTP </w:t>
      </w:r>
      <w:r w:rsidR="553B0816">
        <w:t>were</w:t>
      </w:r>
      <w:r>
        <w:t xml:space="preserve"> </w:t>
      </w:r>
      <w:r w:rsidR="21EEA2D1">
        <w:t xml:space="preserve">also </w:t>
      </w:r>
      <w:r>
        <w:t xml:space="preserve">not available </w:t>
      </w:r>
      <w:r w:rsidR="666DB513">
        <w:t>during the time of the evaluation</w:t>
      </w:r>
      <w:r>
        <w:t xml:space="preserve">, it </w:t>
      </w:r>
      <w:r w:rsidR="23F1340F">
        <w:t>wa</w:t>
      </w:r>
      <w:r>
        <w:t xml:space="preserve">s too early to say </w:t>
      </w:r>
      <w:r w:rsidR="73F6CC91">
        <w:t xml:space="preserve">that </w:t>
      </w:r>
      <w:r>
        <w:t>the impact of th</w:t>
      </w:r>
      <w:r w:rsidR="6B3606DA">
        <w:t>e</w:t>
      </w:r>
      <w:r>
        <w:t xml:space="preserve"> shift </w:t>
      </w:r>
      <w:r w:rsidR="213F151E">
        <w:t>was</w:t>
      </w:r>
      <w:r>
        <w:t xml:space="preserve"> eff</w:t>
      </w:r>
      <w:r w:rsidR="4569870C">
        <w:t>icient and effective</w:t>
      </w:r>
      <w:r>
        <w:t xml:space="preserve">. However, it increased national ownership and – </w:t>
      </w:r>
      <w:proofErr w:type="gramStart"/>
      <w:r>
        <w:t>final results</w:t>
      </w:r>
      <w:proofErr w:type="gramEnd"/>
      <w:r>
        <w:t xml:space="preserve"> pending – </w:t>
      </w:r>
      <w:r w:rsidR="57EE5700">
        <w:t xml:space="preserve">were expected to </w:t>
      </w:r>
      <w:r>
        <w:t>have contributed to cost efficiencies.</w:t>
      </w:r>
    </w:p>
    <w:p w14:paraId="3779E62B" w14:textId="77777777" w:rsidR="006F2F6D" w:rsidRPr="006A561F" w:rsidRDefault="00D84276" w:rsidP="0008034A">
      <w:pPr>
        <w:pStyle w:val="ItadNormalText"/>
        <w:jc w:val="both"/>
      </w:pPr>
      <w:r>
        <w:t>Of the</w:t>
      </w:r>
      <w:r w:rsidR="0C46233B" w:rsidRPr="006A561F">
        <w:t xml:space="preserve"> delays </w:t>
      </w:r>
      <w:r w:rsidR="1349AC92">
        <w:t>affecting the MWGE programme</w:t>
      </w:r>
      <w:r w:rsidR="0C46233B" w:rsidRPr="006A561F">
        <w:t xml:space="preserve">, some were caused by processes internal to UN Women, </w:t>
      </w:r>
      <w:proofErr w:type="gramStart"/>
      <w:r w:rsidR="2458B7E9" w:rsidRPr="006A561F">
        <w:t>e.g.</w:t>
      </w:r>
      <w:proofErr w:type="gramEnd"/>
      <w:r w:rsidR="0C46233B" w:rsidRPr="006A561F">
        <w:t xml:space="preserve"> staff changeovers</w:t>
      </w:r>
      <w:r w:rsidR="2458B7E9" w:rsidRPr="006A561F">
        <w:t>,</w:t>
      </w:r>
      <w:r w:rsidR="0C46233B" w:rsidRPr="006A561F">
        <w:t xml:space="preserve"> hold-ups in staff recruitment, and procurement procedures. </w:t>
      </w:r>
      <w:r w:rsidR="0C46233B" w:rsidRPr="4977AA67">
        <w:rPr>
          <w:rFonts w:cstheme="minorBidi"/>
        </w:rPr>
        <w:t>The implementation of Phase I faced delays from the very beginning</w:t>
      </w:r>
      <w:r w:rsidR="0C46233B" w:rsidRPr="4977AA67">
        <w:rPr>
          <w:rFonts w:eastAsia="Arial" w:cstheme="minorBidi"/>
        </w:rPr>
        <w:t xml:space="preserve"> in terms of staff recruitment as well as research design and implementation. This required a revision of the timeline for the entire programme, allowing for some components</w:t>
      </w:r>
      <w:r w:rsidR="2458B7E9" w:rsidRPr="4977AA67">
        <w:rPr>
          <w:rFonts w:eastAsia="Arial" w:cstheme="minorBidi"/>
        </w:rPr>
        <w:t xml:space="preserve"> –</w:t>
      </w:r>
      <w:r w:rsidR="0C46233B" w:rsidRPr="4977AA67">
        <w:rPr>
          <w:rFonts w:eastAsia="Arial" w:cstheme="minorBidi"/>
        </w:rPr>
        <w:t xml:space="preserve"> such as the capacity building of CSOs</w:t>
      </w:r>
      <w:r w:rsidR="2458B7E9" w:rsidRPr="4977AA67">
        <w:rPr>
          <w:rFonts w:eastAsia="Arial" w:cstheme="minorBidi"/>
        </w:rPr>
        <w:t xml:space="preserve"> –</w:t>
      </w:r>
      <w:r w:rsidR="0C46233B" w:rsidRPr="4977AA67">
        <w:rPr>
          <w:rFonts w:eastAsia="Arial" w:cstheme="minorBidi"/>
        </w:rPr>
        <w:t xml:space="preserve"> to begin in parallel in 2016.</w:t>
      </w:r>
      <w:r w:rsidR="006F2F6D" w:rsidRPr="4977AA67">
        <w:rPr>
          <w:rStyle w:val="FootnoteReference"/>
          <w:rFonts w:eastAsia="Arial" w:cstheme="minorBidi"/>
          <w:sz w:val="22"/>
          <w:szCs w:val="22"/>
        </w:rPr>
        <w:footnoteReference w:id="251"/>
      </w:r>
      <w:r w:rsidR="0C46233B" w:rsidRPr="4977AA67">
        <w:rPr>
          <w:rFonts w:eastAsia="Arial" w:cstheme="minorBidi"/>
        </w:rPr>
        <w:t xml:space="preserve"> Staffing issues also affected Phase II at a critical time, as the</w:t>
      </w:r>
      <w:r w:rsidR="2458B7E9" w:rsidRPr="4977AA67">
        <w:rPr>
          <w:rFonts w:eastAsia="Arial" w:cstheme="minorBidi"/>
        </w:rPr>
        <w:t>re were heavy delays in the</w:t>
      </w:r>
      <w:r w:rsidR="0C46233B" w:rsidRPr="4977AA67">
        <w:rPr>
          <w:rFonts w:eastAsia="Arial" w:cstheme="minorBidi"/>
        </w:rPr>
        <w:t xml:space="preserve"> recruitment of the Regional Manager </w:t>
      </w:r>
      <w:r w:rsidR="2458B7E9" w:rsidRPr="4977AA67">
        <w:rPr>
          <w:rFonts w:eastAsia="Arial" w:cstheme="minorBidi"/>
        </w:rPr>
        <w:t xml:space="preserve">and </w:t>
      </w:r>
      <w:r w:rsidR="0C46233B" w:rsidRPr="4977AA67">
        <w:rPr>
          <w:rFonts w:eastAsia="Arial" w:cstheme="minorBidi"/>
        </w:rPr>
        <w:t>the MWGE Tunisia national co-ordinator, as well as some shifts in the post of MWGE Egypt national coordinator that affected the smooth oversight of the MWGE in Egypt.</w:t>
      </w:r>
      <w:r w:rsidR="006F2F6D" w:rsidRPr="4977AA67">
        <w:rPr>
          <w:rStyle w:val="FootnoteReference"/>
          <w:rFonts w:eastAsia="Arial" w:cstheme="minorBidi"/>
          <w:sz w:val="22"/>
          <w:szCs w:val="22"/>
        </w:rPr>
        <w:footnoteReference w:id="252"/>
      </w:r>
    </w:p>
    <w:p w14:paraId="5A7FC647" w14:textId="77777777" w:rsidR="006F2F6D" w:rsidRPr="006A561F" w:rsidRDefault="0C46233B" w:rsidP="0008034A">
      <w:pPr>
        <w:pStyle w:val="ItadNormalText"/>
        <w:jc w:val="both"/>
        <w:rPr>
          <w:lang w:eastAsia="fr-CA"/>
        </w:rPr>
      </w:pPr>
      <w:r w:rsidRPr="006A561F">
        <w:rPr>
          <w:rFonts w:eastAsia="Arial"/>
        </w:rPr>
        <w:t>C</w:t>
      </w:r>
      <w:r w:rsidR="2458B7E9" w:rsidRPr="006A561F">
        <w:rPr>
          <w:rFonts w:eastAsia="Arial"/>
        </w:rPr>
        <w:t>OVID</w:t>
      </w:r>
      <w:r w:rsidRPr="006A561F">
        <w:rPr>
          <w:rFonts w:eastAsia="Arial"/>
        </w:rPr>
        <w:t xml:space="preserve">-19 affected both the modalities and timelines of implementing planned activities. </w:t>
      </w:r>
      <w:r w:rsidRPr="006A561F">
        <w:rPr>
          <w:lang w:eastAsia="fr-CA"/>
        </w:rPr>
        <w:t>The IMAGES research in both Jordan and Tunisia was</w:t>
      </w:r>
      <w:r w:rsidR="2458B7E9" w:rsidRPr="006A561F">
        <w:rPr>
          <w:lang w:eastAsia="fr-CA"/>
        </w:rPr>
        <w:t xml:space="preserve"> affected</w:t>
      </w:r>
      <w:r w:rsidRPr="006A561F">
        <w:rPr>
          <w:lang w:eastAsia="fr-CA"/>
        </w:rPr>
        <w:t xml:space="preserve"> as the questionnaire development workshops had to be changed from an in-person to an online format. This required more sessions to finalise both the household survey and qualitative questionnaire.</w:t>
      </w:r>
      <w:r w:rsidR="006F2F6D" w:rsidRPr="4977AA67">
        <w:rPr>
          <w:rStyle w:val="FootnoteReference"/>
          <w:rFonts w:eastAsia="Calibri" w:cstheme="minorBidi"/>
          <w:sz w:val="22"/>
          <w:szCs w:val="22"/>
          <w:lang w:eastAsia="fr-CA"/>
        </w:rPr>
        <w:footnoteReference w:id="253"/>
      </w:r>
      <w:r w:rsidRPr="006A561F">
        <w:rPr>
          <w:lang w:eastAsia="fr-CA"/>
        </w:rPr>
        <w:t xml:space="preserve"> Additionally, field trainings, which had to take place physically, had to be pushed back, creating the need to extend the total implementation period. The timeline to finali</w:t>
      </w:r>
      <w:r w:rsidR="2458B7E9" w:rsidRPr="006A561F">
        <w:rPr>
          <w:lang w:eastAsia="fr-CA"/>
        </w:rPr>
        <w:t>s</w:t>
      </w:r>
      <w:r w:rsidRPr="006A561F">
        <w:rPr>
          <w:lang w:eastAsia="fr-CA"/>
        </w:rPr>
        <w:t xml:space="preserve">e and launch IMAGES in Jordan and Tunisia was thus extended </w:t>
      </w:r>
      <w:r w:rsidR="2458B7E9" w:rsidRPr="006A561F">
        <w:rPr>
          <w:lang w:eastAsia="fr-CA"/>
        </w:rPr>
        <w:t>in</w:t>
      </w:r>
      <w:r w:rsidRPr="006A561F">
        <w:rPr>
          <w:lang w:eastAsia="fr-CA"/>
        </w:rPr>
        <w:t>to Q2 of 2022.</w:t>
      </w:r>
      <w:r w:rsidR="006F2F6D" w:rsidRPr="4977AA67">
        <w:rPr>
          <w:rStyle w:val="FootnoteReference"/>
          <w:rFonts w:eastAsia="Calibri" w:cstheme="minorBidi"/>
          <w:sz w:val="22"/>
          <w:szCs w:val="22"/>
          <w:lang w:eastAsia="fr-CA"/>
        </w:rPr>
        <w:footnoteReference w:id="254"/>
      </w:r>
    </w:p>
    <w:p w14:paraId="72E676A5" w14:textId="77777777" w:rsidR="00F27FA2" w:rsidRDefault="0C46233B" w:rsidP="0008034A">
      <w:pPr>
        <w:pStyle w:val="ItadNormalText"/>
        <w:jc w:val="both"/>
        <w:rPr>
          <w:rFonts w:eastAsia="Arial"/>
        </w:rPr>
      </w:pPr>
      <w:r w:rsidRPr="006A561F">
        <w:rPr>
          <w:lang w:eastAsia="fr-CA"/>
        </w:rPr>
        <w:t xml:space="preserve">Political developments also affected programme timelines negatively beyond the larger responses required by the Israeli attacks on Gaza and the multiple, simultaneous crises in Lebanon from 2019 onward </w:t>
      </w:r>
      <w:r w:rsidR="2458B7E9" w:rsidRPr="006A561F">
        <w:rPr>
          <w:lang w:eastAsia="fr-CA"/>
        </w:rPr>
        <w:t>(</w:t>
      </w:r>
      <w:r w:rsidRPr="006A561F">
        <w:rPr>
          <w:lang w:eastAsia="fr-CA"/>
        </w:rPr>
        <w:t xml:space="preserve">discussed in </w:t>
      </w:r>
      <w:r w:rsidR="00D84276">
        <w:rPr>
          <w:lang w:eastAsia="fr-CA"/>
        </w:rPr>
        <w:t xml:space="preserve">EQ </w:t>
      </w:r>
      <w:r w:rsidR="6B9C6569">
        <w:rPr>
          <w:lang w:eastAsia="fr-CA"/>
        </w:rPr>
        <w:t>2</w:t>
      </w:r>
      <w:r w:rsidR="2458B7E9" w:rsidRPr="006A561F">
        <w:rPr>
          <w:lang w:eastAsia="fr-CA"/>
        </w:rPr>
        <w:t>)</w:t>
      </w:r>
      <w:r w:rsidRPr="006A561F">
        <w:rPr>
          <w:lang w:eastAsia="fr-CA"/>
        </w:rPr>
        <w:t>. In Palestine, t</w:t>
      </w:r>
      <w:r w:rsidRPr="006A561F">
        <w:rPr>
          <w:rFonts w:eastAsia="Arial"/>
        </w:rPr>
        <w:t xml:space="preserve">he public release of the findings of the Palestine IMAGES study, scheduled for November 2017, had to be cancelled </w:t>
      </w:r>
      <w:r w:rsidR="3BCC80F0" w:rsidRPr="006A561F">
        <w:rPr>
          <w:rFonts w:eastAsia="Arial"/>
        </w:rPr>
        <w:t>owing to</w:t>
      </w:r>
      <w:r w:rsidRPr="006A561F">
        <w:rPr>
          <w:rFonts w:eastAsia="Arial"/>
        </w:rPr>
        <w:t xml:space="preserve"> instability caused by the decision to move the American Embassy in Israel to Jerusalem. UN Women overc</w:t>
      </w:r>
      <w:r w:rsidR="3BCC80F0" w:rsidRPr="006A561F">
        <w:rPr>
          <w:rFonts w:eastAsia="Arial"/>
        </w:rPr>
        <w:t>a</w:t>
      </w:r>
      <w:r w:rsidRPr="006A561F">
        <w:rPr>
          <w:rFonts w:eastAsia="Arial"/>
        </w:rPr>
        <w:t>me the situation by rescheduling the launch to February 2018.</w:t>
      </w:r>
      <w:r w:rsidR="006F2F6D" w:rsidRPr="4977AA67">
        <w:rPr>
          <w:rStyle w:val="FootnoteReference"/>
          <w:rFonts w:eastAsia="Arial" w:cstheme="minorBidi"/>
          <w:sz w:val="22"/>
          <w:szCs w:val="22"/>
        </w:rPr>
        <w:footnoteReference w:id="255"/>
      </w:r>
      <w:r w:rsidRPr="006A561F">
        <w:rPr>
          <w:rFonts w:eastAsia="Arial"/>
        </w:rPr>
        <w:t xml:space="preserve"> In Egypt, the implementation of the small grants components was delayed </w:t>
      </w:r>
      <w:r w:rsidR="3BCC80F0" w:rsidRPr="006A561F">
        <w:rPr>
          <w:rFonts w:eastAsia="Arial"/>
        </w:rPr>
        <w:t>owing</w:t>
      </w:r>
      <w:r w:rsidRPr="006A561F">
        <w:rPr>
          <w:rFonts w:eastAsia="Arial"/>
        </w:rPr>
        <w:t xml:space="preserve"> to the ratification of a new NGO law (No. 70 for 2017) and its Executive Regulations.</w:t>
      </w:r>
      <w:r w:rsidR="006F2F6D" w:rsidRPr="4977AA67">
        <w:rPr>
          <w:rStyle w:val="FootnoteReference"/>
          <w:rFonts w:eastAsia="Arial" w:cstheme="minorBidi"/>
          <w:sz w:val="22"/>
          <w:szCs w:val="22"/>
        </w:rPr>
        <w:footnoteReference w:id="256"/>
      </w:r>
      <w:r w:rsidR="28849153">
        <w:rPr>
          <w:rFonts w:eastAsia="Arial"/>
        </w:rPr>
        <w:t xml:space="preserve"> In Tunisia, political turmoil in 2021-2022 also negatively impacted </w:t>
      </w:r>
      <w:r w:rsidR="6687BA8C">
        <w:rPr>
          <w:rFonts w:eastAsia="Arial"/>
        </w:rPr>
        <w:t xml:space="preserve">the </w:t>
      </w:r>
      <w:r w:rsidR="30DDC5D1">
        <w:rPr>
          <w:rFonts w:eastAsia="Arial"/>
        </w:rPr>
        <w:t>implementation.</w:t>
      </w:r>
      <w:r w:rsidR="28849153">
        <w:rPr>
          <w:rFonts w:eastAsia="Arial"/>
        </w:rPr>
        <w:t xml:space="preserve"> </w:t>
      </w:r>
    </w:p>
    <w:p w14:paraId="0E628484" w14:textId="77777777" w:rsidR="0008034A" w:rsidRPr="006A561F" w:rsidRDefault="0008034A" w:rsidP="0008034A">
      <w:pPr>
        <w:pStyle w:val="ItadNormalText"/>
        <w:jc w:val="both"/>
        <w:rPr>
          <w:rFonts w:eastAsia="Arial"/>
        </w:rPr>
      </w:pPr>
    </w:p>
    <w:p w14:paraId="74827712" w14:textId="77777777" w:rsidR="006F2F6D" w:rsidRPr="006A561F" w:rsidRDefault="07E10E03" w:rsidP="0008034A">
      <w:pPr>
        <w:pStyle w:val="ItadNormalText"/>
        <w:jc w:val="both"/>
        <w:rPr>
          <w:b/>
          <w:bCs/>
        </w:rPr>
      </w:pPr>
      <w:r w:rsidRPr="4977AA67">
        <w:rPr>
          <w:b/>
          <w:bCs/>
          <w:color w:val="E37230" w:themeColor="accent2"/>
        </w:rPr>
        <w:t>Finding 6.</w:t>
      </w:r>
      <w:r w:rsidR="35C1F53F" w:rsidRPr="4977AA67">
        <w:rPr>
          <w:b/>
          <w:bCs/>
          <w:color w:val="E37230" w:themeColor="accent2"/>
        </w:rPr>
        <w:t>3</w:t>
      </w:r>
      <w:r w:rsidRPr="4977AA67">
        <w:rPr>
          <w:b/>
          <w:bCs/>
          <w:color w:val="E37230" w:themeColor="accent2"/>
        </w:rPr>
        <w:t xml:space="preserve">: </w:t>
      </w:r>
      <w:r w:rsidR="088BA7E4" w:rsidRPr="4977AA67">
        <w:rPr>
          <w:b/>
          <w:bCs/>
        </w:rPr>
        <w:t>Budget allocations by country were seen as requiring revision by some COs – moving into next programme/Phase III, while budgeting categories require clarification for shared understanding.</w:t>
      </w:r>
    </w:p>
    <w:p w14:paraId="4C1ED371" w14:textId="400E157D" w:rsidR="00623288" w:rsidRDefault="75136FC9" w:rsidP="0008034A">
      <w:pPr>
        <w:pStyle w:val="ItadNormalText"/>
        <w:jc w:val="both"/>
      </w:pPr>
      <w:r>
        <w:t xml:space="preserve">As </w:t>
      </w:r>
      <w:r w:rsidRPr="00192679">
        <w:t xml:space="preserve">noted in section </w:t>
      </w:r>
      <w:r w:rsidR="00192679" w:rsidRPr="00192679">
        <w:t>2.</w:t>
      </w:r>
      <w:r w:rsidR="13529518" w:rsidRPr="00192679">
        <w:t xml:space="preserve">3, </w:t>
      </w:r>
      <w:r w:rsidR="64D330D0" w:rsidRPr="00192679">
        <w:t>the</w:t>
      </w:r>
      <w:r w:rsidR="64D330D0">
        <w:t xml:space="preserve"> </w:t>
      </w:r>
      <w:r w:rsidR="296609BE">
        <w:t>budget for human resources for MWGE was compara</w:t>
      </w:r>
      <w:r w:rsidR="34BE609C">
        <w:t>t</w:t>
      </w:r>
      <w:r w:rsidR="296609BE">
        <w:t>ively high</w:t>
      </w:r>
      <w:r w:rsidR="34BE609C">
        <w:t xml:space="preserve">, </w:t>
      </w:r>
      <w:r w:rsidR="072DD67B">
        <w:t xml:space="preserve">and in Phase II, the original four countries had an additional project assistant, whose salary contribution was gradually </w:t>
      </w:r>
      <w:r w:rsidR="072DD67B">
        <w:lastRenderedPageBreak/>
        <w:t>reduced year by year (from 100 %, to 75 % to 50 %) with the expected reduction in workload</w:t>
      </w:r>
      <w:r w:rsidR="00EF73A8">
        <w:rPr>
          <w:rStyle w:val="FootnoteReference"/>
        </w:rPr>
        <w:footnoteReference w:id="257"/>
      </w:r>
      <w:r w:rsidR="072DD67B">
        <w:t>.</w:t>
      </w:r>
      <w:r w:rsidR="506ECE8A">
        <w:t xml:space="preserve"> At the ROAS level in Phase II, cost-savings were implemented compared to Phase I by changing the contract modality of</w:t>
      </w:r>
      <w:r w:rsidR="76B9571F">
        <w:t xml:space="preserve"> the Regional Programme Manager to </w:t>
      </w:r>
      <w:r w:rsidR="16B02BD0">
        <w:t xml:space="preserve">a lower salary class and </w:t>
      </w:r>
      <w:r w:rsidR="5B6BCF3B">
        <w:t>sharing the costs of the Programme Analyst by 50 %</w:t>
      </w:r>
      <w:r w:rsidR="506ECE8A">
        <w:t xml:space="preserve"> </w:t>
      </w:r>
      <w:r w:rsidR="0FB0913D">
        <w:t>with another programme.</w:t>
      </w:r>
      <w:r w:rsidR="00F57409">
        <w:rPr>
          <w:rStyle w:val="FootnoteReference"/>
        </w:rPr>
        <w:footnoteReference w:id="258"/>
      </w:r>
      <w:r w:rsidR="506ECE8A">
        <w:t xml:space="preserve"> </w:t>
      </w:r>
    </w:p>
    <w:p w14:paraId="55A27116" w14:textId="15084244" w:rsidR="00623288" w:rsidRDefault="7B13B428" w:rsidP="0008034A">
      <w:pPr>
        <w:pStyle w:val="ItadNormalText"/>
        <w:jc w:val="both"/>
      </w:pPr>
      <w:r>
        <w:t xml:space="preserve">As also </w:t>
      </w:r>
      <w:r w:rsidRPr="00192679">
        <w:t>noted in section</w:t>
      </w:r>
      <w:r w:rsidR="072DD67B" w:rsidRPr="00192679">
        <w:t xml:space="preserve"> </w:t>
      </w:r>
      <w:r w:rsidR="00192679" w:rsidRPr="00192679">
        <w:t>2.3</w:t>
      </w:r>
      <w:r w:rsidR="691DD794" w:rsidRPr="00192679">
        <w:t>, the</w:t>
      </w:r>
      <w:r w:rsidR="691DD794">
        <w:t xml:space="preserve"> lines of accountability of national coordinator</w:t>
      </w:r>
      <w:r w:rsidR="54A852F8">
        <w:t xml:space="preserve">s were somewhat anomalous, in that they mostly only reported </w:t>
      </w:r>
      <w:r w:rsidR="1FC6FF40">
        <w:t xml:space="preserve">their respective CO line managers even if they were funded from regional funds, which may have led to reduced efficiencies and effectiveness </w:t>
      </w:r>
      <w:r w:rsidR="1F041272">
        <w:t>– based on</w:t>
      </w:r>
      <w:r w:rsidR="1C7E62D0">
        <w:t xml:space="preserve"> lack of </w:t>
      </w:r>
      <w:r w:rsidR="44BC7232">
        <w:t xml:space="preserve">immediacy in oversight and </w:t>
      </w:r>
      <w:r w:rsidR="1F041272">
        <w:t xml:space="preserve">potential for </w:t>
      </w:r>
      <w:r w:rsidR="44BC7232">
        <w:t xml:space="preserve">course </w:t>
      </w:r>
      <w:r w:rsidR="1F041272">
        <w:t>correction</w:t>
      </w:r>
      <w:r w:rsidR="44BC7232">
        <w:t xml:space="preserve"> </w:t>
      </w:r>
      <w:r w:rsidR="691DD794">
        <w:t xml:space="preserve">Furthermore, some </w:t>
      </w:r>
      <w:r w:rsidR="691DD794" w:rsidRPr="00F35D8F">
        <w:t>MWGE staff also work</w:t>
      </w:r>
      <w:r w:rsidR="691DD794">
        <w:t>ed</w:t>
      </w:r>
      <w:r w:rsidR="691DD794" w:rsidRPr="00F35D8F">
        <w:t xml:space="preserve"> on other programmes as part of their portfolio</w:t>
      </w:r>
      <w:r w:rsidR="691DD794">
        <w:t>,</w:t>
      </w:r>
      <w:r w:rsidR="691DD794" w:rsidRPr="00F35D8F">
        <w:t xml:space="preserve"> </w:t>
      </w:r>
      <w:r w:rsidR="691DD794">
        <w:t>which had both</w:t>
      </w:r>
      <w:r w:rsidR="691DD794" w:rsidRPr="00F35D8F">
        <w:t xml:space="preserve"> benefits and drawbacks </w:t>
      </w:r>
      <w:r w:rsidR="691DD794">
        <w:t>from the point of view of MWGE</w:t>
      </w:r>
      <w:r w:rsidR="691DD794" w:rsidRPr="00F35D8F">
        <w:t>. While this allow</w:t>
      </w:r>
      <w:r w:rsidR="7298EBD2" w:rsidRPr="00F35D8F">
        <w:t>ed</w:t>
      </w:r>
      <w:r w:rsidR="691DD794" w:rsidRPr="00F35D8F">
        <w:t xml:space="preserve"> for cost-sharing and ensure</w:t>
      </w:r>
      <w:r w:rsidR="72FD4DD0" w:rsidRPr="00F35D8F">
        <w:t>d</w:t>
      </w:r>
      <w:r w:rsidR="691DD794" w:rsidRPr="00F35D8F">
        <w:t xml:space="preserve"> that learning from MWGE flowed into other work, it </w:t>
      </w:r>
      <w:r w:rsidR="54FB0D30" w:rsidRPr="00F35D8F">
        <w:t>could potentially</w:t>
      </w:r>
      <w:r w:rsidR="691DD794" w:rsidRPr="00F35D8F">
        <w:t xml:space="preserve"> lead to a blurring of lines between programmes, competing priorities, and over-burdening.</w:t>
      </w:r>
    </w:p>
    <w:p w14:paraId="53D94D6E" w14:textId="77777777" w:rsidR="00253061" w:rsidRDefault="072DD67B" w:rsidP="0008034A">
      <w:pPr>
        <w:pStyle w:val="ItadNormalText"/>
        <w:jc w:val="both"/>
      </w:pPr>
      <w:r>
        <w:t xml:space="preserve">Nonetheless, </w:t>
      </w:r>
      <w:r w:rsidR="28FA4424">
        <w:t>despite</w:t>
      </w:r>
      <w:r w:rsidR="57B49343">
        <w:t xml:space="preserve"> additional HR investments</w:t>
      </w:r>
      <w:r>
        <w:t xml:space="preserve">, </w:t>
      </w:r>
      <w:r w:rsidR="31C0D53E">
        <w:t>i</w:t>
      </w:r>
      <w:r w:rsidR="0C46233B" w:rsidRPr="006A561F">
        <w:t xml:space="preserve">n all four of the </w:t>
      </w:r>
      <w:r w:rsidR="3BCC80F0" w:rsidRPr="006A561F">
        <w:t>COs</w:t>
      </w:r>
      <w:r w:rsidR="0C46233B" w:rsidRPr="006A561F">
        <w:t xml:space="preserve"> engaged in both the first and second phases of the programme, UN Women </w:t>
      </w:r>
      <w:r w:rsidR="3BCC80F0" w:rsidRPr="006A561F">
        <w:t>CO</w:t>
      </w:r>
      <w:r w:rsidR="0C46233B" w:rsidRPr="006A561F">
        <w:t xml:space="preserve"> interviewees raised concerns that the funds, staff and/or time allocated had not been enough. A particular concern in Egypt was the sheer size of the population compared to the other countries, greatly reducing the per capita investment.</w:t>
      </w:r>
      <w:r w:rsidR="006F2F6D" w:rsidRPr="4977AA67">
        <w:rPr>
          <w:rStyle w:val="FootnoteReference"/>
          <w:rFonts w:cstheme="minorBidi"/>
          <w:sz w:val="22"/>
          <w:szCs w:val="22"/>
        </w:rPr>
        <w:footnoteReference w:id="259"/>
      </w:r>
      <w:r w:rsidR="0C46233B" w:rsidRPr="006A561F">
        <w:t xml:space="preserve"> In Lebanon</w:t>
      </w:r>
      <w:r w:rsidR="3BCC80F0" w:rsidRPr="006A561F">
        <w:t>,</w:t>
      </w:r>
      <w:r w:rsidR="0C46233B" w:rsidRPr="006A561F">
        <w:t xml:space="preserve"> on the other hand, the unprecedented financial and economic crisis led to an explosion in costs and a massive reduction in purchasing power for the programme.</w:t>
      </w:r>
      <w:r w:rsidR="006F2F6D" w:rsidRPr="4977AA67">
        <w:rPr>
          <w:rStyle w:val="FootnoteReference"/>
          <w:rFonts w:cstheme="minorBidi"/>
          <w:sz w:val="22"/>
          <w:szCs w:val="22"/>
        </w:rPr>
        <w:footnoteReference w:id="260"/>
      </w:r>
      <w:r w:rsidR="0C46233B" w:rsidRPr="006A561F">
        <w:t xml:space="preserve"> In both Morocco and Palestine, UN Women CO respondents felt that both the staff and financial resources were not adequate at country level.</w:t>
      </w:r>
      <w:r w:rsidR="006F2F6D" w:rsidRPr="076A58FF">
        <w:rPr>
          <w:rStyle w:val="FootnoteReference"/>
          <w:sz w:val="22"/>
          <w:szCs w:val="22"/>
        </w:rPr>
        <w:footnoteReference w:id="261"/>
      </w:r>
      <w:r w:rsidR="0C46233B" w:rsidRPr="006A561F">
        <w:t xml:space="preserve"> </w:t>
      </w:r>
      <w:r w:rsidR="34BE609C">
        <w:t>This was echoed by similar concerns from implementing partners</w:t>
      </w:r>
      <w:r w:rsidR="50620C94">
        <w:t xml:space="preserve"> in all four countries</w:t>
      </w:r>
      <w:r w:rsidR="34BE609C">
        <w:t>.</w:t>
      </w:r>
      <w:r w:rsidR="00854879">
        <w:rPr>
          <w:rStyle w:val="FootnoteReference"/>
        </w:rPr>
        <w:footnoteReference w:id="262"/>
      </w:r>
      <w:r w:rsidR="34BE609C">
        <w:t xml:space="preserve"> </w:t>
      </w:r>
      <w:r w:rsidR="16D78CD7">
        <w:t xml:space="preserve">The analysis </w:t>
      </w:r>
      <w:r w:rsidR="1F75E3E9">
        <w:t xml:space="preserve">thus brings to the fore questions </w:t>
      </w:r>
      <w:r w:rsidR="0482D139">
        <w:t>of</w:t>
      </w:r>
      <w:r w:rsidR="737AF217">
        <w:t xml:space="preserve"> effectiveness and efficiency of </w:t>
      </w:r>
      <w:r w:rsidR="0482D139">
        <w:t xml:space="preserve">the use of human resources </w:t>
      </w:r>
      <w:r w:rsidR="737AF217">
        <w:t xml:space="preserve">at </w:t>
      </w:r>
      <w:r w:rsidR="0482D139">
        <w:t>various</w:t>
      </w:r>
      <w:r w:rsidR="737AF217">
        <w:t xml:space="preserve"> levels</w:t>
      </w:r>
      <w:r w:rsidR="0482D139">
        <w:t xml:space="preserve"> – i</w:t>
      </w:r>
      <w:r w:rsidR="737AF217">
        <w:t>mplementing partners, COs, ROAS</w:t>
      </w:r>
      <w:r w:rsidR="0482D139">
        <w:t xml:space="preserve"> – </w:t>
      </w:r>
      <w:r w:rsidR="3F51D9CB">
        <w:t>in terms of</w:t>
      </w:r>
      <w:r w:rsidR="737AF217">
        <w:t xml:space="preserve"> staff time use and budget allocations, job descriptions, contract modalities, tasks and responsibilities, as well as lines of accountability</w:t>
      </w:r>
      <w:r w:rsidR="24194ED3">
        <w:t xml:space="preserve">, questions which looked different when viewed from different vantage points </w:t>
      </w:r>
      <w:r w:rsidR="0BDB7039">
        <w:t>in MWGE (for example CO level compared to ROAS level)</w:t>
      </w:r>
      <w:r w:rsidR="3F51D9CB">
        <w:t>.</w:t>
      </w:r>
      <w:r w:rsidR="737AF217">
        <w:t xml:space="preserve"> </w:t>
      </w:r>
      <w:r w:rsidR="258D699B">
        <w:t xml:space="preserve">While the resources were </w:t>
      </w:r>
      <w:r w:rsidR="0A5CAF91">
        <w:t xml:space="preserve">thus </w:t>
      </w:r>
      <w:r w:rsidR="258D699B">
        <w:t>clearly enough to produce</w:t>
      </w:r>
      <w:r w:rsidR="0BDB7039">
        <w:t xml:space="preserve"> </w:t>
      </w:r>
      <w:r w:rsidR="7067D745">
        <w:t>results and impacts at various levels, a more in</w:t>
      </w:r>
      <w:r w:rsidR="78889912">
        <w:t>-</w:t>
      </w:r>
      <w:r w:rsidR="7067D745">
        <w:t xml:space="preserve">depth </w:t>
      </w:r>
      <w:r w:rsidR="31AF5477">
        <w:t>assessment of HR modalities at all levels</w:t>
      </w:r>
      <w:r w:rsidR="1CC35D94">
        <w:t xml:space="preserve"> in both phases may be warranted (see recommendation 1).</w:t>
      </w:r>
      <w:r w:rsidR="258D699B">
        <w:t xml:space="preserve"> </w:t>
      </w:r>
    </w:p>
    <w:p w14:paraId="66452995" w14:textId="2C8EE35D" w:rsidR="00C31239" w:rsidRPr="00B21858" w:rsidRDefault="72D79610" w:rsidP="00B21858">
      <w:pPr>
        <w:pStyle w:val="ItadNormalText"/>
        <w:jc w:val="both"/>
      </w:pPr>
      <w:r w:rsidRPr="00C80D78">
        <w:t xml:space="preserve">Finally, </w:t>
      </w:r>
      <w:bookmarkStart w:id="51" w:name="_Hlk97825419"/>
      <w:r w:rsidRPr="0006600F">
        <w:t>a</w:t>
      </w:r>
      <w:r w:rsidR="0743636A" w:rsidRPr="0006600F">
        <w:t xml:space="preserve"> more</w:t>
      </w:r>
      <w:r w:rsidR="0743636A" w:rsidRPr="006A561F">
        <w:t xml:space="preserve"> technical finding was that in budget tracking for financial reporting at </w:t>
      </w:r>
      <w:r w:rsidR="1AC73850" w:rsidRPr="006A561F">
        <w:t>CO</w:t>
      </w:r>
      <w:r w:rsidR="0743636A" w:rsidRPr="006A561F">
        <w:t xml:space="preserve"> level, office</w:t>
      </w:r>
      <w:r w:rsidR="1AC73850" w:rsidRPr="006A561F">
        <w:t>s</w:t>
      </w:r>
      <w:r w:rsidR="0743636A" w:rsidRPr="006A561F">
        <w:t xml:space="preserve"> were often using different categories of analysis for human resources, programme implementation, different reimbursable labels and the like, making overall budget tracking difficult and time-consuming. There </w:t>
      </w:r>
      <w:r w:rsidR="2A85BDFE" w:rsidRPr="006A561F">
        <w:t>was</w:t>
      </w:r>
      <w:r w:rsidR="0743636A" w:rsidRPr="006A561F">
        <w:t xml:space="preserve"> thus a need to continue to give guidance and accompaniment for financial staff, as well as for management to ensure systematic, consistent use of agreed financial tracking tools</w:t>
      </w:r>
      <w:r w:rsidR="004B0849">
        <w:rPr>
          <w:rStyle w:val="FootnoteReference"/>
        </w:rPr>
        <w:footnoteReference w:id="263"/>
      </w:r>
      <w:r w:rsidR="0743636A" w:rsidRPr="006A561F">
        <w:t>.</w:t>
      </w:r>
      <w:bookmarkEnd w:id="51"/>
      <w:r w:rsidR="00C31239" w:rsidRPr="4977AA67">
        <w:rPr>
          <w:sz w:val="32"/>
          <w:szCs w:val="32"/>
        </w:rPr>
        <w:br w:type="page"/>
      </w:r>
    </w:p>
    <w:p w14:paraId="065937FD" w14:textId="77777777" w:rsidR="4977AA67" w:rsidRDefault="4977AA67" w:rsidP="4977AA67">
      <w:pPr>
        <w:pStyle w:val="ItadNormalText"/>
      </w:pPr>
    </w:p>
    <w:p w14:paraId="27C585E1" w14:textId="77777777" w:rsidR="4977AA67" w:rsidRDefault="4977AA67" w:rsidP="4977AA67">
      <w:pPr>
        <w:pStyle w:val="ItadH3Numbered"/>
        <w:numPr>
          <w:ilvl w:val="1"/>
          <w:numId w:val="0"/>
        </w:numPr>
        <w:jc w:val="both"/>
        <w:rPr>
          <w:sz w:val="28"/>
          <w:szCs w:val="28"/>
          <w:lang w:val="en-GB"/>
        </w:rPr>
      </w:pPr>
    </w:p>
    <w:p w14:paraId="5FADDF94" w14:textId="77777777" w:rsidR="006F2F6D" w:rsidRPr="006A561F" w:rsidRDefault="3218C4D6" w:rsidP="4977AA67">
      <w:pPr>
        <w:pStyle w:val="ItadH3Numbered"/>
        <w:numPr>
          <w:ilvl w:val="1"/>
          <w:numId w:val="0"/>
        </w:numPr>
        <w:jc w:val="both"/>
        <w:rPr>
          <w:lang w:val="en-GB"/>
        </w:rPr>
      </w:pPr>
      <w:r w:rsidRPr="4977AA67">
        <w:rPr>
          <w:lang w:val="en-GB"/>
        </w:rPr>
        <w:t>5</w:t>
      </w:r>
      <w:r w:rsidR="7C8287C4" w:rsidRPr="4977AA67">
        <w:rPr>
          <w:lang w:val="en-GB"/>
        </w:rPr>
        <w:t xml:space="preserve">.4 </w:t>
      </w:r>
      <w:r w:rsidR="4D4B5955" w:rsidRPr="4977AA67">
        <w:rPr>
          <w:lang w:val="en-GB"/>
        </w:rPr>
        <w:t xml:space="preserve">Gender and </w:t>
      </w:r>
      <w:r w:rsidR="7127B138" w:rsidRPr="4977AA67">
        <w:rPr>
          <w:lang w:val="en-GB"/>
        </w:rPr>
        <w:t>h</w:t>
      </w:r>
      <w:r w:rsidR="4D4B5955" w:rsidRPr="4977AA67">
        <w:rPr>
          <w:lang w:val="en-GB"/>
        </w:rPr>
        <w:t xml:space="preserve">uman </w:t>
      </w:r>
      <w:r w:rsidR="7127B138" w:rsidRPr="4977AA67">
        <w:rPr>
          <w:lang w:val="en-GB"/>
        </w:rPr>
        <w:t>r</w:t>
      </w:r>
      <w:r w:rsidR="4D4B5955" w:rsidRPr="4977AA67">
        <w:rPr>
          <w:lang w:val="en-GB"/>
        </w:rPr>
        <w:t>ights</w:t>
      </w:r>
    </w:p>
    <w:p w14:paraId="2C671E9D" w14:textId="77777777" w:rsidR="006F2F6D" w:rsidRPr="006A561F" w:rsidRDefault="3774BE70" w:rsidP="4977AA67">
      <w:pPr>
        <w:pStyle w:val="ItadH2"/>
        <w:jc w:val="both"/>
        <w:rPr>
          <w:sz w:val="20"/>
          <w:szCs w:val="20"/>
          <w:lang w:val="en-GB"/>
        </w:rPr>
      </w:pPr>
      <w:r w:rsidRPr="4977AA67">
        <w:rPr>
          <w:sz w:val="20"/>
          <w:szCs w:val="20"/>
          <w:lang w:val="en-GB"/>
        </w:rPr>
        <w:t>EQ 7. To what extent was a human rights-based and gender transformative approach incorporated in the design and implementation of the programme?</w:t>
      </w:r>
    </w:p>
    <w:p w14:paraId="0B0E2B74" w14:textId="77777777" w:rsidR="006F2F6D" w:rsidRPr="006A561F" w:rsidRDefault="006F2F6D" w:rsidP="006B07E9">
      <w:pPr>
        <w:pStyle w:val="ItadNormalText"/>
        <w:jc w:val="both"/>
        <w:rPr>
          <w:b/>
          <w:bCs/>
          <w:color w:val="588B46" w:themeColor="text2"/>
        </w:rPr>
      </w:pPr>
      <w:r w:rsidRPr="006A561F">
        <w:rPr>
          <w:b/>
          <w:bCs/>
          <w:color w:val="588B46" w:themeColor="text2"/>
        </w:rPr>
        <w:t>Summary:</w:t>
      </w:r>
    </w:p>
    <w:p w14:paraId="39A5C061" w14:textId="77777777" w:rsidR="006F2F6D" w:rsidRPr="006A561F" w:rsidRDefault="4EAA50EC" w:rsidP="4977AA67">
      <w:pPr>
        <w:pStyle w:val="ItadNormalText"/>
        <w:jc w:val="both"/>
        <w:rPr>
          <w:color w:val="588B46" w:themeColor="text2"/>
        </w:rPr>
      </w:pPr>
      <w:r w:rsidRPr="4977AA67">
        <w:rPr>
          <w:color w:val="588B46" w:themeColor="text2"/>
        </w:rPr>
        <w:t xml:space="preserve">The findings demonstrate that there </w:t>
      </w:r>
      <w:r w:rsidR="3F37C472" w:rsidRPr="4977AA67">
        <w:rPr>
          <w:color w:val="588B46" w:themeColor="text2"/>
        </w:rPr>
        <w:t>was</w:t>
      </w:r>
      <w:r w:rsidRPr="4977AA67">
        <w:rPr>
          <w:color w:val="588B46" w:themeColor="text2"/>
        </w:rPr>
        <w:t xml:space="preserve"> a strong conceptual foundation in the MWGE programme emphasising a transformative approach towards gender equality and the empowerment of women </w:t>
      </w:r>
      <w:r w:rsidR="7088B140" w:rsidRPr="4977AA67">
        <w:rPr>
          <w:color w:val="588B46" w:themeColor="text2"/>
        </w:rPr>
        <w:t>through the targeted engagement of both women and men</w:t>
      </w:r>
      <w:r w:rsidRPr="4977AA67">
        <w:rPr>
          <w:color w:val="588B46" w:themeColor="text2"/>
        </w:rPr>
        <w:t>. In support of this, the acknowledgement and understanding of the Leave No</w:t>
      </w:r>
      <w:r w:rsidR="67242DF7" w:rsidRPr="4977AA67">
        <w:rPr>
          <w:color w:val="588B46" w:themeColor="text2"/>
        </w:rPr>
        <w:t xml:space="preserve"> </w:t>
      </w:r>
      <w:r w:rsidRPr="4977AA67">
        <w:rPr>
          <w:color w:val="588B46" w:themeColor="text2"/>
        </w:rPr>
        <w:t>One Behind (LNOB) Agenda remained embryonic in Phase I but ha</w:t>
      </w:r>
      <w:r w:rsidR="08BD9213" w:rsidRPr="4977AA67">
        <w:rPr>
          <w:color w:val="588B46" w:themeColor="text2"/>
        </w:rPr>
        <w:t>d</w:t>
      </w:r>
      <w:r w:rsidRPr="4977AA67">
        <w:rPr>
          <w:color w:val="588B46" w:themeColor="text2"/>
        </w:rPr>
        <w:t xml:space="preserve"> accelerated in Phase II, </w:t>
      </w:r>
      <w:r w:rsidR="4783A81A" w:rsidRPr="4977AA67">
        <w:rPr>
          <w:color w:val="588B46" w:themeColor="text2"/>
        </w:rPr>
        <w:t xml:space="preserve">especially in terms of including refugees and </w:t>
      </w:r>
      <w:r w:rsidR="145F6301" w:rsidRPr="4977AA67">
        <w:rPr>
          <w:color w:val="588B46" w:themeColor="text2"/>
        </w:rPr>
        <w:t xml:space="preserve">persons with disabilities, but </w:t>
      </w:r>
      <w:r w:rsidRPr="4977AA67">
        <w:rPr>
          <w:color w:val="588B46" w:themeColor="text2"/>
        </w:rPr>
        <w:t xml:space="preserve">to a lesser extent for LGBT </w:t>
      </w:r>
      <w:r w:rsidR="43249BD0" w:rsidRPr="4977AA67">
        <w:rPr>
          <w:color w:val="588B46" w:themeColor="text2"/>
        </w:rPr>
        <w:t xml:space="preserve">people </w:t>
      </w:r>
      <w:r w:rsidRPr="4977AA67">
        <w:rPr>
          <w:color w:val="588B46" w:themeColor="text2"/>
        </w:rPr>
        <w:t xml:space="preserve">given the restrictive political environment and social norms in most country contexts. Underpinning this, the articulation of rights-based approaches – and the associated implications for men’s and boys’ engagement for GEWE – </w:t>
      </w:r>
      <w:r w:rsidR="15F2BC11" w:rsidRPr="4977AA67">
        <w:rPr>
          <w:color w:val="588B46" w:themeColor="text2"/>
        </w:rPr>
        <w:t>wa</w:t>
      </w:r>
      <w:r w:rsidRPr="4977AA67">
        <w:rPr>
          <w:color w:val="588B46" w:themeColor="text2"/>
        </w:rPr>
        <w:t>s inconsistent and broadly undefined.</w:t>
      </w:r>
      <w:r w:rsidR="021621F9" w:rsidRPr="4977AA67">
        <w:rPr>
          <w:color w:val="588B46" w:themeColor="text2"/>
        </w:rPr>
        <w:t xml:space="preserve"> </w:t>
      </w:r>
      <w:r w:rsidR="3E5787E7" w:rsidRPr="4977AA67">
        <w:rPr>
          <w:color w:val="588B46" w:themeColor="text2"/>
        </w:rPr>
        <w:t xml:space="preserve">As a result, </w:t>
      </w:r>
      <w:r w:rsidR="40239370" w:rsidRPr="4977AA67">
        <w:rPr>
          <w:color w:val="588B46" w:themeColor="text2"/>
        </w:rPr>
        <w:t>the MWGE c</w:t>
      </w:r>
      <w:r w:rsidR="0D1E9D8D" w:rsidRPr="4977AA67">
        <w:rPr>
          <w:color w:val="588B46" w:themeColor="text2"/>
        </w:rPr>
        <w:t>ould</w:t>
      </w:r>
      <w:r w:rsidR="40239370" w:rsidRPr="4977AA67">
        <w:rPr>
          <w:color w:val="588B46" w:themeColor="text2"/>
        </w:rPr>
        <w:t xml:space="preserve"> arguably be</w:t>
      </w:r>
      <w:r w:rsidR="77A5347F" w:rsidRPr="4977AA67">
        <w:rPr>
          <w:color w:val="588B46" w:themeColor="text2"/>
        </w:rPr>
        <w:t xml:space="preserve"> given</w:t>
      </w:r>
      <w:r w:rsidR="40239370" w:rsidRPr="4977AA67">
        <w:rPr>
          <w:color w:val="588B46" w:themeColor="text2"/>
        </w:rPr>
        <w:t xml:space="preserve"> </w:t>
      </w:r>
      <w:r w:rsidR="645C5407" w:rsidRPr="4977AA67">
        <w:rPr>
          <w:color w:val="588B46" w:themeColor="text2"/>
        </w:rPr>
        <w:t xml:space="preserve">mostly a </w:t>
      </w:r>
      <w:r w:rsidR="2D759D1A" w:rsidRPr="4977AA67">
        <w:rPr>
          <w:color w:val="588B46" w:themeColor="text2"/>
        </w:rPr>
        <w:t>‘</w:t>
      </w:r>
      <w:r w:rsidR="40239370" w:rsidRPr="4977AA67">
        <w:rPr>
          <w:color w:val="588B46" w:themeColor="text2"/>
        </w:rPr>
        <w:t>gender</w:t>
      </w:r>
      <w:r w:rsidR="2D759D1A" w:rsidRPr="4977AA67">
        <w:rPr>
          <w:color w:val="588B46" w:themeColor="text2"/>
        </w:rPr>
        <w:t>-</w:t>
      </w:r>
      <w:r w:rsidR="40239370" w:rsidRPr="4977AA67">
        <w:rPr>
          <w:color w:val="588B46" w:themeColor="text2"/>
        </w:rPr>
        <w:t>responsive</w:t>
      </w:r>
      <w:r w:rsidR="2D759D1A" w:rsidRPr="4977AA67">
        <w:rPr>
          <w:color w:val="588B46" w:themeColor="text2"/>
        </w:rPr>
        <w:t xml:space="preserve">’ </w:t>
      </w:r>
      <w:r w:rsidR="021621F9" w:rsidRPr="4977AA67">
        <w:rPr>
          <w:color w:val="588B46" w:themeColor="text2"/>
        </w:rPr>
        <w:t xml:space="preserve">status on the </w:t>
      </w:r>
      <w:r w:rsidR="6A47A9A9" w:rsidRPr="4977AA67">
        <w:rPr>
          <w:rFonts w:asciiTheme="minorHAnsi" w:eastAsiaTheme="minorEastAsia" w:hAnsiTheme="minorHAnsi" w:cstheme="minorBidi"/>
          <w:color w:val="588B46" w:themeColor="text2"/>
        </w:rPr>
        <w:t xml:space="preserve">Gender Results Effectiveness Scale </w:t>
      </w:r>
      <w:r w:rsidR="6A47A9A9" w:rsidRPr="4977AA67">
        <w:rPr>
          <w:rFonts w:ascii="Arial" w:eastAsia="Arial" w:hAnsi="Arial"/>
          <w:color w:val="588B46" w:themeColor="text2"/>
          <w:sz w:val="21"/>
          <w:szCs w:val="21"/>
        </w:rPr>
        <w:t>(</w:t>
      </w:r>
      <w:r w:rsidR="021621F9" w:rsidRPr="4977AA67">
        <w:rPr>
          <w:color w:val="588B46" w:themeColor="text2"/>
        </w:rPr>
        <w:t>GRES</w:t>
      </w:r>
      <w:r w:rsidR="30F8EAA1" w:rsidRPr="4977AA67">
        <w:rPr>
          <w:color w:val="588B46" w:themeColor="text2"/>
        </w:rPr>
        <w:t>)</w:t>
      </w:r>
      <w:r w:rsidR="77A5347F" w:rsidRPr="4977AA67">
        <w:rPr>
          <w:color w:val="588B46" w:themeColor="text2"/>
        </w:rPr>
        <w:t xml:space="preserve">, though </w:t>
      </w:r>
      <w:r w:rsidR="645C5407" w:rsidRPr="4977AA67">
        <w:rPr>
          <w:color w:val="588B46" w:themeColor="text2"/>
        </w:rPr>
        <w:t xml:space="preserve">for many individual beneficiaries, the impacts </w:t>
      </w:r>
      <w:r w:rsidR="723685E6" w:rsidRPr="4977AA67">
        <w:rPr>
          <w:color w:val="588B46" w:themeColor="text2"/>
        </w:rPr>
        <w:t>undoubtedly were ‘gender transformative</w:t>
      </w:r>
      <w:r w:rsidR="021621F9" w:rsidRPr="4977AA67">
        <w:rPr>
          <w:color w:val="588B46" w:themeColor="text2"/>
        </w:rPr>
        <w:t>.</w:t>
      </w:r>
      <w:r w:rsidR="723685E6" w:rsidRPr="4977AA67">
        <w:rPr>
          <w:color w:val="588B46" w:themeColor="text2"/>
        </w:rPr>
        <w:t>’</w:t>
      </w:r>
      <w:r w:rsidR="233539B8" w:rsidRPr="4977AA67">
        <w:rPr>
          <w:color w:val="588B46" w:themeColor="text2"/>
        </w:rPr>
        <w:t xml:space="preserve"> Individual activities</w:t>
      </w:r>
      <w:r w:rsidR="1C19F570" w:rsidRPr="4977AA67">
        <w:rPr>
          <w:color w:val="588B46" w:themeColor="text2"/>
        </w:rPr>
        <w:t>, such as relatively basic awareness raising on gender</w:t>
      </w:r>
      <w:r w:rsidR="233539B8" w:rsidRPr="4977AA67">
        <w:rPr>
          <w:color w:val="588B46" w:themeColor="text2"/>
        </w:rPr>
        <w:t xml:space="preserve"> </w:t>
      </w:r>
      <w:r w:rsidR="1C19F570" w:rsidRPr="4977AA67">
        <w:rPr>
          <w:color w:val="588B46" w:themeColor="text2"/>
        </w:rPr>
        <w:t>would</w:t>
      </w:r>
      <w:r w:rsidR="233539B8" w:rsidRPr="4977AA67">
        <w:rPr>
          <w:color w:val="588B46" w:themeColor="text2"/>
        </w:rPr>
        <w:t xml:space="preserve"> however </w:t>
      </w:r>
      <w:r w:rsidR="1C19F570" w:rsidRPr="4977AA67">
        <w:rPr>
          <w:color w:val="588B46" w:themeColor="text2"/>
        </w:rPr>
        <w:t>need to be ranked as ‘gender targeted.’</w:t>
      </w:r>
    </w:p>
    <w:p w14:paraId="26D22EC5" w14:textId="77777777" w:rsidR="4977AA67" w:rsidRDefault="4977AA67" w:rsidP="4977AA67">
      <w:pPr>
        <w:pStyle w:val="ItadNormalText"/>
        <w:jc w:val="both"/>
        <w:rPr>
          <w:b/>
          <w:bCs/>
          <w:color w:val="588B46" w:themeColor="text2"/>
        </w:rPr>
      </w:pPr>
    </w:p>
    <w:p w14:paraId="6858F3C3" w14:textId="77777777" w:rsidR="006F2F6D" w:rsidRPr="006A561F" w:rsidRDefault="3774BE70" w:rsidP="006B07E9">
      <w:pPr>
        <w:pStyle w:val="ItadNormalText"/>
        <w:jc w:val="both"/>
        <w:rPr>
          <w:b/>
          <w:bCs/>
        </w:rPr>
      </w:pPr>
      <w:r w:rsidRPr="4977AA67">
        <w:rPr>
          <w:b/>
          <w:bCs/>
          <w:color w:val="588B46" w:themeColor="text2"/>
        </w:rPr>
        <w:t>Finding 7.1:</w:t>
      </w:r>
      <w:r w:rsidRPr="4977AA67">
        <w:rPr>
          <w:b/>
          <w:bCs/>
          <w:color w:val="70AD47"/>
        </w:rPr>
        <w:t xml:space="preserve"> </w:t>
      </w:r>
      <w:r w:rsidRPr="4977AA67">
        <w:rPr>
          <w:b/>
          <w:bCs/>
        </w:rPr>
        <w:t xml:space="preserve">The MWGE </w:t>
      </w:r>
      <w:proofErr w:type="spellStart"/>
      <w:r w:rsidR="6B974269" w:rsidRPr="4977AA67">
        <w:rPr>
          <w:b/>
          <w:bCs/>
        </w:rPr>
        <w:t>ToC</w:t>
      </w:r>
      <w:proofErr w:type="spellEnd"/>
      <w:r w:rsidRPr="4977AA67">
        <w:rPr>
          <w:b/>
          <w:bCs/>
        </w:rPr>
        <w:t xml:space="preserve"> sets the scene for a </w:t>
      </w:r>
      <w:r w:rsidR="483677E6" w:rsidRPr="4977AA67">
        <w:rPr>
          <w:b/>
          <w:bCs/>
        </w:rPr>
        <w:t>gender-</w:t>
      </w:r>
      <w:r w:rsidRPr="4977AA67">
        <w:rPr>
          <w:b/>
          <w:bCs/>
        </w:rPr>
        <w:t xml:space="preserve">transformative approach which </w:t>
      </w:r>
      <w:r w:rsidR="55864A8D" w:rsidRPr="4977AA67">
        <w:rPr>
          <w:b/>
          <w:bCs/>
        </w:rPr>
        <w:t>wa</w:t>
      </w:r>
      <w:r w:rsidRPr="4977AA67">
        <w:rPr>
          <w:b/>
          <w:bCs/>
        </w:rPr>
        <w:t xml:space="preserve">s evident in </w:t>
      </w:r>
      <w:r w:rsidR="4A4BA367" w:rsidRPr="4977AA67">
        <w:rPr>
          <w:b/>
          <w:bCs/>
        </w:rPr>
        <w:t xml:space="preserve">the </w:t>
      </w:r>
      <w:r w:rsidR="2F5F27FA" w:rsidRPr="4977AA67">
        <w:rPr>
          <w:b/>
          <w:bCs/>
        </w:rPr>
        <w:t xml:space="preserve">knowledge products, </w:t>
      </w:r>
      <w:r w:rsidRPr="4977AA67">
        <w:rPr>
          <w:b/>
          <w:bCs/>
        </w:rPr>
        <w:t>capacity building materials and outcomes</w:t>
      </w:r>
      <w:r w:rsidR="267B795F" w:rsidRPr="4977AA67">
        <w:rPr>
          <w:b/>
          <w:bCs/>
        </w:rPr>
        <w:t>.</w:t>
      </w:r>
      <w:r w:rsidRPr="4977AA67">
        <w:rPr>
          <w:b/>
          <w:bCs/>
        </w:rPr>
        <w:t xml:space="preserve"> </w:t>
      </w:r>
      <w:r w:rsidR="6ACF0E58" w:rsidRPr="4977AA67">
        <w:rPr>
          <w:b/>
          <w:bCs/>
        </w:rPr>
        <w:t>H</w:t>
      </w:r>
      <w:r w:rsidR="27F9149E" w:rsidRPr="4977AA67">
        <w:rPr>
          <w:b/>
          <w:bCs/>
        </w:rPr>
        <w:t xml:space="preserve">owever, </w:t>
      </w:r>
      <w:r w:rsidRPr="4977AA67">
        <w:rPr>
          <w:b/>
          <w:bCs/>
        </w:rPr>
        <w:t>the definition of ‘transformative’ requires further nuanc</w:t>
      </w:r>
      <w:r w:rsidR="7FC155C1" w:rsidRPr="4977AA67">
        <w:rPr>
          <w:b/>
          <w:bCs/>
        </w:rPr>
        <w:t>ing and standardisation.</w:t>
      </w:r>
    </w:p>
    <w:p w14:paraId="378C6285" w14:textId="77777777" w:rsidR="006F2F6D" w:rsidRPr="006A561F" w:rsidRDefault="3774BE70" w:rsidP="00EF75AB">
      <w:pPr>
        <w:pStyle w:val="ItadNormalText"/>
        <w:jc w:val="both"/>
      </w:pPr>
      <w:r>
        <w:t xml:space="preserve">A review of the </w:t>
      </w:r>
      <w:proofErr w:type="spellStart"/>
      <w:r>
        <w:t>ToC</w:t>
      </w:r>
      <w:proofErr w:type="spellEnd"/>
      <w:r>
        <w:t xml:space="preserve"> (see EQ 4) demonstrate</w:t>
      </w:r>
      <w:r w:rsidR="58361580">
        <w:t>d</w:t>
      </w:r>
      <w:r>
        <w:t xml:space="preserve"> an increased emphasis on </w:t>
      </w:r>
      <w:r w:rsidR="2A754F32">
        <w:t>gender-</w:t>
      </w:r>
      <w:r>
        <w:t xml:space="preserve">transformative change concepts as the MWGE programme developed across </w:t>
      </w:r>
      <w:r w:rsidR="6B974269">
        <w:t>P</w:t>
      </w:r>
      <w:r>
        <w:t>hase</w:t>
      </w:r>
      <w:r w:rsidR="6B974269">
        <w:t>s</w:t>
      </w:r>
      <w:r>
        <w:t xml:space="preserve"> I and II. The shift towards generating change across</w:t>
      </w:r>
      <w:r w:rsidR="6B974269">
        <w:t xml:space="preserve"> the</w:t>
      </w:r>
      <w:r>
        <w:t xml:space="preserve"> macro</w:t>
      </w:r>
      <w:r w:rsidR="76AD2485">
        <w:t xml:space="preserve"> </w:t>
      </w:r>
      <w:r>
        <w:t xml:space="preserve">level (laws and policy) and </w:t>
      </w:r>
      <w:proofErr w:type="spellStart"/>
      <w:r>
        <w:t>meso</w:t>
      </w:r>
      <w:proofErr w:type="spellEnd"/>
      <w:r w:rsidR="76AD2485">
        <w:t xml:space="preserve"> </w:t>
      </w:r>
      <w:r>
        <w:t xml:space="preserve">level (institutions and networks) </w:t>
      </w:r>
      <w:r w:rsidR="7A40E8E7">
        <w:t>was</w:t>
      </w:r>
      <w:r>
        <w:t xml:space="preserve"> evidence of this progressive movement – although financial resources </w:t>
      </w:r>
      <w:r w:rsidR="5B320B7E">
        <w:t xml:space="preserve">did </w:t>
      </w:r>
      <w:r>
        <w:t>not follow suit to fully underpin this movement (see also EQ 6).</w:t>
      </w:r>
      <w:r w:rsidR="40992405">
        <w:t xml:space="preserve"> </w:t>
      </w:r>
      <w:r w:rsidR="0743636A" w:rsidRPr="006A561F">
        <w:t>Nevertheless, an understanding and awareness of the gender transformative approaches, as well as other dimensions of the gender effectiveness scale</w:t>
      </w:r>
      <w:r w:rsidR="1AC73850" w:rsidRPr="006A561F">
        <w:t>,</w:t>
      </w:r>
      <w:r w:rsidR="006F2F6D" w:rsidRPr="0D4BD307">
        <w:rPr>
          <w:rFonts w:ascii="Arial" w:hAnsi="Arial"/>
          <w:vertAlign w:val="superscript"/>
        </w:rPr>
        <w:footnoteReference w:id="264"/>
      </w:r>
      <w:r w:rsidR="0743636A" w:rsidRPr="006A561F">
        <w:t xml:space="preserve"> </w:t>
      </w:r>
      <w:r w:rsidR="112A4822" w:rsidRPr="006A561F">
        <w:t>was</w:t>
      </w:r>
      <w:r w:rsidR="0743636A" w:rsidRPr="006A561F">
        <w:t xml:space="preserve"> dominant throughout the knowledge products produced by the MWGE programme from the early stages in Phase I. For example, the guidance document on ‘Understanding How to Engage Men in Gender Transformative Approaches to End Violence Against Women’ (2018) </w:t>
      </w:r>
      <w:r w:rsidR="692F881F" w:rsidRPr="006A561F">
        <w:t>wa</w:t>
      </w:r>
      <w:r w:rsidR="0743636A" w:rsidRPr="006A561F">
        <w:t xml:space="preserve">s </w:t>
      </w:r>
      <w:r w:rsidR="1AC73850" w:rsidRPr="006A561F">
        <w:t>one</w:t>
      </w:r>
      <w:r w:rsidR="0743636A" w:rsidRPr="006A561F">
        <w:t xml:space="preserve"> of 21 documents available on the MWGE online portal, advi</w:t>
      </w:r>
      <w:r w:rsidR="2FB35EDF" w:rsidRPr="006A561F">
        <w:t>sing</w:t>
      </w:r>
      <w:r w:rsidR="0743636A" w:rsidRPr="006A561F">
        <w:t xml:space="preserve"> that practitioners ‘</w:t>
      </w:r>
      <w:r w:rsidR="1AC73850" w:rsidRPr="006A561F">
        <w:t>g</w:t>
      </w:r>
      <w:r w:rsidR="0743636A" w:rsidRPr="006A561F">
        <w:t>o beyond simply recognizing inequalities’ and that instead they ‘work to directly challenge and change the harmful norms that perpetuate inequality and justify men’s use of violence in the first place’</w:t>
      </w:r>
      <w:r w:rsidR="1AC73850" w:rsidRPr="006A561F">
        <w:t>.</w:t>
      </w:r>
      <w:r w:rsidR="006F2F6D" w:rsidRPr="0D4BD307">
        <w:rPr>
          <w:rFonts w:ascii="Arial" w:hAnsi="Arial"/>
          <w:vertAlign w:val="superscript"/>
        </w:rPr>
        <w:footnoteReference w:id="265"/>
      </w:r>
      <w:r w:rsidR="0743636A" w:rsidRPr="006A561F">
        <w:t xml:space="preserve"> This framing and language of gender transformative concepts </w:t>
      </w:r>
      <w:r w:rsidR="16B851D6" w:rsidRPr="006A561F">
        <w:t>was</w:t>
      </w:r>
      <w:r w:rsidR="0743636A" w:rsidRPr="006A561F">
        <w:t xml:space="preserve"> endemic in the knowledge products in the online portal</w:t>
      </w:r>
      <w:r w:rsidR="1AC73850" w:rsidRPr="006A561F">
        <w:t>.</w:t>
      </w:r>
      <w:r w:rsidR="006F2F6D" w:rsidRPr="0D4BD307">
        <w:rPr>
          <w:rFonts w:ascii="Arial" w:hAnsi="Arial"/>
          <w:vertAlign w:val="superscript"/>
        </w:rPr>
        <w:footnoteReference w:id="266"/>
      </w:r>
    </w:p>
    <w:p w14:paraId="1FAC6AA0" w14:textId="77777777" w:rsidR="006F2F6D" w:rsidRPr="006A561F" w:rsidRDefault="0C46233B" w:rsidP="00EF75AB">
      <w:pPr>
        <w:pStyle w:val="ItadNormalText"/>
        <w:jc w:val="both"/>
      </w:pPr>
      <w:r w:rsidRPr="006A561F">
        <w:t xml:space="preserve">There </w:t>
      </w:r>
      <w:r w:rsidR="3CFF291E" w:rsidRPr="006A561F">
        <w:t>was</w:t>
      </w:r>
      <w:r w:rsidRPr="006A561F">
        <w:t xml:space="preserve"> also good evidence from the CBO survey, which focused on capacity building, to suggest that the training afforded to CBOs by the umbrella organisations w</w:t>
      </w:r>
      <w:r w:rsidR="5F1B8F16" w:rsidRPr="006A561F">
        <w:t xml:space="preserve">ere </w:t>
      </w:r>
      <w:r w:rsidRPr="006A561F">
        <w:t>well received. Of the multiple options provided to CBOs to select the area in which they received the most support, the support for generating an understanding of the ‘differences between gender-harmful, gender-blind, gender sensitive, gender-responsive and gender-transformative’ was marked as the most useful by 25% of CBOs</w:t>
      </w:r>
      <w:r w:rsidR="7C2D3DFA" w:rsidRPr="006A561F">
        <w:t>.</w:t>
      </w:r>
      <w:r w:rsidR="006F2F6D" w:rsidRPr="076A58FF">
        <w:rPr>
          <w:rFonts w:ascii="Arial" w:hAnsi="Arial"/>
          <w:vertAlign w:val="superscript"/>
        </w:rPr>
        <w:footnoteReference w:id="267"/>
      </w:r>
      <w:r w:rsidRPr="006A561F">
        <w:t xml:space="preserve"> This is aligned with the in-depth framing of gender</w:t>
      </w:r>
      <w:r w:rsidR="3E49D255" w:rsidRPr="006A561F">
        <w:t xml:space="preserve"> </w:t>
      </w:r>
      <w:r w:rsidRPr="006A561F">
        <w:t>transformative approaches provided in the ‘Capacity Building Toolbox for Emerging CBOs and Youth Groups’ toolkit, among other materials</w:t>
      </w:r>
      <w:r w:rsidR="7C2D3DFA" w:rsidRPr="006A561F">
        <w:t>.</w:t>
      </w:r>
      <w:r w:rsidR="006F2F6D" w:rsidRPr="076A58FF">
        <w:rPr>
          <w:rFonts w:ascii="Arial" w:hAnsi="Arial"/>
          <w:vertAlign w:val="superscript"/>
        </w:rPr>
        <w:footnoteReference w:id="268"/>
      </w:r>
    </w:p>
    <w:p w14:paraId="34833B97" w14:textId="77777777" w:rsidR="006F2F6D" w:rsidRPr="006A561F" w:rsidRDefault="0743636A" w:rsidP="00EF75AB">
      <w:pPr>
        <w:pStyle w:val="ItadNormalText"/>
        <w:jc w:val="both"/>
      </w:pPr>
      <w:r w:rsidRPr="006A561F">
        <w:lastRenderedPageBreak/>
        <w:t xml:space="preserve">However, beyond the IMAGES GEMS score, a </w:t>
      </w:r>
      <w:r w:rsidR="241125D1" w:rsidRPr="006A561F">
        <w:t>g</w:t>
      </w:r>
      <w:r w:rsidRPr="006A561F">
        <w:t xml:space="preserve">ender </w:t>
      </w:r>
      <w:r w:rsidR="241125D1" w:rsidRPr="006A561F">
        <w:t>a</w:t>
      </w:r>
      <w:r w:rsidRPr="006A561F">
        <w:t xml:space="preserve">nalysis </w:t>
      </w:r>
      <w:r w:rsidR="241125D1" w:rsidRPr="006A561F">
        <w:t>m</w:t>
      </w:r>
      <w:r w:rsidRPr="006A561F">
        <w:t xml:space="preserve">arker relating to the </w:t>
      </w:r>
      <w:r w:rsidR="241125D1" w:rsidRPr="006A561F">
        <w:t>g</w:t>
      </w:r>
      <w:r w:rsidRPr="006A561F">
        <w:t xml:space="preserve">ender </w:t>
      </w:r>
      <w:r w:rsidR="241125D1" w:rsidRPr="006A561F">
        <w:t>e</w:t>
      </w:r>
      <w:r w:rsidRPr="006A561F">
        <w:t xml:space="preserve">ffectiveness </w:t>
      </w:r>
      <w:r w:rsidR="241125D1" w:rsidRPr="006A561F">
        <w:t>s</w:t>
      </w:r>
      <w:r w:rsidRPr="006A561F">
        <w:t>cale appear</w:t>
      </w:r>
      <w:r w:rsidR="0E2692C2" w:rsidRPr="006A561F">
        <w:t>ed</w:t>
      </w:r>
      <w:r w:rsidRPr="006A561F">
        <w:t xml:space="preserve"> sporadically in technical documentation and reporting materials across Phase</w:t>
      </w:r>
      <w:r w:rsidR="09C54E40" w:rsidRPr="006A561F">
        <w:t>s</w:t>
      </w:r>
      <w:r w:rsidRPr="006A561F">
        <w:t xml:space="preserve"> I and II. This lack of a standard or tailored gender effectiveness scale could undermine MEL quality and explanatory power in reviewing progress across MWGE programming areas in different country contexts over time. For example, while the catalogue of MEL approaches used in the MWGE programme across Phase</w:t>
      </w:r>
      <w:r w:rsidR="09C54E40" w:rsidRPr="006A561F">
        <w:t>s</w:t>
      </w:r>
      <w:r w:rsidRPr="006A561F">
        <w:t xml:space="preserve"> I and II </w:t>
      </w:r>
      <w:r w:rsidR="6735E1B3" w:rsidRPr="006A561F">
        <w:t>went</w:t>
      </w:r>
      <w:r w:rsidRPr="006A561F">
        <w:t xml:space="preserve"> ‘above and beyond’</w:t>
      </w:r>
      <w:r w:rsidR="006F2F6D" w:rsidRPr="0D4BD307">
        <w:rPr>
          <w:rFonts w:ascii="Arial" w:hAnsi="Arial"/>
          <w:vertAlign w:val="superscript"/>
        </w:rPr>
        <w:footnoteReference w:id="269"/>
      </w:r>
      <w:r w:rsidRPr="006A561F">
        <w:t xml:space="preserve"> the standards expected of the UN</w:t>
      </w:r>
      <w:r w:rsidR="09C54E40" w:rsidRPr="006A561F">
        <w:t xml:space="preserve"> </w:t>
      </w:r>
      <w:r w:rsidRPr="006A561F">
        <w:t>W</w:t>
      </w:r>
      <w:r w:rsidR="09C54E40" w:rsidRPr="006A561F">
        <w:t>omen</w:t>
      </w:r>
      <w:r w:rsidRPr="006A561F">
        <w:t xml:space="preserve"> HQ office, there </w:t>
      </w:r>
      <w:r w:rsidR="4A391C20" w:rsidRPr="006A561F">
        <w:t>were</w:t>
      </w:r>
      <w:r w:rsidRPr="006A561F">
        <w:t xml:space="preserve"> no clear definition of ‘gender transformative’ </w:t>
      </w:r>
      <w:r w:rsidR="09C54E40" w:rsidRPr="006A561F">
        <w:t>that would support robust analysis, n</w:t>
      </w:r>
      <w:r w:rsidRPr="006A561F">
        <w:t>or</w:t>
      </w:r>
      <w:r w:rsidR="09C54E40" w:rsidRPr="006A561F">
        <w:t xml:space="preserve"> of</w:t>
      </w:r>
      <w:r w:rsidRPr="006A561F">
        <w:t xml:space="preserve"> similar concepts in the MEL materials and capacity building toolkits. This shortfall </w:t>
      </w:r>
      <w:r w:rsidR="634939B8" w:rsidRPr="006A561F">
        <w:t xml:space="preserve">was </w:t>
      </w:r>
      <w:r w:rsidRPr="006A561F">
        <w:t xml:space="preserve">partially evidenced in feedback from </w:t>
      </w:r>
      <w:r w:rsidR="09C54E40" w:rsidRPr="006A561F">
        <w:t xml:space="preserve">the </w:t>
      </w:r>
      <w:r w:rsidRPr="006A561F">
        <w:t xml:space="preserve">46% </w:t>
      </w:r>
      <w:r w:rsidR="09C54E40" w:rsidRPr="006A561F">
        <w:t xml:space="preserve">of </w:t>
      </w:r>
      <w:r w:rsidRPr="006A561F">
        <w:t xml:space="preserve">CBOs who stated that support in understanding the gender effectiveness scale is an area in </w:t>
      </w:r>
      <w:r w:rsidR="09C54E40" w:rsidRPr="006A561F">
        <w:t xml:space="preserve">which </w:t>
      </w:r>
      <w:r w:rsidRPr="006A561F">
        <w:t>they have a priority need</w:t>
      </w:r>
      <w:r w:rsidR="09C54E40" w:rsidRPr="006A561F">
        <w:t>.</w:t>
      </w:r>
      <w:r w:rsidR="006F2F6D" w:rsidRPr="0D4BD307">
        <w:rPr>
          <w:rFonts w:ascii="Arial" w:hAnsi="Arial"/>
          <w:vertAlign w:val="superscript"/>
        </w:rPr>
        <w:footnoteReference w:id="270"/>
      </w:r>
    </w:p>
    <w:p w14:paraId="2991E3ED" w14:textId="77777777" w:rsidR="4977AA67" w:rsidRDefault="4977AA67" w:rsidP="4977AA67">
      <w:pPr>
        <w:pStyle w:val="ItadNormalText"/>
        <w:jc w:val="both"/>
      </w:pPr>
    </w:p>
    <w:p w14:paraId="5CE1CD4B" w14:textId="77777777" w:rsidR="006F2F6D" w:rsidRPr="006A561F" w:rsidRDefault="4EAA50EC" w:rsidP="00EF75AB">
      <w:pPr>
        <w:pStyle w:val="ItadNormalText"/>
        <w:jc w:val="both"/>
        <w:rPr>
          <w:b/>
          <w:bCs/>
        </w:rPr>
      </w:pPr>
      <w:r w:rsidRPr="4977AA67">
        <w:rPr>
          <w:b/>
          <w:bCs/>
          <w:color w:val="588B46" w:themeColor="text2"/>
        </w:rPr>
        <w:t>Finding 7.2:</w:t>
      </w:r>
      <w:r w:rsidRPr="4977AA67">
        <w:rPr>
          <w:b/>
          <w:bCs/>
        </w:rPr>
        <w:t xml:space="preserve"> Recognition of the </w:t>
      </w:r>
      <w:r w:rsidR="00E36493" w:rsidRPr="4977AA67">
        <w:rPr>
          <w:b/>
          <w:bCs/>
        </w:rPr>
        <w:t>LNOB</w:t>
      </w:r>
      <w:r w:rsidRPr="4977AA67">
        <w:rPr>
          <w:b/>
          <w:bCs/>
        </w:rPr>
        <w:t xml:space="preserve"> </w:t>
      </w:r>
      <w:r w:rsidR="4D53006F" w:rsidRPr="4977AA67">
        <w:rPr>
          <w:b/>
          <w:bCs/>
        </w:rPr>
        <w:t>a</w:t>
      </w:r>
      <w:r w:rsidRPr="4977AA67">
        <w:rPr>
          <w:b/>
          <w:bCs/>
        </w:rPr>
        <w:t xml:space="preserve">genda </w:t>
      </w:r>
      <w:r w:rsidR="6F4DC079" w:rsidRPr="4977AA67">
        <w:rPr>
          <w:b/>
          <w:bCs/>
        </w:rPr>
        <w:t>was</w:t>
      </w:r>
      <w:r w:rsidRPr="4977AA67">
        <w:rPr>
          <w:b/>
          <w:bCs/>
        </w:rPr>
        <w:t xml:space="preserve"> slow to gather momentum </w:t>
      </w:r>
      <w:r w:rsidR="00E36493" w:rsidRPr="4977AA67">
        <w:rPr>
          <w:b/>
          <w:bCs/>
        </w:rPr>
        <w:t xml:space="preserve">consciously </w:t>
      </w:r>
      <w:r w:rsidRPr="4977AA67">
        <w:rPr>
          <w:b/>
          <w:bCs/>
        </w:rPr>
        <w:t xml:space="preserve">across Phase I (particularly for LGBT </w:t>
      </w:r>
      <w:r w:rsidR="43249BD0" w:rsidRPr="4977AA67">
        <w:rPr>
          <w:b/>
          <w:bCs/>
        </w:rPr>
        <w:t>people</w:t>
      </w:r>
      <w:r w:rsidRPr="4977AA67">
        <w:rPr>
          <w:b/>
          <w:bCs/>
        </w:rPr>
        <w:t>), although the integration of refugees, LGBT pe</w:t>
      </w:r>
      <w:r w:rsidR="088FEC67" w:rsidRPr="4977AA67">
        <w:rPr>
          <w:b/>
          <w:bCs/>
        </w:rPr>
        <w:t>ople</w:t>
      </w:r>
      <w:r w:rsidRPr="4977AA67">
        <w:rPr>
          <w:b/>
          <w:bCs/>
        </w:rPr>
        <w:t xml:space="preserve"> and persons with </w:t>
      </w:r>
      <w:r w:rsidR="5E4E6FDF" w:rsidRPr="4977AA67">
        <w:rPr>
          <w:b/>
          <w:bCs/>
        </w:rPr>
        <w:t>disabilities grew</w:t>
      </w:r>
      <w:r w:rsidRPr="4977AA67">
        <w:rPr>
          <w:b/>
          <w:bCs/>
        </w:rPr>
        <w:t xml:space="preserve"> steadily in Phase II. More broadly</w:t>
      </w:r>
      <w:r w:rsidR="00E36493" w:rsidRPr="4977AA67">
        <w:rPr>
          <w:b/>
          <w:bCs/>
        </w:rPr>
        <w:t>,</w:t>
      </w:r>
      <w:r w:rsidRPr="4977AA67">
        <w:rPr>
          <w:b/>
          <w:bCs/>
        </w:rPr>
        <w:t xml:space="preserve"> however, linkages of the LNOB agenda to intersectional approaches remain</w:t>
      </w:r>
      <w:r w:rsidR="384F3817" w:rsidRPr="4977AA67">
        <w:rPr>
          <w:b/>
          <w:bCs/>
        </w:rPr>
        <w:t>ed</w:t>
      </w:r>
      <w:r w:rsidRPr="4977AA67">
        <w:rPr>
          <w:b/>
          <w:bCs/>
        </w:rPr>
        <w:t xml:space="preserve"> underappreciated across the programme design, </w:t>
      </w:r>
      <w:proofErr w:type="gramStart"/>
      <w:r w:rsidRPr="4977AA67">
        <w:rPr>
          <w:b/>
          <w:bCs/>
        </w:rPr>
        <w:t>implementation</w:t>
      </w:r>
      <w:proofErr w:type="gramEnd"/>
      <w:r w:rsidRPr="4977AA67">
        <w:rPr>
          <w:b/>
          <w:bCs/>
        </w:rPr>
        <w:t xml:space="preserve"> and MEL components.</w:t>
      </w:r>
    </w:p>
    <w:p w14:paraId="5D8D9A0D" w14:textId="77777777" w:rsidR="006F2F6D" w:rsidRPr="006A561F" w:rsidRDefault="0C46233B" w:rsidP="00EF75AB">
      <w:pPr>
        <w:pStyle w:val="ItadNormalText"/>
        <w:jc w:val="both"/>
      </w:pPr>
      <w:r w:rsidRPr="006A561F">
        <w:t xml:space="preserve">There </w:t>
      </w:r>
      <w:r w:rsidR="0B842184" w:rsidRPr="006A561F">
        <w:t>was</w:t>
      </w:r>
      <w:r w:rsidRPr="006A561F">
        <w:t xml:space="preserve"> evidence from Phase I and II countries that there </w:t>
      </w:r>
      <w:r w:rsidR="60689254" w:rsidRPr="006A561F">
        <w:t>was</w:t>
      </w:r>
      <w:r w:rsidRPr="006A561F">
        <w:t xml:space="preserve"> an expansion of interest in marginalised people and communities in the MWGE programme – although this expansion </w:t>
      </w:r>
      <w:r w:rsidR="05906ECF" w:rsidRPr="006A561F">
        <w:t>w</w:t>
      </w:r>
      <w:r w:rsidRPr="006A561F">
        <w:t>as not always explicitly linked to the LNOB agenda. In Morocco</w:t>
      </w:r>
      <w:r w:rsidR="77014C8B" w:rsidRPr="006A561F">
        <w:t>,</w:t>
      </w:r>
      <w:r w:rsidRPr="006A561F">
        <w:t xml:space="preserve"> for example, the targeting </w:t>
      </w:r>
      <w:r w:rsidR="77014C8B" w:rsidRPr="006A561F">
        <w:t xml:space="preserve">of </w:t>
      </w:r>
      <w:r w:rsidRPr="006A561F">
        <w:t>women and men beneficiaries from hard-to-reach rural areas through public outreach (via Souks)</w:t>
      </w:r>
      <w:r w:rsidR="006F2F6D" w:rsidRPr="076A58FF">
        <w:rPr>
          <w:rFonts w:ascii="Arial" w:hAnsi="Arial"/>
          <w:color w:val="3B3B3C"/>
          <w:vertAlign w:val="superscript"/>
        </w:rPr>
        <w:footnoteReference w:id="271"/>
      </w:r>
      <w:r w:rsidRPr="006A561F">
        <w:t xml:space="preserve"> was undertaken, despite there being no evidence of the programme intentionally focusing on incorporating the LNOB principle </w:t>
      </w:r>
      <w:r w:rsidR="77014C8B" w:rsidRPr="006A561F">
        <w:t>‘</w:t>
      </w:r>
      <w:r w:rsidRPr="006A561F">
        <w:t>Do No Harm</w:t>
      </w:r>
      <w:r w:rsidR="77014C8B" w:rsidRPr="006A561F">
        <w:t>’</w:t>
      </w:r>
      <w:r w:rsidRPr="006A561F">
        <w:t xml:space="preserve"> </w:t>
      </w:r>
      <w:r w:rsidR="77014C8B" w:rsidRPr="006A561F">
        <w:t>or</w:t>
      </w:r>
      <w:r w:rsidRPr="006A561F">
        <w:t xml:space="preserve"> emphasising a focus on diversity, </w:t>
      </w:r>
      <w:proofErr w:type="gramStart"/>
      <w:r w:rsidRPr="006A561F">
        <w:t>minorities</w:t>
      </w:r>
      <w:proofErr w:type="gramEnd"/>
      <w:r w:rsidRPr="006A561F">
        <w:t xml:space="preserve"> and at-risk groups</w:t>
      </w:r>
      <w:r w:rsidR="77014C8B" w:rsidRPr="006A561F">
        <w:t>.</w:t>
      </w:r>
      <w:r w:rsidR="006F2F6D" w:rsidRPr="076A58FF">
        <w:rPr>
          <w:rFonts w:ascii="Arial" w:hAnsi="Arial"/>
          <w:color w:val="3B3B3C"/>
          <w:vertAlign w:val="superscript"/>
        </w:rPr>
        <w:footnoteReference w:id="272"/>
      </w:r>
    </w:p>
    <w:p w14:paraId="1C5BBC77" w14:textId="77777777" w:rsidR="006F2F6D" w:rsidRPr="006A561F" w:rsidRDefault="0C46233B" w:rsidP="00EF75AB">
      <w:pPr>
        <w:pStyle w:val="ItadNormalText"/>
        <w:jc w:val="both"/>
      </w:pPr>
      <w:r w:rsidRPr="006A561F">
        <w:t>Similarly, for Palestine and Egypt there was marginally more evidence of addressing LNOB concerns – but primarily for a geographic or socioeconomic perspective. In Egypt</w:t>
      </w:r>
      <w:r w:rsidR="77014C8B" w:rsidRPr="006A561F">
        <w:t>,</w:t>
      </w:r>
      <w:r w:rsidRPr="006A561F">
        <w:t xml:space="preserve"> for example, although documents show</w:t>
      </w:r>
      <w:r w:rsidR="1B0266B3" w:rsidRPr="006A561F">
        <w:t>ed</w:t>
      </w:r>
      <w:r w:rsidRPr="006A561F">
        <w:t xml:space="preserve"> limited data on ‘leaving no one behind’ and its framework, the MWGE programme considered the LNOB principle by addressing disadvantaged women, </w:t>
      </w:r>
      <w:proofErr w:type="gramStart"/>
      <w:r w:rsidRPr="006A561F">
        <w:t>men</w:t>
      </w:r>
      <w:proofErr w:type="gramEnd"/>
      <w:r w:rsidRPr="006A561F">
        <w:t xml:space="preserve"> and girls with lower incomes, as well as the poorest cohorts across several geographical settings.</w:t>
      </w:r>
      <w:r w:rsidR="006F2F6D" w:rsidRPr="006A561F">
        <w:rPr>
          <w:vertAlign w:val="superscript"/>
        </w:rPr>
        <w:footnoteReference w:id="273"/>
      </w:r>
      <w:r w:rsidRPr="006A561F">
        <w:t xml:space="preserve"> </w:t>
      </w:r>
      <w:r w:rsidR="7F802F68" w:rsidRPr="006A561F">
        <w:t>T</w:t>
      </w:r>
      <w:r w:rsidRPr="006A561F">
        <w:t xml:space="preserve">he design of community interventions </w:t>
      </w:r>
      <w:r w:rsidR="20C44631" w:rsidRPr="006A561F">
        <w:t xml:space="preserve">also </w:t>
      </w:r>
      <w:r w:rsidRPr="006A561F">
        <w:t>d</w:t>
      </w:r>
      <w:r w:rsidR="1CD88A90" w:rsidRPr="006A561F">
        <w:t>id</w:t>
      </w:r>
      <w:r w:rsidRPr="006A561F">
        <w:t xml:space="preserve"> not refer to the LNOB concept explicitly. Similarly, in Palestine, the </w:t>
      </w:r>
      <w:r w:rsidR="595E6A18" w:rsidRPr="006A561F">
        <w:t>umbrella NGOs</w:t>
      </w:r>
      <w:r w:rsidR="21082EBB" w:rsidRPr="006A561F">
        <w:t>,</w:t>
      </w:r>
      <w:r w:rsidR="595E6A18" w:rsidRPr="006A561F">
        <w:t xml:space="preserve"> </w:t>
      </w:r>
      <w:r w:rsidRPr="006A561F">
        <w:t>reported that the programme targeted families in marginali</w:t>
      </w:r>
      <w:r w:rsidR="77014C8B" w:rsidRPr="006A561F">
        <w:t>s</w:t>
      </w:r>
      <w:r w:rsidRPr="006A561F">
        <w:t>ed areas, including south Hebron and Gaza. In addition, many of these families demonstrated little access to electricity and the Internet at that time</w:t>
      </w:r>
      <w:r w:rsidR="77014C8B" w:rsidRPr="006A561F">
        <w:t>.</w:t>
      </w:r>
      <w:r w:rsidRPr="006A561F">
        <w:t xml:space="preserve"> However, while most Palestinian implementing partners made efforts to be inclusive of poorer marginali</w:t>
      </w:r>
      <w:r w:rsidR="77014C8B" w:rsidRPr="006A561F">
        <w:t>s</w:t>
      </w:r>
      <w:r w:rsidRPr="006A561F">
        <w:t xml:space="preserve">ed, remote, rural and border communities in addition to refugee camps, there was </w:t>
      </w:r>
      <w:r w:rsidR="77014C8B" w:rsidRPr="006A561F">
        <w:t>‘</w:t>
      </w:r>
      <w:r w:rsidRPr="006A561F">
        <w:t>no strategic direction to be inclusive of people with disabilities</w:t>
      </w:r>
      <w:r w:rsidR="77014C8B" w:rsidRPr="006A561F">
        <w:t>,</w:t>
      </w:r>
      <w:r w:rsidRPr="006A561F">
        <w:t xml:space="preserve"> with few limited attempts to include them</w:t>
      </w:r>
      <w:r w:rsidR="77014C8B" w:rsidRPr="006A561F">
        <w:t>’</w:t>
      </w:r>
      <w:r w:rsidRPr="006A561F">
        <w:t>.</w:t>
      </w:r>
      <w:r w:rsidR="006F2F6D" w:rsidRPr="076A58FF">
        <w:rPr>
          <w:rStyle w:val="FootnoteReference"/>
          <w:sz w:val="22"/>
          <w:szCs w:val="22"/>
        </w:rPr>
        <w:footnoteReference w:id="274"/>
      </w:r>
    </w:p>
    <w:p w14:paraId="0659EF9C" w14:textId="77777777" w:rsidR="006F2F6D" w:rsidRPr="006A561F" w:rsidRDefault="4EAA50EC" w:rsidP="00EF75AB">
      <w:pPr>
        <w:pStyle w:val="ItadNormalText"/>
        <w:jc w:val="both"/>
      </w:pPr>
      <w:proofErr w:type="gramStart"/>
      <w:r>
        <w:t xml:space="preserve">With </w:t>
      </w:r>
      <w:r w:rsidR="299054A8">
        <w:t xml:space="preserve">regard </w:t>
      </w:r>
      <w:r>
        <w:t>to</w:t>
      </w:r>
      <w:proofErr w:type="gramEnd"/>
      <w:r>
        <w:t xml:space="preserve"> the explicit targeting and successful inclusion of persons with disabilities groups, the evidence </w:t>
      </w:r>
      <w:r w:rsidR="1B2B8732">
        <w:t>was</w:t>
      </w:r>
      <w:r>
        <w:t xml:space="preserve"> notably patchier in the Phase I and II countries – particularly in Palestine and Lebanon. In Palestine, persons with disabilities were not </w:t>
      </w:r>
      <w:r w:rsidR="1631664F">
        <w:t xml:space="preserve">systematically </w:t>
      </w:r>
      <w:r>
        <w:t>included in the programme. Moreover, the intervention</w:t>
      </w:r>
      <w:r w:rsidR="29E00C78">
        <w:t xml:space="preserve"> in P</w:t>
      </w:r>
      <w:r w:rsidR="088FEC67">
        <w:t>a</w:t>
      </w:r>
      <w:r w:rsidR="29E00C78">
        <w:t>lestine</w:t>
      </w:r>
      <w:r>
        <w:t xml:space="preserve"> did not target LGBT groups</w:t>
      </w:r>
      <w:r w:rsidR="13E238B5">
        <w:t xml:space="preserve"> (due to </w:t>
      </w:r>
      <w:r w:rsidR="45E2AA88">
        <w:t>contextual sensitivities)</w:t>
      </w:r>
      <w:r>
        <w:t xml:space="preserve"> or marginali</w:t>
      </w:r>
      <w:r w:rsidR="299054A8">
        <w:t>s</w:t>
      </w:r>
      <w:r>
        <w:t>ed elderly persons</w:t>
      </w:r>
      <w:r w:rsidR="31EC920E">
        <w:t xml:space="preserve"> (programme </w:t>
      </w:r>
      <w:r w:rsidR="370C107A">
        <w:t>beneficiaries were limited to 15-35 years of age).</w:t>
      </w:r>
      <w:r>
        <w:t xml:space="preserve"> </w:t>
      </w:r>
      <w:r w:rsidR="299054A8">
        <w:t>In</w:t>
      </w:r>
      <w:r>
        <w:t xml:space="preserve"> contrast, in Egypt some emergent initiatives </w:t>
      </w:r>
      <w:r w:rsidR="53320BE5">
        <w:t xml:space="preserve">in working with persons with disabilities </w:t>
      </w:r>
      <w:r>
        <w:t xml:space="preserve">were evident in </w:t>
      </w:r>
      <w:r w:rsidR="444614FA">
        <w:t xml:space="preserve">the </w:t>
      </w:r>
      <w:r>
        <w:t>collaboration with CARE:</w:t>
      </w:r>
    </w:p>
    <w:p w14:paraId="4349E6FF" w14:textId="77777777" w:rsidR="006F2F6D" w:rsidRPr="006A561F" w:rsidRDefault="0743636A" w:rsidP="4977AA67">
      <w:pPr>
        <w:pStyle w:val="StyleItalicCenteredLeft152cmRight152cmBefore1"/>
        <w:spacing w:before="0" w:after="0"/>
        <w:rPr>
          <w:rFonts w:eastAsia="Calibri"/>
          <w:sz w:val="20"/>
        </w:rPr>
      </w:pPr>
      <w:r w:rsidRPr="4977AA67">
        <w:rPr>
          <w:rFonts w:eastAsia="Calibri"/>
          <w:sz w:val="20"/>
        </w:rPr>
        <w:t xml:space="preserve">‘There was brilliant work done with people with disability (visual impairment) through one of the CBOs under the umbrella of CARE. They used the Braille for the blind through CBOs. There should be more work on disability in Phase </w:t>
      </w:r>
      <w:r w:rsidR="3A944ACA" w:rsidRPr="4977AA67">
        <w:rPr>
          <w:rFonts w:eastAsia="Calibri"/>
          <w:sz w:val="20"/>
        </w:rPr>
        <w:t>III</w:t>
      </w:r>
      <w:r w:rsidRPr="4977AA67">
        <w:rPr>
          <w:rFonts w:eastAsia="Calibri"/>
          <w:sz w:val="20"/>
        </w:rPr>
        <w:t xml:space="preserve"> of the programme’</w:t>
      </w:r>
    </w:p>
    <w:p w14:paraId="052FAEBD" w14:textId="77777777" w:rsidR="006F2F6D" w:rsidRPr="006A561F" w:rsidRDefault="1A4098CB" w:rsidP="4977AA67">
      <w:pPr>
        <w:pStyle w:val="StyleItalicCenteredLeft152cmRight152cmBefore1"/>
        <w:spacing w:before="0" w:after="0"/>
        <w:ind w:left="5040"/>
        <w:rPr>
          <w:rFonts w:eastAsia="Calibri"/>
        </w:rPr>
      </w:pPr>
      <w:r w:rsidRPr="006A561F">
        <w:rPr>
          <w:rFonts w:eastAsia="Calibri"/>
        </w:rPr>
        <w:t xml:space="preserve"> one key informant interviewee</w:t>
      </w:r>
      <w:r w:rsidR="00755B65">
        <w:rPr>
          <w:rStyle w:val="FootnoteReference"/>
          <w:rFonts w:eastAsia="Calibri"/>
        </w:rPr>
        <w:footnoteReference w:id="275"/>
      </w:r>
    </w:p>
    <w:p w14:paraId="114F43EE" w14:textId="77777777" w:rsidR="006F2F6D" w:rsidRPr="006A561F" w:rsidRDefault="3774BE70" w:rsidP="00DD6CEB">
      <w:pPr>
        <w:pStyle w:val="ItadNormalText"/>
        <w:rPr>
          <w:rFonts w:cs="Calibri"/>
        </w:rPr>
      </w:pPr>
      <w:r>
        <w:lastRenderedPageBreak/>
        <w:t xml:space="preserve">Nevertheless, FGDs with GTP trainers confirmed that during sessions with parents, it was highlighted that some parents needed more support in addressing issues pertaining to children with disabilities, and that there </w:t>
      </w:r>
      <w:r w:rsidR="4419AAA1">
        <w:t>was</w:t>
      </w:r>
      <w:r>
        <w:t xml:space="preserve"> a need to include a module on </w:t>
      </w:r>
      <w:r w:rsidRPr="4977AA67">
        <w:rPr>
          <w:rFonts w:cs="Calibri"/>
        </w:rPr>
        <w:t>persons with disabilities</w:t>
      </w:r>
      <w:r>
        <w:t xml:space="preserve"> within the GTP:</w:t>
      </w:r>
    </w:p>
    <w:p w14:paraId="28EDCEF0" w14:textId="77777777" w:rsidR="006F2F6D" w:rsidRPr="006A561F" w:rsidRDefault="0743636A" w:rsidP="4977AA67">
      <w:pPr>
        <w:pStyle w:val="StyleItalicCenteredLeft152cmRight152cmBefore1"/>
        <w:spacing w:before="0" w:after="0"/>
        <w:rPr>
          <w:rFonts w:eastAsia="Calibri"/>
          <w:sz w:val="20"/>
        </w:rPr>
      </w:pPr>
      <w:r w:rsidRPr="4977AA67">
        <w:rPr>
          <w:rFonts w:eastAsia="Calibri"/>
          <w:sz w:val="20"/>
        </w:rPr>
        <w:t>‘Inclusion of people living with disability should be integrated in the call for proposal as a criterion for accepted applications’</w:t>
      </w:r>
    </w:p>
    <w:p w14:paraId="46289FFC" w14:textId="77777777" w:rsidR="006F2F6D" w:rsidRPr="006A561F" w:rsidRDefault="1FECB775" w:rsidP="4977AA67">
      <w:pPr>
        <w:pStyle w:val="StyleItalicCenteredLeft152cmRight152cmBefore1"/>
        <w:spacing w:before="0" w:after="0"/>
        <w:ind w:left="5040"/>
        <w:rPr>
          <w:rFonts w:eastAsia="Calibri"/>
        </w:rPr>
      </w:pPr>
      <w:r w:rsidRPr="4977AA67">
        <w:rPr>
          <w:rFonts w:eastAsia="Calibri"/>
        </w:rPr>
        <w:t>one key informant interviewe</w:t>
      </w:r>
      <w:r w:rsidR="5D70AFA7" w:rsidRPr="4977AA67">
        <w:rPr>
          <w:rFonts w:eastAsia="Calibri"/>
        </w:rPr>
        <w:t>e</w:t>
      </w:r>
      <w:r w:rsidR="00D31A21">
        <w:rPr>
          <w:rStyle w:val="FootnoteReference"/>
          <w:rFonts w:eastAsia="Calibri"/>
        </w:rPr>
        <w:footnoteReference w:id="276"/>
      </w:r>
    </w:p>
    <w:p w14:paraId="1F8E5560" w14:textId="77777777" w:rsidR="4977AA67" w:rsidRDefault="4977AA67" w:rsidP="4977AA67">
      <w:pPr>
        <w:pStyle w:val="ItadNormalText"/>
        <w:jc w:val="both"/>
      </w:pPr>
    </w:p>
    <w:p w14:paraId="326DFAA6" w14:textId="77777777" w:rsidR="006F2F6D" w:rsidRPr="006A561F" w:rsidRDefault="0C46233B" w:rsidP="00DD2FD0">
      <w:pPr>
        <w:pStyle w:val="ItadNormalText"/>
        <w:jc w:val="both"/>
      </w:pPr>
      <w:r w:rsidRPr="00886381">
        <w:t>It should</w:t>
      </w:r>
      <w:r w:rsidR="6E5068D9" w:rsidRPr="00886381">
        <w:t>,</w:t>
      </w:r>
      <w:r w:rsidRPr="00886381">
        <w:t xml:space="preserve"> </w:t>
      </w:r>
      <w:r w:rsidR="1ABA2138" w:rsidRPr="00886381">
        <w:t>however</w:t>
      </w:r>
      <w:r w:rsidR="6E5068D9" w:rsidRPr="00886381">
        <w:t>,</w:t>
      </w:r>
      <w:r w:rsidRPr="00886381">
        <w:t xml:space="preserve"> be appreciated that there </w:t>
      </w:r>
      <w:r w:rsidR="00128747" w:rsidRPr="00886381">
        <w:t>were</w:t>
      </w:r>
      <w:r w:rsidRPr="00886381">
        <w:t xml:space="preserve"> considerable legal constraints that frame</w:t>
      </w:r>
      <w:r w:rsidR="4C15EE41" w:rsidRPr="00886381">
        <w:t>d</w:t>
      </w:r>
      <w:r w:rsidRPr="00886381">
        <w:t xml:space="preserve"> decisions by UN Women and implementing partners in avoiding explicit engagements with LGBT </w:t>
      </w:r>
      <w:r w:rsidR="259814CC" w:rsidRPr="00886381">
        <w:t>groups</w:t>
      </w:r>
      <w:r w:rsidRPr="00886381">
        <w:t xml:space="preserve">. LGBT rights </w:t>
      </w:r>
      <w:r w:rsidR="1D7C0DE9" w:rsidRPr="00886381">
        <w:t>we</w:t>
      </w:r>
      <w:r w:rsidRPr="00886381">
        <w:t xml:space="preserve">re to some degree curtailed in all six </w:t>
      </w:r>
      <w:r w:rsidR="38AB5424" w:rsidRPr="00886381">
        <w:t>countries and</w:t>
      </w:r>
      <w:r w:rsidR="6E5068D9" w:rsidRPr="00886381">
        <w:t xml:space="preserve"> </w:t>
      </w:r>
      <w:r w:rsidR="7731695A" w:rsidRPr="00886381">
        <w:t xml:space="preserve">were </w:t>
      </w:r>
      <w:r w:rsidRPr="00886381">
        <w:t xml:space="preserve">actively </w:t>
      </w:r>
      <w:r w:rsidR="6E67C7D1">
        <w:t xml:space="preserve">deprioritised or </w:t>
      </w:r>
      <w:r w:rsidRPr="00886381">
        <w:t xml:space="preserve">criminalised in some. Furthermore, community attitudes </w:t>
      </w:r>
      <w:r w:rsidR="7226171A" w:rsidRPr="00886381">
        <w:t>w</w:t>
      </w:r>
      <w:r w:rsidRPr="00886381">
        <w:t>e</w:t>
      </w:r>
      <w:r w:rsidR="7226171A" w:rsidRPr="00886381">
        <w:t>re</w:t>
      </w:r>
      <w:r w:rsidRPr="00886381">
        <w:t xml:space="preserve"> often hostile to LGBT inclusion. In Lebanon</w:t>
      </w:r>
      <w:r w:rsidR="6E5068D9" w:rsidRPr="00886381">
        <w:t>,</w:t>
      </w:r>
      <w:r w:rsidRPr="00886381">
        <w:t xml:space="preserve"> for example, most CBOs were constrained when it came to integrating LGBT</w:t>
      </w:r>
      <w:r w:rsidRPr="006A561F">
        <w:t xml:space="preserve"> perspectives, except for the FE-Male CBO, which was able to involve them in the training. </w:t>
      </w:r>
      <w:r w:rsidR="003291F5" w:rsidRPr="006A561F">
        <w:t>Another</w:t>
      </w:r>
      <w:r w:rsidRPr="006A561F">
        <w:t xml:space="preserve"> CBO</w:t>
      </w:r>
      <w:r w:rsidR="6E5068D9" w:rsidRPr="006A561F">
        <w:t>,</w:t>
      </w:r>
      <w:r w:rsidRPr="006A561F">
        <w:t xml:space="preserve"> for example</w:t>
      </w:r>
      <w:r w:rsidR="6E5068D9" w:rsidRPr="006A561F">
        <w:t>,</w:t>
      </w:r>
      <w:r w:rsidRPr="006A561F">
        <w:t xml:space="preserve"> reflected that the cultural conservative views of the community </w:t>
      </w:r>
      <w:r w:rsidR="6EBCC763" w:rsidRPr="006A561F">
        <w:t>we</w:t>
      </w:r>
      <w:r w:rsidRPr="006A561F">
        <w:t>re a constraint to talking on topics related to religion or LGBT.</w:t>
      </w:r>
      <w:r w:rsidR="006F2F6D" w:rsidRPr="076A58FF">
        <w:rPr>
          <w:vertAlign w:val="superscript"/>
        </w:rPr>
        <w:footnoteReference w:id="277"/>
      </w:r>
    </w:p>
    <w:p w14:paraId="403583AD" w14:textId="77777777" w:rsidR="006F2F6D" w:rsidRPr="006A561F" w:rsidRDefault="0C46233B" w:rsidP="00DD2FD0">
      <w:pPr>
        <w:pStyle w:val="ItadNormalText"/>
        <w:jc w:val="both"/>
        <w:rPr>
          <w:rFonts w:eastAsia="Times New Roman"/>
        </w:rPr>
      </w:pPr>
      <w:r w:rsidRPr="006A561F">
        <w:t xml:space="preserve">For the new Phase I countries, there </w:t>
      </w:r>
      <w:r w:rsidR="7AC97929" w:rsidRPr="006A561F">
        <w:t>was</w:t>
      </w:r>
      <w:r w:rsidRPr="006A561F">
        <w:t xml:space="preserve"> strong evidence to suggest that there </w:t>
      </w:r>
      <w:r w:rsidR="3B08B536" w:rsidRPr="006A561F">
        <w:t>was</w:t>
      </w:r>
      <w:r w:rsidRPr="006A561F">
        <w:t xml:space="preserve"> a shift in awareness and acknowledgement of the LNOB agenda – including with respect to persons with disabilities and LGBT</w:t>
      </w:r>
      <w:r w:rsidR="1A28FB96">
        <w:t xml:space="preserve"> </w:t>
      </w:r>
      <w:r w:rsidRPr="006A561F">
        <w:t xml:space="preserve">groups. In Tunisia, the IMAGES research </w:t>
      </w:r>
      <w:r w:rsidR="6E5068D9" w:rsidRPr="006A561F">
        <w:t xml:space="preserve">included </w:t>
      </w:r>
      <w:r w:rsidRPr="006A561F">
        <w:t xml:space="preserve">persons with disabilities and sexual minorities as they </w:t>
      </w:r>
      <w:r w:rsidR="6E5068D9" w:rsidRPr="006A561F">
        <w:t xml:space="preserve">were </w:t>
      </w:r>
      <w:r w:rsidRPr="006A561F">
        <w:t>targeted in the research sample</w:t>
      </w:r>
      <w:r w:rsidR="4E2D216C" w:rsidRPr="006A561F">
        <w:t>; it also reached</w:t>
      </w:r>
      <w:r w:rsidRPr="006A561F">
        <w:t xml:space="preserve"> remote communities. UN Women Jordan and implementing partners also confirmed that the programme incorporated the principle of </w:t>
      </w:r>
      <w:r w:rsidR="4E2D216C" w:rsidRPr="006A561F">
        <w:t>LNOB</w:t>
      </w:r>
      <w:r w:rsidRPr="006A561F">
        <w:t xml:space="preserve"> in the research methodology: the study target group included persons with disabilities, older people, youth, people from different nationalities aged 18</w:t>
      </w:r>
      <w:r w:rsidR="4E2D216C" w:rsidRPr="006A561F">
        <w:t>–</w:t>
      </w:r>
      <w:r w:rsidRPr="006A561F">
        <w:t>65</w:t>
      </w:r>
      <w:r w:rsidR="4E2D216C" w:rsidRPr="006A561F">
        <w:t xml:space="preserve"> –</w:t>
      </w:r>
      <w:r w:rsidRPr="006A561F">
        <w:t xml:space="preserve"> including Syrian, </w:t>
      </w:r>
      <w:proofErr w:type="gramStart"/>
      <w:r w:rsidRPr="006A561F">
        <w:t>Iraqi</w:t>
      </w:r>
      <w:proofErr w:type="gramEnd"/>
      <w:r w:rsidRPr="006A561F">
        <w:t xml:space="preserve"> and Palestinian refugees and Jordanians</w:t>
      </w:r>
      <w:r w:rsidR="4E2D216C" w:rsidRPr="006A561F">
        <w:t xml:space="preserve"> – and</w:t>
      </w:r>
      <w:r w:rsidRPr="006A561F">
        <w:t xml:space="preserve"> LGBT persons</w:t>
      </w:r>
      <w:r w:rsidR="4E2D216C" w:rsidRPr="006A561F">
        <w:t>.</w:t>
      </w:r>
      <w:r w:rsidR="006F2F6D" w:rsidRPr="006A561F">
        <w:rPr>
          <w:vertAlign w:val="superscript"/>
        </w:rPr>
        <w:footnoteReference w:id="278"/>
      </w:r>
      <w:r w:rsidRPr="006A561F">
        <w:t xml:space="preserve"> </w:t>
      </w:r>
      <w:r w:rsidRPr="006A561F">
        <w:rPr>
          <w:rFonts w:eastAsia="Times New Roman"/>
        </w:rPr>
        <w:t xml:space="preserve">Moreover, the IMAGES </w:t>
      </w:r>
      <w:r w:rsidR="4E2D216C" w:rsidRPr="006A561F">
        <w:rPr>
          <w:rFonts w:eastAsia="Times New Roman"/>
        </w:rPr>
        <w:t>r</w:t>
      </w:r>
      <w:r w:rsidRPr="006A561F">
        <w:rPr>
          <w:rFonts w:eastAsia="Times New Roman"/>
        </w:rPr>
        <w:t>esearch covered the whole country with a representative sample (12 governorates).</w:t>
      </w:r>
      <w:r w:rsidR="006F2F6D" w:rsidRPr="006A561F">
        <w:rPr>
          <w:rFonts w:eastAsia="Times New Roman"/>
          <w:vertAlign w:val="superscript"/>
        </w:rPr>
        <w:footnoteReference w:id="279"/>
      </w:r>
    </w:p>
    <w:p w14:paraId="600967BA" w14:textId="77777777" w:rsidR="4977AA67" w:rsidRDefault="4977AA67" w:rsidP="4977AA67">
      <w:pPr>
        <w:pStyle w:val="ItadNormalText"/>
        <w:jc w:val="both"/>
        <w:rPr>
          <w:b/>
          <w:bCs/>
          <w:color w:val="588B46" w:themeColor="text2"/>
        </w:rPr>
      </w:pPr>
    </w:p>
    <w:p w14:paraId="63DD2947" w14:textId="77777777" w:rsidR="006F2F6D" w:rsidRPr="006A561F" w:rsidRDefault="3774BE70" w:rsidP="00DD2FD0">
      <w:pPr>
        <w:pStyle w:val="ItadNormalText"/>
        <w:jc w:val="both"/>
        <w:rPr>
          <w:b/>
          <w:bCs/>
        </w:rPr>
      </w:pPr>
      <w:r w:rsidRPr="4977AA67">
        <w:rPr>
          <w:b/>
          <w:bCs/>
          <w:color w:val="588B46" w:themeColor="text2"/>
        </w:rPr>
        <w:t xml:space="preserve">Finding 7.3: </w:t>
      </w:r>
      <w:r w:rsidRPr="4977AA67">
        <w:rPr>
          <w:b/>
          <w:bCs/>
        </w:rPr>
        <w:t xml:space="preserve">Rights-based language </w:t>
      </w:r>
      <w:r w:rsidR="12DAD44F" w:rsidRPr="4977AA67">
        <w:rPr>
          <w:b/>
          <w:bCs/>
        </w:rPr>
        <w:t>was</w:t>
      </w:r>
      <w:r w:rsidRPr="4977AA67">
        <w:rPr>
          <w:b/>
          <w:bCs/>
        </w:rPr>
        <w:t xml:space="preserve"> consistently present at both</w:t>
      </w:r>
      <w:r w:rsidR="3D59E7BD" w:rsidRPr="4977AA67">
        <w:rPr>
          <w:b/>
          <w:bCs/>
        </w:rPr>
        <w:t xml:space="preserve"> the regional</w:t>
      </w:r>
      <w:r w:rsidRPr="4977AA67">
        <w:rPr>
          <w:b/>
          <w:bCs/>
        </w:rPr>
        <w:t xml:space="preserve"> and CO levels, but detailed definition and reporting on the delivery of this approach</w:t>
      </w:r>
      <w:r w:rsidR="1BF6FA63" w:rsidRPr="4977AA67">
        <w:rPr>
          <w:b/>
          <w:bCs/>
        </w:rPr>
        <w:t xml:space="preserve"> was</w:t>
      </w:r>
      <w:r w:rsidRPr="4977AA67">
        <w:rPr>
          <w:b/>
          <w:bCs/>
        </w:rPr>
        <w:t xml:space="preserve"> fragmented across the MWGE programme</w:t>
      </w:r>
      <w:r w:rsidR="358B3A6E" w:rsidRPr="4977AA67">
        <w:rPr>
          <w:b/>
          <w:bCs/>
        </w:rPr>
        <w:t>.</w:t>
      </w:r>
    </w:p>
    <w:p w14:paraId="36857969" w14:textId="77777777" w:rsidR="006F2F6D" w:rsidRPr="006A561F" w:rsidRDefault="0743636A" w:rsidP="00DD2FD0">
      <w:pPr>
        <w:pStyle w:val="ItadNormalText"/>
        <w:jc w:val="both"/>
      </w:pPr>
      <w:r w:rsidRPr="006A561F">
        <w:t xml:space="preserve">The MWGE </w:t>
      </w:r>
      <w:r w:rsidR="6101B6C8" w:rsidRPr="006A561F">
        <w:t>p</w:t>
      </w:r>
      <w:r w:rsidRPr="006A561F">
        <w:t xml:space="preserve">rogramme </w:t>
      </w:r>
      <w:r w:rsidR="77F52C72" w:rsidRPr="006A561F">
        <w:t>was</w:t>
      </w:r>
      <w:r w:rsidRPr="006A561F">
        <w:t xml:space="preserve"> well supported in principle by </w:t>
      </w:r>
      <w:r w:rsidR="17F8750F">
        <w:t>A</w:t>
      </w:r>
      <w:r w:rsidRPr="006A561F">
        <w:t xml:space="preserve">rticle 35/10 (2017) </w:t>
      </w:r>
      <w:r w:rsidR="5FE541C7">
        <w:t xml:space="preserve">of the </w:t>
      </w:r>
      <w:r w:rsidR="17F8750F">
        <w:t xml:space="preserve">UN </w:t>
      </w:r>
      <w:r w:rsidR="5FE541C7">
        <w:t xml:space="preserve">Human Rights Council </w:t>
      </w:r>
      <w:r w:rsidRPr="006A561F">
        <w:t>which focuses on ‘accelerating efforts to eliminate violence against women: engaging men and boys in preventing and responding to violence against all women and girls’</w:t>
      </w:r>
      <w:r w:rsidR="006F2F6D" w:rsidRPr="0D4BD307">
        <w:rPr>
          <w:rFonts w:ascii="Arial" w:hAnsi="Arial"/>
          <w:vertAlign w:val="superscript"/>
        </w:rPr>
        <w:footnoteReference w:id="280"/>
      </w:r>
      <w:r w:rsidRPr="006A561F">
        <w:t xml:space="preserve">. This article calls upon States to take immediate and effective action to prevent </w:t>
      </w:r>
      <w:r w:rsidR="241125D1" w:rsidRPr="006A561F">
        <w:t>VAWG</w:t>
      </w:r>
      <w:r w:rsidRPr="006A561F">
        <w:t xml:space="preserve"> by ‘fully engaging men and boys, alongside women and girls, including community and religious leaders, as agents and beneficiaries of achieving gender equality and the empowerment of all women and girls’, as well as addressing ‘behaviour that perpetuates gender stereotypes, including misconceptions about masculinities that underlie discrimination and violence against women and </w:t>
      </w:r>
      <w:proofErr w:type="gramStart"/>
      <w:r w:rsidRPr="006A561F">
        <w:t>girls’</w:t>
      </w:r>
      <w:proofErr w:type="gramEnd"/>
      <w:r w:rsidRPr="006A561F">
        <w:t>.</w:t>
      </w:r>
    </w:p>
    <w:p w14:paraId="398F8B36" w14:textId="77777777" w:rsidR="006F2F6D" w:rsidRPr="006A561F" w:rsidRDefault="0743636A" w:rsidP="00DD2FD0">
      <w:pPr>
        <w:pStyle w:val="ItadNormalText"/>
        <w:jc w:val="both"/>
      </w:pPr>
      <w:r w:rsidRPr="006A561F">
        <w:t xml:space="preserve">Within this supportive framework, the MWGE programme </w:t>
      </w:r>
      <w:r w:rsidR="5353A8FE" w:rsidRPr="006A561F">
        <w:t>did</w:t>
      </w:r>
      <w:r w:rsidRPr="006A561F">
        <w:t xml:space="preserve"> not demonstratively t</w:t>
      </w:r>
      <w:r w:rsidR="04567198" w:rsidRPr="006A561F">
        <w:t>oo</w:t>
      </w:r>
      <w:r w:rsidRPr="006A561F">
        <w:t xml:space="preserve">k advantage of this rights-based foundation. More broadly, a human rights-based approach </w:t>
      </w:r>
      <w:r w:rsidR="315CA7AA" w:rsidRPr="006A561F">
        <w:t>wa</w:t>
      </w:r>
      <w:r w:rsidRPr="006A561F">
        <w:t>s not defined in detail across several key ROAS document</w:t>
      </w:r>
      <w:r w:rsidR="49D75418" w:rsidRPr="006A561F">
        <w:t>s.</w:t>
      </w:r>
      <w:r w:rsidR="006F2F6D" w:rsidRPr="0D4BD307">
        <w:rPr>
          <w:rFonts w:ascii="Arial" w:hAnsi="Arial"/>
          <w:vertAlign w:val="superscript"/>
        </w:rPr>
        <w:footnoteReference w:id="281"/>
      </w:r>
      <w:r w:rsidRPr="006A561F">
        <w:t xml:space="preserve"> Although the Fourth Progress Report to </w:t>
      </w:r>
      <w:proofErr w:type="spellStart"/>
      <w:r w:rsidRPr="006A561F">
        <w:t>Sida</w:t>
      </w:r>
      <w:proofErr w:type="spellEnd"/>
      <w:r w:rsidRPr="006A561F">
        <w:t xml:space="preserve"> demonstrate</w:t>
      </w:r>
      <w:r w:rsidR="7A20F489" w:rsidRPr="006A561F">
        <w:t>d</w:t>
      </w:r>
      <w:r w:rsidRPr="006A561F">
        <w:t xml:space="preserve"> an increased emphasis on rights-based language, there remain</w:t>
      </w:r>
      <w:r w:rsidR="2B07AB7F" w:rsidRPr="006A561F">
        <w:t>ed</w:t>
      </w:r>
      <w:r w:rsidRPr="006A561F">
        <w:t xml:space="preserve"> a limited amount of detail on the definition and programmatic realities of promoting a rights-based approach at senior management level.</w:t>
      </w:r>
    </w:p>
    <w:p w14:paraId="52DC56D4" w14:textId="77777777" w:rsidR="006F2F6D" w:rsidRDefault="0743636A" w:rsidP="00DD2FD0">
      <w:pPr>
        <w:pStyle w:val="ItadNormalText"/>
        <w:jc w:val="both"/>
        <w:rPr>
          <w:color w:val="000000"/>
        </w:rPr>
      </w:pPr>
      <w:r w:rsidRPr="006A561F">
        <w:t xml:space="preserve">At </w:t>
      </w:r>
      <w:r w:rsidR="49D75418" w:rsidRPr="006A561F">
        <w:t>CO</w:t>
      </w:r>
      <w:r w:rsidRPr="006A561F">
        <w:t xml:space="preserve"> level this lack of detail </w:t>
      </w:r>
      <w:r w:rsidR="4DFBA19C" w:rsidRPr="006A561F">
        <w:t>was</w:t>
      </w:r>
      <w:r w:rsidRPr="006A561F">
        <w:t xml:space="preserve"> replicated in a variety of ways. In Palestine</w:t>
      </w:r>
      <w:r w:rsidR="49D75418" w:rsidRPr="006A561F">
        <w:t>,</w:t>
      </w:r>
      <w:r w:rsidRPr="006A561F">
        <w:t xml:space="preserve"> for example, consultations with beneficiaries suggest</w:t>
      </w:r>
      <w:r w:rsidR="4F8DB4E3" w:rsidRPr="006A561F">
        <w:t>ed</w:t>
      </w:r>
      <w:r w:rsidRPr="006A561F">
        <w:t xml:space="preserve"> that </w:t>
      </w:r>
      <w:r w:rsidR="0317DB4F">
        <w:t xml:space="preserve">some </w:t>
      </w:r>
      <w:r w:rsidRPr="006A561F">
        <w:t>men continue</w:t>
      </w:r>
      <w:r w:rsidR="476A76E2" w:rsidRPr="006A561F">
        <w:t>d</w:t>
      </w:r>
      <w:r w:rsidRPr="006A561F">
        <w:t xml:space="preserve"> to understand their role in supporting </w:t>
      </w:r>
      <w:r w:rsidRPr="006A561F">
        <w:rPr>
          <w:color w:val="000000"/>
        </w:rPr>
        <w:t xml:space="preserve">women in terms of ‘help’, rather than support </w:t>
      </w:r>
      <w:proofErr w:type="gramStart"/>
      <w:r w:rsidRPr="006A561F">
        <w:rPr>
          <w:color w:val="000000"/>
        </w:rPr>
        <w:t>on the basis of</w:t>
      </w:r>
      <w:proofErr w:type="gramEnd"/>
      <w:r w:rsidRPr="006A561F">
        <w:rPr>
          <w:color w:val="000000"/>
        </w:rPr>
        <w:t xml:space="preserve"> women’s inherent human rights</w:t>
      </w:r>
      <w:r w:rsidR="005719C3">
        <w:rPr>
          <w:rStyle w:val="FootnoteReference"/>
          <w:color w:val="000000"/>
        </w:rPr>
        <w:footnoteReference w:id="282"/>
      </w:r>
      <w:r w:rsidRPr="006A561F">
        <w:rPr>
          <w:color w:val="000000"/>
        </w:rPr>
        <w:t xml:space="preserve">. In Egypt, according to the midterm evaluation of Phase I, no specific gender or human rights analysis was conducted in the </w:t>
      </w:r>
      <w:r w:rsidRPr="006A561F">
        <w:rPr>
          <w:color w:val="000000"/>
        </w:rPr>
        <w:lastRenderedPageBreak/>
        <w:t>formulation stage</w:t>
      </w:r>
      <w:r w:rsidR="49D75418" w:rsidRPr="006A561F">
        <w:rPr>
          <w:color w:val="000000"/>
        </w:rPr>
        <w:t>.</w:t>
      </w:r>
      <w:r w:rsidR="006F2F6D" w:rsidRPr="0D4BD307">
        <w:rPr>
          <w:rFonts w:cs="Calibri"/>
          <w:color w:val="000000"/>
          <w:vertAlign w:val="superscript"/>
        </w:rPr>
        <w:footnoteReference w:id="283"/>
      </w:r>
      <w:r w:rsidRPr="006A561F">
        <w:rPr>
          <w:color w:val="000000"/>
        </w:rPr>
        <w:t xml:space="preserve"> Similarly, the Morocco 2020 annual report demonstrate</w:t>
      </w:r>
      <w:r w:rsidR="281FBF27" w:rsidRPr="006A561F">
        <w:rPr>
          <w:color w:val="000000"/>
        </w:rPr>
        <w:t>d</w:t>
      </w:r>
      <w:r w:rsidRPr="006A561F">
        <w:rPr>
          <w:color w:val="000000"/>
        </w:rPr>
        <w:t xml:space="preserve"> extensive use of the term ‘</w:t>
      </w:r>
      <w:r w:rsidR="38AB5424" w:rsidRPr="006A561F">
        <w:rPr>
          <w:color w:val="000000"/>
        </w:rPr>
        <w:t>rights’ but</w:t>
      </w:r>
      <w:r w:rsidRPr="006A561F">
        <w:rPr>
          <w:color w:val="000000"/>
        </w:rPr>
        <w:t xml:space="preserve"> d</w:t>
      </w:r>
      <w:r w:rsidR="389022E5" w:rsidRPr="006A561F">
        <w:rPr>
          <w:color w:val="000000"/>
        </w:rPr>
        <w:t>id</w:t>
      </w:r>
      <w:r w:rsidRPr="006A561F">
        <w:rPr>
          <w:color w:val="000000"/>
        </w:rPr>
        <w:t xml:space="preserve"> not provide a systematic overview of human rights achievements in relation to a pre-defined definition of a human rights-based approach. In Jordan and Tunisia, respondents confirmed that a human rights-based approach was undertaken during the analysis phase</w:t>
      </w:r>
      <w:r w:rsidR="49D75418" w:rsidRPr="006A561F">
        <w:rPr>
          <w:color w:val="000000"/>
        </w:rPr>
        <w:t>,</w:t>
      </w:r>
      <w:r w:rsidR="006F2F6D" w:rsidRPr="0D4BD307">
        <w:rPr>
          <w:rFonts w:ascii="Arial" w:hAnsi="Arial"/>
          <w:color w:val="000000"/>
          <w:vertAlign w:val="superscript"/>
        </w:rPr>
        <w:footnoteReference w:id="284"/>
      </w:r>
      <w:r w:rsidRPr="006A561F">
        <w:rPr>
          <w:color w:val="000000"/>
        </w:rPr>
        <w:t xml:space="preserve"> although limited evidence </w:t>
      </w:r>
      <w:r w:rsidR="2CB1FDD9" w:rsidRPr="006A561F">
        <w:rPr>
          <w:color w:val="000000"/>
        </w:rPr>
        <w:t>was</w:t>
      </w:r>
      <w:r w:rsidRPr="006A561F">
        <w:rPr>
          <w:color w:val="000000"/>
        </w:rPr>
        <w:t xml:space="preserve"> available regarding the detail of this approach.</w:t>
      </w:r>
    </w:p>
    <w:p w14:paraId="69FBF667" w14:textId="77777777" w:rsidR="4977AA67" w:rsidRDefault="4977AA67" w:rsidP="4977AA67">
      <w:pPr>
        <w:pStyle w:val="ItadNormalText"/>
        <w:jc w:val="both"/>
        <w:rPr>
          <w:color w:val="000000"/>
        </w:rPr>
      </w:pPr>
    </w:p>
    <w:p w14:paraId="0228C322" w14:textId="77777777" w:rsidR="006F2F6D" w:rsidRPr="006A561F" w:rsidRDefault="2359EB75" w:rsidP="4977AA67">
      <w:pPr>
        <w:pStyle w:val="ItadH3Numbered"/>
        <w:numPr>
          <w:ilvl w:val="1"/>
          <w:numId w:val="0"/>
        </w:numPr>
        <w:ind w:left="51"/>
        <w:rPr>
          <w:lang w:val="en-GB"/>
        </w:rPr>
      </w:pPr>
      <w:r w:rsidRPr="4977AA67">
        <w:rPr>
          <w:lang w:val="en-GB"/>
        </w:rPr>
        <w:t>5</w:t>
      </w:r>
      <w:r w:rsidR="1CC60349" w:rsidRPr="4977AA67">
        <w:rPr>
          <w:lang w:val="en-GB"/>
        </w:rPr>
        <w:t>.</w:t>
      </w:r>
      <w:r w:rsidR="02AC5E0E" w:rsidRPr="4977AA67">
        <w:rPr>
          <w:lang w:val="en-GB"/>
        </w:rPr>
        <w:t>5</w:t>
      </w:r>
      <w:r w:rsidR="1CC60349" w:rsidRPr="4977AA67">
        <w:rPr>
          <w:lang w:val="en-GB"/>
        </w:rPr>
        <w:t xml:space="preserve"> </w:t>
      </w:r>
      <w:r w:rsidR="4D4B5955" w:rsidRPr="4977AA67">
        <w:rPr>
          <w:lang w:val="en-GB"/>
        </w:rPr>
        <w:t>Sustainability</w:t>
      </w:r>
    </w:p>
    <w:p w14:paraId="70D2B089" w14:textId="77777777" w:rsidR="006F2F6D" w:rsidRPr="006A561F" w:rsidRDefault="3774BE70" w:rsidP="4977AA67">
      <w:pPr>
        <w:pStyle w:val="ItadH2"/>
        <w:rPr>
          <w:sz w:val="20"/>
          <w:szCs w:val="20"/>
          <w:lang w:val="en-GB"/>
        </w:rPr>
      </w:pPr>
      <w:r w:rsidRPr="4977AA67">
        <w:rPr>
          <w:sz w:val="20"/>
          <w:szCs w:val="20"/>
          <w:lang w:val="en-GB"/>
        </w:rPr>
        <w:t>EQ 8. What are the indications that MWGE’s interventions and approaches will be sustained?</w:t>
      </w:r>
    </w:p>
    <w:p w14:paraId="5DCB7906" w14:textId="77777777" w:rsidR="006F2F6D" w:rsidRPr="006A561F" w:rsidRDefault="006F2F6D" w:rsidP="006F2F6D">
      <w:pPr>
        <w:pStyle w:val="ItadNormalText"/>
        <w:rPr>
          <w:b/>
          <w:bCs/>
          <w:color w:val="588B46" w:themeColor="text2"/>
        </w:rPr>
      </w:pPr>
      <w:r w:rsidRPr="006A561F">
        <w:rPr>
          <w:b/>
          <w:bCs/>
          <w:color w:val="588B46" w:themeColor="text2"/>
        </w:rPr>
        <w:t>Summary:</w:t>
      </w:r>
    </w:p>
    <w:p w14:paraId="61EEB252" w14:textId="77777777" w:rsidR="006F2F6D" w:rsidRPr="006A561F" w:rsidRDefault="4EAA50EC" w:rsidP="00DD2FD0">
      <w:pPr>
        <w:pStyle w:val="ItadNormalText"/>
        <w:jc w:val="both"/>
        <w:rPr>
          <w:b/>
          <w:bCs/>
          <w:color w:val="588B46" w:themeColor="text2"/>
        </w:rPr>
      </w:pPr>
      <w:r w:rsidRPr="4977AA67">
        <w:rPr>
          <w:color w:val="588B46" w:themeColor="text2"/>
        </w:rPr>
        <w:t xml:space="preserve">The sustainability of CBOs </w:t>
      </w:r>
      <w:r w:rsidR="0D487BD7" w:rsidRPr="4977AA67">
        <w:rPr>
          <w:color w:val="588B46" w:themeColor="text2"/>
        </w:rPr>
        <w:t>advocacy capacity</w:t>
      </w:r>
      <w:r w:rsidR="7B7019EE" w:rsidRPr="4977AA67">
        <w:rPr>
          <w:color w:val="588B46" w:themeColor="text2"/>
        </w:rPr>
        <w:t xml:space="preserve"> was s</w:t>
      </w:r>
      <w:r w:rsidRPr="4977AA67">
        <w:rPr>
          <w:color w:val="588B46" w:themeColor="text2"/>
        </w:rPr>
        <w:t xml:space="preserve">ignificantly enhanced across both phases of the MWGE programme, although limitations </w:t>
      </w:r>
      <w:r w:rsidR="0C1446BF" w:rsidRPr="4977AA67">
        <w:rPr>
          <w:color w:val="588B46" w:themeColor="text2"/>
        </w:rPr>
        <w:t>were</w:t>
      </w:r>
      <w:r w:rsidRPr="4977AA67">
        <w:rPr>
          <w:color w:val="588B46" w:themeColor="text2"/>
        </w:rPr>
        <w:t xml:space="preserve"> observed with respect to ongoing or tailored capacity support from umbrella organisations for CBO advocacy activities. Nevertheless, several positive engagements with policy initiatives </w:t>
      </w:r>
      <w:r w:rsidR="6280330D" w:rsidRPr="4977AA67">
        <w:rPr>
          <w:color w:val="588B46" w:themeColor="text2"/>
        </w:rPr>
        <w:t>were</w:t>
      </w:r>
      <w:r w:rsidRPr="4977AA67">
        <w:rPr>
          <w:color w:val="588B46" w:themeColor="text2"/>
        </w:rPr>
        <w:t xml:space="preserve"> traced in all programming contexts, despite the backdrop of a challenging enabling environment in </w:t>
      </w:r>
      <w:proofErr w:type="gramStart"/>
      <w:r w:rsidRPr="4977AA67">
        <w:rPr>
          <w:color w:val="588B46" w:themeColor="text2"/>
        </w:rPr>
        <w:t>a number of</w:t>
      </w:r>
      <w:proofErr w:type="gramEnd"/>
      <w:r w:rsidRPr="4977AA67">
        <w:rPr>
          <w:color w:val="588B46" w:themeColor="text2"/>
        </w:rPr>
        <w:t xml:space="preserve"> countries. At community level, activities and outcomes </w:t>
      </w:r>
      <w:r w:rsidR="1EFFFCF4" w:rsidRPr="4977AA67">
        <w:rPr>
          <w:color w:val="588B46" w:themeColor="text2"/>
        </w:rPr>
        <w:t>were</w:t>
      </w:r>
      <w:r w:rsidRPr="4977AA67">
        <w:rPr>
          <w:color w:val="588B46" w:themeColor="text2"/>
        </w:rPr>
        <w:t xml:space="preserve"> very positive and well evidenced, although changes in ‘practices’ and social or gender norms </w:t>
      </w:r>
      <w:r w:rsidR="3B7844A6" w:rsidRPr="4977AA67">
        <w:rPr>
          <w:color w:val="588B46" w:themeColor="text2"/>
        </w:rPr>
        <w:t xml:space="preserve">were </w:t>
      </w:r>
      <w:r w:rsidRPr="4977AA67">
        <w:rPr>
          <w:color w:val="588B46" w:themeColor="text2"/>
        </w:rPr>
        <w:t xml:space="preserve">difficult to determine or </w:t>
      </w:r>
      <w:r w:rsidR="21BC219A" w:rsidRPr="4977AA67">
        <w:rPr>
          <w:color w:val="588B46" w:themeColor="text2"/>
        </w:rPr>
        <w:t xml:space="preserve">were </w:t>
      </w:r>
      <w:r w:rsidRPr="4977AA67">
        <w:rPr>
          <w:color w:val="588B46" w:themeColor="text2"/>
        </w:rPr>
        <w:t>anecdotal</w:t>
      </w:r>
      <w:r w:rsidR="5725E324" w:rsidRPr="4977AA67">
        <w:rPr>
          <w:color w:val="588B46" w:themeColor="text2"/>
        </w:rPr>
        <w:t>,</w:t>
      </w:r>
      <w:r w:rsidRPr="4977AA67">
        <w:rPr>
          <w:color w:val="588B46" w:themeColor="text2"/>
        </w:rPr>
        <w:t xml:space="preserve"> as the MWGE programme ha</w:t>
      </w:r>
      <w:r w:rsidR="372318E4" w:rsidRPr="4977AA67">
        <w:rPr>
          <w:color w:val="588B46" w:themeColor="text2"/>
        </w:rPr>
        <w:t>d not</w:t>
      </w:r>
      <w:r w:rsidRPr="4977AA67">
        <w:rPr>
          <w:color w:val="588B46" w:themeColor="text2"/>
        </w:rPr>
        <w:t xml:space="preserve"> yet fully embraced a social norms measurement approach.</w:t>
      </w:r>
      <w:r w:rsidR="7C035B43" w:rsidRPr="4977AA67">
        <w:rPr>
          <w:color w:val="588B46" w:themeColor="text2"/>
        </w:rPr>
        <w:t xml:space="preserve"> </w:t>
      </w:r>
      <w:r w:rsidRPr="4977AA67">
        <w:rPr>
          <w:color w:val="588B46" w:themeColor="text2"/>
        </w:rPr>
        <w:t xml:space="preserve">The sustainability of community level gains </w:t>
      </w:r>
      <w:r w:rsidR="3909104F" w:rsidRPr="4977AA67">
        <w:rPr>
          <w:color w:val="588B46" w:themeColor="text2"/>
        </w:rPr>
        <w:t>wa</w:t>
      </w:r>
      <w:r w:rsidRPr="4977AA67">
        <w:rPr>
          <w:color w:val="588B46" w:themeColor="text2"/>
        </w:rPr>
        <w:t>s</w:t>
      </w:r>
      <w:r w:rsidR="5725E324" w:rsidRPr="4977AA67">
        <w:rPr>
          <w:color w:val="588B46" w:themeColor="text2"/>
        </w:rPr>
        <w:t>,</w:t>
      </w:r>
      <w:r w:rsidRPr="4977AA67">
        <w:rPr>
          <w:color w:val="588B46" w:themeColor="text2"/>
        </w:rPr>
        <w:t xml:space="preserve"> therefore</w:t>
      </w:r>
      <w:r w:rsidR="5725E324" w:rsidRPr="4977AA67">
        <w:rPr>
          <w:color w:val="588B46" w:themeColor="text2"/>
        </w:rPr>
        <w:t>,</w:t>
      </w:r>
      <w:r w:rsidRPr="4977AA67">
        <w:rPr>
          <w:color w:val="588B46" w:themeColor="text2"/>
        </w:rPr>
        <w:t xml:space="preserve"> difficult to ascertain. The knowledge products developed around </w:t>
      </w:r>
      <w:proofErr w:type="gramStart"/>
      <w:r w:rsidRPr="4977AA67">
        <w:rPr>
          <w:color w:val="588B46" w:themeColor="text2"/>
        </w:rPr>
        <w:t>all of</w:t>
      </w:r>
      <w:proofErr w:type="gramEnd"/>
      <w:r w:rsidRPr="4977AA67">
        <w:rPr>
          <w:color w:val="588B46" w:themeColor="text2"/>
        </w:rPr>
        <w:t xml:space="preserve"> these activities </w:t>
      </w:r>
      <w:r w:rsidR="7618F38D" w:rsidRPr="4977AA67">
        <w:rPr>
          <w:color w:val="588B46" w:themeColor="text2"/>
        </w:rPr>
        <w:t>were</w:t>
      </w:r>
      <w:r w:rsidRPr="4977AA67">
        <w:rPr>
          <w:color w:val="588B46" w:themeColor="text2"/>
        </w:rPr>
        <w:t xml:space="preserve"> appropriate and provide</w:t>
      </w:r>
      <w:r w:rsidR="27B9767B" w:rsidRPr="4977AA67">
        <w:rPr>
          <w:color w:val="588B46" w:themeColor="text2"/>
        </w:rPr>
        <w:t>d</w:t>
      </w:r>
      <w:r w:rsidRPr="4977AA67">
        <w:rPr>
          <w:color w:val="588B46" w:themeColor="text2"/>
        </w:rPr>
        <w:t xml:space="preserve"> a solid foundation for the MWGE programme to present results to prospective donors and share lessons with other UN offices and further afield. Finally, despite multiple efforts to expand financial resources – undertaken primarily at </w:t>
      </w:r>
      <w:r w:rsidR="5CE6B10D" w:rsidRPr="4977AA67">
        <w:rPr>
          <w:color w:val="588B46" w:themeColor="text2"/>
        </w:rPr>
        <w:t>regional</w:t>
      </w:r>
      <w:r w:rsidRPr="4977AA67">
        <w:rPr>
          <w:color w:val="588B46" w:themeColor="text2"/>
        </w:rPr>
        <w:t xml:space="preserve"> level and few country offices – </w:t>
      </w:r>
      <w:r w:rsidR="19406265" w:rsidRPr="4977AA67">
        <w:rPr>
          <w:color w:val="588B46" w:themeColor="text2"/>
        </w:rPr>
        <w:t xml:space="preserve">no new funding </w:t>
      </w:r>
      <w:r w:rsidR="0E8E7033" w:rsidRPr="4977AA67">
        <w:rPr>
          <w:color w:val="588B46" w:themeColor="text2"/>
        </w:rPr>
        <w:t xml:space="preserve">was </w:t>
      </w:r>
      <w:r w:rsidR="19406265" w:rsidRPr="4977AA67">
        <w:rPr>
          <w:color w:val="588B46" w:themeColor="text2"/>
        </w:rPr>
        <w:t>obtained –</w:t>
      </w:r>
      <w:proofErr w:type="gramStart"/>
      <w:r w:rsidR="19406265" w:rsidRPr="4977AA67">
        <w:rPr>
          <w:color w:val="588B46" w:themeColor="text2"/>
        </w:rPr>
        <w:t>with the exception of</w:t>
      </w:r>
      <w:proofErr w:type="gramEnd"/>
      <w:r w:rsidR="19406265" w:rsidRPr="4977AA67">
        <w:rPr>
          <w:color w:val="588B46" w:themeColor="text2"/>
        </w:rPr>
        <w:t xml:space="preserve"> Jordan Country Office</w:t>
      </w:r>
      <w:r w:rsidR="3EEB00AC" w:rsidRPr="4977AA67">
        <w:rPr>
          <w:color w:val="588B46" w:themeColor="text2"/>
        </w:rPr>
        <w:t>.</w:t>
      </w:r>
    </w:p>
    <w:p w14:paraId="1D3BD725" w14:textId="77777777" w:rsidR="4977AA67" w:rsidRDefault="4977AA67" w:rsidP="4977AA67">
      <w:pPr>
        <w:pStyle w:val="ItadNormalText"/>
        <w:jc w:val="both"/>
        <w:rPr>
          <w:color w:val="588B46" w:themeColor="text2"/>
        </w:rPr>
      </w:pPr>
    </w:p>
    <w:p w14:paraId="1BB97ABD" w14:textId="77777777" w:rsidR="006F2F6D" w:rsidRPr="006A561F" w:rsidRDefault="4EAA50EC" w:rsidP="00DD2FD0">
      <w:pPr>
        <w:pStyle w:val="ItadNormalText"/>
        <w:jc w:val="both"/>
        <w:rPr>
          <w:b/>
          <w:bCs/>
        </w:rPr>
      </w:pPr>
      <w:r w:rsidRPr="4977AA67">
        <w:rPr>
          <w:b/>
          <w:bCs/>
          <w:color w:val="588B46" w:themeColor="text2"/>
        </w:rPr>
        <w:t xml:space="preserve">Finding 8.1: </w:t>
      </w:r>
      <w:r w:rsidRPr="4977AA67">
        <w:rPr>
          <w:b/>
          <w:bCs/>
        </w:rPr>
        <w:t xml:space="preserve">CBO capacity building selection and outcomes – orchestrated by </w:t>
      </w:r>
      <w:r w:rsidR="657B8334" w:rsidRPr="4977AA67">
        <w:rPr>
          <w:b/>
          <w:bCs/>
        </w:rPr>
        <w:t xml:space="preserve">the regional office </w:t>
      </w:r>
      <w:r w:rsidR="5E8BE7DE" w:rsidRPr="4977AA67">
        <w:rPr>
          <w:b/>
          <w:bCs/>
        </w:rPr>
        <w:t>–</w:t>
      </w:r>
      <w:r w:rsidRPr="4977AA67">
        <w:rPr>
          <w:b/>
          <w:bCs/>
        </w:rPr>
        <w:t xml:space="preserve"> </w:t>
      </w:r>
      <w:r w:rsidR="1AFCBFDB" w:rsidRPr="4977AA67">
        <w:rPr>
          <w:b/>
          <w:bCs/>
        </w:rPr>
        <w:t xml:space="preserve">were </w:t>
      </w:r>
      <w:r w:rsidRPr="4977AA67">
        <w:rPr>
          <w:b/>
          <w:bCs/>
        </w:rPr>
        <w:t>significant across all implementation contexts and phases</w:t>
      </w:r>
      <w:r w:rsidR="5E8BE7DE" w:rsidRPr="4977AA67">
        <w:rPr>
          <w:b/>
          <w:bCs/>
        </w:rPr>
        <w:t>,</w:t>
      </w:r>
      <w:r w:rsidRPr="4977AA67">
        <w:rPr>
          <w:b/>
          <w:bCs/>
        </w:rPr>
        <w:t xml:space="preserve"> and in several instance</w:t>
      </w:r>
      <w:r w:rsidR="5E8BE7DE" w:rsidRPr="4977AA67">
        <w:rPr>
          <w:b/>
          <w:bCs/>
        </w:rPr>
        <w:t>s</w:t>
      </w:r>
      <w:r w:rsidRPr="4977AA67">
        <w:rPr>
          <w:b/>
          <w:bCs/>
        </w:rPr>
        <w:t xml:space="preserve"> led to CBOs revising or building gender strategies. However, the process </w:t>
      </w:r>
      <w:r w:rsidR="7BBC15AE" w:rsidRPr="4977AA67">
        <w:rPr>
          <w:b/>
          <w:bCs/>
        </w:rPr>
        <w:t>was</w:t>
      </w:r>
      <w:r w:rsidRPr="4977AA67">
        <w:rPr>
          <w:b/>
          <w:bCs/>
        </w:rPr>
        <w:t xml:space="preserve"> fairly ‘supply-led’ rather than longstanding and ‘demand-led’</w:t>
      </w:r>
      <w:r w:rsidR="1AB94697" w:rsidRPr="4977AA67">
        <w:rPr>
          <w:b/>
          <w:bCs/>
        </w:rPr>
        <w:t>, suggesting that sustainability of results could be potentially at risk.</w:t>
      </w:r>
    </w:p>
    <w:p w14:paraId="35A66566" w14:textId="77777777" w:rsidR="006F2F6D" w:rsidRPr="006A561F" w:rsidRDefault="4EAA50EC" w:rsidP="00DD2FD0">
      <w:pPr>
        <w:pStyle w:val="ItadNormalText"/>
        <w:jc w:val="both"/>
      </w:pPr>
      <w:r>
        <w:t>The targeting and onboarding of CBOs in Phase I was relevant and appropriate to the interests of both the MWGE programme and the CBOs themselves. After an initial mapping of over 1000 organi</w:t>
      </w:r>
      <w:r w:rsidR="5BC0C0B3">
        <w:t>s</w:t>
      </w:r>
      <w:r>
        <w:t>ations in the four countries, 68 organi</w:t>
      </w:r>
      <w:r w:rsidR="5BC0C0B3">
        <w:t>s</w:t>
      </w:r>
      <w:r>
        <w:t>ations were selected (15 CBOs in Egypt, 15 CBOs in Lebanon, 15 CBOs in Morocco and 14 CBOs and 9 youth groups in Palestine) based on a comprehensive capacity assessment</w:t>
      </w:r>
      <w:r w:rsidR="235B195F">
        <w:t xml:space="preserve"> and a </w:t>
      </w:r>
      <w:r>
        <w:t>nine months’ capacity building and mentoring processes w</w:t>
      </w:r>
      <w:r w:rsidR="0DA3A8A5">
        <w:t>as</w:t>
      </w:r>
      <w:r>
        <w:t xml:space="preserve"> initiated based on their needs. Organi</w:t>
      </w:r>
      <w:r w:rsidR="5BC0C0B3">
        <w:t>s</w:t>
      </w:r>
      <w:r>
        <w:t>ations</w:t>
      </w:r>
      <w:r w:rsidR="5BC0C0B3">
        <w:t xml:space="preserve"> selected were</w:t>
      </w:r>
      <w:r>
        <w:t xml:space="preserve"> </w:t>
      </w:r>
      <w:r w:rsidR="5BC0C0B3">
        <w:t>‘</w:t>
      </w:r>
      <w:r>
        <w:t>younger’ than 10 years</w:t>
      </w:r>
      <w:r w:rsidR="5BC0C0B3">
        <w:t xml:space="preserve"> old</w:t>
      </w:r>
      <w:r>
        <w:t>, with a gender and/or youth focus, a community-based approach and with program</w:t>
      </w:r>
      <w:r w:rsidR="5BC0C0B3">
        <w:t>me</w:t>
      </w:r>
      <w:r>
        <w:t xml:space="preserve"> ideas that ha</w:t>
      </w:r>
      <w:r w:rsidR="5BC0C0B3">
        <w:t>d</w:t>
      </w:r>
      <w:r>
        <w:t xml:space="preserve"> the potential for scaling up. These organi</w:t>
      </w:r>
      <w:r w:rsidR="5BC0C0B3">
        <w:t>s</w:t>
      </w:r>
      <w:r>
        <w:t>ations demonstrated the potential for organisational growth, were based in various geographies, and many of them had not previously benefited from donor support.</w:t>
      </w:r>
    </w:p>
    <w:p w14:paraId="4B8CD17F" w14:textId="56A11F91" w:rsidR="00F27FA2" w:rsidRDefault="0C46233B" w:rsidP="00DD2FD0">
      <w:pPr>
        <w:pStyle w:val="ItadNormalText"/>
        <w:jc w:val="both"/>
        <w:rPr>
          <w:rFonts w:cs="Times New Roman"/>
        </w:rPr>
      </w:pPr>
      <w:r w:rsidRPr="076A58FF">
        <w:t xml:space="preserve">As discussed in </w:t>
      </w:r>
      <w:r w:rsidR="2935C7BE" w:rsidRPr="00192679">
        <w:t>F</w:t>
      </w:r>
      <w:r w:rsidRPr="00192679">
        <w:t xml:space="preserve">indings </w:t>
      </w:r>
      <w:r w:rsidR="1EDA12EE" w:rsidRPr="00192679">
        <w:t>5.</w:t>
      </w:r>
      <w:r w:rsidR="00192679" w:rsidRPr="00192679">
        <w:t>9</w:t>
      </w:r>
      <w:r w:rsidRPr="00192679">
        <w:t xml:space="preserve"> and </w:t>
      </w:r>
      <w:r w:rsidR="1EDA12EE" w:rsidRPr="00192679">
        <w:t>5.1</w:t>
      </w:r>
      <w:r w:rsidR="00192679" w:rsidRPr="00192679">
        <w:t>0</w:t>
      </w:r>
      <w:r w:rsidR="1EDA12EE" w:rsidRPr="00192679">
        <w:t>,</w:t>
      </w:r>
      <w:r w:rsidRPr="00192679">
        <w:t xml:space="preserve"> </w:t>
      </w:r>
      <w:proofErr w:type="gramStart"/>
      <w:r w:rsidRPr="00192679">
        <w:t>a number</w:t>
      </w:r>
      <w:r>
        <w:t xml:space="preserve"> of</w:t>
      </w:r>
      <w:proofErr w:type="gramEnd"/>
      <w:r>
        <w:t xml:space="preserve"> tools and training exercises were undertaken with CBOs in all country programmes</w:t>
      </w:r>
      <w:r w:rsidR="2935C7BE">
        <w:t>,</w:t>
      </w:r>
      <w:r>
        <w:t xml:space="preserve"> with positive reception and capacity gains. </w:t>
      </w:r>
      <w:r w:rsidRPr="076A58FF">
        <w:rPr>
          <w:rFonts w:cs="Times New Roman"/>
        </w:rPr>
        <w:t>However, as noted in the UN</w:t>
      </w:r>
      <w:r w:rsidR="2935C7BE" w:rsidRPr="076A58FF">
        <w:rPr>
          <w:rFonts w:cs="Times New Roman"/>
        </w:rPr>
        <w:t xml:space="preserve"> </w:t>
      </w:r>
      <w:r w:rsidRPr="076A58FF">
        <w:rPr>
          <w:rFonts w:cs="Times New Roman"/>
        </w:rPr>
        <w:t>W</w:t>
      </w:r>
      <w:r w:rsidR="2935C7BE" w:rsidRPr="076A58FF">
        <w:rPr>
          <w:rFonts w:cs="Times New Roman"/>
        </w:rPr>
        <w:t>omen</w:t>
      </w:r>
      <w:r w:rsidRPr="076A58FF">
        <w:rPr>
          <w:rFonts w:cs="Times New Roman"/>
        </w:rPr>
        <w:t xml:space="preserve"> 2019 formative evaluation report (Finding 7)</w:t>
      </w:r>
      <w:r w:rsidR="005D42E2">
        <w:rPr>
          <w:rStyle w:val="FootnoteReference"/>
        </w:rPr>
        <w:footnoteReference w:id="285"/>
      </w:r>
      <w:r w:rsidR="2935C7BE" w:rsidRPr="076A58FF">
        <w:rPr>
          <w:rFonts w:cs="Times New Roman"/>
        </w:rPr>
        <w:t>,</w:t>
      </w:r>
      <w:r w:rsidRPr="076A58FF">
        <w:rPr>
          <w:rFonts w:cs="Times New Roman"/>
        </w:rPr>
        <w:t xml:space="preserve"> CBO grantees reported needing further capacity development towards gender mainstreaming within their own organi</w:t>
      </w:r>
      <w:r w:rsidR="2935C7BE" w:rsidRPr="076A58FF">
        <w:rPr>
          <w:rFonts w:cs="Times New Roman"/>
        </w:rPr>
        <w:t>s</w:t>
      </w:r>
      <w:r w:rsidRPr="076A58FF">
        <w:rPr>
          <w:rFonts w:cs="Times New Roman"/>
        </w:rPr>
        <w:t xml:space="preserve">ations </w:t>
      </w:r>
      <w:proofErr w:type="gramStart"/>
      <w:r w:rsidRPr="076A58FF">
        <w:rPr>
          <w:rFonts w:cs="Times New Roman"/>
        </w:rPr>
        <w:t>and</w:t>
      </w:r>
      <w:r w:rsidR="2935C7BE" w:rsidRPr="076A58FF">
        <w:rPr>
          <w:rFonts w:cs="Times New Roman"/>
        </w:rPr>
        <w:t xml:space="preserve"> also</w:t>
      </w:r>
      <w:proofErr w:type="gramEnd"/>
      <w:r w:rsidR="2935C7BE" w:rsidRPr="076A58FF">
        <w:rPr>
          <w:rFonts w:cs="Times New Roman"/>
        </w:rPr>
        <w:t xml:space="preserve"> needing</w:t>
      </w:r>
      <w:r w:rsidRPr="076A58FF">
        <w:rPr>
          <w:rFonts w:cs="Times New Roman"/>
        </w:rPr>
        <w:t xml:space="preserve"> on-the-job training to further their institutional-level change. The report </w:t>
      </w:r>
      <w:r w:rsidR="2935C7BE" w:rsidRPr="076A58FF">
        <w:rPr>
          <w:rFonts w:cs="Times New Roman"/>
        </w:rPr>
        <w:t>further</w:t>
      </w:r>
      <w:r w:rsidRPr="076A58FF">
        <w:rPr>
          <w:rFonts w:cs="Times New Roman"/>
        </w:rPr>
        <w:t xml:space="preserve"> note</w:t>
      </w:r>
      <w:r w:rsidR="27525081" w:rsidRPr="076A58FF">
        <w:rPr>
          <w:rFonts w:cs="Times New Roman"/>
        </w:rPr>
        <w:t>d</w:t>
      </w:r>
      <w:r w:rsidRPr="076A58FF">
        <w:rPr>
          <w:rFonts w:cs="Times New Roman"/>
        </w:rPr>
        <w:t xml:space="preserve"> that CBOs could also </w:t>
      </w:r>
      <w:r w:rsidR="2935C7BE" w:rsidRPr="076A58FF">
        <w:rPr>
          <w:rFonts w:cs="Times New Roman"/>
        </w:rPr>
        <w:t xml:space="preserve">have </w:t>
      </w:r>
      <w:r w:rsidRPr="076A58FF">
        <w:rPr>
          <w:rFonts w:cs="Times New Roman"/>
        </w:rPr>
        <w:t xml:space="preserve">benefited from broader training to support them in future proposal development processes. The report recommended that it was ‘important that these efforts are more systematically followed up with coaching </w:t>
      </w:r>
      <w:r w:rsidRPr="076A58FF">
        <w:rPr>
          <w:rFonts w:cs="Times New Roman"/>
        </w:rPr>
        <w:lastRenderedPageBreak/>
        <w:t xml:space="preserve">and mentoring where possible’. In practice, the CBO findings survey and feedback from </w:t>
      </w:r>
      <w:proofErr w:type="gramStart"/>
      <w:r w:rsidRPr="076A58FF">
        <w:rPr>
          <w:rFonts w:cs="Times New Roman"/>
        </w:rPr>
        <w:t>a number of</w:t>
      </w:r>
      <w:proofErr w:type="gramEnd"/>
      <w:r w:rsidRPr="076A58FF">
        <w:rPr>
          <w:rFonts w:cs="Times New Roman"/>
        </w:rPr>
        <w:t xml:space="preserve"> respondents suggest</w:t>
      </w:r>
      <w:r w:rsidR="3A4D9E4A" w:rsidRPr="076A58FF">
        <w:rPr>
          <w:rFonts w:cs="Times New Roman"/>
        </w:rPr>
        <w:t>ed</w:t>
      </w:r>
      <w:r w:rsidRPr="076A58FF">
        <w:rPr>
          <w:rFonts w:cs="Times New Roman"/>
        </w:rPr>
        <w:t xml:space="preserve"> </w:t>
      </w:r>
      <w:r w:rsidR="2935C7BE" w:rsidRPr="076A58FF">
        <w:rPr>
          <w:rFonts w:cs="Times New Roman"/>
        </w:rPr>
        <w:t xml:space="preserve">that </w:t>
      </w:r>
      <w:r w:rsidRPr="076A58FF">
        <w:rPr>
          <w:rFonts w:cs="Times New Roman"/>
        </w:rPr>
        <w:t>the follow-up to this recommendation was limited.</w:t>
      </w:r>
    </w:p>
    <w:p w14:paraId="744DCE00" w14:textId="77777777" w:rsidR="006955CC" w:rsidRDefault="006955CC" w:rsidP="00DD2FD0">
      <w:pPr>
        <w:pStyle w:val="ItadNormalText"/>
        <w:jc w:val="both"/>
        <w:rPr>
          <w:rFonts w:cs="Times New Roman"/>
        </w:rPr>
      </w:pPr>
    </w:p>
    <w:p w14:paraId="67E4C02C" w14:textId="77777777" w:rsidR="006F2F6D" w:rsidRPr="006A561F" w:rsidRDefault="4EAA50EC" w:rsidP="00DD2FD0">
      <w:pPr>
        <w:pStyle w:val="ItadNormalText"/>
        <w:jc w:val="both"/>
        <w:rPr>
          <w:b/>
          <w:bCs/>
        </w:rPr>
      </w:pPr>
      <w:r w:rsidRPr="4977AA67">
        <w:rPr>
          <w:b/>
          <w:bCs/>
          <w:color w:val="588B46" w:themeColor="text2"/>
        </w:rPr>
        <w:t xml:space="preserve">Finding 8.2: </w:t>
      </w:r>
      <w:r w:rsidRPr="4977AA67">
        <w:rPr>
          <w:b/>
          <w:bCs/>
        </w:rPr>
        <w:t>Engagement with government ministries and other stakeholders for both coordination and policy change gr</w:t>
      </w:r>
      <w:r w:rsidR="12E8F60F" w:rsidRPr="4977AA67">
        <w:rPr>
          <w:b/>
          <w:bCs/>
        </w:rPr>
        <w:t>ew</w:t>
      </w:r>
      <w:r w:rsidRPr="4977AA67">
        <w:rPr>
          <w:b/>
          <w:bCs/>
        </w:rPr>
        <w:t xml:space="preserve"> steadily across Phase</w:t>
      </w:r>
      <w:r w:rsidR="5BC0C0B3" w:rsidRPr="4977AA67">
        <w:rPr>
          <w:b/>
          <w:bCs/>
        </w:rPr>
        <w:t>s</w:t>
      </w:r>
      <w:r w:rsidRPr="4977AA67">
        <w:rPr>
          <w:b/>
          <w:bCs/>
        </w:rPr>
        <w:t xml:space="preserve"> I and II</w:t>
      </w:r>
      <w:r w:rsidR="5BC0C0B3" w:rsidRPr="4977AA67">
        <w:rPr>
          <w:b/>
          <w:bCs/>
        </w:rPr>
        <w:t>,</w:t>
      </w:r>
      <w:r w:rsidRPr="4977AA67">
        <w:rPr>
          <w:b/>
          <w:bCs/>
        </w:rPr>
        <w:t xml:space="preserve"> with some notable policy gains, supported by consultative/reference groups. However, a lack of clarity on the role and mandate of the </w:t>
      </w:r>
      <w:r w:rsidR="20A3B5D8" w:rsidRPr="4977AA67">
        <w:rPr>
          <w:b/>
          <w:bCs/>
        </w:rPr>
        <w:t>panels threatened</w:t>
      </w:r>
      <w:r w:rsidRPr="4977AA67">
        <w:rPr>
          <w:b/>
          <w:bCs/>
        </w:rPr>
        <w:t xml:space="preserve"> national</w:t>
      </w:r>
      <w:r w:rsidR="5BC0C0B3" w:rsidRPr="4977AA67">
        <w:rPr>
          <w:b/>
          <w:bCs/>
        </w:rPr>
        <w:t>-</w:t>
      </w:r>
      <w:r w:rsidRPr="4977AA67">
        <w:rPr>
          <w:b/>
          <w:bCs/>
        </w:rPr>
        <w:t>level coordination.</w:t>
      </w:r>
    </w:p>
    <w:p w14:paraId="4DAD40A9" w14:textId="77777777" w:rsidR="006F2F6D" w:rsidRPr="006A561F" w:rsidRDefault="0743636A" w:rsidP="00DD2FD0">
      <w:pPr>
        <w:pStyle w:val="ItadNormalText"/>
        <w:jc w:val="both"/>
        <w:rPr>
          <w:b/>
          <w:bCs/>
        </w:rPr>
      </w:pPr>
      <w:r w:rsidRPr="006A561F">
        <w:t xml:space="preserve">Strategic consultative groups </w:t>
      </w:r>
      <w:r w:rsidR="6198D8B0">
        <w:t xml:space="preserve">(SCGs) </w:t>
      </w:r>
      <w:r w:rsidRPr="006A561F">
        <w:t xml:space="preserve">in each country </w:t>
      </w:r>
      <w:r w:rsidR="217B2393" w:rsidRPr="006A561F">
        <w:t>were</w:t>
      </w:r>
      <w:r w:rsidRPr="006A561F">
        <w:t xml:space="preserve"> instrumental in providing a sounding </w:t>
      </w:r>
      <w:proofErr w:type="gramStart"/>
      <w:r w:rsidRPr="006A561F">
        <w:t>board</w:t>
      </w:r>
      <w:r w:rsidR="7614D105" w:rsidRPr="006A561F">
        <w:t>,</w:t>
      </w:r>
      <w:r w:rsidRPr="006A561F">
        <w:t xml:space="preserve"> and</w:t>
      </w:r>
      <w:proofErr w:type="gramEnd"/>
      <w:r w:rsidRPr="006A561F">
        <w:t xml:space="preserve"> continue</w:t>
      </w:r>
      <w:r w:rsidR="30116BE6" w:rsidRPr="006A561F">
        <w:t>d</w:t>
      </w:r>
      <w:r w:rsidRPr="006A561F">
        <w:t xml:space="preserve"> to be so in the finalisation and launching of the IMAGES research and its communication material</w:t>
      </w:r>
      <w:r w:rsidR="7614D105" w:rsidRPr="006A561F">
        <w:t>.</w:t>
      </w:r>
      <w:r w:rsidR="006F2F6D" w:rsidRPr="0D4BD307">
        <w:rPr>
          <w:rFonts w:eastAsia="Arial"/>
          <w:vertAlign w:val="superscript"/>
        </w:rPr>
        <w:footnoteReference w:id="286"/>
      </w:r>
      <w:r w:rsidRPr="006A561F">
        <w:t xml:space="preserve"> The IMAGES MENA recommendations were endorsed by the </w:t>
      </w:r>
      <w:r w:rsidR="7614D105" w:rsidRPr="006A561F">
        <w:t>SCGs</w:t>
      </w:r>
      <w:r w:rsidRPr="006A561F">
        <w:t xml:space="preserve"> in each country before the regional launch.</w:t>
      </w:r>
    </w:p>
    <w:p w14:paraId="0A9663B9" w14:textId="7BA60E7A" w:rsidR="006F2F6D" w:rsidRPr="006A561F" w:rsidRDefault="0743636A" w:rsidP="00DD2FD0">
      <w:pPr>
        <w:pStyle w:val="ItadNormalText"/>
        <w:jc w:val="both"/>
      </w:pPr>
      <w:r w:rsidRPr="006A561F">
        <w:t>Each of the Phase I &amp; II countries also demonstrate</w:t>
      </w:r>
      <w:r w:rsidR="2086E074" w:rsidRPr="006A561F">
        <w:t>d</w:t>
      </w:r>
      <w:r w:rsidRPr="006A561F">
        <w:t xml:space="preserve"> enhanced entry points and policy engagements with government </w:t>
      </w:r>
      <w:r w:rsidRPr="00536638">
        <w:t xml:space="preserve">apparatus (see </w:t>
      </w:r>
      <w:r w:rsidR="2976F3AF" w:rsidRPr="00536638">
        <w:t xml:space="preserve">finding </w:t>
      </w:r>
      <w:r w:rsidR="7E8183BA" w:rsidRPr="00536638">
        <w:t>4.1, 5</w:t>
      </w:r>
      <w:r w:rsidR="00192679" w:rsidRPr="00536638">
        <w:t>.8</w:t>
      </w:r>
      <w:r w:rsidRPr="00536638">
        <w:t>, and Annex</w:t>
      </w:r>
      <w:r w:rsidRPr="009246F5">
        <w:t xml:space="preserve"> </w:t>
      </w:r>
      <w:r w:rsidR="58F52F7E" w:rsidRPr="009246F5">
        <w:t>6</w:t>
      </w:r>
      <w:r w:rsidRPr="009246F5">
        <w:t xml:space="preserve"> for</w:t>
      </w:r>
      <w:r w:rsidRPr="006A561F">
        <w:t xml:space="preserve"> a detailed list). Highlight</w:t>
      </w:r>
      <w:r w:rsidR="4BB9CDF1" w:rsidRPr="006A561F">
        <w:t>s</w:t>
      </w:r>
      <w:r w:rsidRPr="006A561F">
        <w:t xml:space="preserve"> include</w:t>
      </w:r>
      <w:r w:rsidR="246CFD21" w:rsidRPr="006A561F">
        <w:t>d</w:t>
      </w:r>
      <w:r w:rsidRPr="006A561F">
        <w:t xml:space="preserve"> the fact that the Lebanon CO – </w:t>
      </w:r>
      <w:r w:rsidRPr="4977AA67">
        <w:rPr>
          <w:rFonts w:asciiTheme="minorHAnsi" w:eastAsiaTheme="minorEastAsia" w:hAnsiTheme="minorHAnsi" w:cstheme="minorBidi"/>
          <w:color w:val="3B3838" w:themeColor="background2" w:themeShade="40"/>
        </w:rPr>
        <w:t xml:space="preserve">with </w:t>
      </w:r>
      <w:proofErr w:type="spellStart"/>
      <w:r w:rsidR="31978764" w:rsidRPr="4977AA67">
        <w:rPr>
          <w:rFonts w:asciiTheme="minorHAnsi" w:eastAsiaTheme="minorEastAsia" w:hAnsiTheme="minorHAnsi" w:cstheme="minorBidi"/>
          <w:color w:val="3B3838" w:themeColor="background2" w:themeShade="40"/>
        </w:rPr>
        <w:t>Center</w:t>
      </w:r>
      <w:proofErr w:type="spellEnd"/>
      <w:r w:rsidR="31978764" w:rsidRPr="4977AA67">
        <w:rPr>
          <w:rFonts w:asciiTheme="minorHAnsi" w:eastAsiaTheme="minorEastAsia" w:hAnsiTheme="minorHAnsi" w:cstheme="minorBidi"/>
          <w:color w:val="3B3838" w:themeColor="background2" w:themeShade="40"/>
        </w:rPr>
        <w:t xml:space="preserve"> for Inclusive Business and Leadership (CIBL) for women</w:t>
      </w:r>
      <w:r w:rsidRPr="4977AA67">
        <w:rPr>
          <w:rFonts w:asciiTheme="minorHAnsi" w:eastAsiaTheme="minorEastAsia" w:hAnsiTheme="minorHAnsi" w:cstheme="minorBidi"/>
          <w:color w:val="3B3838" w:themeColor="background2" w:themeShade="40"/>
        </w:rPr>
        <w:t xml:space="preserve"> and NCW </w:t>
      </w:r>
      <w:r w:rsidR="4BB9CDF1" w:rsidRPr="4977AA67">
        <w:rPr>
          <w:rFonts w:asciiTheme="minorHAnsi" w:eastAsiaTheme="minorEastAsia" w:hAnsiTheme="minorHAnsi" w:cstheme="minorBidi"/>
          <w:color w:val="3B3838" w:themeColor="background2" w:themeShade="40"/>
        </w:rPr>
        <w:t>–</w:t>
      </w:r>
      <w:r w:rsidRPr="4977AA67">
        <w:rPr>
          <w:rFonts w:asciiTheme="minorHAnsi" w:eastAsiaTheme="minorEastAsia" w:hAnsiTheme="minorHAnsi" w:cstheme="minorBidi"/>
          <w:color w:val="3B3838" w:themeColor="background2" w:themeShade="40"/>
        </w:rPr>
        <w:t xml:space="preserve"> contributed to the approval </w:t>
      </w:r>
      <w:r w:rsidR="4BB9CDF1" w:rsidRPr="4977AA67">
        <w:rPr>
          <w:rFonts w:asciiTheme="minorHAnsi" w:eastAsiaTheme="minorEastAsia" w:hAnsiTheme="minorHAnsi" w:cstheme="minorBidi"/>
          <w:color w:val="3B3838" w:themeColor="background2" w:themeShade="40"/>
        </w:rPr>
        <w:t xml:space="preserve">by the Lebanese Parliament in December 2020 </w:t>
      </w:r>
      <w:r w:rsidRPr="4977AA67">
        <w:rPr>
          <w:rFonts w:asciiTheme="minorHAnsi" w:eastAsiaTheme="minorEastAsia" w:hAnsiTheme="minorHAnsi" w:cstheme="minorBidi"/>
          <w:color w:val="3B3838" w:themeColor="background2" w:themeShade="40"/>
        </w:rPr>
        <w:t>of a law against sexual</w:t>
      </w:r>
      <w:r w:rsidRPr="006A561F">
        <w:t xml:space="preserve"> harassment</w:t>
      </w:r>
      <w:r w:rsidR="4BB9CDF1" w:rsidRPr="006A561F">
        <w:t>.</w:t>
      </w:r>
      <w:r w:rsidR="006F2F6D" w:rsidRPr="006A561F">
        <w:rPr>
          <w:color w:val="3B3B3C"/>
          <w:vertAlign w:val="superscript"/>
        </w:rPr>
        <w:footnoteReference w:id="287"/>
      </w:r>
      <w:r w:rsidRPr="006A561F">
        <w:t xml:space="preserve"> Other advocacy efforts for legal reforms continued by the MWGE programme and its partner CBOs included</w:t>
      </w:r>
      <w:r w:rsidR="4BB9CDF1" w:rsidRPr="006A561F">
        <w:t>:</w:t>
      </w:r>
      <w:r w:rsidRPr="006A561F">
        <w:t xml:space="preserve"> the promotion of a law on equal nationality rights and a unified personal status law in Lebanon; a paternity leave add-on to improve the provisions of maternity leave in Egypt; and the inclusion of paternity leave in the labour law and to pass the Family Protection Bill in Palestine</w:t>
      </w:r>
      <w:r w:rsidR="4BB9CDF1" w:rsidRPr="006A561F">
        <w:t>.</w:t>
      </w:r>
      <w:r w:rsidR="006F2F6D" w:rsidRPr="006A561F">
        <w:rPr>
          <w:vertAlign w:val="superscript"/>
        </w:rPr>
        <w:footnoteReference w:id="288"/>
      </w:r>
      <w:r w:rsidRPr="006A561F">
        <w:t xml:space="preserve"> </w:t>
      </w:r>
      <w:r w:rsidR="4BB9CDF1" w:rsidRPr="006A561F">
        <w:t>T</w:t>
      </w:r>
      <w:r w:rsidRPr="006A561F">
        <w:t xml:space="preserve">he High Commission for Planning in Morocco used elements of the IMAGES questionnaire to inform a survey to collect men and women’s perceptions and attitudes towards </w:t>
      </w:r>
      <w:r w:rsidR="4BB9CDF1" w:rsidRPr="006A561F">
        <w:t>violence against women (</w:t>
      </w:r>
      <w:r w:rsidRPr="006A561F">
        <w:t>VAW</w:t>
      </w:r>
      <w:r w:rsidR="4BB9CDF1" w:rsidRPr="006A561F">
        <w:t>)</w:t>
      </w:r>
      <w:r w:rsidRPr="006A561F">
        <w:t>.</w:t>
      </w:r>
      <w:r w:rsidR="006F2F6D" w:rsidRPr="006A561F">
        <w:rPr>
          <w:vertAlign w:val="superscript"/>
        </w:rPr>
        <w:footnoteReference w:id="289"/>
      </w:r>
    </w:p>
    <w:p w14:paraId="467C58E5" w14:textId="77777777" w:rsidR="00F27FA2" w:rsidRPr="006A561F" w:rsidRDefault="0743636A" w:rsidP="00DD2FD0">
      <w:pPr>
        <w:pStyle w:val="ItadNormalText"/>
        <w:jc w:val="both"/>
      </w:pPr>
      <w:r w:rsidRPr="006A561F">
        <w:t>However, the broader political enabling environment in several of the Phase I &amp; II</w:t>
      </w:r>
      <w:r w:rsidR="4BB9CDF1" w:rsidRPr="006A561F">
        <w:t xml:space="preserve"> countries</w:t>
      </w:r>
      <w:r w:rsidRPr="006A561F">
        <w:t xml:space="preserve"> </w:t>
      </w:r>
      <w:r w:rsidR="4BB9CDF1" w:rsidRPr="006A561F">
        <w:t>(</w:t>
      </w:r>
      <w:r w:rsidRPr="006A561F">
        <w:t>and</w:t>
      </w:r>
      <w:r w:rsidR="4BB9CDF1" w:rsidRPr="006A561F">
        <w:t>,</w:t>
      </w:r>
      <w:r w:rsidRPr="006A561F">
        <w:t xml:space="preserve"> to a lesser extent</w:t>
      </w:r>
      <w:r w:rsidR="4BB9CDF1" w:rsidRPr="006A561F">
        <w:t>,</w:t>
      </w:r>
      <w:r w:rsidRPr="006A561F">
        <w:t xml:space="preserve"> the new Phase I countries</w:t>
      </w:r>
      <w:r w:rsidR="4BB9CDF1" w:rsidRPr="006A561F">
        <w:t>)</w:t>
      </w:r>
      <w:r w:rsidRPr="006A561F">
        <w:t xml:space="preserve"> remains challenging – particularly in Egypt, </w:t>
      </w:r>
      <w:proofErr w:type="gramStart"/>
      <w:r w:rsidRPr="006A561F">
        <w:t>Palestine</w:t>
      </w:r>
      <w:proofErr w:type="gramEnd"/>
      <w:r w:rsidRPr="006A561F">
        <w:t xml:space="preserve"> and Morocco. As a result</w:t>
      </w:r>
      <w:r w:rsidR="4BB9CDF1" w:rsidRPr="006A561F">
        <w:t>,</w:t>
      </w:r>
      <w:r w:rsidRPr="006A561F">
        <w:t xml:space="preserve"> MWGE faced challenges in developing partnerships with government counterpart</w:t>
      </w:r>
      <w:r w:rsidR="2D308E73">
        <w:t>s in these contexts</w:t>
      </w:r>
      <w:r w:rsidR="4BB9CDF1" w:rsidRPr="006A561F">
        <w:t>.</w:t>
      </w:r>
      <w:r w:rsidRPr="006A561F">
        <w:t xml:space="preserve"> In addition, feedback from respondents suggest</w:t>
      </w:r>
      <w:r w:rsidR="7A398EC5" w:rsidRPr="006A561F">
        <w:t>ed</w:t>
      </w:r>
      <w:r w:rsidRPr="006A561F">
        <w:t xml:space="preserve"> that the coordination efficiency and capacity of </w:t>
      </w:r>
      <w:r w:rsidR="4BB9CDF1" w:rsidRPr="006A561F">
        <w:t>SCGs</w:t>
      </w:r>
      <w:r w:rsidRPr="006A561F">
        <w:t xml:space="preserve"> in </w:t>
      </w:r>
      <w:proofErr w:type="gramStart"/>
      <w:r w:rsidRPr="006A561F">
        <w:t>a number of</w:t>
      </w:r>
      <w:proofErr w:type="gramEnd"/>
      <w:r w:rsidRPr="006A561F">
        <w:t xml:space="preserve"> countries</w:t>
      </w:r>
      <w:r w:rsidR="006F2F6D" w:rsidRPr="0D4BD307">
        <w:rPr>
          <w:vertAlign w:val="superscript"/>
        </w:rPr>
        <w:footnoteReference w:id="290"/>
      </w:r>
      <w:r w:rsidRPr="006A561F">
        <w:t xml:space="preserve"> </w:t>
      </w:r>
      <w:r w:rsidR="4DD3F8D4" w:rsidRPr="006A561F">
        <w:t>were</w:t>
      </w:r>
      <w:r w:rsidRPr="006A561F">
        <w:t xml:space="preserve"> undermined by a lack of detailed MoU agreement</w:t>
      </w:r>
      <w:r w:rsidR="4BB9CDF1" w:rsidRPr="006A561F">
        <w:t>s</w:t>
      </w:r>
      <w:r w:rsidRPr="006A561F">
        <w:t xml:space="preserve"> or</w:t>
      </w:r>
      <w:r w:rsidR="4BB9CDF1" w:rsidRPr="006A561F">
        <w:t xml:space="preserve"> by</w:t>
      </w:r>
      <w:r w:rsidRPr="006A561F">
        <w:t xml:space="preserve"> varied expectations on the focus and purpose of the consultative groups.</w:t>
      </w:r>
    </w:p>
    <w:p w14:paraId="2B6B14DF" w14:textId="77777777" w:rsidR="4977AA67" w:rsidRDefault="4977AA67" w:rsidP="4977AA67">
      <w:pPr>
        <w:pStyle w:val="ItadNormalText"/>
        <w:jc w:val="both"/>
        <w:rPr>
          <w:b/>
          <w:bCs/>
          <w:color w:val="588B46" w:themeColor="text2"/>
        </w:rPr>
      </w:pPr>
    </w:p>
    <w:p w14:paraId="460C7405" w14:textId="77777777" w:rsidR="006F2F6D" w:rsidRPr="006A561F" w:rsidRDefault="4EAA50EC" w:rsidP="00DD2FD0">
      <w:pPr>
        <w:pStyle w:val="ItadNormalText"/>
        <w:jc w:val="both"/>
        <w:rPr>
          <w:b/>
          <w:bCs/>
        </w:rPr>
      </w:pPr>
      <w:r w:rsidRPr="4977AA67">
        <w:rPr>
          <w:b/>
          <w:bCs/>
          <w:color w:val="588B46" w:themeColor="text2"/>
        </w:rPr>
        <w:t xml:space="preserve">Finding 8.3: </w:t>
      </w:r>
      <w:r w:rsidRPr="4977AA67">
        <w:rPr>
          <w:b/>
          <w:bCs/>
        </w:rPr>
        <w:t xml:space="preserve">The community-level intervention model demonstrated multiple positive results across all Phase II contexts, but sustainability potential </w:t>
      </w:r>
      <w:r w:rsidR="4117E43A" w:rsidRPr="4977AA67">
        <w:rPr>
          <w:b/>
          <w:bCs/>
        </w:rPr>
        <w:t>could be increased</w:t>
      </w:r>
      <w:r w:rsidRPr="4977AA67">
        <w:rPr>
          <w:b/>
          <w:bCs/>
        </w:rPr>
        <w:t xml:space="preserve"> by </w:t>
      </w:r>
      <w:r w:rsidR="34EEB7F1" w:rsidRPr="4977AA67">
        <w:rPr>
          <w:b/>
          <w:bCs/>
        </w:rPr>
        <w:t>a greater</w:t>
      </w:r>
      <w:r w:rsidRPr="4977AA67">
        <w:rPr>
          <w:b/>
          <w:bCs/>
        </w:rPr>
        <w:t xml:space="preserve"> focus on organi</w:t>
      </w:r>
      <w:r w:rsidR="26422B21" w:rsidRPr="4977AA67">
        <w:rPr>
          <w:b/>
          <w:bCs/>
        </w:rPr>
        <w:t>s</w:t>
      </w:r>
      <w:r w:rsidRPr="4977AA67">
        <w:rPr>
          <w:b/>
          <w:bCs/>
        </w:rPr>
        <w:t xml:space="preserve">ed diffusion, systematic onboarding of faith leaders, and </w:t>
      </w:r>
      <w:r w:rsidR="34EEB7F1" w:rsidRPr="4977AA67">
        <w:rPr>
          <w:b/>
          <w:bCs/>
        </w:rPr>
        <w:t>more strategic</w:t>
      </w:r>
      <w:r w:rsidRPr="4977AA67">
        <w:rPr>
          <w:b/>
          <w:bCs/>
        </w:rPr>
        <w:t xml:space="preserve"> linkages to meso</w:t>
      </w:r>
      <w:r w:rsidR="72A703D5" w:rsidRPr="4977AA67">
        <w:rPr>
          <w:b/>
          <w:bCs/>
        </w:rPr>
        <w:t>-level</w:t>
      </w:r>
      <w:r w:rsidRPr="4977AA67">
        <w:rPr>
          <w:b/>
          <w:bCs/>
        </w:rPr>
        <w:t xml:space="preserve"> and macro</w:t>
      </w:r>
      <w:r w:rsidR="26422B21" w:rsidRPr="4977AA67">
        <w:rPr>
          <w:b/>
          <w:bCs/>
        </w:rPr>
        <w:t>-</w:t>
      </w:r>
      <w:r w:rsidRPr="4977AA67">
        <w:rPr>
          <w:b/>
          <w:bCs/>
        </w:rPr>
        <w:t xml:space="preserve">level activities – as outlined in the </w:t>
      </w:r>
      <w:proofErr w:type="spellStart"/>
      <w:r w:rsidR="26422B21" w:rsidRPr="4977AA67">
        <w:rPr>
          <w:b/>
          <w:bCs/>
        </w:rPr>
        <w:t>ToC</w:t>
      </w:r>
      <w:proofErr w:type="spellEnd"/>
      <w:r w:rsidRPr="4977AA67">
        <w:rPr>
          <w:b/>
          <w:bCs/>
        </w:rPr>
        <w:t>.</w:t>
      </w:r>
    </w:p>
    <w:p w14:paraId="66CBC8D1" w14:textId="4B9BE338" w:rsidR="006F2F6D" w:rsidRPr="00F741D2" w:rsidRDefault="3774BE70" w:rsidP="00DD2FD0">
      <w:pPr>
        <w:pStyle w:val="ItadNormalText"/>
        <w:jc w:val="both"/>
      </w:pPr>
      <w:r w:rsidRPr="00AC1772">
        <w:t xml:space="preserve">As described in detail in </w:t>
      </w:r>
      <w:r w:rsidR="00CF2E51" w:rsidRPr="00AC1772">
        <w:t xml:space="preserve">Finding </w:t>
      </w:r>
      <w:r w:rsidRPr="00AC1772">
        <w:t>6.</w:t>
      </w:r>
      <w:r w:rsidR="00CF2E51" w:rsidRPr="00AC1772">
        <w:t>1</w:t>
      </w:r>
      <w:r w:rsidRPr="00AC1772">
        <w:t>,</w:t>
      </w:r>
      <w:r w:rsidR="00CF2E51" w:rsidRPr="00AC1772">
        <w:t xml:space="preserve"> </w:t>
      </w:r>
      <w:r w:rsidRPr="00AC1772">
        <w:t>there</w:t>
      </w:r>
      <w:r>
        <w:t xml:space="preserve"> </w:t>
      </w:r>
      <w:r w:rsidR="38DC06AF">
        <w:t>were</w:t>
      </w:r>
      <w:r>
        <w:t xml:space="preserve"> </w:t>
      </w:r>
      <w:proofErr w:type="gramStart"/>
      <w:r>
        <w:t>a number of</w:t>
      </w:r>
      <w:proofErr w:type="gramEnd"/>
      <w:r>
        <w:t xml:space="preserve"> positive outcomes with respect to the community engagement model employed by the MWGE programme in Phase II that </w:t>
      </w:r>
      <w:r w:rsidR="0190DA33">
        <w:t xml:space="preserve">had </w:t>
      </w:r>
      <w:r>
        <w:t xml:space="preserve">significant potential to be sustained. For example, there </w:t>
      </w:r>
      <w:r w:rsidR="42A43BF2">
        <w:t>was</w:t>
      </w:r>
      <w:r>
        <w:t xml:space="preserve"> strong evidence of effectiveness of the </w:t>
      </w:r>
      <w:r w:rsidR="69D778E9">
        <w:t>P</w:t>
      </w:r>
      <w:r>
        <w:t xml:space="preserve">ositive </w:t>
      </w:r>
      <w:r w:rsidR="69D778E9">
        <w:t>D</w:t>
      </w:r>
      <w:r>
        <w:t xml:space="preserve">eviance approach in contributing to behavioural </w:t>
      </w:r>
      <w:r w:rsidRPr="00AC1772">
        <w:t>change (</w:t>
      </w:r>
      <w:r w:rsidR="69D778E9" w:rsidRPr="00AC1772">
        <w:t>F</w:t>
      </w:r>
      <w:r w:rsidRPr="00AC1772">
        <w:t xml:space="preserve">inding </w:t>
      </w:r>
      <w:r w:rsidR="5A043B06" w:rsidRPr="00AC1772">
        <w:t>5.1</w:t>
      </w:r>
      <w:r w:rsidRPr="00AC1772">
        <w:t>),</w:t>
      </w:r>
      <w:r>
        <w:t xml:space="preserve"> considerable outreach and engagement with the BIAM </w:t>
      </w:r>
      <w:r w:rsidRPr="00AC1772">
        <w:t>campaign (</w:t>
      </w:r>
      <w:r w:rsidR="69D778E9" w:rsidRPr="00AC1772">
        <w:t>F</w:t>
      </w:r>
      <w:r w:rsidRPr="00AC1772">
        <w:t xml:space="preserve">inding </w:t>
      </w:r>
      <w:r w:rsidR="11B53DFE" w:rsidRPr="00AC1772">
        <w:t>5.</w:t>
      </w:r>
      <w:r w:rsidR="00AC1772" w:rsidRPr="00AC1772">
        <w:t>1</w:t>
      </w:r>
      <w:r w:rsidRPr="00AC1772">
        <w:t xml:space="preserve">), behaviour changes among beneficiary groups, and evidence of beneficiaries sharing their new knowledge with family, </w:t>
      </w:r>
      <w:proofErr w:type="gramStart"/>
      <w:r w:rsidRPr="00AC1772">
        <w:t>friends</w:t>
      </w:r>
      <w:proofErr w:type="gramEnd"/>
      <w:r w:rsidRPr="00AC1772">
        <w:t xml:space="preserve"> and peer groups (</w:t>
      </w:r>
      <w:r w:rsidR="69D778E9" w:rsidRPr="00AC1772">
        <w:t>F</w:t>
      </w:r>
      <w:r w:rsidRPr="00AC1772">
        <w:t xml:space="preserve">inding </w:t>
      </w:r>
      <w:r w:rsidR="2109ED9A" w:rsidRPr="00AC1772">
        <w:t>5.</w:t>
      </w:r>
      <w:r w:rsidR="00AC1772" w:rsidRPr="00AC1772">
        <w:t>5</w:t>
      </w:r>
      <w:r w:rsidRPr="00AC1772">
        <w:t>).</w:t>
      </w:r>
      <w:r w:rsidR="00AC1772">
        <w:t xml:space="preserve"> </w:t>
      </w:r>
    </w:p>
    <w:p w14:paraId="32E3F46F" w14:textId="06FC8233" w:rsidR="006F2F6D" w:rsidRPr="00F741D2" w:rsidRDefault="0C46233B" w:rsidP="00DD2FD0">
      <w:pPr>
        <w:pStyle w:val="ItadNormalText"/>
        <w:jc w:val="both"/>
      </w:pPr>
      <w:r w:rsidRPr="00F741D2">
        <w:t xml:space="preserve">The findings of the MWGE endline quantitative </w:t>
      </w:r>
      <w:r w:rsidR="728F353F" w:rsidRPr="00F741D2">
        <w:t>assessment</w:t>
      </w:r>
      <w:r w:rsidRPr="00F741D2">
        <w:t xml:space="preserve"> of CBOs intervention (2022)</w:t>
      </w:r>
      <w:r w:rsidR="006F2F6D" w:rsidRPr="076A58FF">
        <w:rPr>
          <w:rStyle w:val="FootnoteReference"/>
          <w:rFonts w:eastAsia="Calibri"/>
          <w:color w:val="3B3B3C"/>
          <w:sz w:val="22"/>
          <w:szCs w:val="22"/>
        </w:rPr>
        <w:footnoteReference w:id="291"/>
      </w:r>
      <w:r w:rsidRPr="00F741D2">
        <w:t xml:space="preserve"> </w:t>
      </w:r>
      <w:r w:rsidR="1FAF593B" w:rsidRPr="00F741D2">
        <w:t>were</w:t>
      </w:r>
      <w:r w:rsidRPr="00F741D2">
        <w:t xml:space="preserve"> particularly telling</w:t>
      </w:r>
      <w:r w:rsidR="68B92D5F" w:rsidRPr="00F741D2">
        <w:t>,</w:t>
      </w:r>
      <w:r w:rsidRPr="00F741D2">
        <w:t xml:space="preserve"> in that the average regional gain in the IMAGES GEMS score shifted from 24.7 to 31.4 from baseline to endline (a relative improvement of 27%) – with th</w:t>
      </w:r>
      <w:r w:rsidR="68B92D5F" w:rsidRPr="00F741D2">
        <w:t>e</w:t>
      </w:r>
      <w:r w:rsidRPr="00F741D2">
        <w:t xml:space="preserve"> most marked shifts occurring in Palestine and Morocco (35.3% and 35.8% relative growth </w:t>
      </w:r>
      <w:r w:rsidRPr="00E12B32">
        <w:t>respectively)</w:t>
      </w:r>
      <w:r w:rsidR="54DC8A68" w:rsidRPr="00E12B32">
        <w:t xml:space="preserve"> (see figure </w:t>
      </w:r>
      <w:r w:rsidR="75CA3535" w:rsidRPr="00E12B32">
        <w:t>4</w:t>
      </w:r>
      <w:r w:rsidR="54DC8A68" w:rsidRPr="00E12B32">
        <w:t>, finding 5.</w:t>
      </w:r>
      <w:r w:rsidR="00E12B32" w:rsidRPr="00E12B32">
        <w:t>4</w:t>
      </w:r>
      <w:r w:rsidR="54DC8A68" w:rsidRPr="00E12B32">
        <w:t>)</w:t>
      </w:r>
      <w:r w:rsidRPr="00E12B32">
        <w:t>. There</w:t>
      </w:r>
      <w:r w:rsidRPr="00F741D2">
        <w:t xml:space="preserve"> was also </w:t>
      </w:r>
      <w:r w:rsidR="68B92D5F" w:rsidRPr="00F741D2">
        <w:t xml:space="preserve">a </w:t>
      </w:r>
      <w:r w:rsidRPr="00F741D2">
        <w:t xml:space="preserve">marked increase in positive attitudes towards gender equality across all Phase I &amp; II countries, with a shift from </w:t>
      </w:r>
      <w:r w:rsidRPr="00F741D2">
        <w:lastRenderedPageBreak/>
        <w:t>45.7% to 66.2%, marginally in favour of male beneficiaries. Finally, both sexes demonstrated a 17.2% increase in positive behaviours towards gender equality across the four countries.</w:t>
      </w:r>
    </w:p>
    <w:p w14:paraId="6E251F7D" w14:textId="21E96601" w:rsidR="00F27FA2" w:rsidRPr="006A561F" w:rsidRDefault="3774BE70" w:rsidP="00DD2FD0">
      <w:pPr>
        <w:pStyle w:val="ItadNormalText"/>
        <w:jc w:val="both"/>
      </w:pPr>
      <w:r>
        <w:t>However, while these statistics demonstrate</w:t>
      </w:r>
      <w:r w:rsidR="1C9E31B8">
        <w:t>d</w:t>
      </w:r>
      <w:r>
        <w:t xml:space="preserve"> significant shifts in the GEMS </w:t>
      </w:r>
      <w:r w:rsidR="69D778E9">
        <w:t>score</w:t>
      </w:r>
      <w:r>
        <w:t xml:space="preserve">, as well as specific positive attitudes and behaviours, there </w:t>
      </w:r>
      <w:r w:rsidR="32ADE5CE">
        <w:t>were</w:t>
      </w:r>
      <w:r>
        <w:t xml:space="preserve"> no ‘practice’ or impact</w:t>
      </w:r>
      <w:r w:rsidR="69D778E9">
        <w:t>-</w:t>
      </w:r>
      <w:r>
        <w:t xml:space="preserve">level findings </w:t>
      </w:r>
      <w:r w:rsidR="69D778E9">
        <w:t>–</w:t>
      </w:r>
      <w:r>
        <w:t xml:space="preserve"> largely </w:t>
      </w:r>
      <w:proofErr w:type="gramStart"/>
      <w:r>
        <w:t>as a result of</w:t>
      </w:r>
      <w:proofErr w:type="gramEnd"/>
      <w:r>
        <w:t xml:space="preserve"> the stage of the programme. Importantly, as outlined </w:t>
      </w:r>
      <w:r w:rsidRPr="00E01C21">
        <w:t xml:space="preserve">in </w:t>
      </w:r>
      <w:r w:rsidR="2109ED9A" w:rsidRPr="00E01C21">
        <w:t>f</w:t>
      </w:r>
      <w:r w:rsidRPr="00E01C21">
        <w:t xml:space="preserve">indings </w:t>
      </w:r>
      <w:r w:rsidR="2109ED9A" w:rsidRPr="00E01C21">
        <w:t>5.</w:t>
      </w:r>
      <w:r w:rsidR="00E01C21" w:rsidRPr="00E01C21">
        <w:t xml:space="preserve">6 </w:t>
      </w:r>
      <w:r w:rsidRPr="00E01C21">
        <w:t xml:space="preserve">and </w:t>
      </w:r>
      <w:r w:rsidR="2109ED9A" w:rsidRPr="00E01C21">
        <w:t>5.</w:t>
      </w:r>
      <w:r w:rsidR="00E01C21" w:rsidRPr="00E01C21">
        <w:t>7</w:t>
      </w:r>
      <w:r w:rsidRPr="00E01C21">
        <w:t>, there</w:t>
      </w:r>
      <w:r>
        <w:t xml:space="preserve"> </w:t>
      </w:r>
      <w:r w:rsidR="2FD392A3">
        <w:t xml:space="preserve">was </w:t>
      </w:r>
      <w:r>
        <w:t>also no explicit social and/or gender norms data</w:t>
      </w:r>
      <w:r w:rsidR="69D778E9">
        <w:t>,</w:t>
      </w:r>
      <w:r>
        <w:t xml:space="preserve"> given that the MEL indicators focused on a KAP approach. Consequently, it </w:t>
      </w:r>
      <w:r w:rsidR="7CD57A99">
        <w:t xml:space="preserve">was </w:t>
      </w:r>
      <w:r>
        <w:t xml:space="preserve">challenging to ascertain or predict the likelihood of the sustainability of these shifts. Indeed, there </w:t>
      </w:r>
      <w:r w:rsidR="691A6534">
        <w:t xml:space="preserve">were </w:t>
      </w:r>
      <w:r>
        <w:t>indications of resistance to attitude and behaviour change at family, extended family or community level</w:t>
      </w:r>
      <w:r w:rsidR="00E01C21">
        <w:t xml:space="preserve"> </w:t>
      </w:r>
      <w:r>
        <w:t>that may hinder the sustainability of the changes observed at beneficiary level.</w:t>
      </w:r>
    </w:p>
    <w:p w14:paraId="2135DE19" w14:textId="77777777" w:rsidR="4977AA67" w:rsidRDefault="4977AA67" w:rsidP="4977AA67">
      <w:pPr>
        <w:pStyle w:val="ItadNormalText"/>
        <w:jc w:val="both"/>
      </w:pPr>
    </w:p>
    <w:p w14:paraId="2A9616E9" w14:textId="77777777" w:rsidR="006F2F6D" w:rsidRPr="006A561F" w:rsidRDefault="3774BE70" w:rsidP="00DD2FD0">
      <w:pPr>
        <w:pStyle w:val="ItadNormalText"/>
        <w:jc w:val="both"/>
        <w:rPr>
          <w:b/>
          <w:bCs/>
        </w:rPr>
      </w:pPr>
      <w:r w:rsidRPr="4977AA67">
        <w:rPr>
          <w:b/>
          <w:bCs/>
          <w:color w:val="588B46" w:themeColor="text2"/>
        </w:rPr>
        <w:t xml:space="preserve">Finding 8.4: </w:t>
      </w:r>
      <w:r w:rsidRPr="4977AA67">
        <w:rPr>
          <w:b/>
          <w:bCs/>
        </w:rPr>
        <w:t xml:space="preserve">Despite an intensive learning curve in </w:t>
      </w:r>
      <w:r w:rsidR="69D778E9" w:rsidRPr="4977AA67">
        <w:rPr>
          <w:b/>
          <w:bCs/>
        </w:rPr>
        <w:t>P</w:t>
      </w:r>
      <w:r w:rsidRPr="4977AA67">
        <w:rPr>
          <w:b/>
          <w:bCs/>
        </w:rPr>
        <w:t xml:space="preserve">hase I, the credibility and comparability of the IMAGES approach (as well as other knowledge products) </w:t>
      </w:r>
      <w:r w:rsidR="31A4A575" w:rsidRPr="4977AA67">
        <w:rPr>
          <w:b/>
          <w:bCs/>
        </w:rPr>
        <w:t>was</w:t>
      </w:r>
      <w:r w:rsidRPr="4977AA67">
        <w:rPr>
          <w:b/>
          <w:bCs/>
        </w:rPr>
        <w:t xml:space="preserve"> crucial for obtaining the buy-in of all stakeholders and built a baseline that will be of use beyond the MWGE programme in forthcoming years in all contexts</w:t>
      </w:r>
      <w:r w:rsidR="2CD54527" w:rsidRPr="4977AA67">
        <w:rPr>
          <w:b/>
          <w:bCs/>
        </w:rPr>
        <w:t>.</w:t>
      </w:r>
    </w:p>
    <w:p w14:paraId="5AF9BA77" w14:textId="0DF5DF20" w:rsidR="006F2F6D" w:rsidRPr="006A561F" w:rsidRDefault="3774BE70" w:rsidP="00DD2FD0">
      <w:pPr>
        <w:pStyle w:val="ItadNormalText"/>
        <w:jc w:val="both"/>
      </w:pPr>
      <w:r>
        <w:t xml:space="preserve">As demonstrated in the forthcoming </w:t>
      </w:r>
      <w:r w:rsidR="78B981F0">
        <w:t>EQs</w:t>
      </w:r>
      <w:r>
        <w:t xml:space="preserve">, the MWGE programme </w:t>
      </w:r>
      <w:r w:rsidR="65177C83">
        <w:t xml:space="preserve">successfully </w:t>
      </w:r>
      <w:r>
        <w:t xml:space="preserve">generated a range of knowledge products (marginally exceeding the target </w:t>
      </w:r>
      <w:r w:rsidR="2CD54527">
        <w:t>–</w:t>
      </w:r>
      <w:r>
        <w:t xml:space="preserve"> </w:t>
      </w:r>
      <w:r w:rsidR="2CD54527">
        <w:t>I</w:t>
      </w:r>
      <w:r>
        <w:t>ndicator 3.2.1) and delivered multiple far-reaching IMAGES studies. These outputs influenced a range of learning mechanisms that facilitated cross-country</w:t>
      </w:r>
      <w:r w:rsidR="2CD54527">
        <w:t xml:space="preserve"> learning</w:t>
      </w:r>
      <w:r>
        <w:t xml:space="preserve"> and</w:t>
      </w:r>
      <w:r w:rsidR="2CD54527">
        <w:t>,</w:t>
      </w:r>
      <w:r>
        <w:t xml:space="preserve"> to</w:t>
      </w:r>
      <w:r w:rsidR="2CD54527">
        <w:t xml:space="preserve"> a</w:t>
      </w:r>
      <w:r>
        <w:t xml:space="preserve"> lesser extent</w:t>
      </w:r>
      <w:r w:rsidR="2CD54527">
        <w:t>,</w:t>
      </w:r>
      <w:r>
        <w:t xml:space="preserve"> regional</w:t>
      </w:r>
      <w:r w:rsidR="2CD54527">
        <w:t>-</w:t>
      </w:r>
      <w:r>
        <w:t xml:space="preserve">level </w:t>
      </w:r>
      <w:r w:rsidRPr="00760ADE">
        <w:t xml:space="preserve">learning (see </w:t>
      </w:r>
      <w:r w:rsidR="2CD54527" w:rsidRPr="00760ADE">
        <w:t>F</w:t>
      </w:r>
      <w:r w:rsidRPr="00760ADE">
        <w:t>indings 9.1 and 9.3).</w:t>
      </w:r>
      <w:r>
        <w:t xml:space="preserve"> From a sustainability perspective these findings </w:t>
      </w:r>
      <w:r w:rsidR="40697CF1">
        <w:t>w</w:t>
      </w:r>
      <w:r>
        <w:t>e</w:t>
      </w:r>
      <w:r w:rsidR="40697CF1">
        <w:t>re</w:t>
      </w:r>
      <w:r>
        <w:t xml:space="preserve"> </w:t>
      </w:r>
      <w:r w:rsidR="0C8653B6">
        <w:t>promising and</w:t>
      </w:r>
      <w:r>
        <w:t xml:space="preserve"> </w:t>
      </w:r>
      <w:r w:rsidR="3A1EEABD">
        <w:t>were</w:t>
      </w:r>
      <w:r>
        <w:t xml:space="preserve"> largely fed from Phase I into Phase II, as well as into new Phase I countries (Jordan and Tunisia). In the latter instances, the enhancement of the IMAGES methodology with additional considerations for marginalised cohorts (</w:t>
      </w:r>
      <w:r w:rsidR="4E8B873B">
        <w:t>i.e.,</w:t>
      </w:r>
      <w:r>
        <w:t xml:space="preserve"> linked to the LNOB agenda)</w:t>
      </w:r>
      <w:r w:rsidR="2CD54527">
        <w:t>,</w:t>
      </w:r>
      <w:r>
        <w:t xml:space="preserve"> as well as more intensive </w:t>
      </w:r>
      <w:r w:rsidR="207FB7D1">
        <w:t>mixed methods</w:t>
      </w:r>
      <w:r>
        <w:t xml:space="preserve"> sequencing, suggest</w:t>
      </w:r>
      <w:r w:rsidR="0DECC7DF">
        <w:t>ed</w:t>
      </w:r>
      <w:r>
        <w:t xml:space="preserve"> that the MWGE programme </w:t>
      </w:r>
      <w:r w:rsidR="62433524">
        <w:t>was</w:t>
      </w:r>
      <w:r>
        <w:t xml:space="preserve"> not only solidifying its evidence base but </w:t>
      </w:r>
      <w:r w:rsidR="2CD54527">
        <w:t xml:space="preserve">also </w:t>
      </w:r>
      <w:r>
        <w:t>innovating around it.</w:t>
      </w:r>
    </w:p>
    <w:p w14:paraId="39734E8F" w14:textId="77777777" w:rsidR="00F27FA2" w:rsidRPr="006A561F" w:rsidRDefault="3774BE70" w:rsidP="005E324E">
      <w:pPr>
        <w:pStyle w:val="ItadNormalText"/>
        <w:jc w:val="both"/>
      </w:pPr>
      <w:r>
        <w:t xml:space="preserve">In some instances, the sustainability of uptake of IMAGES studies </w:t>
      </w:r>
      <w:r w:rsidR="58B4F0B3">
        <w:t>w</w:t>
      </w:r>
      <w:r>
        <w:t>a</w:t>
      </w:r>
      <w:r w:rsidR="2CD54527">
        <w:t>s</w:t>
      </w:r>
      <w:r>
        <w:t xml:space="preserve"> limited by the enabling environment (</w:t>
      </w:r>
      <w:r w:rsidR="02F39C9D">
        <w:t>e.g.,</w:t>
      </w:r>
      <w:r>
        <w:t xml:space="preserve"> Egypt, where </w:t>
      </w:r>
      <w:r w:rsidR="2C330F18">
        <w:t xml:space="preserve">full detail of </w:t>
      </w:r>
      <w:r>
        <w:t xml:space="preserve">IMAGES findings </w:t>
      </w:r>
      <w:r w:rsidR="0536C2E2">
        <w:t>was</w:t>
      </w:r>
      <w:r>
        <w:t xml:space="preserve"> </w:t>
      </w:r>
      <w:r w:rsidR="2C330F18">
        <w:t xml:space="preserve">published, but replaced with </w:t>
      </w:r>
      <w:r w:rsidR="6E7649D1">
        <w:t>a summary of key findings</w:t>
      </w:r>
      <w:r>
        <w:t>). Nevertheless, the IMAGES data provide</w:t>
      </w:r>
      <w:r w:rsidR="38BCC417">
        <w:t>d</w:t>
      </w:r>
      <w:r>
        <w:t xml:space="preserve"> a solid foundation for ongoing comparability of changes across the MWGE programme, </w:t>
      </w:r>
      <w:proofErr w:type="gramStart"/>
      <w:r w:rsidR="2CD54527">
        <w:t>and</w:t>
      </w:r>
      <w:r>
        <w:t xml:space="preserve"> also</w:t>
      </w:r>
      <w:proofErr w:type="gramEnd"/>
      <w:r>
        <w:t xml:space="preserve"> for other regional and global activities that </w:t>
      </w:r>
      <w:r w:rsidR="5044BA1C">
        <w:t>we</w:t>
      </w:r>
      <w:r>
        <w:t xml:space="preserve">re founded on GEMS (or elements of it). Consequently, outreach and uptake of the knowledge products, </w:t>
      </w:r>
      <w:r w:rsidR="2CD54527">
        <w:t>as well as</w:t>
      </w:r>
      <w:r>
        <w:t xml:space="preserve"> the capacity that </w:t>
      </w:r>
      <w:r w:rsidR="07949DAA">
        <w:t>wa</w:t>
      </w:r>
      <w:r>
        <w:t>s being built around their development, suggest</w:t>
      </w:r>
      <w:r w:rsidR="0FC5E595">
        <w:t>ed</w:t>
      </w:r>
      <w:r>
        <w:t xml:space="preserve"> a strong likelihood for sustained change – particularly at national levels. At regional and global </w:t>
      </w:r>
      <w:r w:rsidR="550AE36B">
        <w:t>levels,</w:t>
      </w:r>
      <w:r>
        <w:t xml:space="preserve"> the evidence </w:t>
      </w:r>
      <w:r w:rsidR="3D8236A6">
        <w:t xml:space="preserve">was </w:t>
      </w:r>
      <w:r>
        <w:t xml:space="preserve">too weak to make an informed judgement, but recent engagement between </w:t>
      </w:r>
      <w:r w:rsidR="00D78739">
        <w:t>the regional office</w:t>
      </w:r>
      <w:r>
        <w:t xml:space="preserve"> and UN</w:t>
      </w:r>
      <w:r w:rsidR="2CD54527">
        <w:t xml:space="preserve"> </w:t>
      </w:r>
      <w:r>
        <w:t>W</w:t>
      </w:r>
      <w:r w:rsidR="2CD54527">
        <w:t>omen</w:t>
      </w:r>
      <w:r>
        <w:t xml:space="preserve"> HQ in a social norms community of practice indicate</w:t>
      </w:r>
      <w:r w:rsidR="40BDC64F">
        <w:t>d</w:t>
      </w:r>
      <w:r>
        <w:t xml:space="preserve"> that knowledge gains </w:t>
      </w:r>
      <w:r w:rsidR="29A4F952">
        <w:t>cou</w:t>
      </w:r>
      <w:r>
        <w:t>l</w:t>
      </w:r>
      <w:r w:rsidR="29A4F952">
        <w:t>d</w:t>
      </w:r>
      <w:r>
        <w:t xml:space="preserve"> be intensified at regional and global level in due course.</w:t>
      </w:r>
    </w:p>
    <w:p w14:paraId="179989EF" w14:textId="77777777" w:rsidR="4977AA67" w:rsidRDefault="4977AA67" w:rsidP="4977AA67">
      <w:pPr>
        <w:pStyle w:val="ItadNormalText"/>
        <w:jc w:val="both"/>
      </w:pPr>
    </w:p>
    <w:p w14:paraId="784D6253" w14:textId="77777777" w:rsidR="006F2F6D" w:rsidRPr="006A561F" w:rsidRDefault="3774BE70" w:rsidP="005E324E">
      <w:pPr>
        <w:pStyle w:val="ItadNormalText"/>
        <w:jc w:val="both"/>
        <w:rPr>
          <w:b/>
          <w:bCs/>
        </w:rPr>
      </w:pPr>
      <w:r w:rsidRPr="4977AA67">
        <w:rPr>
          <w:b/>
          <w:bCs/>
          <w:color w:val="588B46" w:themeColor="text2"/>
        </w:rPr>
        <w:t>Finding 8.5:</w:t>
      </w:r>
      <w:r w:rsidRPr="4977AA67">
        <w:rPr>
          <w:b/>
          <w:bCs/>
        </w:rPr>
        <w:t xml:space="preserve"> The </w:t>
      </w:r>
      <w:r w:rsidR="632AFA48" w:rsidRPr="4977AA67">
        <w:rPr>
          <w:b/>
          <w:bCs/>
        </w:rPr>
        <w:t>regional</w:t>
      </w:r>
      <w:r w:rsidRPr="4977AA67">
        <w:rPr>
          <w:b/>
          <w:bCs/>
        </w:rPr>
        <w:t xml:space="preserve"> office and </w:t>
      </w:r>
      <w:r w:rsidR="2CD54527" w:rsidRPr="4977AA67">
        <w:rPr>
          <w:b/>
          <w:bCs/>
        </w:rPr>
        <w:t>(</w:t>
      </w:r>
      <w:r w:rsidRPr="4977AA67">
        <w:rPr>
          <w:b/>
          <w:bCs/>
        </w:rPr>
        <w:t>to a lesser extent</w:t>
      </w:r>
      <w:r w:rsidR="2CD54527" w:rsidRPr="4977AA67">
        <w:rPr>
          <w:b/>
          <w:bCs/>
        </w:rPr>
        <w:t>)</w:t>
      </w:r>
      <w:r w:rsidRPr="4977AA67">
        <w:rPr>
          <w:b/>
          <w:bCs/>
        </w:rPr>
        <w:t xml:space="preserve"> COs engaged in multiple resource mobili</w:t>
      </w:r>
      <w:r w:rsidR="2CD54527" w:rsidRPr="4977AA67">
        <w:rPr>
          <w:b/>
          <w:bCs/>
        </w:rPr>
        <w:t>s</w:t>
      </w:r>
      <w:r w:rsidRPr="4977AA67">
        <w:rPr>
          <w:b/>
          <w:bCs/>
        </w:rPr>
        <w:t>ation activities late in Phase II, with limited success.</w:t>
      </w:r>
    </w:p>
    <w:p w14:paraId="4BC1F573" w14:textId="00C2DA34" w:rsidR="006F2F6D" w:rsidRPr="006A561F" w:rsidRDefault="3774BE70" w:rsidP="005E324E">
      <w:pPr>
        <w:pStyle w:val="ItadNormalText"/>
        <w:jc w:val="both"/>
      </w:pPr>
      <w:r>
        <w:t xml:space="preserve">The findings </w:t>
      </w:r>
      <w:r w:rsidRPr="00760ADE">
        <w:t>above (</w:t>
      </w:r>
      <w:r w:rsidR="2CD54527" w:rsidRPr="00760ADE">
        <w:t xml:space="preserve">Finding </w:t>
      </w:r>
      <w:r w:rsidRPr="00760ADE">
        <w:t>6.</w:t>
      </w:r>
      <w:r w:rsidR="00760ADE" w:rsidRPr="00760ADE">
        <w:t>3</w:t>
      </w:r>
      <w:r w:rsidRPr="00760ADE">
        <w:t>) show</w:t>
      </w:r>
      <w:r w:rsidR="07CECB69" w:rsidRPr="00760ADE">
        <w:t>ed</w:t>
      </w:r>
      <w:r w:rsidRPr="00760ADE">
        <w:t xml:space="preserve"> that there </w:t>
      </w:r>
      <w:r w:rsidR="7EE9A195" w:rsidRPr="00760ADE">
        <w:t>were</w:t>
      </w:r>
      <w:r w:rsidRPr="00760ADE">
        <w:t xml:space="preserve"> some constraints in delivery </w:t>
      </w:r>
      <w:proofErr w:type="gramStart"/>
      <w:r w:rsidRPr="00760ADE">
        <w:t>as a result of</w:t>
      </w:r>
      <w:proofErr w:type="gramEnd"/>
      <w:r w:rsidRPr="00760ADE">
        <w:t xml:space="preserve"> resource mobilisation in all four countries. These issues pertain</w:t>
      </w:r>
      <w:r w:rsidR="7D5CFBCF" w:rsidRPr="00760ADE">
        <w:t>ed</w:t>
      </w:r>
      <w:r w:rsidRPr="00760ADE">
        <w:t xml:space="preserve"> to appropriate costing and proportionate distribution</w:t>
      </w:r>
      <w:r w:rsidR="2CD54527" w:rsidRPr="00760ADE">
        <w:t xml:space="preserve"> and</w:t>
      </w:r>
      <w:r w:rsidRPr="00760ADE">
        <w:t xml:space="preserve"> the overall budget envelope relative to the ambitions for the MWGE programme, as well as a lack of detail on how the MWGE model should be scaled</w:t>
      </w:r>
      <w:r w:rsidR="2CD54527" w:rsidRPr="00760ADE">
        <w:t xml:space="preserve"> </w:t>
      </w:r>
      <w:r w:rsidRPr="00760ADE">
        <w:t>up, scaled</w:t>
      </w:r>
      <w:r w:rsidR="2CD54527" w:rsidRPr="00760ADE">
        <w:t xml:space="preserve"> </w:t>
      </w:r>
      <w:r w:rsidRPr="00760ADE">
        <w:t>out or scal</w:t>
      </w:r>
      <w:r w:rsidR="2CD54527" w:rsidRPr="00760ADE">
        <w:t xml:space="preserve">ed </w:t>
      </w:r>
      <w:r w:rsidRPr="00760ADE">
        <w:t xml:space="preserve">deeper in relation to context, </w:t>
      </w:r>
      <w:proofErr w:type="gramStart"/>
      <w:r w:rsidRPr="00760ADE">
        <w:t>opportunity</w:t>
      </w:r>
      <w:proofErr w:type="gramEnd"/>
      <w:r w:rsidRPr="00760ADE">
        <w:t xml:space="preserve"> and performance. Concerns </w:t>
      </w:r>
      <w:r w:rsidR="7D64142B" w:rsidRPr="00760ADE">
        <w:t>were also</w:t>
      </w:r>
      <w:r w:rsidRPr="00760ADE">
        <w:t xml:space="preserve"> raised about the comparability of financial expenditure data (see </w:t>
      </w:r>
      <w:r w:rsidR="2CD54527" w:rsidRPr="00760ADE">
        <w:t>F</w:t>
      </w:r>
      <w:r w:rsidRPr="00760ADE">
        <w:t>inding 6.</w:t>
      </w:r>
      <w:r w:rsidR="00760ADE" w:rsidRPr="00760ADE">
        <w:t>3</w:t>
      </w:r>
      <w:r w:rsidRPr="00760ADE">
        <w:t>). Collectively, these limitations constrain</w:t>
      </w:r>
      <w:r w:rsidR="64B9939F" w:rsidRPr="00760ADE">
        <w:t>ed</w:t>
      </w:r>
      <w:r w:rsidRPr="00760ADE">
        <w:t xml:space="preserve"> the sustainability of the programme in terms of reduced operational</w:t>
      </w:r>
      <w:r>
        <w:t xml:space="preserve"> impact (due to lack of intensity or longevity of interventions) and in terms of reduced capacity for strategic steering of the programme (having sub-optimal expenditure data and understanding of how to scale the MWGE model).</w:t>
      </w:r>
    </w:p>
    <w:p w14:paraId="6AF21ACF" w14:textId="77777777" w:rsidR="006F2F6D" w:rsidRDefault="0C46233B" w:rsidP="005E324E">
      <w:pPr>
        <w:pStyle w:val="ItadNormalText"/>
        <w:jc w:val="both"/>
      </w:pPr>
      <w:r w:rsidRPr="006A561F">
        <w:t xml:space="preserve">In addition, KIIs with </w:t>
      </w:r>
      <w:r w:rsidR="69A7AC9B" w:rsidRPr="006A561F">
        <w:t>regional office</w:t>
      </w:r>
      <w:r w:rsidRPr="006A561F">
        <w:t xml:space="preserve"> management – triangulated with budget data – demonstrate</w:t>
      </w:r>
      <w:r w:rsidR="6050E7F6" w:rsidRPr="006A561F">
        <w:t>d</w:t>
      </w:r>
      <w:r w:rsidRPr="006A561F">
        <w:t xml:space="preserve"> that </w:t>
      </w:r>
      <w:proofErr w:type="spellStart"/>
      <w:r w:rsidRPr="006A561F">
        <w:t>meso</w:t>
      </w:r>
      <w:proofErr w:type="spellEnd"/>
      <w:r w:rsidRPr="006A561F">
        <w:t xml:space="preserve"> and macro</w:t>
      </w:r>
      <w:r w:rsidR="54ED6128" w:rsidRPr="006A561F">
        <w:t xml:space="preserve"> </w:t>
      </w:r>
      <w:r w:rsidRPr="006A561F">
        <w:t xml:space="preserve">levels (institutional capacity and normative frameworks) </w:t>
      </w:r>
      <w:r w:rsidR="749D85AB" w:rsidRPr="006A561F">
        <w:t>were</w:t>
      </w:r>
      <w:r w:rsidRPr="006A561F">
        <w:t xml:space="preserve"> under-supported across both </w:t>
      </w:r>
      <w:r w:rsidR="45D1BEAE" w:rsidRPr="006A561F">
        <w:t>P</w:t>
      </w:r>
      <w:r w:rsidRPr="006A561F">
        <w:t xml:space="preserve">hase I and </w:t>
      </w:r>
      <w:r w:rsidR="45D1BEAE" w:rsidRPr="006A561F">
        <w:t>P</w:t>
      </w:r>
      <w:r w:rsidRPr="006A561F">
        <w:t>hase II</w:t>
      </w:r>
      <w:r w:rsidR="45D1BEAE" w:rsidRPr="006A561F">
        <w:t>.</w:t>
      </w:r>
      <w:r w:rsidR="006F2F6D" w:rsidRPr="076A58FF">
        <w:rPr>
          <w:rStyle w:val="FootnoteReference"/>
          <w:sz w:val="22"/>
          <w:szCs w:val="22"/>
        </w:rPr>
        <w:footnoteReference w:id="292"/>
      </w:r>
      <w:r w:rsidRPr="006A561F">
        <w:t xml:space="preserve"> Nevertheless, there </w:t>
      </w:r>
      <w:r w:rsidR="711DF6F8" w:rsidRPr="006A561F">
        <w:t xml:space="preserve">was </w:t>
      </w:r>
      <w:r w:rsidRPr="006A561F">
        <w:t xml:space="preserve">clear evidence that the MWGE </w:t>
      </w:r>
      <w:proofErr w:type="gramStart"/>
      <w:r w:rsidRPr="006A561F">
        <w:t>programme  attempted</w:t>
      </w:r>
      <w:proofErr w:type="gramEnd"/>
      <w:r w:rsidRPr="006A561F">
        <w:t xml:space="preserve"> to address this resource gap – primarily via engagements undertaken by </w:t>
      </w:r>
      <w:r w:rsidR="53C48A2B" w:rsidRPr="006A561F">
        <w:t>the regional office</w:t>
      </w:r>
      <w:r w:rsidRPr="006A561F">
        <w:t xml:space="preserve">, but not at any </w:t>
      </w:r>
      <w:r w:rsidRPr="006A561F">
        <w:lastRenderedPageBreak/>
        <w:t xml:space="preserve">point prior to 2020. For instance, ROAS engaged with the Swiss Development Cooperation in 2020 using IMAGES evidence as an entry point to seek additional funding. ROAS also consulted with Global Affairs Canada in 2021 on a similar platform, supported by concept notes with the Dutch Lottery Fund and the EU in 2020 and 2021. Likewise at national level, </w:t>
      </w:r>
      <w:r w:rsidR="45D1BEAE" w:rsidRPr="006A561F">
        <w:t xml:space="preserve">in </w:t>
      </w:r>
      <w:r w:rsidRPr="006A561F">
        <w:t>Morocco and Palestine, UN</w:t>
      </w:r>
      <w:r w:rsidR="45D1BEAE" w:rsidRPr="006A561F">
        <w:t xml:space="preserve"> </w:t>
      </w:r>
      <w:r w:rsidRPr="006A561F">
        <w:t>W</w:t>
      </w:r>
      <w:r w:rsidR="45D1BEAE" w:rsidRPr="006A561F">
        <w:t>omen</w:t>
      </w:r>
      <w:r w:rsidRPr="006A561F">
        <w:t xml:space="preserve"> COs engaged with the Belgian Development Agency to obtain EUR 800</w:t>
      </w:r>
      <w:r w:rsidR="45D1BEAE" w:rsidRPr="006A561F">
        <w:t>,000</w:t>
      </w:r>
      <w:r w:rsidRPr="006A561F">
        <w:t xml:space="preserve"> in 2021. </w:t>
      </w:r>
      <w:r w:rsidR="41275D41">
        <w:t xml:space="preserve">Finally, the </w:t>
      </w:r>
      <w:r w:rsidR="41275D41" w:rsidRPr="00C57DFD">
        <w:t>Jordan Country Office</w:t>
      </w:r>
      <w:r w:rsidR="41275D41">
        <w:t xml:space="preserve"> </w:t>
      </w:r>
      <w:r w:rsidR="41275D41" w:rsidRPr="00C57DFD">
        <w:t>mobilized over USD 100,000 to support the undertaking of IMAGES</w:t>
      </w:r>
      <w:r w:rsidR="41275D41">
        <w:t xml:space="preserve">. </w:t>
      </w:r>
      <w:r w:rsidRPr="006A561F">
        <w:t>So far</w:t>
      </w:r>
      <w:r w:rsidR="45D1BEAE" w:rsidRPr="006A561F">
        <w:t>,</w:t>
      </w:r>
      <w:r w:rsidRPr="006A561F">
        <w:t xml:space="preserve"> </w:t>
      </w:r>
      <w:proofErr w:type="gramStart"/>
      <w:r w:rsidR="41275D41">
        <w:t>with the ex</w:t>
      </w:r>
      <w:r w:rsidR="361DE83C">
        <w:t>ception of</w:t>
      </w:r>
      <w:proofErr w:type="gramEnd"/>
      <w:r w:rsidR="361DE83C">
        <w:t xml:space="preserve"> Jordan, </w:t>
      </w:r>
      <w:r w:rsidRPr="006A561F">
        <w:t>none of the above efforts resulted in donor funds being mobili</w:t>
      </w:r>
      <w:r w:rsidR="45D1BEAE" w:rsidRPr="006A561F">
        <w:t>s</w:t>
      </w:r>
      <w:r w:rsidRPr="006A561F">
        <w:t>ed by UN Women, resulting in risks for the sustainability of MWGE programme inputs, outcomes and impacts.</w:t>
      </w:r>
      <w:r w:rsidR="41275D41">
        <w:t xml:space="preserve"> </w:t>
      </w:r>
      <w:r w:rsidR="1FE55049">
        <w:t xml:space="preserve"> It is worth noting, however, that </w:t>
      </w:r>
      <w:r w:rsidR="28500587">
        <w:t>UN Women did not at that time have sufficient evidence on the effectiveness of its approaches at hand when approaching potential donors.</w:t>
      </w:r>
      <w:r w:rsidR="527E665E">
        <w:t xml:space="preserve"> </w:t>
      </w:r>
    </w:p>
    <w:p w14:paraId="64FB75D3" w14:textId="77777777" w:rsidR="006F2F6D" w:rsidRPr="006A561F" w:rsidRDefault="556984C9" w:rsidP="4977AA67">
      <w:pPr>
        <w:pStyle w:val="ItadH3Numbered"/>
        <w:numPr>
          <w:ilvl w:val="1"/>
          <w:numId w:val="0"/>
        </w:numPr>
        <w:jc w:val="both"/>
        <w:rPr>
          <w:lang w:val="en-GB"/>
        </w:rPr>
      </w:pPr>
      <w:r w:rsidRPr="4977AA67">
        <w:rPr>
          <w:lang w:val="en-GB"/>
        </w:rPr>
        <w:t>5</w:t>
      </w:r>
      <w:r w:rsidR="520F7D6E" w:rsidRPr="4977AA67">
        <w:rPr>
          <w:lang w:val="en-GB"/>
        </w:rPr>
        <w:t>.</w:t>
      </w:r>
      <w:r w:rsidR="07124D6B" w:rsidRPr="4977AA67">
        <w:rPr>
          <w:lang w:val="en-GB"/>
        </w:rPr>
        <w:t>6</w:t>
      </w:r>
      <w:r w:rsidR="520F7D6E" w:rsidRPr="4977AA67">
        <w:rPr>
          <w:lang w:val="en-GB"/>
        </w:rPr>
        <w:t xml:space="preserve"> </w:t>
      </w:r>
      <w:r w:rsidR="4D4B5955" w:rsidRPr="4977AA67">
        <w:rPr>
          <w:lang w:val="en-GB"/>
        </w:rPr>
        <w:t>Evidence, learning and knowledge management</w:t>
      </w:r>
    </w:p>
    <w:p w14:paraId="1DE41EF5" w14:textId="77777777" w:rsidR="006F2F6D" w:rsidRPr="006A561F" w:rsidRDefault="3774BE70" w:rsidP="4977AA67">
      <w:pPr>
        <w:pStyle w:val="ItadH2"/>
        <w:jc w:val="both"/>
        <w:rPr>
          <w:sz w:val="20"/>
          <w:szCs w:val="20"/>
          <w:lang w:val="en-GB"/>
        </w:rPr>
      </w:pPr>
      <w:r w:rsidRPr="4977AA67">
        <w:rPr>
          <w:sz w:val="20"/>
          <w:szCs w:val="20"/>
          <w:lang w:val="en-GB"/>
        </w:rPr>
        <w:t xml:space="preserve">EQ 9. How is the programme generating, </w:t>
      </w:r>
      <w:proofErr w:type="gramStart"/>
      <w:r w:rsidRPr="4977AA67">
        <w:rPr>
          <w:sz w:val="20"/>
          <w:szCs w:val="20"/>
          <w:lang w:val="en-GB"/>
        </w:rPr>
        <w:t>utili</w:t>
      </w:r>
      <w:r w:rsidR="11C2915C" w:rsidRPr="4977AA67">
        <w:rPr>
          <w:sz w:val="20"/>
          <w:szCs w:val="20"/>
          <w:lang w:val="en-GB"/>
        </w:rPr>
        <w:t>s</w:t>
      </w:r>
      <w:r w:rsidRPr="4977AA67">
        <w:rPr>
          <w:sz w:val="20"/>
          <w:szCs w:val="20"/>
          <w:lang w:val="en-GB"/>
        </w:rPr>
        <w:t>ing</w:t>
      </w:r>
      <w:proofErr w:type="gramEnd"/>
      <w:r w:rsidRPr="4977AA67">
        <w:rPr>
          <w:sz w:val="20"/>
          <w:szCs w:val="20"/>
          <w:lang w:val="en-GB"/>
        </w:rPr>
        <w:t xml:space="preserve"> and sharing lessons and knowledge?</w:t>
      </w:r>
    </w:p>
    <w:p w14:paraId="538467C8" w14:textId="77777777" w:rsidR="006F2F6D" w:rsidRPr="006A561F" w:rsidRDefault="006F2F6D" w:rsidP="005E324E">
      <w:pPr>
        <w:pStyle w:val="ItadNormalText"/>
        <w:jc w:val="both"/>
        <w:rPr>
          <w:b/>
          <w:bCs/>
          <w:color w:val="588B46" w:themeColor="text2"/>
        </w:rPr>
      </w:pPr>
      <w:r w:rsidRPr="006A561F">
        <w:rPr>
          <w:b/>
          <w:bCs/>
          <w:color w:val="588B46" w:themeColor="text2"/>
        </w:rPr>
        <w:t xml:space="preserve">Summary: </w:t>
      </w:r>
    </w:p>
    <w:p w14:paraId="198E4823" w14:textId="77777777" w:rsidR="006F2F6D" w:rsidRPr="006A561F" w:rsidRDefault="4EAA50EC" w:rsidP="4977AA67">
      <w:pPr>
        <w:pStyle w:val="ItadNormalText"/>
        <w:jc w:val="both"/>
        <w:rPr>
          <w:color w:val="588B46" w:themeColor="text2"/>
        </w:rPr>
      </w:pPr>
      <w:r w:rsidRPr="4977AA67">
        <w:rPr>
          <w:color w:val="588B46" w:themeColor="text2"/>
        </w:rPr>
        <w:t xml:space="preserve">Knowledge management, learning and feedback improved linearly across </w:t>
      </w:r>
      <w:r w:rsidR="0675F83B" w:rsidRPr="4977AA67">
        <w:rPr>
          <w:color w:val="588B46" w:themeColor="text2"/>
        </w:rPr>
        <w:t>P</w:t>
      </w:r>
      <w:r w:rsidRPr="4977AA67">
        <w:rPr>
          <w:color w:val="588B46" w:themeColor="text2"/>
        </w:rPr>
        <w:t xml:space="preserve">hase I and II countries, and dramatic improvements in knowledge exchange and uptake </w:t>
      </w:r>
      <w:r w:rsidR="7C2799B4" w:rsidRPr="4977AA67">
        <w:rPr>
          <w:color w:val="588B46" w:themeColor="text2"/>
        </w:rPr>
        <w:t>were</w:t>
      </w:r>
      <w:r w:rsidRPr="4977AA67">
        <w:rPr>
          <w:color w:val="588B46" w:themeColor="text2"/>
        </w:rPr>
        <w:t xml:space="preserve"> demonstrated for new </w:t>
      </w:r>
      <w:r w:rsidR="0675F83B" w:rsidRPr="4977AA67">
        <w:rPr>
          <w:color w:val="588B46" w:themeColor="text2"/>
        </w:rPr>
        <w:t>P</w:t>
      </w:r>
      <w:r w:rsidRPr="4977AA67">
        <w:rPr>
          <w:color w:val="588B46" w:themeColor="text2"/>
        </w:rPr>
        <w:t xml:space="preserve">hase I countries. ROAS organised and facilitated in-country and cross-country learning mechanisms through both thematic and bilateral meetings – although with some oversight and consistency shortfalls.  </w:t>
      </w:r>
      <w:r w:rsidR="72D69898" w:rsidRPr="4977AA67">
        <w:rPr>
          <w:color w:val="588B46" w:themeColor="text2"/>
        </w:rPr>
        <w:t xml:space="preserve">Regional </w:t>
      </w:r>
      <w:r w:rsidR="706B229F" w:rsidRPr="4977AA67">
        <w:rPr>
          <w:color w:val="588B46" w:themeColor="text2"/>
        </w:rPr>
        <w:t xml:space="preserve">cross-learning was facilitated for IMAGES and Program P in Phase II </w:t>
      </w:r>
      <w:r w:rsidR="2D7722EC" w:rsidRPr="4977AA67">
        <w:rPr>
          <w:color w:val="588B46" w:themeColor="text2"/>
        </w:rPr>
        <w:t xml:space="preserve">through regional exchanges as well as a regional platform with </w:t>
      </w:r>
      <w:proofErr w:type="spellStart"/>
      <w:r w:rsidR="2D7722EC" w:rsidRPr="4977AA67">
        <w:rPr>
          <w:color w:val="588B46" w:themeColor="text2"/>
        </w:rPr>
        <w:t>Musawah</w:t>
      </w:r>
      <w:proofErr w:type="spellEnd"/>
      <w:r w:rsidR="2D7722EC" w:rsidRPr="4977AA67">
        <w:rPr>
          <w:color w:val="588B46" w:themeColor="text2"/>
        </w:rPr>
        <w:t xml:space="preserve"> and other partners, in addition to which there were </w:t>
      </w:r>
      <w:r w:rsidRPr="4977AA67">
        <w:rPr>
          <w:color w:val="588B46" w:themeColor="text2"/>
        </w:rPr>
        <w:t xml:space="preserve">a small number of successful </w:t>
      </w:r>
      <w:r w:rsidR="0675F83B" w:rsidRPr="4977AA67">
        <w:rPr>
          <w:color w:val="588B46" w:themeColor="text2"/>
        </w:rPr>
        <w:t>S</w:t>
      </w:r>
      <w:r w:rsidRPr="4977AA67">
        <w:rPr>
          <w:color w:val="588B46" w:themeColor="text2"/>
        </w:rPr>
        <w:t>outh</w:t>
      </w:r>
      <w:r w:rsidR="0675F83B" w:rsidRPr="4977AA67">
        <w:rPr>
          <w:color w:val="588B46" w:themeColor="text2"/>
        </w:rPr>
        <w:t>–S</w:t>
      </w:r>
      <w:r w:rsidRPr="4977AA67">
        <w:rPr>
          <w:color w:val="588B46" w:themeColor="text2"/>
        </w:rPr>
        <w:t xml:space="preserve">outh exchanges. </w:t>
      </w:r>
      <w:r w:rsidR="2D7722EC" w:rsidRPr="4977AA67">
        <w:rPr>
          <w:color w:val="588B46" w:themeColor="text2"/>
        </w:rPr>
        <w:t>A</w:t>
      </w:r>
      <w:r w:rsidRPr="4977AA67">
        <w:rPr>
          <w:color w:val="588B46" w:themeColor="text2"/>
        </w:rPr>
        <w:t xml:space="preserve"> noticeable shift </w:t>
      </w:r>
      <w:r w:rsidR="44F47554" w:rsidRPr="4977AA67">
        <w:rPr>
          <w:color w:val="588B46" w:themeColor="text2"/>
        </w:rPr>
        <w:t>wa</w:t>
      </w:r>
      <w:r w:rsidRPr="4977AA67">
        <w:rPr>
          <w:color w:val="588B46" w:themeColor="text2"/>
        </w:rPr>
        <w:t xml:space="preserve">s identifiable with respect to the transfer of lessons and enhancement of the IMAGES approach in new </w:t>
      </w:r>
      <w:r w:rsidR="0675F83B" w:rsidRPr="4977AA67">
        <w:rPr>
          <w:color w:val="588B46" w:themeColor="text2"/>
        </w:rPr>
        <w:t>P</w:t>
      </w:r>
      <w:r w:rsidRPr="4977AA67">
        <w:rPr>
          <w:color w:val="588B46" w:themeColor="text2"/>
        </w:rPr>
        <w:t>hase I countries.</w:t>
      </w:r>
    </w:p>
    <w:p w14:paraId="02723073" w14:textId="0C82C894" w:rsidR="006F2F6D" w:rsidRPr="006A561F" w:rsidRDefault="5BACB6EA" w:rsidP="4977AA67">
      <w:pPr>
        <w:pStyle w:val="ItadNormalText"/>
        <w:jc w:val="both"/>
        <w:rPr>
          <w:b/>
          <w:bCs/>
        </w:rPr>
      </w:pPr>
      <w:r w:rsidRPr="4977AA67">
        <w:rPr>
          <w:rStyle w:val="eop"/>
          <w:b/>
          <w:bCs/>
          <w:color w:val="588B46" w:themeColor="text2"/>
        </w:rPr>
        <w:t>Finding 9.</w:t>
      </w:r>
      <w:r w:rsidR="59E59AD1" w:rsidRPr="4977AA67">
        <w:rPr>
          <w:rStyle w:val="eop"/>
          <w:b/>
          <w:bCs/>
          <w:color w:val="588B46" w:themeColor="text2"/>
        </w:rPr>
        <w:t>1</w:t>
      </w:r>
      <w:r w:rsidRPr="4977AA67">
        <w:rPr>
          <w:rStyle w:val="eop"/>
          <w:b/>
          <w:bCs/>
          <w:color w:val="588B46" w:themeColor="text2"/>
        </w:rPr>
        <w:t xml:space="preserve">: </w:t>
      </w:r>
      <w:r w:rsidRPr="4977AA67">
        <w:rPr>
          <w:rStyle w:val="eop"/>
          <w:b/>
          <w:bCs/>
        </w:rPr>
        <w:t xml:space="preserve">The regional office </w:t>
      </w:r>
      <w:r w:rsidR="5C43450C" w:rsidRPr="4977AA67">
        <w:rPr>
          <w:rStyle w:val="eop"/>
          <w:b/>
          <w:bCs/>
        </w:rPr>
        <w:t>fulfilled</w:t>
      </w:r>
      <w:r w:rsidRPr="4977AA67">
        <w:rPr>
          <w:rStyle w:val="eop"/>
          <w:b/>
          <w:bCs/>
        </w:rPr>
        <w:t xml:space="preserve"> the function of joining the dots in the programme between the different countries and the regional interventions by organising and facilitating cross-country learning mechanisms. Thematic and bilateral meetings (including the IMAGES and Program P working groups) were found to be the most effective for sharing learning and enabling country programme adaptation accordingly. </w:t>
      </w:r>
      <w:r w:rsidR="290C879D" w:rsidRPr="4977AA67">
        <w:rPr>
          <w:rStyle w:val="eop"/>
          <w:b/>
          <w:bCs/>
        </w:rPr>
        <w:t>However, there was an inconsistent approach in the knowledge product creation at country level in some cases, with details of some communications and outreach products being communicated with ROAS after dissemination events or opportunities.</w:t>
      </w:r>
    </w:p>
    <w:p w14:paraId="6E0123E0" w14:textId="77777777" w:rsidR="006F2F6D" w:rsidRPr="006A561F" w:rsidRDefault="5C924D6E" w:rsidP="00FF394B">
      <w:pPr>
        <w:pStyle w:val="ItadNormalText"/>
        <w:jc w:val="both"/>
      </w:pPr>
      <w:r w:rsidRPr="4977AA67">
        <w:rPr>
          <w:rStyle w:val="eop"/>
          <w:rFonts w:cs="Calibri"/>
        </w:rPr>
        <w:t xml:space="preserve">The MWGE programme established learning mechanisms to facilitate cross-country and cross-regional learning. </w:t>
      </w:r>
      <w:r w:rsidRPr="4977AA67">
        <w:rPr>
          <w:rFonts w:cstheme="minorBidi"/>
        </w:rPr>
        <w:t>Programme learning mechanisms functioned at two levels – regional programme level and implementing partner level.</w:t>
      </w:r>
      <w:r w:rsidR="1A38A39F" w:rsidRPr="4977AA67">
        <w:rPr>
          <w:rFonts w:cstheme="minorBidi"/>
        </w:rPr>
        <w:t xml:space="preserve"> </w:t>
      </w:r>
      <w:r w:rsidR="0C46233B" w:rsidRPr="006A561F">
        <w:t>Among regional and country programme staff, key learning mechanisms include</w:t>
      </w:r>
      <w:r w:rsidR="544948B0" w:rsidRPr="006A561F">
        <w:t>d</w:t>
      </w:r>
      <w:r w:rsidR="0C46233B" w:rsidRPr="006A561F">
        <w:t xml:space="preserve"> bi-weekly team meetings, bilateral or thematic meetings</w:t>
      </w:r>
      <w:r w:rsidR="45D1BEAE" w:rsidRPr="006A561F">
        <w:t xml:space="preserve"> –</w:t>
      </w:r>
      <w:r w:rsidR="0C46233B" w:rsidRPr="006A561F">
        <w:t xml:space="preserve"> including bi-weekly working group meetings on IMAGES (Jordan and Tunisia programmes) and Program P/</w:t>
      </w:r>
      <w:r w:rsidR="45D1BEAE" w:rsidRPr="006A561F">
        <w:t>GTP</w:t>
      </w:r>
      <w:r w:rsidR="0C46233B" w:rsidRPr="006A561F">
        <w:t xml:space="preserve"> (Egypt, </w:t>
      </w:r>
      <w:proofErr w:type="gramStart"/>
      <w:r w:rsidR="0C46233B" w:rsidRPr="006A561F">
        <w:t>Palestine</w:t>
      </w:r>
      <w:proofErr w:type="gramEnd"/>
      <w:r w:rsidR="0C46233B" w:rsidRPr="006A561F">
        <w:t xml:space="preserve"> and Morocco programmes) </w:t>
      </w:r>
      <w:r w:rsidR="45D1BEAE" w:rsidRPr="006A561F">
        <w:t xml:space="preserve">– </w:t>
      </w:r>
      <w:r w:rsidR="0C46233B" w:rsidRPr="006A561F">
        <w:t xml:space="preserve">and the annual planning session. At implementing partner level, learning mechanisms led by the </w:t>
      </w:r>
      <w:r w:rsidR="45D1BEAE" w:rsidRPr="006A561F">
        <w:t>CO</w:t>
      </w:r>
      <w:r w:rsidR="0C46233B" w:rsidRPr="006A561F">
        <w:t xml:space="preserve"> and umbrella organisation partners var</w:t>
      </w:r>
      <w:r w:rsidR="466546C4" w:rsidRPr="006A561F">
        <w:t>ied</w:t>
      </w:r>
      <w:r w:rsidR="0C46233B" w:rsidRPr="006A561F">
        <w:t>. They include</w:t>
      </w:r>
      <w:r w:rsidR="621D9442" w:rsidRPr="006A561F">
        <w:t>d</w:t>
      </w:r>
      <w:r w:rsidR="0C46233B" w:rsidRPr="006A561F">
        <w:t xml:space="preserve"> learning meetings/retreats, Whats</w:t>
      </w:r>
      <w:r w:rsidR="45D1BEAE" w:rsidRPr="006A561F">
        <w:t>A</w:t>
      </w:r>
      <w:r w:rsidR="0C46233B" w:rsidRPr="006A561F">
        <w:t>pp group exchange and file</w:t>
      </w:r>
      <w:r w:rsidR="45D1BEAE" w:rsidRPr="006A561F">
        <w:t xml:space="preserve"> </w:t>
      </w:r>
      <w:r w:rsidR="0C46233B" w:rsidRPr="006A561F">
        <w:t xml:space="preserve">sharing. In some countries, programmes </w:t>
      </w:r>
      <w:r w:rsidR="7D750495" w:rsidRPr="006A561F">
        <w:t>were</w:t>
      </w:r>
      <w:r w:rsidR="0C46233B" w:rsidRPr="006A561F">
        <w:t xml:space="preserve"> also involved in communities of practice or other platforms </w:t>
      </w:r>
      <w:r w:rsidR="122889FB" w:rsidRPr="006A561F">
        <w:t>which included</w:t>
      </w:r>
      <w:r w:rsidR="0C46233B" w:rsidRPr="006A561F">
        <w:t xml:space="preserve"> national and international organisations operating in the country</w:t>
      </w:r>
      <w:r w:rsidR="45D1BEAE" w:rsidRPr="006A561F">
        <w:t>.</w:t>
      </w:r>
      <w:r w:rsidR="006F2F6D" w:rsidRPr="4977AA67">
        <w:rPr>
          <w:rStyle w:val="FootnoteReference"/>
          <w:rFonts w:cstheme="minorBidi"/>
          <w:sz w:val="22"/>
          <w:szCs w:val="22"/>
        </w:rPr>
        <w:footnoteReference w:id="293"/>
      </w:r>
    </w:p>
    <w:p w14:paraId="3CCA29DB" w14:textId="77777777" w:rsidR="006F2F6D" w:rsidRPr="006A561F" w:rsidRDefault="0C46233B" w:rsidP="00FF394B">
      <w:pPr>
        <w:pStyle w:val="ItadNormalText"/>
        <w:jc w:val="both"/>
        <w:rPr>
          <w:rFonts w:cs="Calibri"/>
          <w:b/>
          <w:bCs/>
        </w:rPr>
      </w:pPr>
      <w:r w:rsidRPr="006A561F">
        <w:t xml:space="preserve">The </w:t>
      </w:r>
      <w:r w:rsidR="45D1BEAE" w:rsidRPr="006A561F">
        <w:t>S</w:t>
      </w:r>
      <w:r w:rsidRPr="006A561F">
        <w:t>outh</w:t>
      </w:r>
      <w:r w:rsidR="45D1BEAE" w:rsidRPr="006A561F">
        <w:t>–S</w:t>
      </w:r>
      <w:r w:rsidRPr="006A561F">
        <w:t>outh exchange and regional learning exchange br</w:t>
      </w:r>
      <w:r w:rsidR="68FF1523" w:rsidRPr="006A561F">
        <w:t>ought</w:t>
      </w:r>
      <w:r w:rsidRPr="006A561F">
        <w:t xml:space="preserve"> together implementing partners, programme staff and other actors. In Phase I, </w:t>
      </w:r>
      <w:r w:rsidR="45D1BEAE" w:rsidRPr="006A561F">
        <w:t>S</w:t>
      </w:r>
      <w:r w:rsidRPr="006A561F">
        <w:t>outh</w:t>
      </w:r>
      <w:r w:rsidR="45D1BEAE" w:rsidRPr="006A561F">
        <w:t>–S</w:t>
      </w:r>
      <w:r w:rsidRPr="006A561F">
        <w:t>outh exchange visits were hosted by other international organisations working on engaging men and boys in gender equality</w:t>
      </w:r>
      <w:r w:rsidR="45D1BEAE" w:rsidRPr="006A561F">
        <w:t>.</w:t>
      </w:r>
      <w:r w:rsidR="006F2F6D" w:rsidRPr="076A58FF">
        <w:rPr>
          <w:rStyle w:val="FootnoteReference"/>
          <w:rFonts w:cs="Calibri"/>
          <w:color w:val="000000"/>
          <w:sz w:val="22"/>
          <w:szCs w:val="22"/>
          <w:shd w:val="clear" w:color="auto" w:fill="FFFFFF"/>
        </w:rPr>
        <w:footnoteReference w:id="294"/>
      </w:r>
      <w:r w:rsidRPr="006A561F">
        <w:t xml:space="preserve"> The exchange happened in Phase I in Indonesia and South Africa but </w:t>
      </w:r>
      <w:r w:rsidR="45D1BEAE" w:rsidRPr="006A561F">
        <w:t>was</w:t>
      </w:r>
      <w:r w:rsidRPr="006A561F">
        <w:t xml:space="preserve"> paused in Phase II </w:t>
      </w:r>
      <w:r w:rsidR="45D1BEAE" w:rsidRPr="006A561F">
        <w:t>owing</w:t>
      </w:r>
      <w:r w:rsidRPr="006A561F">
        <w:t xml:space="preserve"> to C</w:t>
      </w:r>
      <w:r w:rsidR="45D1BEAE" w:rsidRPr="006A561F">
        <w:t>OVID-19-related</w:t>
      </w:r>
      <w:r w:rsidRPr="006A561F">
        <w:t xml:space="preserve"> </w:t>
      </w:r>
      <w:r w:rsidRPr="006A561F">
        <w:lastRenderedPageBreak/>
        <w:t xml:space="preserve">restrictions. Regional learning events </w:t>
      </w:r>
      <w:r w:rsidR="79CBD42C" w:rsidRPr="006A561F">
        <w:t>were also</w:t>
      </w:r>
      <w:r w:rsidRPr="006A561F">
        <w:t xml:space="preserve"> held for CBOs involving implementing partners, country-level and regional</w:t>
      </w:r>
      <w:r w:rsidR="60527794" w:rsidRPr="006A561F">
        <w:t>-</w:t>
      </w:r>
      <w:r w:rsidRPr="006A561F">
        <w:t xml:space="preserve">level staff. Two </w:t>
      </w:r>
      <w:r w:rsidR="08BCCB56" w:rsidRPr="006A561F">
        <w:t>were held</w:t>
      </w:r>
      <w:r w:rsidR="60527794" w:rsidRPr="006A561F">
        <w:t xml:space="preserve"> –</w:t>
      </w:r>
      <w:r w:rsidRPr="006A561F">
        <w:t xml:space="preserve"> one at the end of Phase I and one online in Phase II (in 2021).</w:t>
      </w:r>
      <w:r w:rsidR="006F2F6D" w:rsidRPr="006A561F">
        <w:rPr>
          <w:noProof/>
          <w:color w:val="588B46" w:themeColor="text2"/>
          <w:shd w:val="clear" w:color="auto" w:fill="E6E6E6"/>
        </w:rPr>
        <mc:AlternateContent>
          <mc:Choice Requires="wps">
            <w:drawing>
              <wp:anchor distT="45720" distB="45720" distL="114300" distR="114300" simplePos="0" relativeHeight="251656704" behindDoc="0" locked="0" layoutInCell="1" allowOverlap="1" wp14:anchorId="18E3AE1F" wp14:editId="719B945B">
                <wp:simplePos x="0" y="0"/>
                <wp:positionH relativeFrom="margin">
                  <wp:posOffset>3428365</wp:posOffset>
                </wp:positionH>
                <wp:positionV relativeFrom="paragraph">
                  <wp:posOffset>0</wp:posOffset>
                </wp:positionV>
                <wp:extent cx="2495550" cy="5664200"/>
                <wp:effectExtent l="0" t="0" r="19050" b="127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5664200"/>
                        </a:xfrm>
                        <a:prstGeom prst="roundRect">
                          <a:avLst/>
                        </a:prstGeom>
                        <a:ln>
                          <a:solidFill>
                            <a:schemeClr val="accent2"/>
                          </a:solidFill>
                          <a:headEnd/>
                          <a:tailEnd/>
                        </a:ln>
                      </wps:spPr>
                      <wps:style>
                        <a:lnRef idx="2">
                          <a:schemeClr val="accent4"/>
                        </a:lnRef>
                        <a:fillRef idx="1">
                          <a:schemeClr val="lt1"/>
                        </a:fillRef>
                        <a:effectRef idx="0">
                          <a:schemeClr val="accent4"/>
                        </a:effectRef>
                        <a:fontRef idx="minor">
                          <a:schemeClr val="dk1"/>
                        </a:fontRef>
                      </wps:style>
                      <wps:txbx>
                        <w:txbxContent>
                          <w:p w14:paraId="0D540F88" w14:textId="77777777" w:rsidR="006F2F6D" w:rsidRPr="00E555B5" w:rsidRDefault="006F2F6D" w:rsidP="00DD6CEB">
                            <w:pPr>
                              <w:pStyle w:val="Itadboxnumbers"/>
                            </w:pPr>
                            <w:bookmarkStart w:id="52" w:name="_Toc101455564"/>
                            <w:bookmarkStart w:id="53" w:name="_Toc123126134"/>
                            <w:r w:rsidRPr="00E555B5">
                              <w:t>Learning mechanisms</w:t>
                            </w:r>
                            <w:bookmarkEnd w:id="52"/>
                            <w:bookmarkEnd w:id="53"/>
                          </w:p>
                          <w:p w14:paraId="6CE47A18" w14:textId="77777777" w:rsidR="006F2F6D" w:rsidRDefault="006F2F6D" w:rsidP="006F2F6D">
                            <w:pPr>
                              <w:rPr>
                                <w:rFonts w:cstheme="minorHAnsi"/>
                                <w:u w:val="single"/>
                              </w:rPr>
                            </w:pPr>
                          </w:p>
                          <w:p w14:paraId="142CD293" w14:textId="77777777" w:rsidR="006F2F6D" w:rsidRPr="00E555B5" w:rsidRDefault="006F2F6D" w:rsidP="006F2F6D">
                            <w:pPr>
                              <w:rPr>
                                <w:rFonts w:cstheme="minorHAnsi"/>
                                <w:b/>
                                <w:bCs/>
                              </w:rPr>
                            </w:pPr>
                            <w:r w:rsidRPr="00E555B5">
                              <w:rPr>
                                <w:rFonts w:cstheme="minorHAnsi"/>
                                <w:b/>
                                <w:bCs/>
                              </w:rPr>
                              <w:t>Regional programme level</w:t>
                            </w:r>
                          </w:p>
                          <w:p w14:paraId="1696FB97" w14:textId="77777777" w:rsidR="006F2F6D" w:rsidRPr="001E66A5" w:rsidRDefault="006F2F6D">
                            <w:pPr>
                              <w:pStyle w:val="ListParagraph"/>
                              <w:numPr>
                                <w:ilvl w:val="0"/>
                                <w:numId w:val="21"/>
                              </w:numPr>
                              <w:contextualSpacing/>
                              <w:rPr>
                                <w:rFonts w:asciiTheme="minorHAnsi" w:hAnsiTheme="minorHAnsi" w:cstheme="minorHAnsi"/>
                                <w:sz w:val="22"/>
                                <w:szCs w:val="22"/>
                              </w:rPr>
                            </w:pPr>
                            <w:r w:rsidRPr="001E66A5">
                              <w:rPr>
                                <w:rFonts w:asciiTheme="minorHAnsi" w:hAnsiTheme="minorHAnsi" w:cstheme="minorHAnsi"/>
                                <w:sz w:val="22"/>
                                <w:szCs w:val="22"/>
                              </w:rPr>
                              <w:t>Formal external reviews</w:t>
                            </w:r>
                          </w:p>
                          <w:p w14:paraId="393E8D73" w14:textId="77777777" w:rsidR="006F2F6D" w:rsidRPr="001E66A5" w:rsidRDefault="006F2F6D">
                            <w:pPr>
                              <w:pStyle w:val="ListParagraph"/>
                              <w:numPr>
                                <w:ilvl w:val="0"/>
                                <w:numId w:val="21"/>
                              </w:numPr>
                              <w:contextualSpacing/>
                              <w:rPr>
                                <w:rFonts w:asciiTheme="minorHAnsi" w:hAnsiTheme="minorHAnsi" w:cstheme="minorHAnsi"/>
                                <w:sz w:val="22"/>
                                <w:szCs w:val="22"/>
                              </w:rPr>
                            </w:pPr>
                            <w:r w:rsidRPr="001E66A5">
                              <w:rPr>
                                <w:rFonts w:asciiTheme="minorHAnsi" w:hAnsiTheme="minorHAnsi" w:cstheme="minorHAnsi"/>
                                <w:sz w:val="22"/>
                                <w:szCs w:val="22"/>
                              </w:rPr>
                              <w:t>Bi-weekly meetings with the regional and country teams</w:t>
                            </w:r>
                          </w:p>
                          <w:p w14:paraId="2FC53418" w14:textId="77777777" w:rsidR="006F2F6D" w:rsidRPr="001E66A5" w:rsidRDefault="006F2F6D">
                            <w:pPr>
                              <w:pStyle w:val="ListParagraph"/>
                              <w:numPr>
                                <w:ilvl w:val="0"/>
                                <w:numId w:val="21"/>
                              </w:numPr>
                              <w:contextualSpacing/>
                              <w:rPr>
                                <w:rFonts w:asciiTheme="minorHAnsi" w:hAnsiTheme="minorHAnsi" w:cstheme="minorHAnsi"/>
                                <w:sz w:val="22"/>
                                <w:szCs w:val="22"/>
                              </w:rPr>
                            </w:pPr>
                            <w:r w:rsidRPr="001E66A5">
                              <w:rPr>
                                <w:rFonts w:asciiTheme="minorHAnsi" w:hAnsiTheme="minorHAnsi" w:cstheme="minorHAnsi"/>
                                <w:sz w:val="22"/>
                                <w:szCs w:val="22"/>
                              </w:rPr>
                              <w:t>Informal brown bag lunch discussions</w:t>
                            </w:r>
                          </w:p>
                          <w:p w14:paraId="3B6C42DA" w14:textId="77777777" w:rsidR="006F2F6D" w:rsidRPr="001E66A5" w:rsidRDefault="006F2F6D">
                            <w:pPr>
                              <w:pStyle w:val="ListParagraph"/>
                              <w:numPr>
                                <w:ilvl w:val="0"/>
                                <w:numId w:val="21"/>
                              </w:numPr>
                              <w:contextualSpacing/>
                              <w:rPr>
                                <w:rFonts w:asciiTheme="minorHAnsi" w:hAnsiTheme="minorHAnsi" w:cstheme="minorHAnsi"/>
                                <w:sz w:val="22"/>
                                <w:szCs w:val="22"/>
                              </w:rPr>
                            </w:pPr>
                            <w:r w:rsidRPr="001E66A5">
                              <w:rPr>
                                <w:rFonts w:asciiTheme="minorHAnsi" w:hAnsiTheme="minorHAnsi" w:cstheme="minorHAnsi"/>
                                <w:sz w:val="22"/>
                                <w:szCs w:val="22"/>
                              </w:rPr>
                              <w:t>Biannual programme planning sessions</w:t>
                            </w:r>
                          </w:p>
                          <w:p w14:paraId="434D7FA2" w14:textId="77777777" w:rsidR="006F2F6D" w:rsidRPr="001E66A5" w:rsidRDefault="006F2F6D">
                            <w:pPr>
                              <w:pStyle w:val="ListParagraph"/>
                              <w:numPr>
                                <w:ilvl w:val="0"/>
                                <w:numId w:val="21"/>
                              </w:numPr>
                              <w:contextualSpacing/>
                              <w:rPr>
                                <w:rFonts w:asciiTheme="minorHAnsi" w:hAnsiTheme="minorHAnsi" w:cstheme="minorHAnsi"/>
                                <w:sz w:val="22"/>
                                <w:szCs w:val="22"/>
                              </w:rPr>
                            </w:pPr>
                            <w:r w:rsidRPr="001E66A5">
                              <w:rPr>
                                <w:rFonts w:asciiTheme="minorHAnsi" w:hAnsiTheme="minorHAnsi" w:cstheme="minorHAnsi"/>
                                <w:sz w:val="22"/>
                                <w:szCs w:val="22"/>
                              </w:rPr>
                              <w:t>Ad hoc bilateral or thematic meetings</w:t>
                            </w:r>
                            <w:r w:rsidR="003D2C96">
                              <w:rPr>
                                <w:rFonts w:asciiTheme="minorHAnsi" w:hAnsiTheme="minorHAnsi" w:cstheme="minorHAnsi"/>
                                <w:sz w:val="22"/>
                                <w:szCs w:val="22"/>
                              </w:rPr>
                              <w:t>/</w:t>
                            </w:r>
                            <w:r w:rsidRPr="001E66A5">
                              <w:rPr>
                                <w:rFonts w:asciiTheme="minorHAnsi" w:hAnsiTheme="minorHAnsi" w:cstheme="minorHAnsi"/>
                                <w:sz w:val="22"/>
                                <w:szCs w:val="22"/>
                              </w:rPr>
                              <w:t>communications</w:t>
                            </w:r>
                          </w:p>
                          <w:p w14:paraId="0F264CE9" w14:textId="77777777" w:rsidR="006F2F6D" w:rsidRDefault="006F2F6D">
                            <w:pPr>
                              <w:pStyle w:val="ListParagraph"/>
                              <w:numPr>
                                <w:ilvl w:val="0"/>
                                <w:numId w:val="21"/>
                              </w:numPr>
                              <w:contextualSpacing/>
                              <w:rPr>
                                <w:rFonts w:asciiTheme="minorHAnsi" w:hAnsiTheme="minorHAnsi" w:cstheme="minorHAnsi"/>
                                <w:sz w:val="22"/>
                                <w:szCs w:val="22"/>
                              </w:rPr>
                            </w:pPr>
                            <w:r w:rsidRPr="001E66A5">
                              <w:rPr>
                                <w:rFonts w:asciiTheme="minorHAnsi" w:hAnsiTheme="minorHAnsi" w:cstheme="minorHAnsi"/>
                                <w:sz w:val="22"/>
                                <w:szCs w:val="22"/>
                              </w:rPr>
                              <w:t xml:space="preserve">IMAGES &amp; </w:t>
                            </w:r>
                            <w:r>
                              <w:rPr>
                                <w:rFonts w:asciiTheme="minorHAnsi" w:hAnsiTheme="minorHAnsi" w:cstheme="minorHAnsi"/>
                                <w:sz w:val="22"/>
                                <w:szCs w:val="22"/>
                              </w:rPr>
                              <w:t>P</w:t>
                            </w:r>
                            <w:r w:rsidRPr="001E66A5">
                              <w:rPr>
                                <w:rFonts w:asciiTheme="minorHAnsi" w:hAnsiTheme="minorHAnsi" w:cstheme="minorHAnsi"/>
                                <w:sz w:val="22"/>
                                <w:szCs w:val="22"/>
                              </w:rPr>
                              <w:t>rogram P thematic working group meetings</w:t>
                            </w:r>
                          </w:p>
                          <w:p w14:paraId="4B613F11" w14:textId="77777777" w:rsidR="006F2F6D" w:rsidRPr="001E66A5" w:rsidRDefault="006F2F6D" w:rsidP="006F2F6D">
                            <w:pPr>
                              <w:pStyle w:val="ListParagraph"/>
                              <w:ind w:left="360"/>
                              <w:contextualSpacing/>
                              <w:rPr>
                                <w:rFonts w:asciiTheme="minorHAnsi" w:hAnsiTheme="minorHAnsi" w:cstheme="minorHAnsi"/>
                                <w:sz w:val="22"/>
                                <w:szCs w:val="22"/>
                              </w:rPr>
                            </w:pPr>
                          </w:p>
                          <w:p w14:paraId="6CBD4065" w14:textId="77777777" w:rsidR="006F2F6D" w:rsidRPr="00E555B5" w:rsidRDefault="006F2F6D" w:rsidP="006F2F6D">
                            <w:pPr>
                              <w:rPr>
                                <w:rFonts w:asciiTheme="minorHAnsi" w:hAnsiTheme="minorHAnsi" w:cstheme="minorHAnsi"/>
                                <w:b/>
                                <w:bCs/>
                                <w:color w:val="000000"/>
                                <w:shd w:val="clear" w:color="auto" w:fill="FFFFFF"/>
                              </w:rPr>
                            </w:pPr>
                            <w:r w:rsidRPr="00E555B5">
                              <w:rPr>
                                <w:rStyle w:val="normaltextrun"/>
                                <w:rFonts w:asciiTheme="minorHAnsi" w:hAnsiTheme="minorHAnsi" w:cstheme="minorHAnsi"/>
                                <w:b/>
                                <w:bCs/>
                                <w:color w:val="000000"/>
                                <w:shd w:val="clear" w:color="auto" w:fill="FFFFFF"/>
                              </w:rPr>
                              <w:t>Implementing partner level</w:t>
                            </w:r>
                          </w:p>
                          <w:p w14:paraId="335C5F00" w14:textId="77777777" w:rsidR="006F2F6D" w:rsidRPr="001E66A5" w:rsidRDefault="006F2F6D">
                            <w:pPr>
                              <w:pStyle w:val="ListParagraph"/>
                              <w:numPr>
                                <w:ilvl w:val="0"/>
                                <w:numId w:val="22"/>
                              </w:numPr>
                              <w:contextualSpacing/>
                              <w:rPr>
                                <w:rFonts w:asciiTheme="minorHAnsi" w:hAnsiTheme="minorHAnsi" w:cstheme="minorHAnsi"/>
                                <w:sz w:val="22"/>
                                <w:szCs w:val="22"/>
                              </w:rPr>
                            </w:pPr>
                            <w:r w:rsidRPr="001E66A5">
                              <w:rPr>
                                <w:rFonts w:asciiTheme="minorHAnsi" w:hAnsiTheme="minorHAnsi" w:cstheme="minorHAnsi"/>
                                <w:sz w:val="22"/>
                                <w:szCs w:val="22"/>
                              </w:rPr>
                              <w:t>Country programme learning meetings and retreats</w:t>
                            </w:r>
                          </w:p>
                          <w:p w14:paraId="79B543A9" w14:textId="77777777" w:rsidR="006F2F6D" w:rsidRPr="001E66A5" w:rsidRDefault="006F2F6D">
                            <w:pPr>
                              <w:pStyle w:val="ListParagraph"/>
                              <w:numPr>
                                <w:ilvl w:val="0"/>
                                <w:numId w:val="22"/>
                              </w:numPr>
                              <w:contextualSpacing/>
                              <w:rPr>
                                <w:rFonts w:asciiTheme="minorHAnsi" w:hAnsiTheme="minorHAnsi" w:cstheme="minorHAnsi"/>
                                <w:sz w:val="22"/>
                                <w:szCs w:val="22"/>
                              </w:rPr>
                            </w:pPr>
                            <w:r w:rsidRPr="001E66A5">
                              <w:rPr>
                                <w:rFonts w:asciiTheme="minorHAnsi" w:hAnsiTheme="minorHAnsi" w:cstheme="minorHAnsi"/>
                                <w:sz w:val="22"/>
                                <w:szCs w:val="22"/>
                              </w:rPr>
                              <w:t xml:space="preserve">Country programme file-sharing platforms </w:t>
                            </w:r>
                            <w:r w:rsidR="003D2C96">
                              <w:rPr>
                                <w:rFonts w:asciiTheme="minorHAnsi" w:hAnsiTheme="minorHAnsi" w:cstheme="minorHAnsi"/>
                                <w:sz w:val="22"/>
                                <w:szCs w:val="22"/>
                              </w:rPr>
                              <w:t>and</w:t>
                            </w:r>
                            <w:r w:rsidRPr="001E66A5">
                              <w:rPr>
                                <w:rFonts w:asciiTheme="minorHAnsi" w:hAnsiTheme="minorHAnsi" w:cstheme="minorHAnsi"/>
                                <w:sz w:val="22"/>
                                <w:szCs w:val="22"/>
                              </w:rPr>
                              <w:t xml:space="preserve"> Whats</w:t>
                            </w:r>
                            <w:r w:rsidR="003D2C96">
                              <w:rPr>
                                <w:rFonts w:asciiTheme="minorHAnsi" w:hAnsiTheme="minorHAnsi" w:cstheme="minorHAnsi"/>
                                <w:sz w:val="22"/>
                                <w:szCs w:val="22"/>
                              </w:rPr>
                              <w:t>A</w:t>
                            </w:r>
                            <w:r w:rsidRPr="001E66A5">
                              <w:rPr>
                                <w:rFonts w:asciiTheme="minorHAnsi" w:hAnsiTheme="minorHAnsi" w:cstheme="minorHAnsi"/>
                                <w:sz w:val="22"/>
                                <w:szCs w:val="22"/>
                              </w:rPr>
                              <w:t>pp groups (K</w:t>
                            </w:r>
                            <w:r w:rsidR="003D2C96">
                              <w:rPr>
                                <w:rFonts w:asciiTheme="minorHAnsi" w:hAnsiTheme="minorHAnsi" w:cstheme="minorHAnsi"/>
                                <w:sz w:val="22"/>
                                <w:szCs w:val="22"/>
                              </w:rPr>
                              <w:t>afa</w:t>
                            </w:r>
                            <w:r w:rsidRPr="001E66A5">
                              <w:rPr>
                                <w:rFonts w:asciiTheme="minorHAnsi" w:hAnsiTheme="minorHAnsi" w:cstheme="minorHAnsi"/>
                                <w:sz w:val="22"/>
                                <w:szCs w:val="22"/>
                              </w:rPr>
                              <w:t>, Lebanon)</w:t>
                            </w:r>
                          </w:p>
                          <w:p w14:paraId="39F1A13B" w14:textId="77777777" w:rsidR="006F2F6D" w:rsidRPr="001E66A5" w:rsidRDefault="006F2F6D">
                            <w:pPr>
                              <w:pStyle w:val="ListParagraph"/>
                              <w:numPr>
                                <w:ilvl w:val="0"/>
                                <w:numId w:val="22"/>
                              </w:numPr>
                              <w:contextualSpacing/>
                              <w:rPr>
                                <w:rFonts w:asciiTheme="minorHAnsi" w:hAnsiTheme="minorHAnsi" w:cstheme="minorHAnsi"/>
                                <w:sz w:val="22"/>
                                <w:szCs w:val="22"/>
                              </w:rPr>
                            </w:pPr>
                            <w:r w:rsidRPr="001E66A5">
                              <w:rPr>
                                <w:rFonts w:asciiTheme="minorHAnsi" w:hAnsiTheme="minorHAnsi" w:cstheme="minorHAnsi"/>
                                <w:sz w:val="22"/>
                                <w:szCs w:val="22"/>
                              </w:rPr>
                              <w:t xml:space="preserve">Communities of practice or platforms with other organisations (Palestine, Tunisia </w:t>
                            </w:r>
                            <w:r w:rsidR="003D2C96">
                              <w:rPr>
                                <w:rFonts w:asciiTheme="minorHAnsi" w:hAnsiTheme="minorHAnsi" w:cstheme="minorHAnsi"/>
                                <w:sz w:val="22"/>
                                <w:szCs w:val="22"/>
                              </w:rPr>
                              <w:t>and</w:t>
                            </w:r>
                            <w:r w:rsidRPr="001E66A5">
                              <w:rPr>
                                <w:rFonts w:asciiTheme="minorHAnsi" w:hAnsiTheme="minorHAnsi" w:cstheme="minorHAnsi"/>
                                <w:sz w:val="22"/>
                                <w:szCs w:val="22"/>
                              </w:rPr>
                              <w:t xml:space="preserve"> Lebanon)</w:t>
                            </w:r>
                          </w:p>
                          <w:p w14:paraId="05C33193" w14:textId="77777777" w:rsidR="006F2F6D" w:rsidRPr="001E66A5" w:rsidRDefault="006F2F6D">
                            <w:pPr>
                              <w:pStyle w:val="ListParagraph"/>
                              <w:numPr>
                                <w:ilvl w:val="0"/>
                                <w:numId w:val="22"/>
                              </w:numPr>
                              <w:contextualSpacing/>
                              <w:rPr>
                                <w:rFonts w:asciiTheme="minorHAnsi" w:hAnsiTheme="minorHAnsi" w:cstheme="minorHAnsi"/>
                                <w:sz w:val="22"/>
                                <w:szCs w:val="22"/>
                              </w:rPr>
                            </w:pPr>
                            <w:r w:rsidRPr="001E66A5">
                              <w:rPr>
                                <w:rFonts w:asciiTheme="minorHAnsi" w:hAnsiTheme="minorHAnsi" w:cstheme="minorHAnsi"/>
                                <w:sz w:val="22"/>
                                <w:szCs w:val="22"/>
                              </w:rPr>
                              <w:t>Inter-regional South</w:t>
                            </w:r>
                            <w:r w:rsidR="003D2C96">
                              <w:rPr>
                                <w:rFonts w:asciiTheme="minorHAnsi" w:hAnsiTheme="minorHAnsi" w:cstheme="minorHAnsi"/>
                                <w:sz w:val="22"/>
                                <w:szCs w:val="22"/>
                              </w:rPr>
                              <w:t>–</w:t>
                            </w:r>
                            <w:r w:rsidRPr="001E66A5">
                              <w:rPr>
                                <w:rFonts w:asciiTheme="minorHAnsi" w:hAnsiTheme="minorHAnsi" w:cstheme="minorHAnsi"/>
                                <w:sz w:val="22"/>
                                <w:szCs w:val="22"/>
                              </w:rPr>
                              <w:t>South exchange visits</w:t>
                            </w:r>
                          </w:p>
                          <w:p w14:paraId="2C517F6A" w14:textId="77777777" w:rsidR="006F2F6D" w:rsidRPr="001E66A5" w:rsidRDefault="006F2F6D">
                            <w:pPr>
                              <w:pStyle w:val="ListParagraph"/>
                              <w:numPr>
                                <w:ilvl w:val="0"/>
                                <w:numId w:val="22"/>
                              </w:numPr>
                              <w:contextualSpacing/>
                              <w:rPr>
                                <w:rFonts w:asciiTheme="minorHAnsi" w:hAnsiTheme="minorHAnsi" w:cstheme="minorHAnsi"/>
                                <w:sz w:val="22"/>
                                <w:szCs w:val="22"/>
                              </w:rPr>
                            </w:pPr>
                            <w:r w:rsidRPr="001E66A5">
                              <w:rPr>
                                <w:rFonts w:asciiTheme="minorHAnsi" w:hAnsiTheme="minorHAnsi" w:cstheme="minorHAnsi"/>
                                <w:sz w:val="22"/>
                                <w:szCs w:val="22"/>
                              </w:rPr>
                              <w:t>Regional learning exchange events</w:t>
                            </w:r>
                          </w:p>
                          <w:p w14:paraId="4D91C306" w14:textId="77777777" w:rsidR="006F2F6D" w:rsidRPr="007C1146" w:rsidRDefault="006F2F6D" w:rsidP="006F2F6D">
                            <w:pPr>
                              <w:contextualSpacing/>
                              <w:rPr>
                                <w:rFonts w:cstheme="minorHAnsi"/>
                              </w:rPr>
                            </w:pPr>
                          </w:p>
                          <w:p w14:paraId="6BF39BE3" w14:textId="77777777" w:rsidR="006F2F6D" w:rsidRPr="004D383C" w:rsidRDefault="006F2F6D" w:rsidP="006F2F6D">
                            <w:pPr>
                              <w:rPr>
                                <w:rFonts w:cstheme="minorHAnsi"/>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8E3AE1F" id="_x0000_s1037" style="position:absolute;left:0;text-align:left;margin-left:269.95pt;margin-top:0;width:196.5pt;height:446pt;z-index:251656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K4RmSAIAANoEAAAOAAAAZHJzL2Uyb0RvYy54bWysVNtu2zAMfR+wfxD0vjgJnKw14hRdug4D&#13;&#10;ugva7QMUXWKhsuhJSuzs60fJjptuBQYMexEkkzyHhxevrrrakIN0XoMt6WwypURaDkLbXUm/f7t9&#13;&#10;c0GJD8wKZsDKkh6lp1fr169WbVPIOVRghHQEQawv2qakVQhNkWWeV7JmfgKNtGhU4GoW8Ol2mXCs&#13;&#10;RfTaZPPpdJm14ETjgEvv8etNb6TrhK+U5OGLUl4GYkqKuYV0unRu45mtV6zYOdZUmg9psH/Iomba&#13;&#10;IukIdcMCI3un/4CqNXfgQYUJhzoDpTSXSQOqmU1/U/NQsUYmLVgc34xl8v8Pln8+PDRfHQndO+iw&#13;&#10;gUmEb+6AP3piYVMxu5PXzkFbSSaQeBZLlrWNL4bQWGpf+AiybT+BwCazfYAE1ClXx6qgToLo2IDj&#13;&#10;WHTZBcLx4zy/XCwWaOJoWyyXObY1cbDiFN44Hz5IqEm8lNTB3op7bG3iYIc7H2JOrDj5RUpj4+nB&#13;&#10;aHGrjUmPOFRyYxw5MBwHxrm0YT5wPfOMWt9bkYYjMG36OzJE1CQ+6h2Uh6ORPeO9VESLqKkv40t8&#13;&#10;+cBnLHrHMIXZjYFD/Z8HmtAXffSNYTIN9xg4/TvjGJFYwYYxuNYW3EsA4nFk7v1P6nvNsfGh23Yo&#13;&#10;uqQXUVj8sgVxxGFw0C8b/hzwUoH7SUmLi1ZS/2PPnKTEfLQ4UJezPI+bmR754u0cH+7csj23MMsR&#13;&#10;qqSBkv66CWmboyYL1zh4SqdpeMpkyBkXKA3JsOxxQ8/fyevpl7T+BQAA//8DAFBLAwQUAAYACAAA&#13;&#10;ACEAO674m98AAAANAQAADwAAAGRycy9kb3ducmV2LnhtbEyPwU7DQAxE70j8w8pI3OiGVECTxqkQ&#13;&#10;0HJELXzANmuS0Kw3ym7S8PeYE1wsjcYezys2s+vURENoPSPcLhJQxJW3LdcIH+/bmxWoEA1b03km&#13;&#10;hG8KsCkvLwqTW3/mPU2HWCsJ4ZAbhCbGPtc6VA05Exa+Jxbv0w/ORJFDre1gzhLuOp0myb12pmX5&#13;&#10;0JienhqqTofRIezf0jqmTtNXcNPrw3b30u/GE+L11fy8lvG4BhVpjn8X8Msg/aGUYkc/sg2qQ7hb&#13;&#10;ZpmsIgiW2NkyFXlEWGVpAros9H+K8gcAAP//AwBQSwECLQAUAAYACAAAACEAtoM4kv4AAADhAQAA&#13;&#10;EwAAAAAAAAAAAAAAAAAAAAAAW0NvbnRlbnRfVHlwZXNdLnhtbFBLAQItABQABgAIAAAAIQA4/SH/&#13;&#10;1gAAAJQBAAALAAAAAAAAAAAAAAAAAC8BAABfcmVscy8ucmVsc1BLAQItABQABgAIAAAAIQCIK4Rm&#13;&#10;SAIAANoEAAAOAAAAAAAAAAAAAAAAAC4CAABkcnMvZTJvRG9jLnhtbFBLAQItABQABgAIAAAAIQA7&#13;&#10;rvib3wAAAA0BAAAPAAAAAAAAAAAAAAAAAKIEAABkcnMvZG93bnJldi54bWxQSwUGAAAAAAQABADz&#13;&#10;AAAArgUAAAAA&#13;&#10;" fillcolor="white [3201]" strokecolor="#e37230 [3205]" strokeweight="1pt">
                <v:stroke joinstyle="miter"/>
                <v:textbox>
                  <w:txbxContent>
                    <w:p w14:paraId="0D540F88" w14:textId="77777777" w:rsidR="006F2F6D" w:rsidRPr="00E555B5" w:rsidRDefault="006F2F6D" w:rsidP="00DD6CEB">
                      <w:pPr>
                        <w:pStyle w:val="Itadboxnumbers"/>
                      </w:pPr>
                      <w:bookmarkStart w:id="54" w:name="_Toc101455564"/>
                      <w:bookmarkStart w:id="55" w:name="_Toc123126134"/>
                      <w:r w:rsidRPr="00E555B5">
                        <w:t>Learning mechanisms</w:t>
                      </w:r>
                      <w:bookmarkEnd w:id="54"/>
                      <w:bookmarkEnd w:id="55"/>
                    </w:p>
                    <w:p w14:paraId="6CE47A18" w14:textId="77777777" w:rsidR="006F2F6D" w:rsidRDefault="006F2F6D" w:rsidP="006F2F6D">
                      <w:pPr>
                        <w:rPr>
                          <w:rFonts w:cstheme="minorHAnsi"/>
                          <w:u w:val="single"/>
                        </w:rPr>
                      </w:pPr>
                    </w:p>
                    <w:p w14:paraId="142CD293" w14:textId="77777777" w:rsidR="006F2F6D" w:rsidRPr="00E555B5" w:rsidRDefault="006F2F6D" w:rsidP="006F2F6D">
                      <w:pPr>
                        <w:rPr>
                          <w:rFonts w:cstheme="minorHAnsi"/>
                          <w:b/>
                          <w:bCs/>
                        </w:rPr>
                      </w:pPr>
                      <w:r w:rsidRPr="00E555B5">
                        <w:rPr>
                          <w:rFonts w:cstheme="minorHAnsi"/>
                          <w:b/>
                          <w:bCs/>
                        </w:rPr>
                        <w:t>Regional programme level</w:t>
                      </w:r>
                    </w:p>
                    <w:p w14:paraId="1696FB97" w14:textId="77777777" w:rsidR="006F2F6D" w:rsidRPr="001E66A5" w:rsidRDefault="006F2F6D">
                      <w:pPr>
                        <w:pStyle w:val="ListParagraph"/>
                        <w:numPr>
                          <w:ilvl w:val="0"/>
                          <w:numId w:val="21"/>
                        </w:numPr>
                        <w:contextualSpacing/>
                        <w:rPr>
                          <w:rFonts w:asciiTheme="minorHAnsi" w:hAnsiTheme="minorHAnsi" w:cstheme="minorHAnsi"/>
                          <w:sz w:val="22"/>
                          <w:szCs w:val="22"/>
                        </w:rPr>
                      </w:pPr>
                      <w:r w:rsidRPr="001E66A5">
                        <w:rPr>
                          <w:rFonts w:asciiTheme="minorHAnsi" w:hAnsiTheme="minorHAnsi" w:cstheme="minorHAnsi"/>
                          <w:sz w:val="22"/>
                          <w:szCs w:val="22"/>
                        </w:rPr>
                        <w:t>Formal external reviews</w:t>
                      </w:r>
                    </w:p>
                    <w:p w14:paraId="393E8D73" w14:textId="77777777" w:rsidR="006F2F6D" w:rsidRPr="001E66A5" w:rsidRDefault="006F2F6D">
                      <w:pPr>
                        <w:pStyle w:val="ListParagraph"/>
                        <w:numPr>
                          <w:ilvl w:val="0"/>
                          <w:numId w:val="21"/>
                        </w:numPr>
                        <w:contextualSpacing/>
                        <w:rPr>
                          <w:rFonts w:asciiTheme="minorHAnsi" w:hAnsiTheme="minorHAnsi" w:cstheme="minorHAnsi"/>
                          <w:sz w:val="22"/>
                          <w:szCs w:val="22"/>
                        </w:rPr>
                      </w:pPr>
                      <w:r w:rsidRPr="001E66A5">
                        <w:rPr>
                          <w:rFonts w:asciiTheme="minorHAnsi" w:hAnsiTheme="minorHAnsi" w:cstheme="minorHAnsi"/>
                          <w:sz w:val="22"/>
                          <w:szCs w:val="22"/>
                        </w:rPr>
                        <w:t>Bi-weekly meetings with the regional and country teams</w:t>
                      </w:r>
                    </w:p>
                    <w:p w14:paraId="2FC53418" w14:textId="77777777" w:rsidR="006F2F6D" w:rsidRPr="001E66A5" w:rsidRDefault="006F2F6D">
                      <w:pPr>
                        <w:pStyle w:val="ListParagraph"/>
                        <w:numPr>
                          <w:ilvl w:val="0"/>
                          <w:numId w:val="21"/>
                        </w:numPr>
                        <w:contextualSpacing/>
                        <w:rPr>
                          <w:rFonts w:asciiTheme="minorHAnsi" w:hAnsiTheme="minorHAnsi" w:cstheme="minorHAnsi"/>
                          <w:sz w:val="22"/>
                          <w:szCs w:val="22"/>
                        </w:rPr>
                      </w:pPr>
                      <w:r w:rsidRPr="001E66A5">
                        <w:rPr>
                          <w:rFonts w:asciiTheme="minorHAnsi" w:hAnsiTheme="minorHAnsi" w:cstheme="minorHAnsi"/>
                          <w:sz w:val="22"/>
                          <w:szCs w:val="22"/>
                        </w:rPr>
                        <w:t>Informal brown bag lunch discussions</w:t>
                      </w:r>
                    </w:p>
                    <w:p w14:paraId="3B6C42DA" w14:textId="77777777" w:rsidR="006F2F6D" w:rsidRPr="001E66A5" w:rsidRDefault="006F2F6D">
                      <w:pPr>
                        <w:pStyle w:val="ListParagraph"/>
                        <w:numPr>
                          <w:ilvl w:val="0"/>
                          <w:numId w:val="21"/>
                        </w:numPr>
                        <w:contextualSpacing/>
                        <w:rPr>
                          <w:rFonts w:asciiTheme="minorHAnsi" w:hAnsiTheme="minorHAnsi" w:cstheme="minorHAnsi"/>
                          <w:sz w:val="22"/>
                          <w:szCs w:val="22"/>
                        </w:rPr>
                      </w:pPr>
                      <w:r w:rsidRPr="001E66A5">
                        <w:rPr>
                          <w:rFonts w:asciiTheme="minorHAnsi" w:hAnsiTheme="minorHAnsi" w:cstheme="minorHAnsi"/>
                          <w:sz w:val="22"/>
                          <w:szCs w:val="22"/>
                        </w:rPr>
                        <w:t>Biannual programme planning sessions</w:t>
                      </w:r>
                    </w:p>
                    <w:p w14:paraId="434D7FA2" w14:textId="77777777" w:rsidR="006F2F6D" w:rsidRPr="001E66A5" w:rsidRDefault="006F2F6D">
                      <w:pPr>
                        <w:pStyle w:val="ListParagraph"/>
                        <w:numPr>
                          <w:ilvl w:val="0"/>
                          <w:numId w:val="21"/>
                        </w:numPr>
                        <w:contextualSpacing/>
                        <w:rPr>
                          <w:rFonts w:asciiTheme="minorHAnsi" w:hAnsiTheme="minorHAnsi" w:cstheme="minorHAnsi"/>
                          <w:sz w:val="22"/>
                          <w:szCs w:val="22"/>
                        </w:rPr>
                      </w:pPr>
                      <w:r w:rsidRPr="001E66A5">
                        <w:rPr>
                          <w:rFonts w:asciiTheme="minorHAnsi" w:hAnsiTheme="minorHAnsi" w:cstheme="minorHAnsi"/>
                          <w:sz w:val="22"/>
                          <w:szCs w:val="22"/>
                        </w:rPr>
                        <w:t>Ad hoc bilateral or thematic meetings</w:t>
                      </w:r>
                      <w:r w:rsidR="003D2C96">
                        <w:rPr>
                          <w:rFonts w:asciiTheme="minorHAnsi" w:hAnsiTheme="minorHAnsi" w:cstheme="minorHAnsi"/>
                          <w:sz w:val="22"/>
                          <w:szCs w:val="22"/>
                        </w:rPr>
                        <w:t>/</w:t>
                      </w:r>
                      <w:r w:rsidRPr="001E66A5">
                        <w:rPr>
                          <w:rFonts w:asciiTheme="minorHAnsi" w:hAnsiTheme="minorHAnsi" w:cstheme="minorHAnsi"/>
                          <w:sz w:val="22"/>
                          <w:szCs w:val="22"/>
                        </w:rPr>
                        <w:t>communications</w:t>
                      </w:r>
                    </w:p>
                    <w:p w14:paraId="0F264CE9" w14:textId="77777777" w:rsidR="006F2F6D" w:rsidRDefault="006F2F6D">
                      <w:pPr>
                        <w:pStyle w:val="ListParagraph"/>
                        <w:numPr>
                          <w:ilvl w:val="0"/>
                          <w:numId w:val="21"/>
                        </w:numPr>
                        <w:contextualSpacing/>
                        <w:rPr>
                          <w:rFonts w:asciiTheme="minorHAnsi" w:hAnsiTheme="minorHAnsi" w:cstheme="minorHAnsi"/>
                          <w:sz w:val="22"/>
                          <w:szCs w:val="22"/>
                        </w:rPr>
                      </w:pPr>
                      <w:r w:rsidRPr="001E66A5">
                        <w:rPr>
                          <w:rFonts w:asciiTheme="minorHAnsi" w:hAnsiTheme="minorHAnsi" w:cstheme="minorHAnsi"/>
                          <w:sz w:val="22"/>
                          <w:szCs w:val="22"/>
                        </w:rPr>
                        <w:t xml:space="preserve">IMAGES &amp; </w:t>
                      </w:r>
                      <w:r>
                        <w:rPr>
                          <w:rFonts w:asciiTheme="minorHAnsi" w:hAnsiTheme="minorHAnsi" w:cstheme="minorHAnsi"/>
                          <w:sz w:val="22"/>
                          <w:szCs w:val="22"/>
                        </w:rPr>
                        <w:t>P</w:t>
                      </w:r>
                      <w:r w:rsidRPr="001E66A5">
                        <w:rPr>
                          <w:rFonts w:asciiTheme="minorHAnsi" w:hAnsiTheme="minorHAnsi" w:cstheme="minorHAnsi"/>
                          <w:sz w:val="22"/>
                          <w:szCs w:val="22"/>
                        </w:rPr>
                        <w:t>rogram P thematic working group meetings</w:t>
                      </w:r>
                    </w:p>
                    <w:p w14:paraId="4B613F11" w14:textId="77777777" w:rsidR="006F2F6D" w:rsidRPr="001E66A5" w:rsidRDefault="006F2F6D" w:rsidP="006F2F6D">
                      <w:pPr>
                        <w:pStyle w:val="ListParagraph"/>
                        <w:ind w:left="360"/>
                        <w:contextualSpacing/>
                        <w:rPr>
                          <w:rFonts w:asciiTheme="minorHAnsi" w:hAnsiTheme="minorHAnsi" w:cstheme="minorHAnsi"/>
                          <w:sz w:val="22"/>
                          <w:szCs w:val="22"/>
                        </w:rPr>
                      </w:pPr>
                    </w:p>
                    <w:p w14:paraId="6CBD4065" w14:textId="77777777" w:rsidR="006F2F6D" w:rsidRPr="00E555B5" w:rsidRDefault="006F2F6D" w:rsidP="006F2F6D">
                      <w:pPr>
                        <w:rPr>
                          <w:rFonts w:asciiTheme="minorHAnsi" w:hAnsiTheme="minorHAnsi" w:cstheme="minorHAnsi"/>
                          <w:b/>
                          <w:bCs/>
                          <w:color w:val="000000"/>
                          <w:shd w:val="clear" w:color="auto" w:fill="FFFFFF"/>
                        </w:rPr>
                      </w:pPr>
                      <w:r w:rsidRPr="00E555B5">
                        <w:rPr>
                          <w:rStyle w:val="normaltextrun"/>
                          <w:rFonts w:asciiTheme="minorHAnsi" w:hAnsiTheme="minorHAnsi" w:cstheme="minorHAnsi"/>
                          <w:b/>
                          <w:bCs/>
                          <w:color w:val="000000"/>
                          <w:shd w:val="clear" w:color="auto" w:fill="FFFFFF"/>
                        </w:rPr>
                        <w:t>Implementing partner level</w:t>
                      </w:r>
                    </w:p>
                    <w:p w14:paraId="335C5F00" w14:textId="77777777" w:rsidR="006F2F6D" w:rsidRPr="001E66A5" w:rsidRDefault="006F2F6D">
                      <w:pPr>
                        <w:pStyle w:val="ListParagraph"/>
                        <w:numPr>
                          <w:ilvl w:val="0"/>
                          <w:numId w:val="22"/>
                        </w:numPr>
                        <w:contextualSpacing/>
                        <w:rPr>
                          <w:rFonts w:asciiTheme="minorHAnsi" w:hAnsiTheme="minorHAnsi" w:cstheme="minorHAnsi"/>
                          <w:sz w:val="22"/>
                          <w:szCs w:val="22"/>
                        </w:rPr>
                      </w:pPr>
                      <w:r w:rsidRPr="001E66A5">
                        <w:rPr>
                          <w:rFonts w:asciiTheme="minorHAnsi" w:hAnsiTheme="minorHAnsi" w:cstheme="minorHAnsi"/>
                          <w:sz w:val="22"/>
                          <w:szCs w:val="22"/>
                        </w:rPr>
                        <w:t>Country programme learning meetings and retreats</w:t>
                      </w:r>
                    </w:p>
                    <w:p w14:paraId="79B543A9" w14:textId="77777777" w:rsidR="006F2F6D" w:rsidRPr="001E66A5" w:rsidRDefault="006F2F6D">
                      <w:pPr>
                        <w:pStyle w:val="ListParagraph"/>
                        <w:numPr>
                          <w:ilvl w:val="0"/>
                          <w:numId w:val="22"/>
                        </w:numPr>
                        <w:contextualSpacing/>
                        <w:rPr>
                          <w:rFonts w:asciiTheme="minorHAnsi" w:hAnsiTheme="minorHAnsi" w:cstheme="minorHAnsi"/>
                          <w:sz w:val="22"/>
                          <w:szCs w:val="22"/>
                        </w:rPr>
                      </w:pPr>
                      <w:r w:rsidRPr="001E66A5">
                        <w:rPr>
                          <w:rFonts w:asciiTheme="minorHAnsi" w:hAnsiTheme="minorHAnsi" w:cstheme="minorHAnsi"/>
                          <w:sz w:val="22"/>
                          <w:szCs w:val="22"/>
                        </w:rPr>
                        <w:t xml:space="preserve">Country programme file-sharing platforms </w:t>
                      </w:r>
                      <w:r w:rsidR="003D2C96">
                        <w:rPr>
                          <w:rFonts w:asciiTheme="minorHAnsi" w:hAnsiTheme="minorHAnsi" w:cstheme="minorHAnsi"/>
                          <w:sz w:val="22"/>
                          <w:szCs w:val="22"/>
                        </w:rPr>
                        <w:t>and</w:t>
                      </w:r>
                      <w:r w:rsidRPr="001E66A5">
                        <w:rPr>
                          <w:rFonts w:asciiTheme="minorHAnsi" w:hAnsiTheme="minorHAnsi" w:cstheme="minorHAnsi"/>
                          <w:sz w:val="22"/>
                          <w:szCs w:val="22"/>
                        </w:rPr>
                        <w:t xml:space="preserve"> Whats</w:t>
                      </w:r>
                      <w:r w:rsidR="003D2C96">
                        <w:rPr>
                          <w:rFonts w:asciiTheme="minorHAnsi" w:hAnsiTheme="minorHAnsi" w:cstheme="minorHAnsi"/>
                          <w:sz w:val="22"/>
                          <w:szCs w:val="22"/>
                        </w:rPr>
                        <w:t>A</w:t>
                      </w:r>
                      <w:r w:rsidRPr="001E66A5">
                        <w:rPr>
                          <w:rFonts w:asciiTheme="minorHAnsi" w:hAnsiTheme="minorHAnsi" w:cstheme="minorHAnsi"/>
                          <w:sz w:val="22"/>
                          <w:szCs w:val="22"/>
                        </w:rPr>
                        <w:t>pp groups (K</w:t>
                      </w:r>
                      <w:r w:rsidR="003D2C96">
                        <w:rPr>
                          <w:rFonts w:asciiTheme="minorHAnsi" w:hAnsiTheme="minorHAnsi" w:cstheme="minorHAnsi"/>
                          <w:sz w:val="22"/>
                          <w:szCs w:val="22"/>
                        </w:rPr>
                        <w:t>afa</w:t>
                      </w:r>
                      <w:r w:rsidRPr="001E66A5">
                        <w:rPr>
                          <w:rFonts w:asciiTheme="minorHAnsi" w:hAnsiTheme="minorHAnsi" w:cstheme="minorHAnsi"/>
                          <w:sz w:val="22"/>
                          <w:szCs w:val="22"/>
                        </w:rPr>
                        <w:t>, Lebanon)</w:t>
                      </w:r>
                    </w:p>
                    <w:p w14:paraId="39F1A13B" w14:textId="77777777" w:rsidR="006F2F6D" w:rsidRPr="001E66A5" w:rsidRDefault="006F2F6D">
                      <w:pPr>
                        <w:pStyle w:val="ListParagraph"/>
                        <w:numPr>
                          <w:ilvl w:val="0"/>
                          <w:numId w:val="22"/>
                        </w:numPr>
                        <w:contextualSpacing/>
                        <w:rPr>
                          <w:rFonts w:asciiTheme="minorHAnsi" w:hAnsiTheme="minorHAnsi" w:cstheme="minorHAnsi"/>
                          <w:sz w:val="22"/>
                          <w:szCs w:val="22"/>
                        </w:rPr>
                      </w:pPr>
                      <w:r w:rsidRPr="001E66A5">
                        <w:rPr>
                          <w:rFonts w:asciiTheme="minorHAnsi" w:hAnsiTheme="minorHAnsi" w:cstheme="minorHAnsi"/>
                          <w:sz w:val="22"/>
                          <w:szCs w:val="22"/>
                        </w:rPr>
                        <w:t xml:space="preserve">Communities of practice or platforms with other organisations (Palestine, Tunisia </w:t>
                      </w:r>
                      <w:r w:rsidR="003D2C96">
                        <w:rPr>
                          <w:rFonts w:asciiTheme="minorHAnsi" w:hAnsiTheme="minorHAnsi" w:cstheme="minorHAnsi"/>
                          <w:sz w:val="22"/>
                          <w:szCs w:val="22"/>
                        </w:rPr>
                        <w:t>and</w:t>
                      </w:r>
                      <w:r w:rsidRPr="001E66A5">
                        <w:rPr>
                          <w:rFonts w:asciiTheme="minorHAnsi" w:hAnsiTheme="minorHAnsi" w:cstheme="minorHAnsi"/>
                          <w:sz w:val="22"/>
                          <w:szCs w:val="22"/>
                        </w:rPr>
                        <w:t xml:space="preserve"> Lebanon)</w:t>
                      </w:r>
                    </w:p>
                    <w:p w14:paraId="05C33193" w14:textId="77777777" w:rsidR="006F2F6D" w:rsidRPr="001E66A5" w:rsidRDefault="006F2F6D">
                      <w:pPr>
                        <w:pStyle w:val="ListParagraph"/>
                        <w:numPr>
                          <w:ilvl w:val="0"/>
                          <w:numId w:val="22"/>
                        </w:numPr>
                        <w:contextualSpacing/>
                        <w:rPr>
                          <w:rFonts w:asciiTheme="minorHAnsi" w:hAnsiTheme="minorHAnsi" w:cstheme="minorHAnsi"/>
                          <w:sz w:val="22"/>
                          <w:szCs w:val="22"/>
                        </w:rPr>
                      </w:pPr>
                      <w:r w:rsidRPr="001E66A5">
                        <w:rPr>
                          <w:rFonts w:asciiTheme="minorHAnsi" w:hAnsiTheme="minorHAnsi" w:cstheme="minorHAnsi"/>
                          <w:sz w:val="22"/>
                          <w:szCs w:val="22"/>
                        </w:rPr>
                        <w:t>Inter-regional South</w:t>
                      </w:r>
                      <w:r w:rsidR="003D2C96">
                        <w:rPr>
                          <w:rFonts w:asciiTheme="minorHAnsi" w:hAnsiTheme="minorHAnsi" w:cstheme="minorHAnsi"/>
                          <w:sz w:val="22"/>
                          <w:szCs w:val="22"/>
                        </w:rPr>
                        <w:t>–</w:t>
                      </w:r>
                      <w:r w:rsidRPr="001E66A5">
                        <w:rPr>
                          <w:rFonts w:asciiTheme="minorHAnsi" w:hAnsiTheme="minorHAnsi" w:cstheme="minorHAnsi"/>
                          <w:sz w:val="22"/>
                          <w:szCs w:val="22"/>
                        </w:rPr>
                        <w:t>South exchange visits</w:t>
                      </w:r>
                    </w:p>
                    <w:p w14:paraId="2C517F6A" w14:textId="77777777" w:rsidR="006F2F6D" w:rsidRPr="001E66A5" w:rsidRDefault="006F2F6D">
                      <w:pPr>
                        <w:pStyle w:val="ListParagraph"/>
                        <w:numPr>
                          <w:ilvl w:val="0"/>
                          <w:numId w:val="22"/>
                        </w:numPr>
                        <w:contextualSpacing/>
                        <w:rPr>
                          <w:rFonts w:asciiTheme="minorHAnsi" w:hAnsiTheme="minorHAnsi" w:cstheme="minorHAnsi"/>
                          <w:sz w:val="22"/>
                          <w:szCs w:val="22"/>
                        </w:rPr>
                      </w:pPr>
                      <w:r w:rsidRPr="001E66A5">
                        <w:rPr>
                          <w:rFonts w:asciiTheme="minorHAnsi" w:hAnsiTheme="minorHAnsi" w:cstheme="minorHAnsi"/>
                          <w:sz w:val="22"/>
                          <w:szCs w:val="22"/>
                        </w:rPr>
                        <w:t>Regional learning exchange events</w:t>
                      </w:r>
                    </w:p>
                    <w:p w14:paraId="4D91C306" w14:textId="77777777" w:rsidR="006F2F6D" w:rsidRPr="007C1146" w:rsidRDefault="006F2F6D" w:rsidP="006F2F6D">
                      <w:pPr>
                        <w:contextualSpacing/>
                        <w:rPr>
                          <w:rFonts w:cstheme="minorHAnsi"/>
                        </w:rPr>
                      </w:pPr>
                    </w:p>
                    <w:p w14:paraId="6BF39BE3" w14:textId="77777777" w:rsidR="006F2F6D" w:rsidRPr="004D383C" w:rsidRDefault="006F2F6D" w:rsidP="006F2F6D">
                      <w:pPr>
                        <w:rPr>
                          <w:rFonts w:cstheme="minorHAnsi"/>
                          <w:u w:val="single"/>
                        </w:rPr>
                      </w:pPr>
                    </w:p>
                  </w:txbxContent>
                </v:textbox>
                <w10:wrap type="square" anchorx="margin"/>
              </v:roundrect>
            </w:pict>
          </mc:Fallback>
        </mc:AlternateContent>
      </w:r>
    </w:p>
    <w:p w14:paraId="32B49C8A" w14:textId="57350FCA" w:rsidR="00F27FA2" w:rsidRPr="006A561F" w:rsidRDefault="6D53E3B0" w:rsidP="00BF5D79">
      <w:pPr>
        <w:pStyle w:val="ItadNormalText"/>
        <w:jc w:val="both"/>
        <w:rPr>
          <w:rStyle w:val="eop"/>
          <w:b/>
          <w:bCs/>
          <w:color w:val="588B46"/>
        </w:rPr>
      </w:pPr>
      <w:r>
        <w:t>For</w:t>
      </w:r>
      <w:r w:rsidR="3774BE70">
        <w:t xml:space="preserve"> a full list of learning mechanisms implemented by the programme</w:t>
      </w:r>
      <w:r>
        <w:t>, see</w:t>
      </w:r>
      <w:r w:rsidR="3774BE70">
        <w:t xml:space="preserve"> </w:t>
      </w:r>
      <w:r>
        <w:t>B</w:t>
      </w:r>
      <w:r w:rsidR="3774BE70">
        <w:t xml:space="preserve">ox </w:t>
      </w:r>
      <w:r w:rsidR="009855D5">
        <w:t>2</w:t>
      </w:r>
      <w:r w:rsidR="3774BE70">
        <w:t>.</w:t>
      </w:r>
    </w:p>
    <w:p w14:paraId="46E07E71" w14:textId="29ABAF4C" w:rsidR="006F2F6D" w:rsidRPr="006A561F" w:rsidRDefault="0743636A" w:rsidP="00BF5D79">
      <w:pPr>
        <w:pStyle w:val="ItadNormalText"/>
        <w:jc w:val="both"/>
      </w:pPr>
      <w:r w:rsidRPr="006A561F">
        <w:t xml:space="preserve">Cross-country learning meetings organised by ROAS were deemed by country-level staff to be useful and constructive without developing </w:t>
      </w:r>
      <w:r w:rsidR="0E85A33A" w:rsidRPr="006A561F">
        <w:t>any feelings</w:t>
      </w:r>
      <w:r w:rsidRPr="006A561F">
        <w:t xml:space="preserve"> of competition between the country programmes</w:t>
      </w:r>
      <w:r w:rsidR="0E85A33A" w:rsidRPr="006A561F">
        <w:t>.</w:t>
      </w:r>
      <w:r w:rsidR="006F2F6D" w:rsidRPr="4977AA67">
        <w:rPr>
          <w:rStyle w:val="FootnoteReference"/>
          <w:rFonts w:cstheme="minorBidi"/>
          <w:sz w:val="22"/>
          <w:szCs w:val="22"/>
        </w:rPr>
        <w:footnoteReference w:id="295"/>
      </w:r>
      <w:r w:rsidRPr="006A561F">
        <w:t xml:space="preserve"> </w:t>
      </w:r>
      <w:r w:rsidR="73D3D7FD" w:rsidRPr="006A561F">
        <w:t>According to the stakeholders consulted, d</w:t>
      </w:r>
      <w:r w:rsidRPr="006A561F">
        <w:t>ialogue between country programmes helped unblock challenges</w:t>
      </w:r>
      <w:r w:rsidR="0E85A33A" w:rsidRPr="006A561F">
        <w:t>;</w:t>
      </w:r>
      <w:r w:rsidRPr="006A561F">
        <w:t xml:space="preserve"> for example, when the Palestine programme was ahead of other countries on the implementation of the fatherhood programme ‘Program P’, the country staff were able to provide specific support to the Morocco Program P implementation</w:t>
      </w:r>
      <w:r w:rsidR="0E85A33A" w:rsidRPr="006A561F">
        <w:t>,</w:t>
      </w:r>
      <w:r w:rsidRPr="006A561F">
        <w:t xml:space="preserve"> where they had an issue with low attendance of fathers</w:t>
      </w:r>
      <w:r w:rsidR="0E85A33A" w:rsidRPr="006A561F">
        <w:t>;</w:t>
      </w:r>
      <w:r w:rsidR="006F2F6D" w:rsidRPr="4977AA67">
        <w:rPr>
          <w:rStyle w:val="FootnoteReference"/>
          <w:rFonts w:cstheme="minorBidi"/>
          <w:sz w:val="22"/>
          <w:szCs w:val="22"/>
        </w:rPr>
        <w:footnoteReference w:id="296"/>
      </w:r>
      <w:r w:rsidRPr="006A561F">
        <w:t xml:space="preserve"> further, Palestine was able to provide advice to the Lebanon country programme on the process and challenges of working on parental leave policy as they already had experience in this area.</w:t>
      </w:r>
    </w:p>
    <w:p w14:paraId="2D5F85E6" w14:textId="77777777" w:rsidR="00F27FA2" w:rsidRPr="006A561F" w:rsidRDefault="0C46233B" w:rsidP="4977AA67">
      <w:pPr>
        <w:pStyle w:val="ItadNormalText"/>
        <w:jc w:val="both"/>
        <w:rPr>
          <w:rFonts w:cstheme="minorBidi"/>
        </w:rPr>
      </w:pPr>
      <w:r w:rsidRPr="006A561F">
        <w:t xml:space="preserve">There </w:t>
      </w:r>
      <w:r w:rsidR="619B91C7" w:rsidRPr="006A561F">
        <w:t>were</w:t>
      </w:r>
      <w:r w:rsidRPr="006A561F">
        <w:t xml:space="preserve"> divergences between the UN Women offices of the MWGE programme regarding the frequency and purpose of meetings to facilitate coordination and rapid learning, which </w:t>
      </w:r>
      <w:r w:rsidR="08BC9CE1" w:rsidRPr="006A561F">
        <w:t>wa</w:t>
      </w:r>
      <w:r w:rsidRPr="006A561F">
        <w:t xml:space="preserve">s not optimal </w:t>
      </w:r>
      <w:r w:rsidR="1DB31CDE" w:rsidRPr="006A561F">
        <w:t>for</w:t>
      </w:r>
      <w:r w:rsidRPr="006A561F">
        <w:t xml:space="preserve"> enabl</w:t>
      </w:r>
      <w:r w:rsidR="1DB31CDE" w:rsidRPr="006A561F">
        <w:t>ing</w:t>
      </w:r>
      <w:r w:rsidRPr="006A561F">
        <w:t xml:space="preserve"> coordination and collective knowledge development</w:t>
      </w:r>
      <w:r w:rsidRPr="076A58FF">
        <w:rPr>
          <w:b/>
          <w:bCs/>
        </w:rPr>
        <w:t xml:space="preserve">. </w:t>
      </w:r>
      <w:r w:rsidRPr="4977AA67">
        <w:rPr>
          <w:rFonts w:cstheme="minorBidi"/>
        </w:rPr>
        <w:t>Bilateral and thematic learning meetings were deemed to be more useful than the bi-weekly meetings</w:t>
      </w:r>
      <w:r w:rsidR="1DB31CDE" w:rsidRPr="4977AA67">
        <w:rPr>
          <w:rFonts w:cstheme="minorBidi"/>
        </w:rPr>
        <w:t>,</w:t>
      </w:r>
      <w:r w:rsidRPr="4977AA67">
        <w:rPr>
          <w:rFonts w:cstheme="minorBidi"/>
        </w:rPr>
        <w:t xml:space="preserve"> which </w:t>
      </w:r>
      <w:r w:rsidR="1DB31CDE" w:rsidRPr="4977AA67">
        <w:rPr>
          <w:rFonts w:cstheme="minorBidi"/>
        </w:rPr>
        <w:t>(</w:t>
      </w:r>
      <w:r w:rsidRPr="4977AA67">
        <w:rPr>
          <w:rFonts w:cstheme="minorBidi"/>
        </w:rPr>
        <w:t>one respondent noted</w:t>
      </w:r>
      <w:r w:rsidR="1DB31CDE" w:rsidRPr="4977AA67">
        <w:rPr>
          <w:rFonts w:cstheme="minorBidi"/>
        </w:rPr>
        <w:t>)</w:t>
      </w:r>
      <w:r w:rsidRPr="4977AA67">
        <w:rPr>
          <w:rFonts w:cstheme="minorBidi"/>
        </w:rPr>
        <w:t xml:space="preserve"> were more useful for ROAS than the country programmes.</w:t>
      </w:r>
      <w:r w:rsidR="006F2F6D" w:rsidRPr="4977AA67">
        <w:rPr>
          <w:rStyle w:val="FootnoteReference"/>
          <w:rFonts w:cstheme="minorBidi"/>
          <w:sz w:val="22"/>
          <w:szCs w:val="22"/>
        </w:rPr>
        <w:footnoteReference w:id="297"/>
      </w:r>
      <w:r w:rsidRPr="4977AA67">
        <w:rPr>
          <w:rFonts w:cstheme="minorBidi"/>
        </w:rPr>
        <w:t xml:space="preserve"> A good example of thematic learning and their value </w:t>
      </w:r>
      <w:r w:rsidR="49E53B5B" w:rsidRPr="4977AA67">
        <w:rPr>
          <w:rFonts w:cstheme="minorBidi"/>
        </w:rPr>
        <w:t>was</w:t>
      </w:r>
      <w:r w:rsidRPr="4977AA67">
        <w:rPr>
          <w:rFonts w:cstheme="minorBidi"/>
        </w:rPr>
        <w:t xml:space="preserve"> seen in the IMAGES working group meetings involving Jordan and Tunisia teams. By coordinating with the country teams that had already completed IMAGES, they were able to improve the questionnaire development process and thereby strengthen data collection quality.</w:t>
      </w:r>
      <w:r w:rsidR="006F2F6D" w:rsidRPr="4977AA67">
        <w:rPr>
          <w:rStyle w:val="FootnoteReference"/>
          <w:rFonts w:cstheme="minorBidi"/>
          <w:sz w:val="22"/>
          <w:szCs w:val="22"/>
        </w:rPr>
        <w:footnoteReference w:id="298"/>
      </w:r>
    </w:p>
    <w:p w14:paraId="44A0A205" w14:textId="77777777" w:rsidR="5722EC59" w:rsidRDefault="5722EC59" w:rsidP="4977AA67">
      <w:pPr>
        <w:pStyle w:val="ItadNormalText"/>
        <w:jc w:val="both"/>
        <w:rPr>
          <w:color w:val="auto"/>
        </w:rPr>
      </w:pPr>
      <w:r w:rsidRPr="4977AA67">
        <w:rPr>
          <w:color w:val="auto"/>
        </w:rPr>
        <w:t>The programme developed a wide range of K</w:t>
      </w:r>
      <w:r w:rsidR="4DE49F43" w:rsidRPr="4977AA67">
        <w:rPr>
          <w:color w:val="auto"/>
        </w:rPr>
        <w:t xml:space="preserve">nowledge </w:t>
      </w:r>
      <w:r w:rsidRPr="4977AA67">
        <w:rPr>
          <w:color w:val="auto"/>
        </w:rPr>
        <w:t>P</w:t>
      </w:r>
      <w:r w:rsidR="4AEA8386" w:rsidRPr="4977AA67">
        <w:rPr>
          <w:color w:val="auto"/>
        </w:rPr>
        <w:t>roduct</w:t>
      </w:r>
      <w:r w:rsidRPr="4977AA67">
        <w:rPr>
          <w:color w:val="auto"/>
        </w:rPr>
        <w:t xml:space="preserve">s as well as communications and outreach products, both at the country and regional level. For the most part, the production of these followed a process of quality assurance and consultation involving both the CO in question as well as ROAS. However, this </w:t>
      </w:r>
      <w:r w:rsidR="74580A1F" w:rsidRPr="4977AA67">
        <w:rPr>
          <w:color w:val="auto"/>
        </w:rPr>
        <w:t xml:space="preserve">was </w:t>
      </w:r>
      <w:r w:rsidRPr="4977AA67">
        <w:rPr>
          <w:color w:val="auto"/>
        </w:rPr>
        <w:t>not always the case, and in some cases, the end products faced criticism from women’s rights organisations for either reinforcing gender stereotypes or overly celebrating small changes undertaken by men, rather than pushing for more transformative change</w:t>
      </w:r>
      <w:r w:rsidR="61FDB409" w:rsidRPr="4977AA67">
        <w:rPr>
          <w:color w:val="auto"/>
        </w:rPr>
        <w:t>s</w:t>
      </w:r>
      <w:r w:rsidRPr="4977AA67">
        <w:rPr>
          <w:color w:val="auto"/>
        </w:rPr>
        <w:t>.</w:t>
      </w:r>
      <w:r w:rsidRPr="4977AA67">
        <w:rPr>
          <w:rStyle w:val="FootnoteReference"/>
          <w:color w:val="auto"/>
        </w:rPr>
        <w:footnoteReference w:id="299"/>
      </w:r>
      <w:r w:rsidRPr="4977AA67">
        <w:rPr>
          <w:color w:val="auto"/>
        </w:rPr>
        <w:t xml:space="preserve">  This highlight</w:t>
      </w:r>
      <w:r w:rsidR="78A3A2B0" w:rsidRPr="4977AA67">
        <w:rPr>
          <w:color w:val="auto"/>
        </w:rPr>
        <w:t>ed</w:t>
      </w:r>
      <w:r w:rsidRPr="4977AA67">
        <w:rPr>
          <w:color w:val="auto"/>
        </w:rPr>
        <w:t xml:space="preserve"> the need to adhere to quality assurance mechanisms, but also highlight</w:t>
      </w:r>
      <w:r w:rsidR="53AA7CB8" w:rsidRPr="4977AA67">
        <w:rPr>
          <w:color w:val="auto"/>
        </w:rPr>
        <w:t>ed</w:t>
      </w:r>
      <w:r w:rsidRPr="4977AA67">
        <w:rPr>
          <w:color w:val="auto"/>
        </w:rPr>
        <w:t xml:space="preserve"> the importance of having local feminist organisations involved in the programme, as for example KAFA in Lebanon, which c</w:t>
      </w:r>
      <w:r w:rsidR="24809501" w:rsidRPr="4977AA67">
        <w:rPr>
          <w:color w:val="auto"/>
        </w:rPr>
        <w:t>ould</w:t>
      </w:r>
      <w:r w:rsidRPr="4977AA67">
        <w:rPr>
          <w:color w:val="auto"/>
        </w:rPr>
        <w:t xml:space="preserve"> act as a sounding board and hold the programme accountable to its core principles.   </w:t>
      </w:r>
    </w:p>
    <w:p w14:paraId="61746F02" w14:textId="77777777" w:rsidR="4977AA67" w:rsidRDefault="4977AA67" w:rsidP="4977AA67">
      <w:pPr>
        <w:pStyle w:val="ItadNormalText"/>
        <w:jc w:val="both"/>
      </w:pPr>
    </w:p>
    <w:p w14:paraId="4AD38DB9" w14:textId="77777777" w:rsidR="006F2F6D" w:rsidRPr="006A561F" w:rsidRDefault="4EAA50EC" w:rsidP="00DD6CEB">
      <w:pPr>
        <w:pStyle w:val="ItadNormalText"/>
        <w:rPr>
          <w:rStyle w:val="eop"/>
          <w:b/>
          <w:bCs/>
        </w:rPr>
      </w:pPr>
      <w:r w:rsidRPr="4977AA67">
        <w:rPr>
          <w:rStyle w:val="eop"/>
          <w:b/>
          <w:bCs/>
          <w:color w:val="588B46" w:themeColor="text2"/>
        </w:rPr>
        <w:lastRenderedPageBreak/>
        <w:t>Finding 9.</w:t>
      </w:r>
      <w:r w:rsidR="358C7ABB" w:rsidRPr="4977AA67">
        <w:rPr>
          <w:rStyle w:val="eop"/>
          <w:b/>
          <w:bCs/>
          <w:color w:val="588B46" w:themeColor="text2"/>
        </w:rPr>
        <w:t>2</w:t>
      </w:r>
      <w:r w:rsidRPr="4977AA67">
        <w:rPr>
          <w:rStyle w:val="eop"/>
          <w:b/>
          <w:bCs/>
          <w:color w:val="588B46" w:themeColor="text2"/>
        </w:rPr>
        <w:t xml:space="preserve">: </w:t>
      </w:r>
      <w:r w:rsidRPr="4977AA67">
        <w:rPr>
          <w:rStyle w:val="eop"/>
          <w:b/>
          <w:bCs/>
        </w:rPr>
        <w:t xml:space="preserve">There </w:t>
      </w:r>
      <w:r w:rsidR="54719CCA" w:rsidRPr="4977AA67">
        <w:rPr>
          <w:rStyle w:val="eop"/>
          <w:b/>
          <w:bCs/>
        </w:rPr>
        <w:t>were</w:t>
      </w:r>
      <w:r w:rsidRPr="4977AA67">
        <w:rPr>
          <w:rStyle w:val="eop"/>
          <w:b/>
          <w:bCs/>
        </w:rPr>
        <w:t xml:space="preserve"> </w:t>
      </w:r>
      <w:r w:rsidR="3862FDA8" w:rsidRPr="4977AA67">
        <w:rPr>
          <w:rStyle w:val="eop"/>
          <w:b/>
          <w:bCs/>
        </w:rPr>
        <w:t xml:space="preserve">limited </w:t>
      </w:r>
      <w:r w:rsidRPr="4977AA67">
        <w:rPr>
          <w:rStyle w:val="eop"/>
          <w:b/>
          <w:bCs/>
        </w:rPr>
        <w:t xml:space="preserve">cross-regional learning. Cross-regional </w:t>
      </w:r>
      <w:r w:rsidR="18C5DC8D" w:rsidRPr="4977AA67">
        <w:rPr>
          <w:rStyle w:val="eop"/>
          <w:b/>
          <w:bCs/>
        </w:rPr>
        <w:t>S</w:t>
      </w:r>
      <w:r w:rsidRPr="4977AA67">
        <w:rPr>
          <w:rStyle w:val="eop"/>
          <w:b/>
          <w:bCs/>
        </w:rPr>
        <w:t>outh</w:t>
      </w:r>
      <w:r w:rsidR="18C5DC8D" w:rsidRPr="4977AA67">
        <w:rPr>
          <w:rStyle w:val="eop"/>
          <w:b/>
          <w:bCs/>
        </w:rPr>
        <w:t>–S</w:t>
      </w:r>
      <w:r w:rsidRPr="4977AA67">
        <w:rPr>
          <w:rStyle w:val="eop"/>
          <w:b/>
          <w:bCs/>
        </w:rPr>
        <w:t>outh exchanges inspired implementing partner CBOs to adapt their projects in line with new learning in Phase I</w:t>
      </w:r>
      <w:r w:rsidR="18C5DC8D" w:rsidRPr="4977AA67">
        <w:rPr>
          <w:rStyle w:val="eop"/>
          <w:b/>
          <w:bCs/>
        </w:rPr>
        <w:t>.</w:t>
      </w:r>
      <w:r w:rsidR="55F80A9C" w:rsidRPr="4977AA67">
        <w:rPr>
          <w:rStyle w:val="eop"/>
          <w:b/>
          <w:bCs/>
        </w:rPr>
        <w:t xml:space="preserve"> </w:t>
      </w:r>
      <w:r w:rsidR="7C861BF8" w:rsidRPr="4977AA67">
        <w:rPr>
          <w:rStyle w:val="eop"/>
          <w:b/>
          <w:bCs/>
        </w:rPr>
        <w:t>I</w:t>
      </w:r>
      <w:r w:rsidRPr="4977AA67">
        <w:rPr>
          <w:rStyle w:val="eop"/>
          <w:b/>
          <w:bCs/>
        </w:rPr>
        <w:t>n Phase II</w:t>
      </w:r>
      <w:r w:rsidR="7C861BF8" w:rsidRPr="4977AA67">
        <w:rPr>
          <w:rStyle w:val="eop"/>
          <w:b/>
          <w:bCs/>
        </w:rPr>
        <w:t xml:space="preserve">, </w:t>
      </w:r>
      <w:r w:rsidR="36BCD9A0" w:rsidRPr="4977AA67">
        <w:rPr>
          <w:rStyle w:val="eop"/>
          <w:b/>
          <w:bCs/>
        </w:rPr>
        <w:t xml:space="preserve">ROAS organised regular </w:t>
      </w:r>
      <w:r w:rsidR="4158FDFB" w:rsidRPr="4977AA67">
        <w:rPr>
          <w:rStyle w:val="eop"/>
          <w:b/>
          <w:bCs/>
        </w:rPr>
        <w:t>exchanges</w:t>
      </w:r>
      <w:r w:rsidR="36BCD9A0" w:rsidRPr="4977AA67">
        <w:rPr>
          <w:rStyle w:val="eop"/>
          <w:b/>
          <w:bCs/>
        </w:rPr>
        <w:t xml:space="preserve"> between COs on IMAGES and Program P</w:t>
      </w:r>
      <w:r w:rsidRPr="4977AA67">
        <w:rPr>
          <w:rStyle w:val="eop"/>
          <w:b/>
          <w:bCs/>
        </w:rPr>
        <w:t>.</w:t>
      </w:r>
    </w:p>
    <w:p w14:paraId="30F0BE8F" w14:textId="77777777" w:rsidR="006F2F6D" w:rsidRPr="006A561F" w:rsidRDefault="0743636A" w:rsidP="00BF5D79">
      <w:pPr>
        <w:pStyle w:val="ItadNormalText"/>
        <w:jc w:val="both"/>
      </w:pPr>
      <w:r w:rsidRPr="006A561F">
        <w:rPr>
          <w:rStyle w:val="eop"/>
          <w:rFonts w:cs="Calibri"/>
        </w:rPr>
        <w:t>South</w:t>
      </w:r>
      <w:r w:rsidR="0E85A33A" w:rsidRPr="006A561F">
        <w:rPr>
          <w:rStyle w:val="eop"/>
          <w:rFonts w:cs="Calibri"/>
        </w:rPr>
        <w:t>–S</w:t>
      </w:r>
      <w:r w:rsidRPr="006A561F">
        <w:rPr>
          <w:rStyle w:val="eop"/>
          <w:rFonts w:cs="Calibri"/>
        </w:rPr>
        <w:t>outh exchanges in Phase I received mixed feedback from attending CBOs.</w:t>
      </w:r>
      <w:r w:rsidR="006F2F6D" w:rsidRPr="0D4BD307">
        <w:rPr>
          <w:rStyle w:val="FootnoteReference"/>
          <w:sz w:val="22"/>
          <w:szCs w:val="22"/>
        </w:rPr>
        <w:footnoteReference w:id="300"/>
      </w:r>
      <w:r w:rsidRPr="4977AA67">
        <w:rPr>
          <w:rStyle w:val="normaltextrun"/>
          <w:rFonts w:cstheme="minorBidi"/>
          <w:color w:val="000000"/>
          <w:shd w:val="clear" w:color="auto" w:fill="FFFFFF"/>
        </w:rPr>
        <w:t xml:space="preserve"> Several implementing CBOs highlighted that they provided valuable learning opportunities and were able to apply the learning to their context and project. </w:t>
      </w:r>
      <w:r w:rsidRPr="006A561F">
        <w:t xml:space="preserve">For example, the CSO </w:t>
      </w:r>
      <w:proofErr w:type="spellStart"/>
      <w:r w:rsidRPr="006A561F">
        <w:t>Abna</w:t>
      </w:r>
      <w:proofErr w:type="spellEnd"/>
      <w:r w:rsidRPr="006A561F">
        <w:t xml:space="preserve"> </w:t>
      </w:r>
      <w:proofErr w:type="spellStart"/>
      <w:r w:rsidRPr="006A561F">
        <w:t>Saidaa</w:t>
      </w:r>
      <w:proofErr w:type="spellEnd"/>
      <w:r w:rsidRPr="006A561F">
        <w:t xml:space="preserve"> in Lebanon learned about how to engage youth in outreach activities and subsequently incorporated this into their Phase II strategy</w:t>
      </w:r>
      <w:r w:rsidR="61D1F4B9" w:rsidRPr="006A561F">
        <w:t>;</w:t>
      </w:r>
      <w:r w:rsidRPr="006A561F">
        <w:t xml:space="preserve"> and CBOs in Lebanon and Palestine provided marriage counselling sessions to newlyweds and engaged couples to raise their awareness on sexual and reproductive health </w:t>
      </w:r>
      <w:r w:rsidR="61D1F4B9" w:rsidRPr="006A561F">
        <w:t>and on</w:t>
      </w:r>
      <w:r w:rsidRPr="006A561F">
        <w:t xml:space="preserve"> positive parenting.</w:t>
      </w:r>
      <w:r w:rsidR="006F2F6D" w:rsidRPr="0D4BD307">
        <w:rPr>
          <w:rStyle w:val="FootnoteReference"/>
          <w:sz w:val="22"/>
          <w:szCs w:val="22"/>
        </w:rPr>
        <w:footnoteReference w:id="301"/>
      </w:r>
      <w:r w:rsidRPr="006A561F">
        <w:t xml:space="preserve"> After each </w:t>
      </w:r>
      <w:r w:rsidR="61D1F4B9" w:rsidRPr="006A561F">
        <w:t>S</w:t>
      </w:r>
      <w:r w:rsidRPr="006A561F">
        <w:t>outh</w:t>
      </w:r>
      <w:r w:rsidR="61D1F4B9" w:rsidRPr="006A561F">
        <w:t>–S</w:t>
      </w:r>
      <w:r w:rsidRPr="006A561F">
        <w:t>outh visit</w:t>
      </w:r>
      <w:r w:rsidR="02171A2E" w:rsidRPr="006A561F">
        <w:t>,</w:t>
      </w:r>
      <w:r w:rsidRPr="006A561F">
        <w:t xml:space="preserve"> implementing partners and UN Women country staff put together an action plan to take forward key learnings.</w:t>
      </w:r>
    </w:p>
    <w:p w14:paraId="1ECB5150" w14:textId="77777777" w:rsidR="006F2F6D" w:rsidRPr="006A561F" w:rsidRDefault="0743636A" w:rsidP="00BF5D79">
      <w:pPr>
        <w:pStyle w:val="ItadNormalText"/>
        <w:jc w:val="both"/>
      </w:pPr>
      <w:r w:rsidRPr="006A561F">
        <w:t>Whil</w:t>
      </w:r>
      <w:r w:rsidR="02171A2E" w:rsidRPr="006A561F">
        <w:t>e</w:t>
      </w:r>
      <w:r w:rsidRPr="006A561F">
        <w:t xml:space="preserve"> respondents found the </w:t>
      </w:r>
      <w:r w:rsidR="02171A2E" w:rsidRPr="006A561F">
        <w:t>S</w:t>
      </w:r>
      <w:r w:rsidRPr="006A561F">
        <w:t>outh</w:t>
      </w:r>
      <w:r w:rsidR="02171A2E" w:rsidRPr="006A561F">
        <w:t>–S</w:t>
      </w:r>
      <w:r w:rsidRPr="006A561F">
        <w:t>outh exchanges useful, there were suggestions that further adaptations could help focus the learning relevance to the country programme contexts.</w:t>
      </w:r>
      <w:r w:rsidR="00DC3C76" w:rsidRPr="006A561F">
        <w:rPr>
          <w:rStyle w:val="FootnoteReference"/>
        </w:rPr>
        <w:footnoteReference w:id="302"/>
      </w:r>
      <w:r w:rsidRPr="006A561F">
        <w:t xml:space="preserve"> The halting of </w:t>
      </w:r>
      <w:r w:rsidR="02171A2E" w:rsidRPr="006A561F">
        <w:t>S</w:t>
      </w:r>
      <w:r w:rsidRPr="006A561F">
        <w:t>outh</w:t>
      </w:r>
      <w:r w:rsidR="02171A2E" w:rsidRPr="006A561F">
        <w:t>–S</w:t>
      </w:r>
      <w:r w:rsidRPr="006A561F">
        <w:t xml:space="preserve">outh exchanges in Phase II due to </w:t>
      </w:r>
      <w:r w:rsidR="02171A2E" w:rsidRPr="006A561F">
        <w:t>the COVID-19 pandemic</w:t>
      </w:r>
      <w:r w:rsidRPr="006A561F">
        <w:t xml:space="preserve"> reduced opportunities for further cross-regional learning.</w:t>
      </w:r>
    </w:p>
    <w:p w14:paraId="78FB29F9" w14:textId="77777777" w:rsidR="006F2F6D" w:rsidRPr="006A561F" w:rsidRDefault="0C46233B" w:rsidP="00BF5D79">
      <w:pPr>
        <w:pStyle w:val="ItadNormalText"/>
        <w:jc w:val="both"/>
      </w:pPr>
      <w:r w:rsidRPr="006A561F">
        <w:t>Other opportunities for cross-regional learning include</w:t>
      </w:r>
      <w:r w:rsidR="148895C3" w:rsidRPr="006A561F">
        <w:t>d</w:t>
      </w:r>
      <w:r w:rsidRPr="006A561F">
        <w:t xml:space="preserve"> the programme’s engagement with regional and international partners and platforms such as the </w:t>
      </w:r>
      <w:proofErr w:type="spellStart"/>
      <w:r w:rsidRPr="006A561F">
        <w:t>HeforShe</w:t>
      </w:r>
      <w:proofErr w:type="spellEnd"/>
      <w:r w:rsidRPr="006A561F">
        <w:t xml:space="preserve"> and </w:t>
      </w:r>
      <w:proofErr w:type="spellStart"/>
      <w:r w:rsidRPr="006A561F">
        <w:t>MenEngage</w:t>
      </w:r>
      <w:proofErr w:type="spellEnd"/>
      <w:r w:rsidRPr="006A561F">
        <w:t xml:space="preserve"> networks, the Regional Accountability Framework to End Child Marriage and the League of Arab States and its subsidiary body</w:t>
      </w:r>
      <w:r w:rsidR="7A2E0E3C" w:rsidRPr="006A561F">
        <w:t>,</w:t>
      </w:r>
      <w:r w:rsidRPr="006A561F">
        <w:t xml:space="preserve"> the Arab Women Organization. There </w:t>
      </w:r>
      <w:r w:rsidR="113E8BD1" w:rsidRPr="006A561F">
        <w:t>were</w:t>
      </w:r>
      <w:r w:rsidRPr="006A561F">
        <w:t xml:space="preserve"> some organising and attendance at international and regional-level events</w:t>
      </w:r>
      <w:r w:rsidR="7A2E0E3C" w:rsidRPr="006A561F">
        <w:t>,</w:t>
      </w:r>
      <w:r w:rsidR="00BA0D64" w:rsidRPr="006A561F">
        <w:rPr>
          <w:rStyle w:val="FootnoteReference"/>
        </w:rPr>
        <w:footnoteReference w:id="303"/>
      </w:r>
      <w:r w:rsidR="0570556A" w:rsidRPr="006A561F" w:rsidDel="00BA0D64">
        <w:t xml:space="preserve"> </w:t>
      </w:r>
      <w:r w:rsidR="7A2E0E3C" w:rsidRPr="006A561F">
        <w:t xml:space="preserve"> but</w:t>
      </w:r>
      <w:r w:rsidRPr="006A561F">
        <w:t xml:space="preserve"> there </w:t>
      </w:r>
      <w:r w:rsidR="6A18E3CF" w:rsidRPr="006A561F">
        <w:t>were</w:t>
      </w:r>
      <w:r w:rsidRPr="006A561F">
        <w:t xml:space="preserve"> no clear outcomes or evidence on how this facilitated cross-regional learning. Regional and international partnerships c</w:t>
      </w:r>
      <w:r w:rsidR="0B3B9B67" w:rsidRPr="006A561F">
        <w:t>ould have been</w:t>
      </w:r>
      <w:r w:rsidRPr="006A561F">
        <w:t xml:space="preserve"> used more strategically</w:t>
      </w:r>
      <w:r w:rsidR="7A2E0E3C" w:rsidRPr="006A561F">
        <w:t>,</w:t>
      </w:r>
      <w:r w:rsidRPr="006A561F">
        <w:t xml:space="preserve"> particularly for regional policy dialogues</w:t>
      </w:r>
      <w:r w:rsidR="7A2E0E3C" w:rsidRPr="006A561F">
        <w:t>,</w:t>
      </w:r>
      <w:r w:rsidRPr="006A561F">
        <w:t xml:space="preserve"> as planned in the MWGE Phase II programme document.</w:t>
      </w:r>
      <w:r w:rsidR="7E6E3AE8">
        <w:t xml:space="preserve"> At the UN Women level, the </w:t>
      </w:r>
      <w:r w:rsidR="530793C3">
        <w:t xml:space="preserve">Regional Offices and the </w:t>
      </w:r>
      <w:r w:rsidR="7E6E3AE8">
        <w:t>He4She</w:t>
      </w:r>
      <w:r w:rsidR="530793C3">
        <w:t xml:space="preserve"> campaign organised a global workshop on developing a corporate strategy </w:t>
      </w:r>
      <w:r w:rsidR="3FAB88A4">
        <w:t xml:space="preserve">on engaging with men and boys, </w:t>
      </w:r>
      <w:r w:rsidR="788E5284">
        <w:t>to which all MWGE national coordinators were nominated.</w:t>
      </w:r>
      <w:r w:rsidR="530793C3">
        <w:t xml:space="preserve"> </w:t>
      </w:r>
    </w:p>
    <w:p w14:paraId="56863356" w14:textId="77777777" w:rsidR="00F27FA2" w:rsidRDefault="0C46233B" w:rsidP="00BF5D79">
      <w:pPr>
        <w:pStyle w:val="ItadNormalText"/>
        <w:jc w:val="both"/>
      </w:pPr>
      <w:r w:rsidRPr="006A561F">
        <w:t xml:space="preserve">There is also potential for unintended cross-regional learning among beneficiaries through the </w:t>
      </w:r>
      <w:proofErr w:type="spellStart"/>
      <w:r w:rsidRPr="006A561F">
        <w:t>Musawah</w:t>
      </w:r>
      <w:proofErr w:type="spellEnd"/>
      <w:r w:rsidRPr="006A561F">
        <w:t xml:space="preserve"> advocacy network and the regional platform on Family Law Reform co-organized by </w:t>
      </w:r>
      <w:proofErr w:type="spellStart"/>
      <w:r w:rsidRPr="006A561F">
        <w:t>Musawah</w:t>
      </w:r>
      <w:proofErr w:type="spellEnd"/>
      <w:r w:rsidRPr="006A561F">
        <w:t>, UN Women, Equality Now and the Jordanian National Council for Women. The network focuses on advocating for policy reform in relation to Islam and gender and works with advocates in the programme countries as well as</w:t>
      </w:r>
      <w:r w:rsidR="798E0E3C" w:rsidRPr="006A561F">
        <w:t xml:space="preserve"> in</w:t>
      </w:r>
      <w:r w:rsidRPr="006A561F">
        <w:t xml:space="preserve"> Iraq, Libya, Saudi </w:t>
      </w:r>
      <w:proofErr w:type="gramStart"/>
      <w:r w:rsidRPr="006A561F">
        <w:t>Arabia</w:t>
      </w:r>
      <w:proofErr w:type="gramEnd"/>
      <w:r w:rsidRPr="006A561F">
        <w:t xml:space="preserve"> and Syria. The network has sown seeds of cross-regional learning through monthly capacity building and learning sessions with advocates and </w:t>
      </w:r>
      <w:r w:rsidR="798E0E3C" w:rsidRPr="006A561F">
        <w:t xml:space="preserve">through </w:t>
      </w:r>
      <w:r w:rsidRPr="006A561F">
        <w:t>forming regional advocacy groups around three thematic areas; EVAW, economic empowerment and child marriage.</w:t>
      </w:r>
      <w:r w:rsidR="006F2F6D" w:rsidRPr="4977AA67">
        <w:rPr>
          <w:rStyle w:val="FootnoteReference"/>
          <w:rFonts w:cstheme="minorBidi"/>
          <w:sz w:val="22"/>
          <w:szCs w:val="22"/>
        </w:rPr>
        <w:footnoteReference w:id="304"/>
      </w:r>
      <w:r w:rsidRPr="006A561F">
        <w:t xml:space="preserve"> The </w:t>
      </w:r>
      <w:proofErr w:type="spellStart"/>
      <w:r w:rsidRPr="006A561F">
        <w:t>Musawah</w:t>
      </w:r>
      <w:proofErr w:type="spellEnd"/>
      <w:r w:rsidRPr="006A561F">
        <w:t xml:space="preserve"> network also involves advocates from the country programme in its Asia</w:t>
      </w:r>
      <w:r w:rsidR="798E0E3C" w:rsidRPr="006A561F">
        <w:t>–</w:t>
      </w:r>
      <w:r w:rsidRPr="006A561F">
        <w:t xml:space="preserve">Pacific advocacy events. One </w:t>
      </w:r>
      <w:proofErr w:type="spellStart"/>
      <w:r w:rsidRPr="006A561F">
        <w:t>Musawah</w:t>
      </w:r>
      <w:proofErr w:type="spellEnd"/>
      <w:r w:rsidRPr="006A561F">
        <w:t xml:space="preserve"> advocate emphasised how useful it was to hear the experiences of others working on Islam and gender in different regional contexts for their advocacy work.</w:t>
      </w:r>
      <w:r w:rsidR="006F2F6D" w:rsidRPr="4977AA67">
        <w:rPr>
          <w:rStyle w:val="FootnoteReference"/>
          <w:rFonts w:cstheme="minorBidi"/>
          <w:sz w:val="22"/>
          <w:szCs w:val="22"/>
        </w:rPr>
        <w:footnoteReference w:id="305"/>
      </w:r>
    </w:p>
    <w:p w14:paraId="756C4A13" w14:textId="77777777" w:rsidR="00E77443" w:rsidRPr="006A561F" w:rsidRDefault="00E77443" w:rsidP="00DD6CEB">
      <w:pPr>
        <w:pStyle w:val="ItadNormalText"/>
        <w:rPr>
          <w:rStyle w:val="eop"/>
          <w:rFonts w:cs="Calibri"/>
        </w:rPr>
      </w:pPr>
    </w:p>
    <w:p w14:paraId="5662A0F4" w14:textId="77777777" w:rsidR="006F2F6D" w:rsidRPr="006A561F" w:rsidRDefault="3774BE70" w:rsidP="4977AA67">
      <w:pPr>
        <w:pStyle w:val="ItadNormalText"/>
        <w:jc w:val="both"/>
        <w:rPr>
          <w:rStyle w:val="eop"/>
          <w:rFonts w:cs="Calibri"/>
          <w:b/>
          <w:bCs/>
          <w:position w:val="1"/>
          <w:bdr w:val="none" w:sz="0" w:space="0" w:color="auto" w:frame="1"/>
        </w:rPr>
      </w:pPr>
      <w:r w:rsidRPr="4977AA67">
        <w:rPr>
          <w:rStyle w:val="normaltextrun"/>
          <w:rFonts w:cs="Calibri"/>
          <w:b/>
          <w:bCs/>
          <w:color w:val="588B46" w:themeColor="text2"/>
          <w:position w:val="1"/>
          <w:bdr w:val="none" w:sz="0" w:space="0" w:color="auto" w:frame="1"/>
        </w:rPr>
        <w:t>Finding 9.</w:t>
      </w:r>
      <w:r w:rsidR="053BD144" w:rsidRPr="4977AA67">
        <w:rPr>
          <w:rStyle w:val="normaltextrun"/>
          <w:rFonts w:cs="Calibri"/>
          <w:b/>
          <w:bCs/>
          <w:color w:val="588B46" w:themeColor="text2"/>
          <w:position w:val="1"/>
          <w:bdr w:val="none" w:sz="0" w:space="0" w:color="auto" w:frame="1"/>
        </w:rPr>
        <w:t>3</w:t>
      </w:r>
      <w:r w:rsidRPr="4977AA67">
        <w:rPr>
          <w:rStyle w:val="normaltextrun"/>
          <w:rFonts w:cs="Calibri"/>
          <w:b/>
          <w:bCs/>
          <w:color w:val="588B46" w:themeColor="text2"/>
          <w:position w:val="1"/>
          <w:bdr w:val="none" w:sz="0" w:space="0" w:color="auto" w:frame="1"/>
        </w:rPr>
        <w:t xml:space="preserve">: </w:t>
      </w:r>
      <w:r w:rsidRPr="006A561F">
        <w:rPr>
          <w:rStyle w:val="normaltextrun"/>
          <w:rFonts w:cs="Calibri"/>
          <w:b/>
          <w:bCs/>
          <w:color w:val="000000"/>
          <w:position w:val="1"/>
          <w:bdr w:val="none" w:sz="0" w:space="0" w:color="auto" w:frame="1"/>
        </w:rPr>
        <w:t xml:space="preserve">Learnings from formal external reviews were systematically fed into Phase II </w:t>
      </w:r>
      <w:r w:rsidR="46C3F207" w:rsidRPr="006A561F">
        <w:rPr>
          <w:rStyle w:val="normaltextrun"/>
          <w:rFonts w:cs="Calibri"/>
          <w:b/>
          <w:bCs/>
          <w:color w:val="000000"/>
          <w:position w:val="1"/>
          <w:bdr w:val="none" w:sz="0" w:space="0" w:color="auto" w:frame="1"/>
        </w:rPr>
        <w:t>–</w:t>
      </w:r>
      <w:r w:rsidRPr="006A561F">
        <w:rPr>
          <w:rStyle w:val="normaltextrun"/>
          <w:rFonts w:cs="Calibri"/>
          <w:b/>
          <w:bCs/>
          <w:color w:val="000000"/>
          <w:position w:val="1"/>
          <w:bdr w:val="none" w:sz="0" w:space="0" w:color="auto" w:frame="1"/>
        </w:rPr>
        <w:t xml:space="preserve"> some more effectively than others.</w:t>
      </w:r>
      <w:r w:rsidR="44AB4C75" w:rsidRPr="006A561F">
        <w:rPr>
          <w:rStyle w:val="normaltextrun"/>
          <w:rFonts w:cs="Calibri"/>
          <w:b/>
          <w:bCs/>
          <w:color w:val="000000"/>
          <w:position w:val="1"/>
          <w:bdr w:val="none" w:sz="0" w:space="0" w:color="auto" w:frame="1"/>
        </w:rPr>
        <w:t xml:space="preserve"> </w:t>
      </w:r>
      <w:r w:rsidR="77BD01D6" w:rsidRPr="4977AA67">
        <w:rPr>
          <w:rStyle w:val="eop"/>
          <w:rFonts w:cs="Calibri"/>
          <w:b/>
          <w:bCs/>
        </w:rPr>
        <w:t xml:space="preserve">Learning from the IMAGES study was built on successfully during Phase II, although some engagement issues and research ethics issues emerged </w:t>
      </w:r>
      <w:proofErr w:type="gramStart"/>
      <w:r w:rsidR="77BD01D6" w:rsidRPr="4977AA67">
        <w:rPr>
          <w:rStyle w:val="eop"/>
          <w:rFonts w:cs="Calibri"/>
          <w:b/>
          <w:bCs/>
        </w:rPr>
        <w:t>as a result of</w:t>
      </w:r>
      <w:proofErr w:type="gramEnd"/>
      <w:r w:rsidR="77BD01D6" w:rsidRPr="4977AA67">
        <w:rPr>
          <w:rStyle w:val="eop"/>
          <w:rFonts w:cs="Calibri"/>
          <w:b/>
          <w:bCs/>
        </w:rPr>
        <w:t xml:space="preserve"> operating in a Covid-19 context.</w:t>
      </w:r>
    </w:p>
    <w:p w14:paraId="20C599C4" w14:textId="77777777" w:rsidR="006F2F6D" w:rsidRPr="006A561F" w:rsidRDefault="3774BE70" w:rsidP="00BF5D79">
      <w:pPr>
        <w:pStyle w:val="ItadNormalText"/>
        <w:jc w:val="both"/>
      </w:pPr>
      <w:r>
        <w:t xml:space="preserve">Several formal learning reviews and evaluations </w:t>
      </w:r>
      <w:r w:rsidR="58F6812E">
        <w:t>were</w:t>
      </w:r>
      <w:r>
        <w:t xml:space="preserve"> conducted by the programme. These </w:t>
      </w:r>
      <w:proofErr w:type="gramStart"/>
      <w:r>
        <w:t>include;</w:t>
      </w:r>
      <w:proofErr w:type="gramEnd"/>
      <w:r>
        <w:t xml:space="preserve"> </w:t>
      </w:r>
    </w:p>
    <w:p w14:paraId="57A8C7F9" w14:textId="77777777" w:rsidR="006F2F6D" w:rsidRPr="006A561F" w:rsidRDefault="0743636A">
      <w:pPr>
        <w:pStyle w:val="ItadNormalText"/>
        <w:numPr>
          <w:ilvl w:val="0"/>
          <w:numId w:val="29"/>
        </w:numPr>
        <w:jc w:val="both"/>
        <w:rPr>
          <w:b/>
        </w:rPr>
      </w:pPr>
      <w:r w:rsidRPr="006A561F">
        <w:t xml:space="preserve">The </w:t>
      </w:r>
      <w:r w:rsidR="6341E04F" w:rsidRPr="006A561F">
        <w:t>MTR</w:t>
      </w:r>
      <w:r w:rsidRPr="006A561F">
        <w:t xml:space="preserve"> at the end of Phase I (2017)</w:t>
      </w:r>
      <w:r w:rsidR="006F2F6D" w:rsidRPr="4977AA67">
        <w:rPr>
          <w:rStyle w:val="FootnoteReference"/>
          <w:rFonts w:cstheme="minorBidi"/>
          <w:sz w:val="22"/>
          <w:szCs w:val="22"/>
        </w:rPr>
        <w:footnoteReference w:id="306"/>
      </w:r>
    </w:p>
    <w:p w14:paraId="010C7826" w14:textId="77777777" w:rsidR="006F2F6D" w:rsidRPr="006A561F" w:rsidRDefault="0743636A">
      <w:pPr>
        <w:pStyle w:val="ItadNormalText"/>
        <w:numPr>
          <w:ilvl w:val="0"/>
          <w:numId w:val="29"/>
        </w:numPr>
        <w:jc w:val="both"/>
        <w:rPr>
          <w:b/>
        </w:rPr>
      </w:pPr>
      <w:r w:rsidRPr="006A561F">
        <w:lastRenderedPageBreak/>
        <w:t>The formative evaluation of the community and national</w:t>
      </w:r>
      <w:r w:rsidR="6341E04F" w:rsidRPr="006A561F">
        <w:t>-</w:t>
      </w:r>
      <w:r w:rsidRPr="006A561F">
        <w:t>level grants (2019)</w:t>
      </w:r>
      <w:r w:rsidR="006F2F6D" w:rsidRPr="4977AA67">
        <w:rPr>
          <w:rStyle w:val="FootnoteReference"/>
          <w:rFonts w:cstheme="minorBidi"/>
          <w:sz w:val="22"/>
          <w:szCs w:val="22"/>
        </w:rPr>
        <w:footnoteReference w:id="307"/>
      </w:r>
    </w:p>
    <w:p w14:paraId="5669F15E" w14:textId="77777777" w:rsidR="006F2F6D" w:rsidRPr="006A561F" w:rsidRDefault="0743636A">
      <w:pPr>
        <w:pStyle w:val="ItadNormalText"/>
        <w:numPr>
          <w:ilvl w:val="0"/>
          <w:numId w:val="29"/>
        </w:numPr>
        <w:jc w:val="both"/>
        <w:rPr>
          <w:b/>
        </w:rPr>
      </w:pPr>
      <w:r w:rsidRPr="006A561F">
        <w:t>Engaging Men and Boys and the regional review (2021)</w:t>
      </w:r>
      <w:r w:rsidR="006F2F6D" w:rsidRPr="4977AA67">
        <w:rPr>
          <w:rStyle w:val="FootnoteReference"/>
          <w:rFonts w:cstheme="minorBidi"/>
          <w:sz w:val="22"/>
          <w:szCs w:val="22"/>
        </w:rPr>
        <w:footnoteReference w:id="308"/>
      </w:r>
      <w:r w:rsidRPr="006A561F">
        <w:t xml:space="preserve"> </w:t>
      </w:r>
    </w:p>
    <w:p w14:paraId="395D7965" w14:textId="77777777" w:rsidR="006F2F6D" w:rsidRPr="006A561F" w:rsidRDefault="006F2F6D">
      <w:pPr>
        <w:pStyle w:val="ItadNormalText"/>
        <w:numPr>
          <w:ilvl w:val="0"/>
          <w:numId w:val="29"/>
        </w:numPr>
        <w:jc w:val="both"/>
        <w:rPr>
          <w:b/>
        </w:rPr>
      </w:pPr>
      <w:r w:rsidRPr="006A561F">
        <w:t>Final evaluation of UN Women</w:t>
      </w:r>
      <w:r w:rsidR="00447819" w:rsidRPr="006A561F">
        <w:t>’</w:t>
      </w:r>
      <w:r w:rsidRPr="006A561F">
        <w:t xml:space="preserve">s regional programme ‘Men and Women for Gender </w:t>
      </w:r>
      <w:r w:rsidR="00447819" w:rsidRPr="006A561F">
        <w:t>E</w:t>
      </w:r>
      <w:r w:rsidRPr="006A561F">
        <w:t xml:space="preserve">quality’ </w:t>
      </w:r>
      <w:r w:rsidR="00447819" w:rsidRPr="006A561F">
        <w:t>–</w:t>
      </w:r>
      <w:r w:rsidRPr="006A561F">
        <w:t xml:space="preserve"> Phase I (2015</w:t>
      </w:r>
      <w:r w:rsidR="00447819" w:rsidRPr="006A561F">
        <w:t>–</w:t>
      </w:r>
      <w:r w:rsidRPr="006A561F">
        <w:t>2019) and Phase II (2019</w:t>
      </w:r>
      <w:r w:rsidR="00447819" w:rsidRPr="006A561F">
        <w:t>–</w:t>
      </w:r>
      <w:r w:rsidRPr="006A561F">
        <w:t xml:space="preserve">2022) – </w:t>
      </w:r>
      <w:r w:rsidR="00447819" w:rsidRPr="006A561F">
        <w:t>t</w:t>
      </w:r>
      <w:r w:rsidRPr="006A561F">
        <w:t>his evaluation.</w:t>
      </w:r>
    </w:p>
    <w:p w14:paraId="5206D941" w14:textId="77777777" w:rsidR="006F2F6D" w:rsidRPr="006A561F" w:rsidRDefault="3774BE70" w:rsidP="00BF5D79">
      <w:pPr>
        <w:pStyle w:val="ItadNormalText"/>
        <w:jc w:val="both"/>
      </w:pPr>
      <w:r>
        <w:t xml:space="preserve">Learnings from Phase I were compiled into the </w:t>
      </w:r>
      <w:r w:rsidR="46C3F207">
        <w:t>MTR</w:t>
      </w:r>
      <w:r>
        <w:t xml:space="preserve"> (2017)</w:t>
      </w:r>
      <w:r w:rsidR="46C3F207">
        <w:t>,</w:t>
      </w:r>
      <w:r>
        <w:t xml:space="preserve"> and shortly after</w:t>
      </w:r>
      <w:r w:rsidR="46C3F207">
        <w:t>wards</w:t>
      </w:r>
      <w:r>
        <w:t xml:space="preserve"> a deep dive </w:t>
      </w:r>
      <w:r w:rsidR="327FED8D">
        <w:t>evaluation</w:t>
      </w:r>
      <w:r>
        <w:t xml:space="preserve"> was conducted on the programme grants (2019). These two reviews were key in feeding learning from Phase I to Phase II. The regional review (2021) was conducted part way through Phase II</w:t>
      </w:r>
      <w:r w:rsidR="46C3F207">
        <w:t>,</w:t>
      </w:r>
      <w:r>
        <w:t xml:space="preserve"> and therefore action </w:t>
      </w:r>
      <w:r w:rsidR="38E683F1">
        <w:t>wa</w:t>
      </w:r>
      <w:r>
        <w:t xml:space="preserve">s yet to be taken on the findings. The regional review and final evaluation learnings </w:t>
      </w:r>
      <w:r w:rsidR="03C30BB4">
        <w:t>are expected to</w:t>
      </w:r>
      <w:r>
        <w:t xml:space="preserve"> guide the final portion of Phase II in 2022 and</w:t>
      </w:r>
      <w:r w:rsidR="46C3F207">
        <w:t xml:space="preserve"> the design of</w:t>
      </w:r>
      <w:r>
        <w:t xml:space="preserve"> Phase III. </w:t>
      </w:r>
    </w:p>
    <w:p w14:paraId="6BC969FA" w14:textId="77777777" w:rsidR="006F2F6D" w:rsidRPr="006A561F" w:rsidRDefault="006F2F6D" w:rsidP="00BF5D79">
      <w:pPr>
        <w:jc w:val="both"/>
      </w:pPr>
      <w:proofErr w:type="gramStart"/>
      <w:r w:rsidRPr="006A561F">
        <w:rPr>
          <w:color w:val="3B3B3C" w:themeColor="text1"/>
        </w:rPr>
        <w:t xml:space="preserve">Following the </w:t>
      </w:r>
      <w:r w:rsidR="00447819" w:rsidRPr="006A561F">
        <w:rPr>
          <w:color w:val="3B3B3C" w:themeColor="text1"/>
        </w:rPr>
        <w:t>MTR</w:t>
      </w:r>
      <w:r w:rsidRPr="006A561F">
        <w:rPr>
          <w:color w:val="3B3B3C" w:themeColor="text1"/>
        </w:rPr>
        <w:t xml:space="preserve"> and evaluation of community and national</w:t>
      </w:r>
      <w:r w:rsidR="00447819" w:rsidRPr="006A561F">
        <w:rPr>
          <w:color w:val="3B3B3C" w:themeColor="text1"/>
        </w:rPr>
        <w:t>-</w:t>
      </w:r>
      <w:r w:rsidRPr="006A561F">
        <w:rPr>
          <w:color w:val="3B3B3C" w:themeColor="text1"/>
        </w:rPr>
        <w:t>level grants</w:t>
      </w:r>
      <w:r w:rsidR="00447819" w:rsidRPr="006A561F">
        <w:rPr>
          <w:color w:val="3B3B3C" w:themeColor="text1"/>
        </w:rPr>
        <w:t>,</w:t>
      </w:r>
      <w:r w:rsidRPr="006A561F">
        <w:rPr>
          <w:color w:val="3B3B3C" w:themeColor="text1"/>
        </w:rPr>
        <w:t xml:space="preserve"> there</w:t>
      </w:r>
      <w:proofErr w:type="gramEnd"/>
      <w:r w:rsidRPr="006A561F">
        <w:rPr>
          <w:color w:val="3B3B3C" w:themeColor="text1"/>
        </w:rPr>
        <w:t xml:space="preserve"> were learning events at country and regional level</w:t>
      </w:r>
      <w:r w:rsidR="00447819" w:rsidRPr="006A561F">
        <w:rPr>
          <w:color w:val="3B3B3C" w:themeColor="text1"/>
        </w:rPr>
        <w:t>s</w:t>
      </w:r>
      <w:r w:rsidRPr="006A561F">
        <w:rPr>
          <w:color w:val="3B3B3C" w:themeColor="text1"/>
        </w:rPr>
        <w:t xml:space="preserve"> to consolidate the findings and generate a management response and action plan going forward. Overarching recommendations from the reviews include:</w:t>
      </w:r>
    </w:p>
    <w:p w14:paraId="28F39415" w14:textId="77777777" w:rsidR="006F2F6D" w:rsidRPr="006A561F" w:rsidRDefault="3774BE70" w:rsidP="4977AA67">
      <w:pPr>
        <w:pStyle w:val="ItadNormalText"/>
        <w:jc w:val="both"/>
        <w:rPr>
          <w:rStyle w:val="eop"/>
          <w:rFonts w:asciiTheme="minorHAnsi" w:eastAsiaTheme="minorEastAsia" w:hAnsiTheme="minorHAnsi" w:cstheme="minorBidi"/>
          <w:b/>
          <w:bCs/>
          <w:i/>
          <w:iCs/>
        </w:rPr>
      </w:pPr>
      <w:r w:rsidRPr="4977AA67">
        <w:rPr>
          <w:rStyle w:val="eop"/>
          <w:rFonts w:asciiTheme="minorHAnsi" w:eastAsiaTheme="minorEastAsia" w:hAnsiTheme="minorHAnsi" w:cstheme="minorBidi"/>
          <w:b/>
          <w:bCs/>
          <w:i/>
          <w:iCs/>
        </w:rPr>
        <w:t>M</w:t>
      </w:r>
      <w:r w:rsidR="3B8E8074" w:rsidRPr="4977AA67">
        <w:rPr>
          <w:rStyle w:val="eop"/>
          <w:rFonts w:asciiTheme="minorHAnsi" w:eastAsiaTheme="minorEastAsia" w:hAnsiTheme="minorHAnsi" w:cstheme="minorBidi"/>
          <w:b/>
          <w:bCs/>
          <w:i/>
          <w:iCs/>
        </w:rPr>
        <w:t>TR</w:t>
      </w:r>
      <w:r w:rsidRPr="4977AA67">
        <w:rPr>
          <w:rStyle w:val="eop"/>
          <w:rFonts w:asciiTheme="minorHAnsi" w:eastAsiaTheme="minorEastAsia" w:hAnsiTheme="minorHAnsi" w:cstheme="minorBidi"/>
          <w:b/>
          <w:bCs/>
          <w:i/>
          <w:iCs/>
        </w:rPr>
        <w:t xml:space="preserve"> (2017)</w:t>
      </w:r>
    </w:p>
    <w:p w14:paraId="2384B1A3" w14:textId="77777777" w:rsidR="006F2F6D" w:rsidRPr="006A561F" w:rsidRDefault="3774BE70" w:rsidP="4977AA67">
      <w:pPr>
        <w:pStyle w:val="ItadNormalText"/>
        <w:numPr>
          <w:ilvl w:val="0"/>
          <w:numId w:val="2"/>
        </w:numPr>
        <w:jc w:val="both"/>
        <w:rPr>
          <w:rStyle w:val="eop"/>
          <w:rFonts w:asciiTheme="minorHAnsi" w:eastAsiaTheme="minorEastAsia" w:hAnsiTheme="minorHAnsi" w:cstheme="minorBidi"/>
        </w:rPr>
      </w:pPr>
      <w:r w:rsidRPr="4977AA67">
        <w:rPr>
          <w:rStyle w:val="normaltextrun"/>
          <w:rFonts w:asciiTheme="minorHAnsi" w:eastAsiaTheme="minorEastAsia" w:hAnsiTheme="minorHAnsi" w:cstheme="minorBidi"/>
          <w:color w:val="000000"/>
          <w:bdr w:val="none" w:sz="0" w:space="0" w:color="auto" w:frame="1"/>
        </w:rPr>
        <w:t xml:space="preserve">Continue to build on CBO capacity development and </w:t>
      </w:r>
      <w:r w:rsidRPr="4977AA67">
        <w:rPr>
          <w:rStyle w:val="eop"/>
          <w:rFonts w:asciiTheme="minorHAnsi" w:eastAsiaTheme="minorEastAsia" w:hAnsiTheme="minorHAnsi" w:cstheme="minorBidi"/>
        </w:rPr>
        <w:t>use these existing relationships to set the foundations for advocacy and campaigning work with CBOs and the community for Phase II</w:t>
      </w:r>
    </w:p>
    <w:p w14:paraId="349F830C" w14:textId="77777777" w:rsidR="006F2F6D" w:rsidRPr="006A561F" w:rsidRDefault="3774BE70" w:rsidP="4977AA67">
      <w:pPr>
        <w:pStyle w:val="ItadNormalText"/>
        <w:numPr>
          <w:ilvl w:val="0"/>
          <w:numId w:val="2"/>
        </w:numPr>
        <w:jc w:val="both"/>
        <w:rPr>
          <w:rStyle w:val="eop"/>
          <w:rFonts w:asciiTheme="minorHAnsi" w:eastAsiaTheme="minorEastAsia" w:hAnsiTheme="minorHAnsi" w:cstheme="minorBidi"/>
        </w:rPr>
      </w:pPr>
      <w:r w:rsidRPr="4977AA67">
        <w:rPr>
          <w:rStyle w:val="eop"/>
          <w:rFonts w:asciiTheme="minorHAnsi" w:eastAsiaTheme="minorEastAsia" w:hAnsiTheme="minorHAnsi" w:cstheme="minorBidi"/>
        </w:rPr>
        <w:t xml:space="preserve">Through the </w:t>
      </w:r>
      <w:proofErr w:type="spellStart"/>
      <w:r w:rsidRPr="4977AA67">
        <w:rPr>
          <w:rStyle w:val="eop"/>
          <w:rFonts w:asciiTheme="minorHAnsi" w:eastAsiaTheme="minorEastAsia" w:hAnsiTheme="minorHAnsi" w:cstheme="minorBidi"/>
        </w:rPr>
        <w:t>Musawah</w:t>
      </w:r>
      <w:proofErr w:type="spellEnd"/>
      <w:r w:rsidRPr="4977AA67">
        <w:rPr>
          <w:rStyle w:val="eop"/>
          <w:rFonts w:asciiTheme="minorHAnsi" w:eastAsiaTheme="minorEastAsia" w:hAnsiTheme="minorHAnsi" w:cstheme="minorBidi"/>
        </w:rPr>
        <w:t xml:space="preserve"> network</w:t>
      </w:r>
      <w:r w:rsidR="3B8E8074" w:rsidRPr="4977AA67">
        <w:rPr>
          <w:rStyle w:val="eop"/>
          <w:rFonts w:asciiTheme="minorHAnsi" w:eastAsiaTheme="minorEastAsia" w:hAnsiTheme="minorHAnsi" w:cstheme="minorBidi"/>
        </w:rPr>
        <w:t>,</w:t>
      </w:r>
      <w:r w:rsidRPr="4977AA67">
        <w:rPr>
          <w:rStyle w:val="eop"/>
          <w:rFonts w:asciiTheme="minorHAnsi" w:eastAsiaTheme="minorEastAsia" w:hAnsiTheme="minorHAnsi" w:cstheme="minorBidi"/>
        </w:rPr>
        <w:t xml:space="preserve"> continue to engage with policymakers, decision makers and activists on Islam and gender equality and justice at country level</w:t>
      </w:r>
    </w:p>
    <w:p w14:paraId="66732C1D" w14:textId="77777777" w:rsidR="006F2F6D" w:rsidRPr="006A561F" w:rsidRDefault="3774BE70" w:rsidP="4977AA67">
      <w:pPr>
        <w:pStyle w:val="ItadNormalText"/>
        <w:numPr>
          <w:ilvl w:val="0"/>
          <w:numId w:val="2"/>
        </w:numPr>
        <w:jc w:val="both"/>
        <w:rPr>
          <w:rStyle w:val="eop"/>
          <w:rFonts w:asciiTheme="minorHAnsi" w:eastAsiaTheme="minorEastAsia" w:hAnsiTheme="minorHAnsi" w:cstheme="minorBidi"/>
        </w:rPr>
      </w:pPr>
      <w:r w:rsidRPr="4977AA67">
        <w:rPr>
          <w:rStyle w:val="eop"/>
          <w:rFonts w:asciiTheme="minorHAnsi" w:eastAsiaTheme="minorEastAsia" w:hAnsiTheme="minorHAnsi" w:cstheme="minorBidi"/>
        </w:rPr>
        <w:t>Ensure sufficient consultations with government counterparts and national and regional stakeholders</w:t>
      </w:r>
      <w:r w:rsidR="3B8E8074" w:rsidRPr="4977AA67">
        <w:rPr>
          <w:rStyle w:val="eop"/>
          <w:rFonts w:asciiTheme="minorHAnsi" w:eastAsiaTheme="minorEastAsia" w:hAnsiTheme="minorHAnsi" w:cstheme="minorBidi"/>
        </w:rPr>
        <w:t>.</w:t>
      </w:r>
    </w:p>
    <w:p w14:paraId="6B703CAF" w14:textId="77777777" w:rsidR="006F2F6D" w:rsidRPr="006A561F" w:rsidRDefault="3774BE70" w:rsidP="4977AA67">
      <w:pPr>
        <w:pStyle w:val="ItadNormalText"/>
        <w:jc w:val="both"/>
        <w:rPr>
          <w:rStyle w:val="eop"/>
          <w:b/>
          <w:bCs/>
          <w:i/>
          <w:iCs/>
        </w:rPr>
      </w:pPr>
      <w:r w:rsidRPr="4977AA67">
        <w:rPr>
          <w:rStyle w:val="eop"/>
          <w:b/>
          <w:bCs/>
          <w:i/>
          <w:iCs/>
        </w:rPr>
        <w:t>Evaluation of community and national</w:t>
      </w:r>
      <w:r w:rsidR="3B8E8074" w:rsidRPr="4977AA67">
        <w:rPr>
          <w:rStyle w:val="eop"/>
          <w:b/>
          <w:bCs/>
          <w:i/>
          <w:iCs/>
        </w:rPr>
        <w:t>-</w:t>
      </w:r>
      <w:r w:rsidRPr="4977AA67">
        <w:rPr>
          <w:rStyle w:val="eop"/>
          <w:b/>
          <w:bCs/>
          <w:i/>
          <w:iCs/>
        </w:rPr>
        <w:t>level grants (2019)</w:t>
      </w:r>
    </w:p>
    <w:p w14:paraId="4BD4F1D8" w14:textId="77777777" w:rsidR="006F2F6D" w:rsidRPr="006A561F" w:rsidRDefault="3774BE70" w:rsidP="4977AA67">
      <w:pPr>
        <w:pStyle w:val="ItadNormalText"/>
        <w:numPr>
          <w:ilvl w:val="0"/>
          <w:numId w:val="1"/>
        </w:numPr>
        <w:jc w:val="both"/>
        <w:rPr>
          <w:rStyle w:val="eop"/>
          <w:rFonts w:asciiTheme="minorHAnsi" w:hAnsiTheme="minorHAnsi" w:cstheme="minorBidi"/>
        </w:rPr>
      </w:pPr>
      <w:r w:rsidRPr="4977AA67">
        <w:rPr>
          <w:rStyle w:val="eop"/>
          <w:rFonts w:asciiTheme="minorHAnsi" w:hAnsiTheme="minorHAnsi" w:cstheme="minorBidi"/>
        </w:rPr>
        <w:t>Engage more segments of the community in the programme</w:t>
      </w:r>
      <w:r w:rsidR="3B8E8074" w:rsidRPr="4977AA67">
        <w:rPr>
          <w:rStyle w:val="eop"/>
          <w:rFonts w:asciiTheme="minorHAnsi" w:hAnsiTheme="minorHAnsi" w:cstheme="minorBidi"/>
        </w:rPr>
        <w:t>,</w:t>
      </w:r>
      <w:r w:rsidRPr="4977AA67">
        <w:rPr>
          <w:rStyle w:val="eop"/>
          <w:rFonts w:asciiTheme="minorHAnsi" w:hAnsiTheme="minorHAnsi" w:cstheme="minorBidi"/>
        </w:rPr>
        <w:t xml:space="preserve"> including the media, </w:t>
      </w:r>
      <w:proofErr w:type="gramStart"/>
      <w:r w:rsidRPr="4977AA67">
        <w:rPr>
          <w:rStyle w:val="eop"/>
          <w:rFonts w:asciiTheme="minorHAnsi" w:hAnsiTheme="minorHAnsi" w:cstheme="minorBidi"/>
        </w:rPr>
        <w:t>schools</w:t>
      </w:r>
      <w:proofErr w:type="gramEnd"/>
      <w:r w:rsidRPr="4977AA67">
        <w:rPr>
          <w:rStyle w:val="eop"/>
          <w:rFonts w:asciiTheme="minorHAnsi" w:hAnsiTheme="minorHAnsi" w:cstheme="minorBidi"/>
        </w:rPr>
        <w:t xml:space="preserve"> and faith leaders</w:t>
      </w:r>
    </w:p>
    <w:p w14:paraId="434ED771" w14:textId="77777777" w:rsidR="006F2F6D" w:rsidRPr="006A561F" w:rsidRDefault="3774BE70" w:rsidP="4977AA67">
      <w:pPr>
        <w:pStyle w:val="ItadNormalText"/>
        <w:numPr>
          <w:ilvl w:val="0"/>
          <w:numId w:val="1"/>
        </w:numPr>
        <w:jc w:val="both"/>
        <w:rPr>
          <w:rStyle w:val="eop"/>
          <w:rFonts w:asciiTheme="minorHAnsi" w:hAnsiTheme="minorHAnsi" w:cstheme="minorBidi"/>
        </w:rPr>
      </w:pPr>
      <w:r w:rsidRPr="4977AA67">
        <w:rPr>
          <w:rStyle w:val="eop"/>
          <w:rFonts w:asciiTheme="minorHAnsi" w:hAnsiTheme="minorHAnsi" w:cstheme="minorBidi"/>
        </w:rPr>
        <w:t>Broaden the human rights framework</w:t>
      </w:r>
      <w:r w:rsidR="3B8E8074" w:rsidRPr="4977AA67">
        <w:rPr>
          <w:rStyle w:val="eop"/>
          <w:rFonts w:asciiTheme="minorHAnsi" w:hAnsiTheme="minorHAnsi" w:cstheme="minorBidi"/>
        </w:rPr>
        <w:t>,</w:t>
      </w:r>
      <w:r w:rsidRPr="4977AA67">
        <w:rPr>
          <w:rStyle w:val="eop"/>
          <w:rFonts w:asciiTheme="minorHAnsi" w:hAnsiTheme="minorHAnsi" w:cstheme="minorBidi"/>
        </w:rPr>
        <w:t xml:space="preserve"> acknowledging multiple forms of discrimination and working more with women’s rights org</w:t>
      </w:r>
      <w:r w:rsidR="3B8E8074" w:rsidRPr="4977AA67">
        <w:rPr>
          <w:rStyle w:val="eop"/>
          <w:rFonts w:asciiTheme="minorHAnsi" w:hAnsiTheme="minorHAnsi" w:cstheme="minorBidi"/>
        </w:rPr>
        <w:t>anisation</w:t>
      </w:r>
      <w:r w:rsidRPr="4977AA67">
        <w:rPr>
          <w:rStyle w:val="eop"/>
          <w:rFonts w:asciiTheme="minorHAnsi" w:hAnsiTheme="minorHAnsi" w:cstheme="minorBidi"/>
        </w:rPr>
        <w:t>s</w:t>
      </w:r>
    </w:p>
    <w:p w14:paraId="42ABDA13" w14:textId="77777777" w:rsidR="006F2F6D" w:rsidRPr="006A561F" w:rsidRDefault="3774BE70" w:rsidP="4977AA67">
      <w:pPr>
        <w:pStyle w:val="ItadNormalText"/>
        <w:numPr>
          <w:ilvl w:val="0"/>
          <w:numId w:val="1"/>
        </w:numPr>
        <w:jc w:val="both"/>
      </w:pPr>
      <w:r w:rsidRPr="4977AA67">
        <w:rPr>
          <w:rStyle w:val="eop"/>
          <w:rFonts w:asciiTheme="minorHAnsi" w:hAnsiTheme="minorHAnsi" w:cstheme="minorBidi"/>
        </w:rPr>
        <w:t>Expand capacity building of partner organisations</w:t>
      </w:r>
      <w:r w:rsidR="3B8E8074" w:rsidRPr="4977AA67">
        <w:rPr>
          <w:rStyle w:val="eop"/>
          <w:rFonts w:asciiTheme="minorHAnsi" w:hAnsiTheme="minorHAnsi" w:cstheme="minorBidi"/>
        </w:rPr>
        <w:t>;</w:t>
      </w:r>
      <w:r w:rsidRPr="4977AA67">
        <w:rPr>
          <w:rStyle w:val="eop"/>
          <w:rFonts w:asciiTheme="minorHAnsi" w:hAnsiTheme="minorHAnsi" w:cstheme="minorBidi"/>
        </w:rPr>
        <w:t xml:space="preserve"> develop grant </w:t>
      </w:r>
      <w:proofErr w:type="spellStart"/>
      <w:r w:rsidRPr="4977AA67">
        <w:rPr>
          <w:rStyle w:val="eop"/>
          <w:rFonts w:asciiTheme="minorHAnsi" w:hAnsiTheme="minorHAnsi" w:cstheme="minorBidi"/>
        </w:rPr>
        <w:t>ToCs</w:t>
      </w:r>
      <w:proofErr w:type="spellEnd"/>
      <w:r w:rsidRPr="4977AA67">
        <w:rPr>
          <w:rStyle w:val="eop"/>
          <w:rFonts w:asciiTheme="minorHAnsi" w:hAnsiTheme="minorHAnsi" w:cstheme="minorBidi"/>
        </w:rPr>
        <w:t xml:space="preserve"> which are linked to programme </w:t>
      </w:r>
      <w:proofErr w:type="spellStart"/>
      <w:r w:rsidRPr="4977AA67">
        <w:rPr>
          <w:rStyle w:val="eop"/>
          <w:rFonts w:asciiTheme="minorHAnsi" w:hAnsiTheme="minorHAnsi" w:cstheme="minorBidi"/>
        </w:rPr>
        <w:t>ToCs</w:t>
      </w:r>
      <w:proofErr w:type="spellEnd"/>
      <w:r w:rsidRPr="4977AA67">
        <w:rPr>
          <w:rStyle w:val="eop"/>
          <w:rFonts w:asciiTheme="minorHAnsi" w:hAnsiTheme="minorHAnsi" w:cstheme="minorBidi"/>
        </w:rPr>
        <w:t xml:space="preserve"> and can better connect community-level and national</w:t>
      </w:r>
      <w:r w:rsidR="3B8E8074" w:rsidRPr="4977AA67">
        <w:rPr>
          <w:rStyle w:val="eop"/>
          <w:rFonts w:asciiTheme="minorHAnsi" w:hAnsiTheme="minorHAnsi" w:cstheme="minorBidi"/>
        </w:rPr>
        <w:t>-</w:t>
      </w:r>
      <w:r w:rsidRPr="4977AA67">
        <w:rPr>
          <w:rStyle w:val="eop"/>
          <w:rFonts w:asciiTheme="minorHAnsi" w:hAnsiTheme="minorHAnsi" w:cstheme="minorBidi"/>
        </w:rPr>
        <w:t>level grants</w:t>
      </w:r>
    </w:p>
    <w:p w14:paraId="55D9E471" w14:textId="77777777" w:rsidR="006F2F6D" w:rsidRPr="006A561F" w:rsidRDefault="3774BE70" w:rsidP="4977AA67">
      <w:pPr>
        <w:pStyle w:val="ItadNormalText"/>
        <w:numPr>
          <w:ilvl w:val="0"/>
          <w:numId w:val="1"/>
        </w:numPr>
        <w:jc w:val="both"/>
        <w:rPr>
          <w:rStyle w:val="eop"/>
          <w:rFonts w:asciiTheme="minorHAnsi" w:hAnsiTheme="minorHAnsi" w:cstheme="minorBidi"/>
        </w:rPr>
      </w:pPr>
      <w:r>
        <w:t>Continue to support and expand non-traditional activities to promote gender equality</w:t>
      </w:r>
      <w:r w:rsidR="3B8E8074">
        <w:t>,</w:t>
      </w:r>
      <w:r>
        <w:t xml:space="preserve"> </w:t>
      </w:r>
      <w:proofErr w:type="gramStart"/>
      <w:r w:rsidR="3B8E8074">
        <w:t>e.g.</w:t>
      </w:r>
      <w:proofErr w:type="gramEnd"/>
      <w:r>
        <w:t xml:space="preserve"> sports. </w:t>
      </w:r>
    </w:p>
    <w:p w14:paraId="231D9F37" w14:textId="77777777" w:rsidR="006F2F6D" w:rsidRPr="006A561F" w:rsidRDefault="0743636A" w:rsidP="002A4159">
      <w:pPr>
        <w:pStyle w:val="ItadNormalText"/>
        <w:jc w:val="both"/>
        <w:rPr>
          <w:rStyle w:val="eop"/>
          <w:rFonts w:ascii="Times New Roman" w:hAnsi="Times New Roman" w:cs="Calibri"/>
          <w:sz w:val="24"/>
          <w:szCs w:val="24"/>
        </w:rPr>
      </w:pPr>
      <w:r w:rsidRPr="006A561F">
        <w:rPr>
          <w:rStyle w:val="eop"/>
          <w:rFonts w:cs="Calibri"/>
        </w:rPr>
        <w:t xml:space="preserve">Most of the above recommendations were </w:t>
      </w:r>
      <w:r w:rsidR="3439284E" w:rsidRPr="006A561F">
        <w:rPr>
          <w:rStyle w:val="eop"/>
          <w:rFonts w:cs="Calibri"/>
        </w:rPr>
        <w:t xml:space="preserve">streamed </w:t>
      </w:r>
      <w:r w:rsidRPr="006A561F">
        <w:rPr>
          <w:rStyle w:val="eop"/>
          <w:rFonts w:cs="Calibri"/>
        </w:rPr>
        <w:t>effectively into the Phase II programming. In Phase II in Lebanon, Palestine, Morocco and Egypt, the CBO and community work built on learnings and recommendations. Capacity building of CBOs continued with a greater focus placed on capacity building for advocacy and campaigns with positive results</w:t>
      </w:r>
      <w:r w:rsidR="3439284E" w:rsidRPr="006A561F">
        <w:rPr>
          <w:rStyle w:val="eop"/>
          <w:rFonts w:cs="Calibri"/>
        </w:rPr>
        <w:t>,</w:t>
      </w:r>
      <w:r w:rsidRPr="006A561F">
        <w:rPr>
          <w:rStyle w:val="eop"/>
          <w:rFonts w:cs="Calibri"/>
        </w:rPr>
        <w:t xml:space="preserve"> </w:t>
      </w:r>
      <w:r w:rsidR="4A94E115" w:rsidRPr="006A561F">
        <w:rPr>
          <w:rStyle w:val="eop"/>
          <w:rFonts w:cs="Calibri"/>
        </w:rPr>
        <w:t>e.g.,</w:t>
      </w:r>
      <w:r w:rsidRPr="006A561F">
        <w:rPr>
          <w:rStyle w:val="eop"/>
          <w:rFonts w:cs="Calibri"/>
        </w:rPr>
        <w:t xml:space="preserve"> progress on paternity leave by-laws in Palestine</w:t>
      </w:r>
      <w:r w:rsidR="006F2F6D" w:rsidRPr="0D4BD307">
        <w:rPr>
          <w:rStyle w:val="FootnoteReference"/>
          <w:rFonts w:cs="Calibri"/>
          <w:sz w:val="22"/>
          <w:szCs w:val="22"/>
        </w:rPr>
        <w:footnoteReference w:id="309"/>
      </w:r>
      <w:r w:rsidRPr="006A561F">
        <w:rPr>
          <w:rStyle w:val="eop"/>
          <w:rFonts w:cs="Calibri"/>
        </w:rPr>
        <w:t xml:space="preserve"> and the passing of the anti-harassment bill in Lebanon.</w:t>
      </w:r>
      <w:r w:rsidR="006F2F6D" w:rsidRPr="0D4BD307">
        <w:rPr>
          <w:rStyle w:val="FootnoteReference"/>
          <w:rFonts w:cs="Calibri"/>
          <w:sz w:val="22"/>
          <w:szCs w:val="22"/>
        </w:rPr>
        <w:footnoteReference w:id="310"/>
      </w:r>
      <w:r w:rsidRPr="006A561F">
        <w:rPr>
          <w:rStyle w:val="eop"/>
          <w:rFonts w:cs="Calibri"/>
        </w:rPr>
        <w:t xml:space="preserve"> Non-traditional activities</w:t>
      </w:r>
      <w:r w:rsidR="67C51D09" w:rsidRPr="006A561F">
        <w:rPr>
          <w:rStyle w:val="eop"/>
          <w:rFonts w:cs="Calibri"/>
        </w:rPr>
        <w:t>,</w:t>
      </w:r>
      <w:r w:rsidRPr="006A561F">
        <w:rPr>
          <w:rStyle w:val="eop"/>
          <w:rFonts w:cs="Calibri"/>
        </w:rPr>
        <w:t xml:space="preserve"> such as sports </w:t>
      </w:r>
      <w:r w:rsidR="75B616E3" w:rsidRPr="006A561F">
        <w:rPr>
          <w:rStyle w:val="eop"/>
          <w:rFonts w:cs="Calibri"/>
        </w:rPr>
        <w:t>and</w:t>
      </w:r>
      <w:r w:rsidRPr="006A561F">
        <w:rPr>
          <w:rStyle w:val="eop"/>
          <w:rFonts w:cs="Calibri"/>
        </w:rPr>
        <w:t xml:space="preserve"> theatre, music, </w:t>
      </w:r>
      <w:proofErr w:type="gramStart"/>
      <w:r w:rsidRPr="006A561F">
        <w:rPr>
          <w:rStyle w:val="eop"/>
          <w:rFonts w:cs="Calibri"/>
        </w:rPr>
        <w:t>painting</w:t>
      </w:r>
      <w:proofErr w:type="gramEnd"/>
      <w:r w:rsidRPr="006A561F">
        <w:rPr>
          <w:rStyle w:val="eop"/>
          <w:rFonts w:cs="Calibri"/>
        </w:rPr>
        <w:t xml:space="preserve"> and other arts</w:t>
      </w:r>
      <w:r w:rsidR="67C51D09" w:rsidRPr="006A561F">
        <w:rPr>
          <w:rStyle w:val="eop"/>
          <w:rFonts w:cs="Calibri"/>
        </w:rPr>
        <w:t>,</w:t>
      </w:r>
      <w:r w:rsidRPr="006A561F">
        <w:rPr>
          <w:rStyle w:val="eop"/>
          <w:rFonts w:cs="Calibri"/>
        </w:rPr>
        <w:t xml:space="preserve"> were further pursued to advance gender equality and were particularly engaging for young people (see social norms case study).</w:t>
      </w:r>
    </w:p>
    <w:p w14:paraId="4271C47E" w14:textId="77777777" w:rsidR="006F2F6D" w:rsidRPr="006A561F" w:rsidRDefault="3774BE70" w:rsidP="002A4159">
      <w:pPr>
        <w:pStyle w:val="ItadNormalText"/>
        <w:jc w:val="both"/>
        <w:rPr>
          <w:rStyle w:val="eop"/>
          <w:rFonts w:cs="Calibri"/>
        </w:rPr>
      </w:pPr>
      <w:r w:rsidRPr="4977AA67">
        <w:rPr>
          <w:rStyle w:val="eop"/>
          <w:rFonts w:cs="Calibri"/>
        </w:rPr>
        <w:t xml:space="preserve">The </w:t>
      </w:r>
      <w:proofErr w:type="spellStart"/>
      <w:r w:rsidRPr="4977AA67">
        <w:rPr>
          <w:rStyle w:val="eop"/>
          <w:rFonts w:cs="Calibri"/>
        </w:rPr>
        <w:t>Musawah</w:t>
      </w:r>
      <w:proofErr w:type="spellEnd"/>
      <w:r w:rsidRPr="4977AA67">
        <w:rPr>
          <w:rStyle w:val="eop"/>
          <w:rFonts w:cs="Calibri"/>
        </w:rPr>
        <w:t xml:space="preserve"> work progressed as suggested in the </w:t>
      </w:r>
      <w:r w:rsidR="681277A6" w:rsidRPr="4977AA67">
        <w:rPr>
          <w:rStyle w:val="eop"/>
          <w:rFonts w:cs="Calibri"/>
        </w:rPr>
        <w:t>MTR,</w:t>
      </w:r>
      <w:r w:rsidRPr="4977AA67">
        <w:rPr>
          <w:rStyle w:val="eop"/>
          <w:rFonts w:cs="Calibri"/>
        </w:rPr>
        <w:t xml:space="preserve"> continuing to influence institutions through the advocacy network, most prominently the Dar-il-</w:t>
      </w:r>
      <w:proofErr w:type="spellStart"/>
      <w:r w:rsidRPr="4977AA67">
        <w:rPr>
          <w:rStyle w:val="eop"/>
          <w:rFonts w:cs="Calibri"/>
        </w:rPr>
        <w:t>iftaa</w:t>
      </w:r>
      <w:proofErr w:type="spellEnd"/>
      <w:r w:rsidRPr="4977AA67">
        <w:rPr>
          <w:rStyle w:val="eop"/>
          <w:rFonts w:cs="Calibri"/>
        </w:rPr>
        <w:t xml:space="preserve"> religious institution in Egypt</w:t>
      </w:r>
      <w:r>
        <w:t xml:space="preserve"> (see Egypt case study). Also, notably in Jordan and Tunisia, consultations with government and national and regional stakeholders were </w:t>
      </w:r>
      <w:r w:rsidR="681277A6">
        <w:t xml:space="preserve">conducted </w:t>
      </w:r>
      <w:r>
        <w:t>more effectively than in Phase I for the IMAGES study</w:t>
      </w:r>
      <w:r w:rsidR="681277A6">
        <w:t>,</w:t>
      </w:r>
      <w:r>
        <w:t xml:space="preserve"> ensuring </w:t>
      </w:r>
      <w:r w:rsidR="681277A6">
        <w:t xml:space="preserve">that </w:t>
      </w:r>
      <w:r>
        <w:t>a variety of stakeholders were engaged from the very beginning to develop buy-in</w:t>
      </w:r>
      <w:r w:rsidR="7217CD8A">
        <w:t>.</w:t>
      </w:r>
    </w:p>
    <w:p w14:paraId="218BE281" w14:textId="77777777" w:rsidR="006F2F6D" w:rsidRPr="006A561F" w:rsidRDefault="0743636A" w:rsidP="002A4159">
      <w:pPr>
        <w:pStyle w:val="ItadNormalText"/>
        <w:jc w:val="both"/>
        <w:rPr>
          <w:rStyle w:val="eop"/>
          <w:rFonts w:cs="Calibri"/>
        </w:rPr>
      </w:pPr>
      <w:r w:rsidRPr="006A561F">
        <w:rPr>
          <w:rStyle w:val="eop"/>
          <w:rFonts w:cs="Calibri"/>
        </w:rPr>
        <w:t xml:space="preserve">Recommendations on engaging more segments of the community (media, </w:t>
      </w:r>
      <w:proofErr w:type="gramStart"/>
      <w:r w:rsidRPr="006A561F">
        <w:rPr>
          <w:rStyle w:val="eop"/>
          <w:rFonts w:cs="Calibri"/>
        </w:rPr>
        <w:t>schools</w:t>
      </w:r>
      <w:proofErr w:type="gramEnd"/>
      <w:r w:rsidRPr="006A561F">
        <w:rPr>
          <w:rStyle w:val="eop"/>
          <w:rFonts w:cs="Calibri"/>
        </w:rPr>
        <w:t xml:space="preserve"> and faith</w:t>
      </w:r>
      <w:r w:rsidR="67C51D09" w:rsidRPr="006A561F">
        <w:rPr>
          <w:rStyle w:val="eop"/>
          <w:rFonts w:cs="Calibri"/>
        </w:rPr>
        <w:t xml:space="preserve"> </w:t>
      </w:r>
      <w:r w:rsidRPr="006A561F">
        <w:rPr>
          <w:rStyle w:val="eop"/>
          <w:rFonts w:cs="Calibri"/>
        </w:rPr>
        <w:t xml:space="preserve">leaders), broadening the human rights framework and engaging with women’s rights organisations had mixed </w:t>
      </w:r>
      <w:r w:rsidRPr="006A561F">
        <w:rPr>
          <w:rStyle w:val="eop"/>
          <w:rFonts w:cs="Calibri"/>
        </w:rPr>
        <w:lastRenderedPageBreak/>
        <w:t>application. The work with media entities and schools gained momentum in Phase II</w:t>
      </w:r>
      <w:r w:rsidR="67C51D09" w:rsidRPr="006A561F">
        <w:rPr>
          <w:rStyle w:val="eop"/>
          <w:rFonts w:cs="Calibri"/>
        </w:rPr>
        <w:t>,</w:t>
      </w:r>
      <w:r w:rsidRPr="006A561F">
        <w:rPr>
          <w:rStyle w:val="eop"/>
          <w:rFonts w:cs="Calibri"/>
        </w:rPr>
        <w:t xml:space="preserve"> with media outlets producing content on fatherhood and GBV in Morocco and Lebanon</w:t>
      </w:r>
      <w:r w:rsidR="006F2F6D" w:rsidRPr="0D4BD307">
        <w:rPr>
          <w:rStyle w:val="FootnoteReference"/>
          <w:rFonts w:cs="Calibri"/>
          <w:sz w:val="22"/>
          <w:szCs w:val="22"/>
        </w:rPr>
        <w:footnoteReference w:id="311"/>
      </w:r>
      <w:r w:rsidRPr="006A561F">
        <w:rPr>
          <w:rStyle w:val="eop"/>
          <w:rFonts w:cs="Calibri"/>
        </w:rPr>
        <w:t xml:space="preserve"> and commitments from media entities in Palestine and Egypt</w:t>
      </w:r>
      <w:r w:rsidR="67C51D09" w:rsidRPr="006A561F">
        <w:rPr>
          <w:rStyle w:val="eop"/>
          <w:rFonts w:cs="Calibri"/>
        </w:rPr>
        <w:t>,</w:t>
      </w:r>
      <w:r w:rsidR="006F2F6D" w:rsidRPr="0D4BD307">
        <w:rPr>
          <w:rStyle w:val="FootnoteReference"/>
          <w:rFonts w:cs="Calibri"/>
          <w:sz w:val="22"/>
          <w:szCs w:val="22"/>
        </w:rPr>
        <w:footnoteReference w:id="312"/>
      </w:r>
      <w:r w:rsidRPr="006A561F">
        <w:rPr>
          <w:rStyle w:val="eop"/>
          <w:rFonts w:cs="Calibri"/>
        </w:rPr>
        <w:t xml:space="preserve"> and </w:t>
      </w:r>
      <w:r w:rsidR="67C51D09" w:rsidRPr="006A561F">
        <w:rPr>
          <w:rStyle w:val="eop"/>
          <w:rFonts w:cs="Calibri"/>
        </w:rPr>
        <w:t xml:space="preserve">with </w:t>
      </w:r>
      <w:r w:rsidRPr="006A561F">
        <w:rPr>
          <w:rStyle w:val="eop"/>
          <w:rFonts w:cs="Calibri"/>
        </w:rPr>
        <w:t>targets for sensiti</w:t>
      </w:r>
      <w:r w:rsidR="67C51D09" w:rsidRPr="006A561F">
        <w:rPr>
          <w:rStyle w:val="eop"/>
          <w:rFonts w:cs="Calibri"/>
        </w:rPr>
        <w:t>s</w:t>
      </w:r>
      <w:r w:rsidRPr="006A561F">
        <w:rPr>
          <w:rStyle w:val="eop"/>
          <w:rFonts w:cs="Calibri"/>
        </w:rPr>
        <w:t>ing school and university curricula surpassed.</w:t>
      </w:r>
      <w:r w:rsidR="006F2F6D" w:rsidRPr="0D4BD307">
        <w:rPr>
          <w:rStyle w:val="FootnoteReference"/>
          <w:rFonts w:cs="Calibri"/>
          <w:sz w:val="22"/>
          <w:szCs w:val="22"/>
        </w:rPr>
        <w:footnoteReference w:id="313"/>
      </w:r>
      <w:r w:rsidRPr="006A561F">
        <w:rPr>
          <w:rStyle w:val="eop"/>
          <w:rFonts w:cs="Calibri"/>
        </w:rPr>
        <w:t xml:space="preserve"> However, approaches to engaging faith-based organisations and religious leaders in Phase II remained discreet and disconnected</w:t>
      </w:r>
      <w:r w:rsidR="67C51D09" w:rsidRPr="006A561F">
        <w:rPr>
          <w:rStyle w:val="eop"/>
          <w:rFonts w:cs="Calibri"/>
        </w:rPr>
        <w:t>,</w:t>
      </w:r>
      <w:r w:rsidRPr="006A561F">
        <w:rPr>
          <w:rStyle w:val="eop"/>
          <w:rFonts w:cs="Calibri"/>
        </w:rPr>
        <w:t xml:space="preserve"> with no traction at an institutional level aside from the work of </w:t>
      </w:r>
      <w:proofErr w:type="spellStart"/>
      <w:r w:rsidRPr="006A561F">
        <w:rPr>
          <w:rStyle w:val="eop"/>
          <w:rFonts w:cs="Calibri"/>
        </w:rPr>
        <w:t>Musawah</w:t>
      </w:r>
      <w:proofErr w:type="spellEnd"/>
      <w:r w:rsidRPr="006A561F">
        <w:rPr>
          <w:rStyle w:val="eop"/>
          <w:rFonts w:cs="Calibri"/>
        </w:rPr>
        <w:t>.</w:t>
      </w:r>
      <w:r w:rsidR="006F2F6D" w:rsidRPr="0D4BD307">
        <w:rPr>
          <w:rStyle w:val="FootnoteReference"/>
          <w:rFonts w:cs="Calibri"/>
          <w:sz w:val="22"/>
          <w:szCs w:val="22"/>
        </w:rPr>
        <w:footnoteReference w:id="314"/>
      </w:r>
    </w:p>
    <w:p w14:paraId="0E7D2258" w14:textId="77777777" w:rsidR="00F27FA2" w:rsidRPr="006A561F" w:rsidRDefault="3774BE70" w:rsidP="00BF5D79">
      <w:pPr>
        <w:pStyle w:val="ItadNormalText"/>
        <w:jc w:val="both"/>
        <w:rPr>
          <w:rStyle w:val="eop"/>
          <w:rFonts w:cs="Calibri"/>
          <w:b/>
          <w:bCs/>
          <w:color w:val="3FB84E" w:themeColor="accent3"/>
        </w:rPr>
      </w:pPr>
      <w:r w:rsidRPr="4977AA67">
        <w:rPr>
          <w:rStyle w:val="eop"/>
          <w:rFonts w:cs="Calibri"/>
        </w:rPr>
        <w:t xml:space="preserve">Efforts to broaden the human rights framework </w:t>
      </w:r>
      <w:r w:rsidR="1582C0ED" w:rsidRPr="4977AA67">
        <w:rPr>
          <w:rStyle w:val="eop"/>
          <w:rFonts w:cs="Calibri"/>
        </w:rPr>
        <w:t>were</w:t>
      </w:r>
      <w:r w:rsidRPr="4977AA67">
        <w:rPr>
          <w:rStyle w:val="eop"/>
          <w:rFonts w:cs="Calibri"/>
        </w:rPr>
        <w:t xml:space="preserve"> seen in Phase II IMAGES in Jordan and Tunisia</w:t>
      </w:r>
      <w:r w:rsidR="681277A6" w:rsidRPr="4977AA67">
        <w:rPr>
          <w:rStyle w:val="eop"/>
          <w:rFonts w:cs="Calibri"/>
        </w:rPr>
        <w:t>,</w:t>
      </w:r>
      <w:r w:rsidRPr="4977AA67">
        <w:rPr>
          <w:rStyle w:val="eop"/>
          <w:rFonts w:cs="Calibri"/>
        </w:rPr>
        <w:t xml:space="preserve"> which incorporated voices of persons with disabilities, refugees and LGBTIQ+</w:t>
      </w:r>
      <w:r w:rsidR="681277A6" w:rsidRPr="4977AA67">
        <w:rPr>
          <w:rStyle w:val="eop"/>
          <w:rFonts w:cs="Calibri"/>
        </w:rPr>
        <w:t>.</w:t>
      </w:r>
      <w:r w:rsidRPr="4977AA67">
        <w:rPr>
          <w:rStyle w:val="eop"/>
          <w:rFonts w:cs="Calibri"/>
        </w:rPr>
        <w:t xml:space="preserve"> </w:t>
      </w:r>
      <w:r w:rsidR="681277A6" w:rsidRPr="4977AA67">
        <w:rPr>
          <w:rStyle w:val="eop"/>
          <w:rFonts w:cs="Calibri"/>
        </w:rPr>
        <w:t>However,</w:t>
      </w:r>
      <w:r w:rsidRPr="4977AA67">
        <w:rPr>
          <w:rStyle w:val="eop"/>
          <w:rFonts w:cs="Calibri"/>
        </w:rPr>
        <w:t xml:space="preserve"> other country programmes </w:t>
      </w:r>
      <w:r w:rsidR="50517089" w:rsidRPr="4977AA67">
        <w:rPr>
          <w:rStyle w:val="eop"/>
          <w:rFonts w:cs="Calibri"/>
        </w:rPr>
        <w:t>did</w:t>
      </w:r>
      <w:r w:rsidRPr="4977AA67">
        <w:rPr>
          <w:rStyle w:val="eop"/>
          <w:rFonts w:cs="Calibri"/>
        </w:rPr>
        <w:t xml:space="preserve"> not consistently </w:t>
      </w:r>
      <w:r w:rsidR="6F351D83" w:rsidRPr="4977AA67">
        <w:rPr>
          <w:rStyle w:val="eop"/>
          <w:rFonts w:cs="Calibri"/>
        </w:rPr>
        <w:t>consider</w:t>
      </w:r>
      <w:r w:rsidRPr="4977AA67">
        <w:rPr>
          <w:rStyle w:val="eop"/>
          <w:rFonts w:cs="Calibri"/>
        </w:rPr>
        <w:t xml:space="preserve"> such intersections of discrimination in the programming (see EQ 7). Also, whil</w:t>
      </w:r>
      <w:r w:rsidR="681277A6" w:rsidRPr="4977AA67">
        <w:rPr>
          <w:rStyle w:val="eop"/>
          <w:rFonts w:cs="Calibri"/>
        </w:rPr>
        <w:t>e</w:t>
      </w:r>
      <w:r w:rsidRPr="4977AA67">
        <w:rPr>
          <w:rStyle w:val="eop"/>
          <w:rFonts w:cs="Calibri"/>
        </w:rPr>
        <w:t xml:space="preserve"> there </w:t>
      </w:r>
      <w:r w:rsidR="5D7A7AD6" w:rsidRPr="4977AA67">
        <w:rPr>
          <w:rStyle w:val="eop"/>
          <w:rFonts w:cs="Calibri"/>
        </w:rPr>
        <w:t>were</w:t>
      </w:r>
      <w:r w:rsidRPr="4977AA67">
        <w:rPr>
          <w:rStyle w:val="eop"/>
          <w:rFonts w:cs="Calibri"/>
        </w:rPr>
        <w:t xml:space="preserve"> clear efforts to further incorporate women’s organisations and feminist voices in consultation in Phase II, more c</w:t>
      </w:r>
      <w:r w:rsidR="7EE15EC5" w:rsidRPr="4977AA67">
        <w:rPr>
          <w:rStyle w:val="eop"/>
          <w:rFonts w:cs="Calibri"/>
        </w:rPr>
        <w:t>ould have been</w:t>
      </w:r>
      <w:r w:rsidRPr="4977AA67">
        <w:rPr>
          <w:rStyle w:val="eop"/>
          <w:rFonts w:cs="Calibri"/>
        </w:rPr>
        <w:t xml:space="preserve"> done to partner with these organisations</w:t>
      </w:r>
      <w:r w:rsidR="681277A6" w:rsidRPr="4977AA67">
        <w:rPr>
          <w:rStyle w:val="eop"/>
          <w:rFonts w:cs="Calibri"/>
        </w:rPr>
        <w:t xml:space="preserve"> –</w:t>
      </w:r>
      <w:r w:rsidRPr="4977AA67">
        <w:rPr>
          <w:rStyle w:val="eop"/>
          <w:rFonts w:cs="Calibri"/>
        </w:rPr>
        <w:t xml:space="preserve"> as showcased in Lebanon</w:t>
      </w:r>
      <w:r w:rsidR="681277A6" w:rsidRPr="4977AA67">
        <w:rPr>
          <w:rStyle w:val="eop"/>
          <w:rFonts w:cs="Calibri"/>
        </w:rPr>
        <w:t>,</w:t>
      </w:r>
      <w:r w:rsidRPr="4977AA67">
        <w:rPr>
          <w:rStyle w:val="eop"/>
          <w:rFonts w:cs="Calibri"/>
        </w:rPr>
        <w:t xml:space="preserve"> where the umbrella organisation elected in Phase II was a key feminist body. These recommendations should be rolled over and reconsidered for Phase III.</w:t>
      </w:r>
    </w:p>
    <w:p w14:paraId="719B3546" w14:textId="77777777" w:rsidR="006F2F6D" w:rsidRPr="006A561F" w:rsidRDefault="0743636A" w:rsidP="00BF5D79">
      <w:pPr>
        <w:pStyle w:val="ItadNormalText"/>
        <w:jc w:val="both"/>
      </w:pPr>
      <w:r w:rsidRPr="006A561F">
        <w:t xml:space="preserve">The Phase II studies built on and improved on the process from Phase I. Phase I IMAGES produced high-quality, well utilised research data, but respondents noted </w:t>
      </w:r>
      <w:r w:rsidR="67C51D09" w:rsidRPr="006A561F">
        <w:t xml:space="preserve">that </w:t>
      </w:r>
      <w:r w:rsidRPr="006A561F">
        <w:t>improvements could be made to better develop national ownership of the research and</w:t>
      </w:r>
      <w:r w:rsidR="67C51D09" w:rsidRPr="006A561F">
        <w:t>,</w:t>
      </w:r>
      <w:r w:rsidRPr="006A561F">
        <w:t xml:space="preserve"> more meaningfully</w:t>
      </w:r>
      <w:r w:rsidR="67C51D09" w:rsidRPr="006A561F">
        <w:t>,</w:t>
      </w:r>
      <w:r w:rsidRPr="006A561F">
        <w:t xml:space="preserve"> involve voices of varied actors.</w:t>
      </w:r>
      <w:r w:rsidR="006F2F6D" w:rsidRPr="4977AA67">
        <w:rPr>
          <w:rStyle w:val="FootnoteReference"/>
          <w:rFonts w:cstheme="minorBidi"/>
          <w:sz w:val="22"/>
          <w:szCs w:val="22"/>
        </w:rPr>
        <w:footnoteReference w:id="315"/>
      </w:r>
      <w:r w:rsidRPr="006A561F">
        <w:t xml:space="preserve"> Important components of the knowledge production process for IMAGES that were improved on for Phase II include</w:t>
      </w:r>
      <w:r w:rsidR="57D0D687" w:rsidRPr="006A561F">
        <w:t>d</w:t>
      </w:r>
      <w:r w:rsidR="67C51D09" w:rsidRPr="006A561F">
        <w:t xml:space="preserve"> the following</w:t>
      </w:r>
      <w:r w:rsidRPr="006A561F">
        <w:t>:</w:t>
      </w:r>
    </w:p>
    <w:p w14:paraId="6A57BE2E" w14:textId="77777777" w:rsidR="006F2F6D" w:rsidRPr="006A561F" w:rsidRDefault="0743636A">
      <w:pPr>
        <w:pStyle w:val="ItadNormalText"/>
        <w:numPr>
          <w:ilvl w:val="0"/>
          <w:numId w:val="30"/>
        </w:numPr>
        <w:jc w:val="both"/>
      </w:pPr>
      <w:r w:rsidRPr="0D4BD307">
        <w:rPr>
          <w:b/>
          <w:bCs/>
        </w:rPr>
        <w:t>The process overseen by a</w:t>
      </w:r>
      <w:r w:rsidR="241125D1" w:rsidRPr="0D4BD307">
        <w:rPr>
          <w:b/>
          <w:bCs/>
        </w:rPr>
        <w:t>n SCG</w:t>
      </w:r>
      <w:r w:rsidRPr="0D4BD307">
        <w:rPr>
          <w:b/>
          <w:bCs/>
        </w:rPr>
        <w:t xml:space="preserve"> </w:t>
      </w:r>
      <w:r w:rsidRPr="4977AA67">
        <w:rPr>
          <w:i/>
          <w:iCs/>
        </w:rPr>
        <w:t>(Phase I and Phase II)</w:t>
      </w:r>
      <w:r w:rsidRPr="006A561F">
        <w:t xml:space="preserve"> in each country</w:t>
      </w:r>
      <w:r w:rsidR="67C51D09" w:rsidRPr="006A561F">
        <w:t>,</w:t>
      </w:r>
      <w:r w:rsidRPr="006A561F">
        <w:t xml:space="preserve"> which consist</w:t>
      </w:r>
      <w:r w:rsidR="777D3008" w:rsidRPr="006A561F">
        <w:t>ed</w:t>
      </w:r>
      <w:r w:rsidRPr="006A561F">
        <w:t xml:space="preserve"> of UN Women, the national research organisations, government stakeholders and key women and feminist organisations. This </w:t>
      </w:r>
      <w:r w:rsidR="47176DD7" w:rsidRPr="006A561F">
        <w:t>wa</w:t>
      </w:r>
      <w:r w:rsidRPr="006A561F">
        <w:t>s to ensure a level of consultation and</w:t>
      </w:r>
      <w:r w:rsidR="67C51D09" w:rsidRPr="006A561F">
        <w:t xml:space="preserve"> to</w:t>
      </w:r>
      <w:r w:rsidRPr="006A561F">
        <w:t xml:space="preserve"> foster national ownership at different levels</w:t>
      </w:r>
      <w:r w:rsidR="67C51D09" w:rsidRPr="006A561F">
        <w:t>,</w:t>
      </w:r>
      <w:r w:rsidRPr="006A561F">
        <w:t xml:space="preserve"> as well as </w:t>
      </w:r>
      <w:r w:rsidR="67C51D09" w:rsidRPr="006A561F">
        <w:t xml:space="preserve">to </w:t>
      </w:r>
      <w:r w:rsidRPr="006A561F">
        <w:t>encourag</w:t>
      </w:r>
      <w:r w:rsidR="67C51D09" w:rsidRPr="006A561F">
        <w:t>e</w:t>
      </w:r>
      <w:r w:rsidRPr="006A561F">
        <w:t xml:space="preserve"> relationship development between stakeholders.</w:t>
      </w:r>
      <w:r w:rsidR="006F2F6D" w:rsidRPr="4977AA67">
        <w:rPr>
          <w:rStyle w:val="FootnoteReference"/>
          <w:rFonts w:cstheme="minorBidi"/>
          <w:sz w:val="22"/>
          <w:szCs w:val="22"/>
        </w:rPr>
        <w:footnoteReference w:id="316"/>
      </w:r>
      <w:r w:rsidRPr="0D4BD307">
        <w:rPr>
          <w:b/>
          <w:bCs/>
        </w:rPr>
        <w:t xml:space="preserve"> </w:t>
      </w:r>
      <w:r w:rsidRPr="006A561F">
        <w:t>In Phase I, the group were not involved at an early enough stage or as engaged as in Phase II</w:t>
      </w:r>
      <w:r w:rsidR="67C51D09" w:rsidRPr="006A561F">
        <w:t>,</w:t>
      </w:r>
      <w:r w:rsidRPr="006A561F">
        <w:t xml:space="preserve"> which impacted ownership</w:t>
      </w:r>
      <w:r w:rsidR="67C51D09" w:rsidRPr="006A561F">
        <w:t>.</w:t>
      </w:r>
      <w:r w:rsidR="006F2F6D" w:rsidRPr="4977AA67">
        <w:rPr>
          <w:rStyle w:val="FootnoteReference"/>
          <w:rFonts w:cstheme="minorBidi"/>
          <w:sz w:val="22"/>
          <w:szCs w:val="22"/>
        </w:rPr>
        <w:footnoteReference w:id="317"/>
      </w:r>
    </w:p>
    <w:p w14:paraId="4327DF60" w14:textId="77777777" w:rsidR="006F2F6D" w:rsidRPr="006A561F" w:rsidRDefault="0743636A">
      <w:pPr>
        <w:pStyle w:val="ItadNormalText"/>
        <w:numPr>
          <w:ilvl w:val="0"/>
          <w:numId w:val="30"/>
        </w:numPr>
        <w:jc w:val="both"/>
      </w:pPr>
      <w:r w:rsidRPr="0D4BD307">
        <w:rPr>
          <w:b/>
          <w:bCs/>
        </w:rPr>
        <w:t>The</w:t>
      </w:r>
      <w:r w:rsidRPr="006A561F">
        <w:t xml:space="preserve"> </w:t>
      </w:r>
      <w:r w:rsidRPr="0D4BD307">
        <w:rPr>
          <w:b/>
          <w:bCs/>
        </w:rPr>
        <w:t xml:space="preserve">strategic use of the regional partner </w:t>
      </w:r>
      <w:proofErr w:type="spellStart"/>
      <w:r w:rsidRPr="0D4BD307">
        <w:rPr>
          <w:b/>
          <w:bCs/>
        </w:rPr>
        <w:t>Promundo</w:t>
      </w:r>
      <w:proofErr w:type="spellEnd"/>
      <w:r w:rsidRPr="006A561F">
        <w:t xml:space="preserve"> </w:t>
      </w:r>
      <w:r w:rsidRPr="4977AA67">
        <w:rPr>
          <w:i/>
          <w:iCs/>
        </w:rPr>
        <w:t xml:space="preserve">(Phase II). </w:t>
      </w:r>
      <w:r w:rsidRPr="006A561F">
        <w:t xml:space="preserve">In Phase II, </w:t>
      </w:r>
      <w:proofErr w:type="spellStart"/>
      <w:r w:rsidRPr="006A561F">
        <w:t>Promundo</w:t>
      </w:r>
      <w:proofErr w:type="spellEnd"/>
      <w:r w:rsidRPr="006A561F">
        <w:t xml:space="preserve"> provided technical expertise and support but did not lead on local partner relationships as</w:t>
      </w:r>
      <w:r w:rsidR="67C51D09" w:rsidRPr="006A561F">
        <w:t xml:space="preserve"> they did</w:t>
      </w:r>
      <w:r w:rsidRPr="006A561F">
        <w:t xml:space="preserve"> in Phase I. UN Women directly contracted local researchers in Phase II</w:t>
      </w:r>
      <w:r w:rsidR="4FDB99F4" w:rsidRPr="006A561F">
        <w:t>,</w:t>
      </w:r>
      <w:r w:rsidRPr="006A561F">
        <w:t xml:space="preserve"> which both enhanced </w:t>
      </w:r>
      <w:r w:rsidR="4FDB99F4" w:rsidRPr="006A561F">
        <w:t>r</w:t>
      </w:r>
      <w:r w:rsidRPr="006A561F">
        <w:t xml:space="preserve">egional </w:t>
      </w:r>
      <w:r w:rsidR="4FDB99F4" w:rsidRPr="006A561F">
        <w:t>o</w:t>
      </w:r>
      <w:r w:rsidRPr="006A561F">
        <w:t>ffice oversight and increased the visibility of local researchers.</w:t>
      </w:r>
      <w:r w:rsidR="006F2F6D" w:rsidRPr="4977AA67">
        <w:rPr>
          <w:rStyle w:val="FootnoteReference"/>
          <w:rFonts w:cstheme="minorBidi"/>
          <w:sz w:val="22"/>
          <w:szCs w:val="22"/>
        </w:rPr>
        <w:footnoteReference w:id="318"/>
      </w:r>
    </w:p>
    <w:p w14:paraId="6BB13898" w14:textId="77777777" w:rsidR="006F2F6D" w:rsidRPr="006A561F" w:rsidRDefault="006F2F6D">
      <w:pPr>
        <w:pStyle w:val="ItadNormalText"/>
        <w:numPr>
          <w:ilvl w:val="0"/>
          <w:numId w:val="30"/>
        </w:numPr>
        <w:jc w:val="both"/>
      </w:pPr>
      <w:r w:rsidRPr="006A561F">
        <w:rPr>
          <w:b/>
        </w:rPr>
        <w:t>Learning from Phase I IMAGES countries</w:t>
      </w:r>
      <w:r w:rsidRPr="006A561F">
        <w:t xml:space="preserve"> </w:t>
      </w:r>
      <w:r w:rsidRPr="006A561F">
        <w:rPr>
          <w:b/>
        </w:rPr>
        <w:t>w</w:t>
      </w:r>
      <w:r w:rsidR="001D3C9F" w:rsidRPr="006A561F">
        <w:rPr>
          <w:b/>
        </w:rPr>
        <w:t>as</w:t>
      </w:r>
      <w:r w:rsidRPr="006A561F">
        <w:rPr>
          <w:b/>
        </w:rPr>
        <w:t xml:space="preserve"> fed into Phase II </w:t>
      </w:r>
      <w:r w:rsidRPr="006A561F">
        <w:rPr>
          <w:i/>
        </w:rPr>
        <w:t xml:space="preserve">(Phase II). </w:t>
      </w:r>
      <w:r w:rsidRPr="006A561F">
        <w:t xml:space="preserve">Learning from Lebanon, Palestine, </w:t>
      </w:r>
      <w:proofErr w:type="gramStart"/>
      <w:r w:rsidRPr="006A561F">
        <w:t>Morocco</w:t>
      </w:r>
      <w:proofErr w:type="gramEnd"/>
      <w:r w:rsidRPr="006A561F">
        <w:t xml:space="preserve"> and Egypt w</w:t>
      </w:r>
      <w:r w:rsidR="001D3C9F" w:rsidRPr="006A561F">
        <w:t>as</w:t>
      </w:r>
      <w:r w:rsidRPr="006A561F">
        <w:t xml:space="preserve"> shared with the Jordan and Tunisia IMAGES teams for Phase II. The Jordan </w:t>
      </w:r>
      <w:r w:rsidR="001D3C9F" w:rsidRPr="006A561F">
        <w:t>and</w:t>
      </w:r>
      <w:r w:rsidRPr="006A561F">
        <w:t xml:space="preserve"> Tunisia teams also learned from one another</w:t>
      </w:r>
      <w:r w:rsidR="001D3C9F" w:rsidRPr="006A561F">
        <w:t>,</w:t>
      </w:r>
      <w:r w:rsidRPr="006A561F">
        <w:t xml:space="preserve"> as the work was being conducted in parallel. This further developed the quality of the data collection.</w:t>
      </w:r>
    </w:p>
    <w:p w14:paraId="08D50D71" w14:textId="77777777" w:rsidR="006F2F6D" w:rsidRPr="006A561F" w:rsidRDefault="0743636A">
      <w:pPr>
        <w:pStyle w:val="ItadNormalText"/>
        <w:numPr>
          <w:ilvl w:val="0"/>
          <w:numId w:val="30"/>
        </w:numPr>
        <w:jc w:val="both"/>
      </w:pPr>
      <w:r w:rsidRPr="0D4BD307">
        <w:rPr>
          <w:b/>
          <w:bCs/>
        </w:rPr>
        <w:t xml:space="preserve">National academic institutions </w:t>
      </w:r>
      <w:r w:rsidR="1675BBB9" w:rsidRPr="0D4BD307">
        <w:rPr>
          <w:b/>
          <w:bCs/>
        </w:rPr>
        <w:t xml:space="preserve">were </w:t>
      </w:r>
      <w:r w:rsidRPr="0D4BD307">
        <w:rPr>
          <w:b/>
          <w:bCs/>
        </w:rPr>
        <w:t>used to validate the quality of the survey data</w:t>
      </w:r>
      <w:r w:rsidR="006F2F6D" w:rsidRPr="4977AA67">
        <w:rPr>
          <w:rStyle w:val="FootnoteReference"/>
          <w:rFonts w:cstheme="minorBidi"/>
          <w:sz w:val="22"/>
          <w:szCs w:val="22"/>
        </w:rPr>
        <w:footnoteReference w:id="319"/>
      </w:r>
      <w:r w:rsidRPr="006A561F">
        <w:t xml:space="preserve"> </w:t>
      </w:r>
      <w:r w:rsidRPr="4977AA67">
        <w:rPr>
          <w:i/>
          <w:iCs/>
        </w:rPr>
        <w:t>(Phase I and Phase II)</w:t>
      </w:r>
      <w:r w:rsidR="4FDB99F4" w:rsidRPr="006A561F">
        <w:rPr>
          <w:iCs/>
        </w:rPr>
        <w:t>,</w:t>
      </w:r>
      <w:r w:rsidRPr="4977AA67">
        <w:rPr>
          <w:i/>
          <w:iCs/>
        </w:rPr>
        <w:t xml:space="preserve"> </w:t>
      </w:r>
      <w:r w:rsidRPr="006A561F">
        <w:t>which again contribute</w:t>
      </w:r>
      <w:r w:rsidR="1D3E7A47" w:rsidRPr="006A561F">
        <w:t>d</w:t>
      </w:r>
      <w:r w:rsidRPr="006A561F">
        <w:t xml:space="preserve"> to national ownership and validity within the specific context.</w:t>
      </w:r>
    </w:p>
    <w:p w14:paraId="70716304" w14:textId="77777777" w:rsidR="006F2F6D" w:rsidRPr="006A561F" w:rsidRDefault="0743636A">
      <w:pPr>
        <w:pStyle w:val="ItadNormalText"/>
        <w:numPr>
          <w:ilvl w:val="0"/>
          <w:numId w:val="30"/>
        </w:numPr>
        <w:jc w:val="both"/>
      </w:pPr>
      <w:r w:rsidRPr="0D4BD307">
        <w:rPr>
          <w:b/>
          <w:bCs/>
        </w:rPr>
        <w:t xml:space="preserve">Qualitative and quantitative components of the research were closely aligned </w:t>
      </w:r>
      <w:r w:rsidRPr="4977AA67">
        <w:rPr>
          <w:i/>
          <w:iCs/>
        </w:rPr>
        <w:t>(Phase II)</w:t>
      </w:r>
      <w:r w:rsidRPr="0D4BD307">
        <w:rPr>
          <w:b/>
          <w:bCs/>
        </w:rPr>
        <w:t xml:space="preserve">. </w:t>
      </w:r>
      <w:r w:rsidRPr="006A561F">
        <w:t>In Jordan, the qualitative research was informed by the quantitative research</w:t>
      </w:r>
      <w:r w:rsidR="4FDB99F4" w:rsidRPr="006A561F">
        <w:t>,</w:t>
      </w:r>
      <w:r w:rsidRPr="006A561F">
        <w:t xml:space="preserve"> enabling complementarity in data </w:t>
      </w:r>
      <w:proofErr w:type="gramStart"/>
      <w:r w:rsidRPr="006A561F">
        <w:t>collection</w:t>
      </w:r>
      <w:proofErr w:type="gramEnd"/>
      <w:r w:rsidRPr="006A561F">
        <w:t xml:space="preserve"> and</w:t>
      </w:r>
      <w:r w:rsidR="4FDB99F4" w:rsidRPr="006A561F">
        <w:t xml:space="preserve"> enabling</w:t>
      </w:r>
      <w:r w:rsidRPr="006A561F">
        <w:t xml:space="preserve"> data gaps to be filled</w:t>
      </w:r>
      <w:r w:rsidR="4FDB99F4" w:rsidRPr="006A561F">
        <w:t>.</w:t>
      </w:r>
      <w:r w:rsidR="006F2F6D" w:rsidRPr="4977AA67">
        <w:rPr>
          <w:rStyle w:val="FootnoteReference"/>
          <w:rFonts w:cstheme="minorBidi"/>
          <w:sz w:val="22"/>
          <w:szCs w:val="22"/>
        </w:rPr>
        <w:footnoteReference w:id="320"/>
      </w:r>
    </w:p>
    <w:p w14:paraId="48F08EC8" w14:textId="77777777" w:rsidR="006F2F6D" w:rsidRPr="006A561F" w:rsidRDefault="0C46233B">
      <w:pPr>
        <w:pStyle w:val="ItadNormalText"/>
        <w:numPr>
          <w:ilvl w:val="0"/>
          <w:numId w:val="30"/>
        </w:numPr>
        <w:jc w:val="both"/>
      </w:pPr>
      <w:r w:rsidRPr="076A58FF">
        <w:rPr>
          <w:b/>
          <w:bCs/>
        </w:rPr>
        <w:t>The Phase II Jordan IMAGES was more inclusive of LGBT</w:t>
      </w:r>
      <w:r w:rsidR="5D363905" w:rsidRPr="076A58FF">
        <w:rPr>
          <w:b/>
          <w:bCs/>
        </w:rPr>
        <w:t>I</w:t>
      </w:r>
      <w:r w:rsidRPr="076A58FF">
        <w:rPr>
          <w:b/>
          <w:bCs/>
        </w:rPr>
        <w:t xml:space="preserve">, persons with disabilities and </w:t>
      </w:r>
      <w:r w:rsidR="6B8B3981" w:rsidRPr="076A58FF">
        <w:rPr>
          <w:b/>
          <w:bCs/>
        </w:rPr>
        <w:t>LNOB</w:t>
      </w:r>
      <w:r w:rsidRPr="076A58FF">
        <w:rPr>
          <w:b/>
          <w:bCs/>
        </w:rPr>
        <w:t xml:space="preserve"> principles</w:t>
      </w:r>
      <w:r w:rsidR="6B8B3981" w:rsidRPr="076A58FF">
        <w:rPr>
          <w:b/>
          <w:bCs/>
        </w:rPr>
        <w:t>.</w:t>
      </w:r>
      <w:r w:rsidR="006F2F6D" w:rsidRPr="4977AA67">
        <w:rPr>
          <w:rStyle w:val="FootnoteReference"/>
          <w:rFonts w:cstheme="minorBidi"/>
          <w:sz w:val="22"/>
          <w:szCs w:val="22"/>
        </w:rPr>
        <w:footnoteReference w:id="321"/>
      </w:r>
    </w:p>
    <w:p w14:paraId="4FA27216" w14:textId="77777777" w:rsidR="00F27FA2" w:rsidRPr="006A561F" w:rsidRDefault="3774BE70" w:rsidP="4977AA67">
      <w:pPr>
        <w:pStyle w:val="ItadNormalText"/>
        <w:jc w:val="both"/>
        <w:rPr>
          <w:position w:val="1"/>
          <w:bdr w:val="none" w:sz="0" w:space="0" w:color="auto" w:frame="1"/>
        </w:rPr>
      </w:pPr>
      <w:r>
        <w:t xml:space="preserve">Nonetheless, it </w:t>
      </w:r>
      <w:r w:rsidR="48D1A644">
        <w:t xml:space="preserve">was </w:t>
      </w:r>
      <w:r>
        <w:t>important to review the IMAGES data critically once published</w:t>
      </w:r>
      <w:r w:rsidR="415D48D1">
        <w:t>, in order</w:t>
      </w:r>
      <w:r>
        <w:t xml:space="preserve"> to reflect on the impact </w:t>
      </w:r>
      <w:proofErr w:type="gramStart"/>
      <w:r w:rsidR="4418B682">
        <w:t>which</w:t>
      </w:r>
      <w:proofErr w:type="gramEnd"/>
      <w:r w:rsidR="4418B682">
        <w:t xml:space="preserve"> </w:t>
      </w:r>
      <w:r>
        <w:t>the change in process during Phase II has had on the data quality</w:t>
      </w:r>
      <w:r w:rsidR="415D48D1">
        <w:t>, and</w:t>
      </w:r>
      <w:r>
        <w:t xml:space="preserve"> </w:t>
      </w:r>
      <w:r w:rsidR="415D48D1">
        <w:t>a</w:t>
      </w:r>
      <w:r>
        <w:t xml:space="preserve">lso to review the impacts of </w:t>
      </w:r>
      <w:r w:rsidR="415D48D1">
        <w:t>COVID-19</w:t>
      </w:r>
      <w:r>
        <w:t xml:space="preserve">. There were concerns raised among research partners about </w:t>
      </w:r>
      <w:r w:rsidR="415D48D1">
        <w:t>(</w:t>
      </w:r>
      <w:r>
        <w:t xml:space="preserve">a) the sensitivity of the </w:t>
      </w:r>
      <w:r>
        <w:lastRenderedPageBreak/>
        <w:t>data being collected and their ability to collect it</w:t>
      </w:r>
      <w:r w:rsidR="415D48D1">
        <w:t>,</w:t>
      </w:r>
      <w:r>
        <w:t xml:space="preserve"> and </w:t>
      </w:r>
      <w:r w:rsidR="415D48D1">
        <w:t>(</w:t>
      </w:r>
      <w:r>
        <w:t xml:space="preserve">b) restrictions the pandemic imposed on the technical capacity building sessions with </w:t>
      </w:r>
      <w:proofErr w:type="spellStart"/>
      <w:r>
        <w:t>Promundo</w:t>
      </w:r>
      <w:proofErr w:type="spellEnd"/>
      <w:r>
        <w:t xml:space="preserve">. The challenges emerging from the pandemic meant </w:t>
      </w:r>
      <w:r w:rsidR="415D48D1">
        <w:t>that</w:t>
      </w:r>
      <w:r w:rsidR="18D5AB18">
        <w:t xml:space="preserve"> </w:t>
      </w:r>
      <w:proofErr w:type="spellStart"/>
      <w:r w:rsidR="0743636A" w:rsidRPr="006A561F">
        <w:t>Promundo</w:t>
      </w:r>
      <w:proofErr w:type="spellEnd"/>
      <w:r w:rsidR="0743636A" w:rsidRPr="006A561F">
        <w:t xml:space="preserve"> were unable to do technical capacity building sessions with country research partners as</w:t>
      </w:r>
      <w:r w:rsidR="4FDB99F4" w:rsidRPr="006A561F">
        <w:t xml:space="preserve"> they did</w:t>
      </w:r>
      <w:r w:rsidR="0743636A" w:rsidRPr="006A561F">
        <w:t xml:space="preserve"> in Phase I. </w:t>
      </w:r>
      <w:r w:rsidR="4FDB99F4" w:rsidRPr="006A561F">
        <w:t>In addition</w:t>
      </w:r>
      <w:r w:rsidR="0743636A" w:rsidRPr="006A561F">
        <w:t>, their input into technical collaboration sessions such as survey question adaptation w</w:t>
      </w:r>
      <w:r w:rsidR="4FDB99F4" w:rsidRPr="006A561F">
        <w:t>as</w:t>
      </w:r>
      <w:r w:rsidR="0743636A" w:rsidRPr="006A561F">
        <w:t xml:space="preserve"> moved online</w:t>
      </w:r>
      <w:r w:rsidR="4FDB99F4" w:rsidRPr="006A561F">
        <w:t>,</w:t>
      </w:r>
      <w:r w:rsidR="0743636A" w:rsidRPr="006A561F">
        <w:t xml:space="preserve"> which was not as conducive as in</w:t>
      </w:r>
      <w:r w:rsidR="4FDB99F4" w:rsidRPr="006A561F">
        <w:t xml:space="preserve"> </w:t>
      </w:r>
      <w:r w:rsidR="0743636A" w:rsidRPr="006A561F">
        <w:t>person.</w:t>
      </w:r>
      <w:r w:rsidR="006F2F6D" w:rsidRPr="0D4BD307">
        <w:rPr>
          <w:rStyle w:val="FootnoteReference"/>
          <w:sz w:val="22"/>
          <w:szCs w:val="22"/>
        </w:rPr>
        <w:footnoteReference w:id="322"/>
      </w:r>
      <w:r w:rsidR="0743636A" w:rsidRPr="006A561F">
        <w:t xml:space="preserve"> </w:t>
      </w:r>
      <w:r w:rsidR="010FF512" w:rsidRPr="006A561F">
        <w:t>Both</w:t>
      </w:r>
      <w:r w:rsidR="0743636A" w:rsidRPr="006A561F">
        <w:t xml:space="preserve"> concerns pose</w:t>
      </w:r>
      <w:r w:rsidR="26B8896C" w:rsidRPr="006A561F">
        <w:t>d</w:t>
      </w:r>
      <w:r w:rsidR="0743636A" w:rsidRPr="006A561F">
        <w:t xml:space="preserve"> risks to data collection quality and</w:t>
      </w:r>
      <w:r w:rsidR="44D7EA65" w:rsidRPr="006A561F">
        <w:t xml:space="preserve">, </w:t>
      </w:r>
      <w:r w:rsidR="0743636A" w:rsidRPr="006A561F">
        <w:t>as one partner flagged under-reporting.</w:t>
      </w:r>
      <w:r w:rsidR="006F2F6D" w:rsidRPr="0D4BD307">
        <w:rPr>
          <w:rStyle w:val="FootnoteReference"/>
          <w:sz w:val="22"/>
          <w:szCs w:val="22"/>
        </w:rPr>
        <w:footnoteReference w:id="323"/>
      </w:r>
    </w:p>
    <w:p w14:paraId="25FF9142" w14:textId="77777777" w:rsidR="4977AA67" w:rsidRDefault="4977AA67" w:rsidP="4977AA67">
      <w:pPr>
        <w:pStyle w:val="ItadNormalText"/>
        <w:jc w:val="both"/>
      </w:pPr>
    </w:p>
    <w:p w14:paraId="58744D98" w14:textId="77777777" w:rsidR="00C31239" w:rsidRDefault="00C31239">
      <w:pPr>
        <w:rPr>
          <w:rFonts w:ascii="CubeOT" w:hAnsi="CubeOT"/>
          <w:bCs/>
          <w:color w:val="E37230" w:themeColor="accent2"/>
          <w:sz w:val="36"/>
          <w:szCs w:val="18"/>
        </w:rPr>
      </w:pPr>
      <w:r>
        <w:br w:type="page"/>
      </w:r>
    </w:p>
    <w:p w14:paraId="00D1980A" w14:textId="77777777" w:rsidR="006F2F6D" w:rsidRPr="006A561F" w:rsidRDefault="39AF6AE5">
      <w:pPr>
        <w:pStyle w:val="ItadH1"/>
        <w:numPr>
          <w:ilvl w:val="0"/>
          <w:numId w:val="25"/>
        </w:numPr>
      </w:pPr>
      <w:bookmarkStart w:id="56" w:name="_Toc123126199"/>
      <w:r>
        <w:lastRenderedPageBreak/>
        <w:t>Lessons Learned</w:t>
      </w:r>
      <w:bookmarkEnd w:id="56"/>
    </w:p>
    <w:p w14:paraId="0B51D645" w14:textId="77777777" w:rsidR="00712B13" w:rsidRPr="006A561F" w:rsidRDefault="00712B13" w:rsidP="00712B13">
      <w:pPr>
        <w:pStyle w:val="ItadNormalText"/>
        <w:jc w:val="both"/>
        <w:rPr>
          <w:lang w:eastAsia="en-GB"/>
        </w:rPr>
      </w:pPr>
      <w:r w:rsidRPr="4977AA67">
        <w:rPr>
          <w:lang w:eastAsia="en-GB"/>
        </w:rPr>
        <w:t xml:space="preserve">Based on the above analysis, following seven key lessons learned have been identified which are in part applicable to other social norms change </w:t>
      </w:r>
      <w:r w:rsidRPr="00536638">
        <w:rPr>
          <w:lang w:eastAsia="en-GB"/>
        </w:rPr>
        <w:t>programmes (1, 2, 3, 5, 6) as well</w:t>
      </w:r>
      <w:r w:rsidRPr="4977AA67">
        <w:rPr>
          <w:lang w:eastAsia="en-GB"/>
        </w:rPr>
        <w:t xml:space="preserve"> as to regional programmes with country-level </w:t>
      </w:r>
      <w:r w:rsidRPr="00536638">
        <w:rPr>
          <w:lang w:eastAsia="en-GB"/>
        </w:rPr>
        <w:t>components (3, 4, 5, 7) elsewhere</w:t>
      </w:r>
      <w:r w:rsidRPr="4977AA67">
        <w:rPr>
          <w:lang w:eastAsia="en-GB"/>
        </w:rPr>
        <w:t>:</w:t>
      </w:r>
    </w:p>
    <w:p w14:paraId="5D95D175" w14:textId="77777777" w:rsidR="00712B13" w:rsidRPr="006A561F" w:rsidRDefault="00712B13" w:rsidP="00712B13">
      <w:pPr>
        <w:pStyle w:val="ItadNormalText"/>
        <w:numPr>
          <w:ilvl w:val="0"/>
          <w:numId w:val="31"/>
        </w:numPr>
        <w:jc w:val="both"/>
        <w:rPr>
          <w:lang w:eastAsia="en-GB"/>
        </w:rPr>
      </w:pPr>
      <w:r>
        <w:rPr>
          <w:lang w:eastAsia="en-GB"/>
        </w:rPr>
        <w:t xml:space="preserve">To achieve social </w:t>
      </w:r>
      <w:proofErr w:type="gramStart"/>
      <w:r>
        <w:rPr>
          <w:lang w:eastAsia="en-GB"/>
        </w:rPr>
        <w:t>norms</w:t>
      </w:r>
      <w:proofErr w:type="gramEnd"/>
      <w:r>
        <w:rPr>
          <w:lang w:eastAsia="en-GB"/>
        </w:rPr>
        <w:t xml:space="preserve"> change, there is a </w:t>
      </w:r>
      <w:r w:rsidRPr="4977AA67">
        <w:rPr>
          <w:lang w:eastAsia="en-GB"/>
        </w:rPr>
        <w:t xml:space="preserve">need to ensure that various levels of intervention actively and strategically support each other at individual, community, national and regional levels – in other words, there should be a concerted and explicit move towards a socioecological model. </w:t>
      </w:r>
      <w:r>
        <w:rPr>
          <w:lang w:eastAsia="en-GB"/>
        </w:rPr>
        <w:t>In case of MWGE programme, w</w:t>
      </w:r>
      <w:r w:rsidRPr="4977AA67">
        <w:rPr>
          <w:lang w:eastAsia="en-GB"/>
        </w:rPr>
        <w:t xml:space="preserve">hile there were many effective and innovative approaches at community level, these were not always backed up by enhancing and supporting activities at other levels. Similarly, broader regional-level approaches, such as by </w:t>
      </w:r>
      <w:proofErr w:type="spellStart"/>
      <w:r w:rsidRPr="4977AA67">
        <w:rPr>
          <w:lang w:eastAsia="en-GB"/>
        </w:rPr>
        <w:t>Musawah</w:t>
      </w:r>
      <w:proofErr w:type="spellEnd"/>
      <w:r w:rsidRPr="4977AA67">
        <w:rPr>
          <w:lang w:eastAsia="en-GB"/>
        </w:rPr>
        <w:t xml:space="preserve">, could have been better linked to community-level work, especially where there was faith-based resistance. </w:t>
      </w:r>
      <w:r w:rsidRPr="00712B13">
        <w:rPr>
          <w:color w:val="588B46" w:themeColor="text2"/>
          <w:lang w:eastAsia="en-GB"/>
        </w:rPr>
        <w:t>(</w:t>
      </w:r>
      <w:r w:rsidRPr="00712B13">
        <w:rPr>
          <w:b/>
          <w:bCs/>
          <w:color w:val="588B46" w:themeColor="text2"/>
          <w:lang w:eastAsia="en-GB"/>
        </w:rPr>
        <w:t>Based on Findings 4.1 and 5.5)</w:t>
      </w:r>
    </w:p>
    <w:p w14:paraId="57915EC7" w14:textId="77777777" w:rsidR="00712B13" w:rsidRPr="00736D8F" w:rsidRDefault="00712B13" w:rsidP="00712B13">
      <w:pPr>
        <w:pStyle w:val="ItadNormalText"/>
        <w:numPr>
          <w:ilvl w:val="0"/>
          <w:numId w:val="31"/>
        </w:numPr>
        <w:jc w:val="both"/>
        <w:rPr>
          <w:b/>
          <w:bCs/>
          <w:color w:val="699D2D" w:themeColor="accent6" w:themeShade="BF"/>
          <w:lang w:eastAsia="en-GB"/>
        </w:rPr>
      </w:pPr>
      <w:r w:rsidRPr="4977AA67">
        <w:rPr>
          <w:lang w:eastAsia="en-GB"/>
        </w:rPr>
        <w:t xml:space="preserve">Linked to the above, community-level – </w:t>
      </w:r>
      <w:r w:rsidRPr="006938A2">
        <w:rPr>
          <w:lang w:eastAsia="en-GB"/>
        </w:rPr>
        <w:t>attitudinal and behavioural change is possible</w:t>
      </w:r>
      <w:r w:rsidRPr="4977AA67">
        <w:rPr>
          <w:lang w:eastAsia="en-GB"/>
        </w:rPr>
        <w:t xml:space="preserve"> even under very challenging political, </w:t>
      </w:r>
      <w:proofErr w:type="gramStart"/>
      <w:r w:rsidRPr="4977AA67">
        <w:rPr>
          <w:lang w:eastAsia="en-GB"/>
        </w:rPr>
        <w:t>social</w:t>
      </w:r>
      <w:proofErr w:type="gramEnd"/>
      <w:r w:rsidRPr="4977AA67">
        <w:rPr>
          <w:lang w:eastAsia="en-GB"/>
        </w:rPr>
        <w:t xml:space="preserve"> and economic conditions</w:t>
      </w:r>
      <w:r>
        <w:rPr>
          <w:lang w:eastAsia="en-GB"/>
        </w:rPr>
        <w:t xml:space="preserve"> provided</w:t>
      </w:r>
      <w:r w:rsidRPr="4977AA67">
        <w:rPr>
          <w:lang w:eastAsia="en-GB"/>
        </w:rPr>
        <w:t xml:space="preserve"> </w:t>
      </w:r>
      <w:r>
        <w:rPr>
          <w:lang w:eastAsia="en-GB"/>
        </w:rPr>
        <w:t>v</w:t>
      </w:r>
      <w:r w:rsidRPr="4977AA67">
        <w:rPr>
          <w:lang w:eastAsia="en-GB"/>
        </w:rPr>
        <w:t xml:space="preserve">ariations between different groups based on sex, age and location </w:t>
      </w:r>
      <w:r>
        <w:rPr>
          <w:lang w:eastAsia="en-GB"/>
        </w:rPr>
        <w:t>are</w:t>
      </w:r>
      <w:r w:rsidRPr="4977AA67">
        <w:rPr>
          <w:lang w:eastAsia="en-GB"/>
        </w:rPr>
        <w:t xml:space="preserve"> factored into the design, allowing for more targeted approaches. </w:t>
      </w:r>
      <w:r>
        <w:rPr>
          <w:lang w:eastAsia="en-GB"/>
        </w:rPr>
        <w:t>At the same time, c</w:t>
      </w:r>
      <w:r w:rsidRPr="4977AA67">
        <w:rPr>
          <w:lang w:eastAsia="en-GB"/>
        </w:rPr>
        <w:t>hange</w:t>
      </w:r>
      <w:r>
        <w:rPr>
          <w:lang w:eastAsia="en-GB"/>
        </w:rPr>
        <w:t xml:space="preserve">s are likely to </w:t>
      </w:r>
      <w:r w:rsidRPr="4977AA67">
        <w:rPr>
          <w:lang w:eastAsia="en-GB"/>
        </w:rPr>
        <w:t>m</w:t>
      </w:r>
      <w:r>
        <w:rPr>
          <w:lang w:eastAsia="en-GB"/>
        </w:rPr>
        <w:t>eet</w:t>
      </w:r>
      <w:r w:rsidRPr="4977AA67">
        <w:rPr>
          <w:lang w:eastAsia="en-GB"/>
        </w:rPr>
        <w:t xml:space="preserve"> with resistance at micro, </w:t>
      </w:r>
      <w:proofErr w:type="spellStart"/>
      <w:r w:rsidRPr="4977AA67">
        <w:rPr>
          <w:lang w:eastAsia="en-GB"/>
        </w:rPr>
        <w:t>meso</w:t>
      </w:r>
      <w:proofErr w:type="spellEnd"/>
      <w:r w:rsidRPr="4977AA67">
        <w:rPr>
          <w:lang w:eastAsia="en-GB"/>
        </w:rPr>
        <w:t xml:space="preserve"> and macro levels, and </w:t>
      </w:r>
      <w:r>
        <w:rPr>
          <w:lang w:eastAsia="en-GB"/>
        </w:rPr>
        <w:t xml:space="preserve">therefore, </w:t>
      </w:r>
      <w:r w:rsidRPr="4977AA67">
        <w:rPr>
          <w:lang w:eastAsia="en-GB"/>
        </w:rPr>
        <w:t>responding to and overcoming this need</w:t>
      </w:r>
      <w:r>
        <w:rPr>
          <w:lang w:eastAsia="en-GB"/>
        </w:rPr>
        <w:t>s</w:t>
      </w:r>
      <w:r w:rsidRPr="4977AA67">
        <w:rPr>
          <w:lang w:eastAsia="en-GB"/>
        </w:rPr>
        <w:t xml:space="preserve"> to be factored into the design of interventions and built into monitoring and feedback systems.</w:t>
      </w:r>
      <w:r>
        <w:rPr>
          <w:lang w:eastAsia="en-GB"/>
        </w:rPr>
        <w:t xml:space="preserve"> </w:t>
      </w:r>
      <w:r w:rsidRPr="00712B13">
        <w:rPr>
          <w:b/>
          <w:bCs/>
          <w:color w:val="588B46" w:themeColor="text2"/>
          <w:lang w:eastAsia="en-GB"/>
        </w:rPr>
        <w:t>(Based on Findings 5.4, 5.5 and 5.10)</w:t>
      </w:r>
    </w:p>
    <w:p w14:paraId="7EEDD9FF" w14:textId="77777777" w:rsidR="00712B13" w:rsidRPr="006A561F" w:rsidRDefault="00712B13" w:rsidP="00712B13">
      <w:pPr>
        <w:pStyle w:val="ItadNormalText"/>
        <w:numPr>
          <w:ilvl w:val="0"/>
          <w:numId w:val="31"/>
        </w:numPr>
        <w:jc w:val="both"/>
        <w:rPr>
          <w:lang w:eastAsia="en-GB"/>
        </w:rPr>
      </w:pPr>
      <w:r w:rsidRPr="4977AA67">
        <w:rPr>
          <w:lang w:eastAsia="en-GB"/>
        </w:rPr>
        <w:t xml:space="preserve">The </w:t>
      </w:r>
      <w:r w:rsidRPr="006938A2">
        <w:rPr>
          <w:lang w:eastAsia="en-GB"/>
        </w:rPr>
        <w:t>local/national-level adaptation of globally tried and tested</w:t>
      </w:r>
      <w:r w:rsidRPr="4977AA67">
        <w:rPr>
          <w:b/>
          <w:bCs/>
          <w:lang w:eastAsia="en-GB"/>
        </w:rPr>
        <w:t xml:space="preserve"> </w:t>
      </w:r>
      <w:r w:rsidRPr="006938A2">
        <w:rPr>
          <w:lang w:eastAsia="en-GB"/>
        </w:rPr>
        <w:t>approaches</w:t>
      </w:r>
      <w:r w:rsidRPr="4977AA67">
        <w:rPr>
          <w:lang w:eastAsia="en-GB"/>
        </w:rPr>
        <w:t xml:space="preserve"> prove successful in terms of building local/national capacity and ownership, making these more relevant to the context and bringing these closer to the stakeholders regionally and nationally. Whether these will all prove to be more effective and efficient cannot be fully ascertained at the time of writing</w:t>
      </w:r>
      <w:r>
        <w:rPr>
          <w:lang w:eastAsia="en-GB"/>
        </w:rPr>
        <w:t xml:space="preserve"> the evaluation report</w:t>
      </w:r>
      <w:r w:rsidRPr="4977AA67">
        <w:rPr>
          <w:lang w:eastAsia="en-GB"/>
        </w:rPr>
        <w:t xml:space="preserve">, as the ‘localised’ IMAGES studies in Jordan and Tunisia </w:t>
      </w:r>
      <w:r>
        <w:rPr>
          <w:lang w:eastAsia="en-GB"/>
        </w:rPr>
        <w:t>were</w:t>
      </w:r>
      <w:r w:rsidRPr="4977AA67">
        <w:rPr>
          <w:lang w:eastAsia="en-GB"/>
        </w:rPr>
        <w:t xml:space="preserve"> not published yet and the final data on Program P and GTP approaches </w:t>
      </w:r>
      <w:r>
        <w:rPr>
          <w:lang w:eastAsia="en-GB"/>
        </w:rPr>
        <w:t xml:space="preserve">was also </w:t>
      </w:r>
      <w:r w:rsidRPr="4977AA67">
        <w:rPr>
          <w:lang w:eastAsia="en-GB"/>
        </w:rPr>
        <w:t>not available</w:t>
      </w:r>
      <w:r>
        <w:rPr>
          <w:lang w:eastAsia="en-GB"/>
        </w:rPr>
        <w:t xml:space="preserve"> during the evaluation. </w:t>
      </w:r>
      <w:r w:rsidRPr="00712B13">
        <w:rPr>
          <w:b/>
          <w:bCs/>
          <w:color w:val="588B46" w:themeColor="text2"/>
          <w:lang w:eastAsia="en-GB"/>
        </w:rPr>
        <w:t>(Based on Finding 5.8 and 6.2)</w:t>
      </w:r>
    </w:p>
    <w:p w14:paraId="05D10673" w14:textId="77777777" w:rsidR="00712B13" w:rsidRPr="006A561F" w:rsidRDefault="00712B13" w:rsidP="00712B13">
      <w:pPr>
        <w:pStyle w:val="ItadNormalText"/>
        <w:numPr>
          <w:ilvl w:val="0"/>
          <w:numId w:val="31"/>
        </w:numPr>
        <w:jc w:val="both"/>
        <w:rPr>
          <w:lang w:eastAsia="en-GB"/>
        </w:rPr>
      </w:pPr>
      <w:r w:rsidRPr="006938A2">
        <w:rPr>
          <w:lang w:eastAsia="en-GB"/>
        </w:rPr>
        <w:t xml:space="preserve">The approach of using umbrella organisations and Calls for Proposals to select CSOs/CBOs </w:t>
      </w:r>
      <w:r>
        <w:rPr>
          <w:lang w:eastAsia="en-GB"/>
        </w:rPr>
        <w:t>could be</w:t>
      </w:r>
      <w:r w:rsidRPr="006938A2">
        <w:rPr>
          <w:lang w:eastAsia="en-GB"/>
        </w:rPr>
        <w:t xml:space="preserve"> a useful approach</w:t>
      </w:r>
      <w:r>
        <w:rPr>
          <w:lang w:eastAsia="en-GB"/>
        </w:rPr>
        <w:t xml:space="preserve"> that is also </w:t>
      </w:r>
      <w:r w:rsidRPr="006938A2">
        <w:rPr>
          <w:lang w:eastAsia="en-GB"/>
        </w:rPr>
        <w:t>considered</w:t>
      </w:r>
      <w:r>
        <w:rPr>
          <w:b/>
          <w:bCs/>
          <w:lang w:eastAsia="en-GB"/>
        </w:rPr>
        <w:t xml:space="preserve"> </w:t>
      </w:r>
      <w:r w:rsidRPr="4977AA67">
        <w:rPr>
          <w:lang w:eastAsia="en-GB"/>
        </w:rPr>
        <w:t xml:space="preserve">as fair and transparent by implementing partners. </w:t>
      </w:r>
      <w:r>
        <w:t xml:space="preserve">However, as useful as the umbrella organisations were and are, especially in the initial phases, their role as capacity builders and coordinators for CBOs needs to be time-bound allowing them to ‘graduate’ once their capacity had been built to a sufficient level, allowing them to take on more central roles. A further key lesson learned for the implementing partners was that, </w:t>
      </w:r>
      <w:proofErr w:type="gramStart"/>
      <w:r>
        <w:t>in order to</w:t>
      </w:r>
      <w:proofErr w:type="gramEnd"/>
      <w:r>
        <w:t xml:space="preserve"> be effectively able to deliver gender and social norm change programming, they need to have </w:t>
      </w:r>
      <w:r w:rsidRPr="006938A2">
        <w:t>understood and internalised core feminist principles.</w:t>
      </w:r>
      <w:r>
        <w:t xml:space="preserve"> </w:t>
      </w:r>
      <w:r w:rsidRPr="00712B13">
        <w:rPr>
          <w:b/>
          <w:bCs/>
          <w:color w:val="588B46" w:themeColor="text2"/>
        </w:rPr>
        <w:t>(</w:t>
      </w:r>
      <w:r w:rsidRPr="00712B13">
        <w:rPr>
          <w:b/>
          <w:bCs/>
          <w:color w:val="588B46" w:themeColor="text2"/>
          <w:lang w:eastAsia="en-GB"/>
        </w:rPr>
        <w:t xml:space="preserve">Based on Finding </w:t>
      </w:r>
      <w:r w:rsidRPr="00712B13">
        <w:rPr>
          <w:b/>
          <w:bCs/>
          <w:color w:val="588B46" w:themeColor="text2"/>
        </w:rPr>
        <w:t>5.7)</w:t>
      </w:r>
    </w:p>
    <w:p w14:paraId="3EF1122A" w14:textId="77777777" w:rsidR="00712B13" w:rsidRPr="00736D8F" w:rsidRDefault="00712B13" w:rsidP="00712B13">
      <w:pPr>
        <w:pStyle w:val="ItadNormalText"/>
        <w:numPr>
          <w:ilvl w:val="0"/>
          <w:numId w:val="31"/>
        </w:numPr>
        <w:jc w:val="both"/>
        <w:rPr>
          <w:b/>
          <w:bCs/>
          <w:color w:val="699D2D" w:themeColor="accent6" w:themeShade="BF"/>
          <w:lang w:eastAsia="en-GB"/>
        </w:rPr>
      </w:pPr>
      <w:r>
        <w:rPr>
          <w:lang w:eastAsia="en-GB"/>
        </w:rPr>
        <w:t xml:space="preserve">For a regional programme with multi-country interventions, </w:t>
      </w:r>
      <w:r w:rsidRPr="4977AA67">
        <w:rPr>
          <w:lang w:eastAsia="en-GB"/>
        </w:rPr>
        <w:t xml:space="preserve">there needs to be </w:t>
      </w:r>
      <w:r>
        <w:rPr>
          <w:lang w:eastAsia="en-GB"/>
        </w:rPr>
        <w:t>consistent</w:t>
      </w:r>
      <w:r w:rsidRPr="006938A2">
        <w:rPr>
          <w:lang w:eastAsia="en-GB"/>
        </w:rPr>
        <w:t xml:space="preserve"> adherence</w:t>
      </w:r>
      <w:r w:rsidRPr="4977AA67">
        <w:rPr>
          <w:lang w:eastAsia="en-GB"/>
        </w:rPr>
        <w:t xml:space="preserve"> by all COs to </w:t>
      </w:r>
      <w:r>
        <w:rPr>
          <w:lang w:eastAsia="en-GB"/>
        </w:rPr>
        <w:t xml:space="preserve">the </w:t>
      </w:r>
      <w:r w:rsidRPr="4977AA67">
        <w:rPr>
          <w:lang w:eastAsia="en-GB"/>
        </w:rPr>
        <w:t xml:space="preserve">regional quality assurance processes </w:t>
      </w:r>
      <w:r>
        <w:rPr>
          <w:lang w:eastAsia="en-GB"/>
        </w:rPr>
        <w:t xml:space="preserve">for </w:t>
      </w:r>
      <w:r w:rsidRPr="4977AA67">
        <w:rPr>
          <w:lang w:eastAsia="en-GB"/>
        </w:rPr>
        <w:t xml:space="preserve">communications and messaging, and </w:t>
      </w:r>
      <w:r w:rsidRPr="00070ACA">
        <w:rPr>
          <w:lang w:eastAsia="en-GB"/>
        </w:rPr>
        <w:t xml:space="preserve">accountability </w:t>
      </w:r>
      <w:r w:rsidRPr="4977AA67">
        <w:rPr>
          <w:lang w:eastAsia="en-GB"/>
        </w:rPr>
        <w:t>to core feminist principles. MEL on these activities need to be developed to go beyond just reach.</w:t>
      </w:r>
      <w:r>
        <w:rPr>
          <w:lang w:eastAsia="en-GB"/>
        </w:rPr>
        <w:t xml:space="preserve"> </w:t>
      </w:r>
      <w:r w:rsidRPr="00712B13">
        <w:rPr>
          <w:b/>
          <w:bCs/>
          <w:color w:val="588B46" w:themeColor="text2"/>
          <w:lang w:eastAsia="en-GB"/>
        </w:rPr>
        <w:t>(Based on Finding 6.1, 9.1)</w:t>
      </w:r>
    </w:p>
    <w:p w14:paraId="4152AB6D" w14:textId="77777777" w:rsidR="00712B13" w:rsidRPr="00712B13" w:rsidRDefault="00712B13" w:rsidP="00712B13">
      <w:pPr>
        <w:pStyle w:val="ItadNormalText"/>
        <w:numPr>
          <w:ilvl w:val="0"/>
          <w:numId w:val="31"/>
        </w:numPr>
        <w:jc w:val="both"/>
        <w:rPr>
          <w:color w:val="588B46" w:themeColor="text2"/>
          <w:lang w:eastAsia="en-GB"/>
        </w:rPr>
      </w:pPr>
      <w:r>
        <w:rPr>
          <w:lang w:eastAsia="en-GB"/>
        </w:rPr>
        <w:t xml:space="preserve">Social norms change programmes need to focus on the </w:t>
      </w:r>
      <w:r w:rsidRPr="4977AA67">
        <w:rPr>
          <w:lang w:eastAsia="en-GB"/>
        </w:rPr>
        <w:t xml:space="preserve">‘missing middle’ </w:t>
      </w:r>
      <w:r>
        <w:rPr>
          <w:lang w:eastAsia="en-GB"/>
        </w:rPr>
        <w:t xml:space="preserve">so ensure there is adequate </w:t>
      </w:r>
      <w:r w:rsidRPr="00070ACA">
        <w:rPr>
          <w:lang w:eastAsia="en-GB"/>
        </w:rPr>
        <w:t>institutional uptake at national and regional levels,</w:t>
      </w:r>
      <w:r w:rsidRPr="4977AA67">
        <w:rPr>
          <w:lang w:eastAsia="en-GB"/>
        </w:rPr>
        <w:t xml:space="preserve"> including in terms of mobilising additional resources, for example from other donors (including the private sector). </w:t>
      </w:r>
      <w:r>
        <w:rPr>
          <w:lang w:eastAsia="en-GB"/>
        </w:rPr>
        <w:t>T</w:t>
      </w:r>
      <w:r w:rsidRPr="4977AA67">
        <w:rPr>
          <w:lang w:eastAsia="en-GB"/>
        </w:rPr>
        <w:t xml:space="preserve">here </w:t>
      </w:r>
      <w:r>
        <w:rPr>
          <w:lang w:eastAsia="en-GB"/>
        </w:rPr>
        <w:t>was</w:t>
      </w:r>
      <w:r w:rsidRPr="4977AA67">
        <w:rPr>
          <w:lang w:eastAsia="en-GB"/>
        </w:rPr>
        <w:t xml:space="preserve"> a marked gap in terms of uptake throughout both phases</w:t>
      </w:r>
      <w:r>
        <w:rPr>
          <w:lang w:eastAsia="en-GB"/>
        </w:rPr>
        <w:t xml:space="preserve"> </w:t>
      </w:r>
      <w:r w:rsidRPr="4977AA67">
        <w:rPr>
          <w:lang w:eastAsia="en-GB"/>
        </w:rPr>
        <w:t xml:space="preserve">at national and regional levels with visible individual and, to a lesser degree, community-level interest documented on one end of the spectrum, and on the other a high level of interest at global level, be it within UN Women, at the CSW, or IMAGES uptake by the Cable News Network (CNN) and the British Broadcasting Corporation (BBC). However, at national and regional levels, </w:t>
      </w:r>
      <w:proofErr w:type="gramStart"/>
      <w:r w:rsidRPr="4977AA67">
        <w:rPr>
          <w:lang w:eastAsia="en-GB"/>
        </w:rPr>
        <w:t>in spite of</w:t>
      </w:r>
      <w:proofErr w:type="gramEnd"/>
      <w:r w:rsidRPr="4977AA67">
        <w:rPr>
          <w:lang w:eastAsia="en-GB"/>
        </w:rPr>
        <w:t xml:space="preserve"> the best efforts of the programme, impact</w:t>
      </w:r>
      <w:r>
        <w:rPr>
          <w:lang w:eastAsia="en-GB"/>
        </w:rPr>
        <w:t xml:space="preserve"> was</w:t>
      </w:r>
      <w:r w:rsidRPr="4977AA67">
        <w:rPr>
          <w:lang w:eastAsia="en-GB"/>
        </w:rPr>
        <w:t xml:space="preserve"> less pronounced.</w:t>
      </w:r>
      <w:r>
        <w:rPr>
          <w:lang w:eastAsia="en-GB"/>
        </w:rPr>
        <w:t xml:space="preserve"> </w:t>
      </w:r>
      <w:r w:rsidRPr="4977AA67">
        <w:rPr>
          <w:lang w:eastAsia="en-GB"/>
        </w:rPr>
        <w:t xml:space="preserve">In part this </w:t>
      </w:r>
      <w:r>
        <w:rPr>
          <w:lang w:eastAsia="en-GB"/>
        </w:rPr>
        <w:t>was</w:t>
      </w:r>
      <w:r w:rsidRPr="4977AA67">
        <w:rPr>
          <w:lang w:eastAsia="en-GB"/>
        </w:rPr>
        <w:t xml:space="preserve"> because of sequencing: in order to have the evidence base for why engaging men is important, IMAGES had to be run first; in order to show that particular approaches (</w:t>
      </w:r>
      <w:proofErr w:type="gramStart"/>
      <w:r w:rsidRPr="4977AA67">
        <w:rPr>
          <w:lang w:eastAsia="en-GB"/>
        </w:rPr>
        <w:t>e.g.</w:t>
      </w:r>
      <w:proofErr w:type="gramEnd"/>
      <w:r w:rsidRPr="4977AA67">
        <w:rPr>
          <w:lang w:eastAsia="en-GB"/>
        </w:rPr>
        <w:t xml:space="preserve"> Positive Deviance or GTP/Program P) can be adapted to the Arab region and run successfully, this had to be tested first. </w:t>
      </w:r>
      <w:r w:rsidRPr="00712B13">
        <w:rPr>
          <w:b/>
          <w:bCs/>
          <w:color w:val="588B46" w:themeColor="text2"/>
          <w:lang w:eastAsia="en-GB"/>
        </w:rPr>
        <w:t>(Based on Finding 8.4)</w:t>
      </w:r>
    </w:p>
    <w:p w14:paraId="1B874A18" w14:textId="77777777" w:rsidR="00712B13" w:rsidRPr="00736D8F" w:rsidRDefault="00712B13" w:rsidP="00712B13">
      <w:pPr>
        <w:pStyle w:val="ItadNormalText"/>
        <w:numPr>
          <w:ilvl w:val="0"/>
          <w:numId w:val="31"/>
        </w:numPr>
        <w:jc w:val="both"/>
        <w:rPr>
          <w:b/>
          <w:bCs/>
          <w:color w:val="699D2D" w:themeColor="accent6" w:themeShade="BF"/>
          <w:lang w:eastAsia="en-GB"/>
        </w:rPr>
      </w:pPr>
      <w:r w:rsidRPr="4977AA67">
        <w:rPr>
          <w:lang w:eastAsia="en-GB"/>
        </w:rPr>
        <w:lastRenderedPageBreak/>
        <w:t xml:space="preserve">A final, and not uncommon, lesson is around ensuring </w:t>
      </w:r>
      <w:r w:rsidRPr="00070ACA">
        <w:rPr>
          <w:lang w:eastAsia="en-GB"/>
        </w:rPr>
        <w:t>overall regional coherence</w:t>
      </w:r>
      <w:r w:rsidRPr="4977AA67">
        <w:rPr>
          <w:lang w:eastAsia="en-GB"/>
        </w:rPr>
        <w:t xml:space="preserve"> and a regional approach while giving national or local-level implementers the </w:t>
      </w:r>
      <w:r w:rsidRPr="00070ACA">
        <w:rPr>
          <w:lang w:eastAsia="en-GB"/>
        </w:rPr>
        <w:t>necessary flexibility</w:t>
      </w:r>
      <w:r w:rsidRPr="4977AA67">
        <w:rPr>
          <w:b/>
          <w:bCs/>
          <w:lang w:eastAsia="en-GB"/>
        </w:rPr>
        <w:t xml:space="preserve"> </w:t>
      </w:r>
      <w:r w:rsidRPr="4977AA67">
        <w:rPr>
          <w:lang w:eastAsia="en-GB"/>
        </w:rPr>
        <w:t xml:space="preserve">to respond to changing circumstances. This was navigated well in practice by the programme, but perhaps not anticipated enough, for example in the assumptions of the </w:t>
      </w:r>
      <w:proofErr w:type="spellStart"/>
      <w:r w:rsidRPr="4977AA67">
        <w:rPr>
          <w:lang w:eastAsia="en-GB"/>
        </w:rPr>
        <w:t>ToC</w:t>
      </w:r>
      <w:proofErr w:type="spellEnd"/>
      <w:r w:rsidRPr="4977AA67">
        <w:rPr>
          <w:lang w:eastAsia="en-GB"/>
        </w:rPr>
        <w:t xml:space="preserve">. While some things, such as the pandemic, could not have been foreseen, there was always a high risk of socio-political instability in some countries, with unforeseeable results. The design process of the next stage should include a discussion between ROAS, involved COs and the donor on what the parameters are for national-level flexibility while maintaining regional and systemic coherence, perhaps by working through scenarios based on the experiences in Phase II, </w:t>
      </w:r>
      <w:proofErr w:type="gramStart"/>
      <w:r w:rsidRPr="4977AA67">
        <w:rPr>
          <w:lang w:eastAsia="en-GB"/>
        </w:rPr>
        <w:t>in particular in</w:t>
      </w:r>
      <w:proofErr w:type="gramEnd"/>
      <w:r w:rsidRPr="4977AA67">
        <w:rPr>
          <w:lang w:eastAsia="en-GB"/>
        </w:rPr>
        <w:t xml:space="preserve"> Lebanon and Palestine. If the next phase of MWGE will include countries which are less stable than the current ones, then this reflection process becomes even more pressing.</w:t>
      </w:r>
      <w:r>
        <w:rPr>
          <w:lang w:eastAsia="en-GB"/>
        </w:rPr>
        <w:t xml:space="preserve"> </w:t>
      </w:r>
      <w:r w:rsidRPr="00712B13">
        <w:rPr>
          <w:b/>
          <w:bCs/>
          <w:color w:val="588B46" w:themeColor="text2"/>
          <w:lang w:eastAsia="en-GB"/>
        </w:rPr>
        <w:t>(Based on Finding 4.1, 4.2 and 9.1)</w:t>
      </w:r>
    </w:p>
    <w:p w14:paraId="303237DD" w14:textId="77777777" w:rsidR="00712B13" w:rsidRDefault="00712B13" w:rsidP="00712B13">
      <w:pPr>
        <w:pStyle w:val="ItadNormalText"/>
      </w:pPr>
    </w:p>
    <w:p w14:paraId="2642E7CA" w14:textId="77777777" w:rsidR="00712B13" w:rsidRDefault="00712B13" w:rsidP="00773271">
      <w:pPr>
        <w:pStyle w:val="ItadNormalText"/>
        <w:jc w:val="both"/>
        <w:rPr>
          <w:lang w:eastAsia="en-GB"/>
        </w:rPr>
      </w:pPr>
    </w:p>
    <w:p w14:paraId="2561016E" w14:textId="77777777" w:rsidR="00712B13" w:rsidRDefault="00712B13" w:rsidP="00773271">
      <w:pPr>
        <w:pStyle w:val="ItadNormalText"/>
        <w:jc w:val="both"/>
        <w:rPr>
          <w:lang w:eastAsia="en-GB"/>
        </w:rPr>
      </w:pPr>
    </w:p>
    <w:p w14:paraId="002DEFA3" w14:textId="77777777" w:rsidR="00712B13" w:rsidRDefault="00712B13" w:rsidP="00773271">
      <w:pPr>
        <w:pStyle w:val="ItadNormalText"/>
        <w:jc w:val="both"/>
        <w:rPr>
          <w:lang w:eastAsia="en-GB"/>
        </w:rPr>
      </w:pPr>
    </w:p>
    <w:p w14:paraId="5B37C455" w14:textId="77777777" w:rsidR="00712B13" w:rsidRDefault="00712B13" w:rsidP="00773271">
      <w:pPr>
        <w:pStyle w:val="ItadNormalText"/>
        <w:jc w:val="both"/>
        <w:rPr>
          <w:lang w:eastAsia="en-GB"/>
        </w:rPr>
      </w:pPr>
    </w:p>
    <w:p w14:paraId="478DB6FF" w14:textId="77777777" w:rsidR="00712B13" w:rsidRDefault="00712B13" w:rsidP="00773271">
      <w:pPr>
        <w:pStyle w:val="ItadNormalText"/>
        <w:jc w:val="both"/>
        <w:rPr>
          <w:lang w:eastAsia="en-GB"/>
        </w:rPr>
      </w:pPr>
    </w:p>
    <w:p w14:paraId="293D8987" w14:textId="77777777" w:rsidR="00712B13" w:rsidRDefault="00712B13" w:rsidP="00773271">
      <w:pPr>
        <w:pStyle w:val="ItadNormalText"/>
        <w:jc w:val="both"/>
        <w:rPr>
          <w:lang w:eastAsia="en-GB"/>
        </w:rPr>
      </w:pPr>
    </w:p>
    <w:p w14:paraId="636D1E1F" w14:textId="77777777" w:rsidR="00712B13" w:rsidRDefault="00712B13" w:rsidP="00773271">
      <w:pPr>
        <w:pStyle w:val="ItadNormalText"/>
        <w:jc w:val="both"/>
        <w:rPr>
          <w:lang w:eastAsia="en-GB"/>
        </w:rPr>
      </w:pPr>
    </w:p>
    <w:p w14:paraId="0B57A547" w14:textId="77777777" w:rsidR="00712B13" w:rsidRDefault="00712B13" w:rsidP="00773271">
      <w:pPr>
        <w:pStyle w:val="ItadNormalText"/>
        <w:jc w:val="both"/>
        <w:rPr>
          <w:lang w:eastAsia="en-GB"/>
        </w:rPr>
      </w:pPr>
    </w:p>
    <w:p w14:paraId="1EF56992" w14:textId="77777777" w:rsidR="00712B13" w:rsidRDefault="00712B13" w:rsidP="00773271">
      <w:pPr>
        <w:pStyle w:val="ItadNormalText"/>
        <w:jc w:val="both"/>
        <w:rPr>
          <w:lang w:eastAsia="en-GB"/>
        </w:rPr>
      </w:pPr>
    </w:p>
    <w:p w14:paraId="70636604" w14:textId="77777777" w:rsidR="00712B13" w:rsidRDefault="00712B13" w:rsidP="00773271">
      <w:pPr>
        <w:pStyle w:val="ItadNormalText"/>
        <w:jc w:val="both"/>
        <w:rPr>
          <w:lang w:eastAsia="en-GB"/>
        </w:rPr>
      </w:pPr>
    </w:p>
    <w:p w14:paraId="29E15AEC" w14:textId="77777777" w:rsidR="00712B13" w:rsidRDefault="00712B13" w:rsidP="00773271">
      <w:pPr>
        <w:pStyle w:val="ItadNormalText"/>
        <w:jc w:val="both"/>
        <w:rPr>
          <w:lang w:eastAsia="en-GB"/>
        </w:rPr>
      </w:pPr>
    </w:p>
    <w:p w14:paraId="0B241EB9" w14:textId="77777777" w:rsidR="00712B13" w:rsidRDefault="00712B13" w:rsidP="00773271">
      <w:pPr>
        <w:pStyle w:val="ItadNormalText"/>
        <w:jc w:val="both"/>
        <w:rPr>
          <w:lang w:eastAsia="en-GB"/>
        </w:rPr>
      </w:pPr>
    </w:p>
    <w:p w14:paraId="47651275" w14:textId="77777777" w:rsidR="00712B13" w:rsidRDefault="00712B13" w:rsidP="00773271">
      <w:pPr>
        <w:pStyle w:val="ItadNormalText"/>
        <w:jc w:val="both"/>
        <w:rPr>
          <w:lang w:eastAsia="en-GB"/>
        </w:rPr>
      </w:pPr>
    </w:p>
    <w:p w14:paraId="12DBD791" w14:textId="77777777" w:rsidR="00712B13" w:rsidRDefault="00712B13" w:rsidP="00773271">
      <w:pPr>
        <w:pStyle w:val="ItadNormalText"/>
        <w:jc w:val="both"/>
        <w:rPr>
          <w:lang w:eastAsia="en-GB"/>
        </w:rPr>
      </w:pPr>
    </w:p>
    <w:p w14:paraId="17E652DA" w14:textId="77777777" w:rsidR="00712B13" w:rsidRDefault="00712B13" w:rsidP="00773271">
      <w:pPr>
        <w:pStyle w:val="ItadNormalText"/>
        <w:jc w:val="both"/>
        <w:rPr>
          <w:lang w:eastAsia="en-GB"/>
        </w:rPr>
      </w:pPr>
    </w:p>
    <w:p w14:paraId="34CAAB14" w14:textId="77777777" w:rsidR="00712B13" w:rsidRDefault="00712B13" w:rsidP="00773271">
      <w:pPr>
        <w:pStyle w:val="ItadNormalText"/>
        <w:jc w:val="both"/>
        <w:rPr>
          <w:lang w:eastAsia="en-GB"/>
        </w:rPr>
      </w:pPr>
    </w:p>
    <w:p w14:paraId="6F6B57E1" w14:textId="77777777" w:rsidR="00712B13" w:rsidRDefault="00712B13" w:rsidP="00773271">
      <w:pPr>
        <w:pStyle w:val="ItadNormalText"/>
        <w:jc w:val="both"/>
        <w:rPr>
          <w:lang w:eastAsia="en-GB"/>
        </w:rPr>
      </w:pPr>
    </w:p>
    <w:p w14:paraId="13CD8B93" w14:textId="77777777" w:rsidR="4977AA67" w:rsidRDefault="4977AA67" w:rsidP="4977AA67">
      <w:pPr>
        <w:pStyle w:val="ItadNormalText"/>
        <w:jc w:val="both"/>
        <w:rPr>
          <w:lang w:eastAsia="en-GB"/>
        </w:rPr>
      </w:pPr>
    </w:p>
    <w:p w14:paraId="4F7052E7" w14:textId="77777777" w:rsidR="4977AA67" w:rsidRDefault="4977AA67" w:rsidP="4977AA67">
      <w:pPr>
        <w:pStyle w:val="ItadNormalText"/>
        <w:jc w:val="both"/>
        <w:rPr>
          <w:lang w:eastAsia="en-GB"/>
        </w:rPr>
      </w:pPr>
    </w:p>
    <w:p w14:paraId="23295338" w14:textId="77777777" w:rsidR="4977AA67" w:rsidRDefault="4977AA67" w:rsidP="4977AA67">
      <w:pPr>
        <w:pStyle w:val="ItadNormalText"/>
        <w:jc w:val="both"/>
        <w:rPr>
          <w:lang w:eastAsia="en-GB"/>
        </w:rPr>
      </w:pPr>
    </w:p>
    <w:p w14:paraId="036A4305" w14:textId="77777777" w:rsidR="4977AA67" w:rsidRDefault="4977AA67" w:rsidP="4977AA67">
      <w:pPr>
        <w:pStyle w:val="ItadNormalText"/>
        <w:jc w:val="both"/>
        <w:rPr>
          <w:lang w:eastAsia="en-GB"/>
        </w:rPr>
      </w:pPr>
    </w:p>
    <w:p w14:paraId="1E99C8B9" w14:textId="77777777" w:rsidR="00C31239" w:rsidRDefault="00C31239" w:rsidP="00831D12">
      <w:pPr>
        <w:jc w:val="both"/>
        <w:rPr>
          <w:rFonts w:ascii="CubeOT" w:hAnsi="CubeOT"/>
          <w:bCs/>
          <w:color w:val="E37230" w:themeColor="accent2"/>
          <w:sz w:val="36"/>
          <w:szCs w:val="18"/>
        </w:rPr>
      </w:pPr>
      <w:r>
        <w:br w:type="page"/>
      </w:r>
    </w:p>
    <w:p w14:paraId="0CB613A3" w14:textId="77777777" w:rsidR="006F2F6D" w:rsidRPr="006A561F" w:rsidRDefault="39AF6AE5">
      <w:pPr>
        <w:pStyle w:val="ItadH1"/>
        <w:numPr>
          <w:ilvl w:val="0"/>
          <w:numId w:val="25"/>
        </w:numPr>
      </w:pPr>
      <w:bookmarkStart w:id="57" w:name="_Toc123126200"/>
      <w:r>
        <w:lastRenderedPageBreak/>
        <w:t>Conclusions</w:t>
      </w:r>
      <w:bookmarkEnd w:id="57"/>
    </w:p>
    <w:p w14:paraId="401C110F" w14:textId="29AE6E95" w:rsidR="006F2F6D" w:rsidRPr="00536638" w:rsidRDefault="006F2F6D" w:rsidP="00831D12">
      <w:pPr>
        <w:pStyle w:val="ItadNormalText"/>
        <w:jc w:val="both"/>
        <w:rPr>
          <w:color w:val="588B46" w:themeColor="text2"/>
        </w:rPr>
      </w:pPr>
      <w:bookmarkStart w:id="58" w:name="_Hlk100768354"/>
      <w:r w:rsidRPr="00536638">
        <w:rPr>
          <w:color w:val="588B46" w:themeColor="text2"/>
        </w:rPr>
        <w:t xml:space="preserve">Overall, the MWGE </w:t>
      </w:r>
      <w:r w:rsidR="00B5785A" w:rsidRPr="00536638">
        <w:rPr>
          <w:color w:val="588B46" w:themeColor="text2"/>
        </w:rPr>
        <w:t>p</w:t>
      </w:r>
      <w:r w:rsidRPr="00536638">
        <w:rPr>
          <w:color w:val="588B46" w:themeColor="text2"/>
        </w:rPr>
        <w:t>rogramme succeed</w:t>
      </w:r>
      <w:r w:rsidR="00536638" w:rsidRPr="00536638">
        <w:rPr>
          <w:color w:val="588B46" w:themeColor="text2"/>
        </w:rPr>
        <w:t>ed</w:t>
      </w:r>
      <w:r w:rsidRPr="00536638">
        <w:rPr>
          <w:color w:val="588B46" w:themeColor="text2"/>
        </w:rPr>
        <w:t xml:space="preserve"> in addressing highly sensitive issues in an extremely challenging and diverse operational context. The </w:t>
      </w:r>
      <w:r w:rsidR="00B5785A" w:rsidRPr="00536638">
        <w:rPr>
          <w:color w:val="588B46" w:themeColor="text2"/>
        </w:rPr>
        <w:t>p</w:t>
      </w:r>
      <w:r w:rsidRPr="00536638">
        <w:rPr>
          <w:color w:val="588B46" w:themeColor="text2"/>
        </w:rPr>
        <w:t xml:space="preserve">rogramme </w:t>
      </w:r>
      <w:r w:rsidR="00536638">
        <w:rPr>
          <w:color w:val="588B46" w:themeColor="text2"/>
        </w:rPr>
        <w:t>was</w:t>
      </w:r>
      <w:r w:rsidRPr="00536638">
        <w:rPr>
          <w:color w:val="588B46" w:themeColor="text2"/>
        </w:rPr>
        <w:t xml:space="preserve"> highly relevant</w:t>
      </w:r>
      <w:r w:rsidR="00B5785A" w:rsidRPr="00536638">
        <w:rPr>
          <w:color w:val="588B46" w:themeColor="text2"/>
        </w:rPr>
        <w:t>,</w:t>
      </w:r>
      <w:r w:rsidRPr="00536638">
        <w:rPr>
          <w:color w:val="588B46" w:themeColor="text2"/>
        </w:rPr>
        <w:t xml:space="preserve"> with tangible results and aligned with regional and national environment</w:t>
      </w:r>
      <w:r w:rsidR="00B5785A" w:rsidRPr="00536638">
        <w:rPr>
          <w:color w:val="588B46" w:themeColor="text2"/>
        </w:rPr>
        <w:t>s</w:t>
      </w:r>
      <w:r w:rsidR="002A60F2">
        <w:rPr>
          <w:color w:val="588B46" w:themeColor="text2"/>
        </w:rPr>
        <w:t xml:space="preserve">. Its </w:t>
      </w:r>
      <w:r w:rsidRPr="00536638">
        <w:rPr>
          <w:color w:val="588B46" w:themeColor="text2"/>
        </w:rPr>
        <w:t xml:space="preserve">major successes </w:t>
      </w:r>
      <w:r w:rsidR="00536638">
        <w:rPr>
          <w:color w:val="588B46" w:themeColor="text2"/>
        </w:rPr>
        <w:t>were</w:t>
      </w:r>
      <w:r w:rsidRPr="00536638">
        <w:rPr>
          <w:color w:val="588B46" w:themeColor="text2"/>
        </w:rPr>
        <w:t xml:space="preserve"> demonstrated in design and delivery of technical components, while observed shortfalls </w:t>
      </w:r>
      <w:r w:rsidR="00536638">
        <w:rPr>
          <w:color w:val="588B46" w:themeColor="text2"/>
        </w:rPr>
        <w:t>were</w:t>
      </w:r>
      <w:r w:rsidRPr="00536638">
        <w:rPr>
          <w:color w:val="588B46" w:themeColor="text2"/>
        </w:rPr>
        <w:t xml:space="preserve"> mainly process-oriented.</w:t>
      </w:r>
      <w:r w:rsidR="0045151A" w:rsidRPr="00536638">
        <w:rPr>
          <w:color w:val="588B46" w:themeColor="text2"/>
        </w:rPr>
        <w:t xml:space="preserve"> As a result, the MWGE c</w:t>
      </w:r>
      <w:r w:rsidR="002A60F2">
        <w:rPr>
          <w:color w:val="588B46" w:themeColor="text2"/>
        </w:rPr>
        <w:t>ould</w:t>
      </w:r>
      <w:r w:rsidR="0045151A" w:rsidRPr="00536638">
        <w:rPr>
          <w:color w:val="588B46" w:themeColor="text2"/>
        </w:rPr>
        <w:t xml:space="preserve"> arguably be given mostly a ‘gender-responsive’ status on the GRES scale, though for many individual beneficiaries, the impacts undoubtedly were ‘gender transformative.’ Individual activities, such as relatively basic awareness raising on gender</w:t>
      </w:r>
      <w:r w:rsidR="00D127E5" w:rsidRPr="00536638">
        <w:rPr>
          <w:color w:val="588B46" w:themeColor="text2"/>
        </w:rPr>
        <w:t xml:space="preserve"> </w:t>
      </w:r>
      <w:r w:rsidR="0045151A" w:rsidRPr="00536638">
        <w:rPr>
          <w:color w:val="588B46" w:themeColor="text2"/>
        </w:rPr>
        <w:t>would however need to be ranked as ‘gender targeted.’</w:t>
      </w:r>
      <w:bookmarkEnd w:id="58"/>
    </w:p>
    <w:p w14:paraId="0FC732CF" w14:textId="77777777" w:rsidR="006F2F6D" w:rsidRPr="006A561F" w:rsidRDefault="006F2F6D" w:rsidP="00831D12">
      <w:pPr>
        <w:pStyle w:val="ItadNormalText"/>
        <w:jc w:val="both"/>
      </w:pPr>
      <w:bookmarkStart w:id="59" w:name="_Hlk100768057"/>
      <w:r w:rsidRPr="006A561F">
        <w:t xml:space="preserve">The above statement is supported by </w:t>
      </w:r>
      <w:r w:rsidR="005039BB" w:rsidRPr="006A561F">
        <w:t xml:space="preserve">twelve </w:t>
      </w:r>
      <w:r w:rsidRPr="006A561F">
        <w:t xml:space="preserve">conclusions, synthesised from across the </w:t>
      </w:r>
      <w:r w:rsidR="00B022B8" w:rsidRPr="006A561F">
        <w:t>nine EQs.</w:t>
      </w:r>
    </w:p>
    <w:p w14:paraId="67F4F82D" w14:textId="0985B03C" w:rsidR="006F2F6D" w:rsidRDefault="006F2F6D" w:rsidP="00831D12">
      <w:pPr>
        <w:pStyle w:val="ItadNormalText"/>
        <w:jc w:val="both"/>
        <w:rPr>
          <w:b/>
          <w:bCs/>
          <w:color w:val="588B46" w:themeColor="text2"/>
        </w:rPr>
      </w:pPr>
      <w:r w:rsidRPr="65017676">
        <w:rPr>
          <w:b/>
          <w:bCs/>
          <w:color w:val="auto"/>
        </w:rPr>
        <w:t>Conclusion 1</w:t>
      </w:r>
      <w:r w:rsidRPr="65017676">
        <w:rPr>
          <w:b/>
          <w:bCs/>
        </w:rPr>
        <w:t>:</w:t>
      </w:r>
      <w:r>
        <w:t xml:space="preserve"> </w:t>
      </w:r>
      <w:r w:rsidR="00A87A46">
        <w:t>T</w:t>
      </w:r>
      <w:r>
        <w:t xml:space="preserve">he MWGE </w:t>
      </w:r>
      <w:r w:rsidR="00A87A46">
        <w:t>programme</w:t>
      </w:r>
      <w:r>
        <w:t xml:space="preserve"> </w:t>
      </w:r>
      <w:r w:rsidR="00A87A46">
        <w:t xml:space="preserve">was </w:t>
      </w:r>
      <w:r>
        <w:t>very well aligned with national GEWE and EVAW policy</w:t>
      </w:r>
      <w:r w:rsidR="00D83B5F">
        <w:t>,</w:t>
      </w:r>
      <w:r>
        <w:t xml:space="preserve"> normative </w:t>
      </w:r>
      <w:proofErr w:type="gramStart"/>
      <w:r>
        <w:t>frameworks</w:t>
      </w:r>
      <w:proofErr w:type="gramEnd"/>
      <w:r>
        <w:t xml:space="preserve"> </w:t>
      </w:r>
      <w:r w:rsidR="00EA6B83">
        <w:t>and strategies</w:t>
      </w:r>
      <w:r w:rsidR="00D83B5F">
        <w:t>;</w:t>
      </w:r>
      <w:r w:rsidR="00DD0FA3">
        <w:t xml:space="preserve"> support</w:t>
      </w:r>
      <w:r w:rsidR="00A87A46">
        <w:t>ed</w:t>
      </w:r>
      <w:r w:rsidR="00DD0FA3">
        <w:t xml:space="preserve"> the respective UNDAFs</w:t>
      </w:r>
      <w:r w:rsidR="00EA6B83">
        <w:t xml:space="preserve"> </w:t>
      </w:r>
      <w:r>
        <w:t>in all six countries</w:t>
      </w:r>
      <w:r w:rsidR="00D83B5F">
        <w:t>;</w:t>
      </w:r>
      <w:r>
        <w:t xml:space="preserve"> and address</w:t>
      </w:r>
      <w:r w:rsidR="00A87A46">
        <w:t>ed</w:t>
      </w:r>
      <w:r>
        <w:t xml:space="preserve"> key concerns identified by civil society, government and other stakeholders</w:t>
      </w:r>
      <w:r w:rsidR="00B022B8">
        <w:t>,</w:t>
      </w:r>
      <w:r>
        <w:t xml:space="preserve"> both regionally and at national level. It </w:t>
      </w:r>
      <w:r w:rsidR="00B065A4">
        <w:t>was</w:t>
      </w:r>
      <w:r>
        <w:t xml:space="preserve"> in line with UN Women’s strategic goals, and the lessons learned from implementing the programme </w:t>
      </w:r>
      <w:r w:rsidR="00B065A4">
        <w:t>were</w:t>
      </w:r>
      <w:r>
        <w:t xml:space="preserve"> influential in shaping UN Women’s global thinking on and approach to work on changing social norms</w:t>
      </w:r>
      <w:r w:rsidR="002A60F2">
        <w:t xml:space="preserve">. </w:t>
      </w:r>
      <w:r w:rsidR="00B055E3">
        <w:t>The</w:t>
      </w:r>
      <w:r>
        <w:t xml:space="preserve"> MWGE programme </w:t>
      </w:r>
      <w:r w:rsidR="00B065A4">
        <w:t>was</w:t>
      </w:r>
      <w:r>
        <w:t xml:space="preserve"> </w:t>
      </w:r>
      <w:r w:rsidR="00B80279">
        <w:t xml:space="preserve">for the most </w:t>
      </w:r>
      <w:r>
        <w:t>part aligned with UN Women’s guidance on engaging men and boys</w:t>
      </w:r>
      <w:r w:rsidR="00B022B8">
        <w:t>,</w:t>
      </w:r>
      <w:r>
        <w:t xml:space="preserve"> </w:t>
      </w:r>
      <w:r w:rsidR="00B80279">
        <w:t>but</w:t>
      </w:r>
      <w:r>
        <w:t xml:space="preserve"> strategies for engagement with feminist groups, transforming patriarchal masculinities, and developing linkages of individual change with wider social and legal change </w:t>
      </w:r>
      <w:r w:rsidR="00B065A4">
        <w:t>were</w:t>
      </w:r>
      <w:r>
        <w:t xml:space="preserve"> not yet fully articulated </w:t>
      </w:r>
      <w:r w:rsidRPr="002A60F2">
        <w:rPr>
          <w:b/>
          <w:bCs/>
          <w:color w:val="588B46" w:themeColor="text2"/>
        </w:rPr>
        <w:t>(</w:t>
      </w:r>
      <w:r w:rsidR="007A36B3">
        <w:rPr>
          <w:b/>
          <w:bCs/>
          <w:color w:val="588B46" w:themeColor="text2"/>
        </w:rPr>
        <w:t xml:space="preserve">Based on </w:t>
      </w:r>
      <w:r w:rsidR="00B022B8" w:rsidRPr="002A60F2">
        <w:rPr>
          <w:b/>
          <w:bCs/>
          <w:color w:val="588B46" w:themeColor="text2"/>
        </w:rPr>
        <w:t>F</w:t>
      </w:r>
      <w:r w:rsidRPr="002A60F2">
        <w:rPr>
          <w:b/>
          <w:bCs/>
          <w:color w:val="588B46" w:themeColor="text2"/>
        </w:rPr>
        <w:t xml:space="preserve">inding </w:t>
      </w:r>
      <w:r w:rsidR="002A60F2" w:rsidRPr="002A60F2">
        <w:rPr>
          <w:b/>
          <w:bCs/>
          <w:color w:val="588B46" w:themeColor="text2"/>
        </w:rPr>
        <w:t xml:space="preserve">1.1 and </w:t>
      </w:r>
      <w:r w:rsidRPr="002A60F2">
        <w:rPr>
          <w:b/>
          <w:bCs/>
          <w:color w:val="588B46" w:themeColor="text2"/>
        </w:rPr>
        <w:t>1.</w:t>
      </w:r>
      <w:r w:rsidR="005A5F3C" w:rsidRPr="002A60F2">
        <w:rPr>
          <w:b/>
          <w:bCs/>
          <w:color w:val="588B46" w:themeColor="text2"/>
        </w:rPr>
        <w:t>2</w:t>
      </w:r>
      <w:r w:rsidRPr="002A60F2">
        <w:rPr>
          <w:b/>
          <w:bCs/>
          <w:color w:val="588B46" w:themeColor="text2"/>
        </w:rPr>
        <w:t>).</w:t>
      </w:r>
    </w:p>
    <w:p w14:paraId="3BE1D367" w14:textId="774E71D5" w:rsidR="006F2F6D" w:rsidRPr="006A561F" w:rsidRDefault="006F2F6D" w:rsidP="00831D12">
      <w:pPr>
        <w:pStyle w:val="ItadNormalText"/>
        <w:jc w:val="both"/>
      </w:pPr>
      <w:r w:rsidRPr="006A561F">
        <w:rPr>
          <w:b/>
          <w:bCs/>
          <w:color w:val="auto"/>
        </w:rPr>
        <w:t xml:space="preserve">Conclusion 2: </w:t>
      </w:r>
      <w:r w:rsidRPr="006A561F">
        <w:t xml:space="preserve">The </w:t>
      </w:r>
      <w:r w:rsidRPr="00A87A46">
        <w:t>adaptivity</w:t>
      </w:r>
      <w:r w:rsidRPr="00A87A46">
        <w:rPr>
          <w:color w:val="E37230" w:themeColor="accent2"/>
        </w:rPr>
        <w:t xml:space="preserve"> </w:t>
      </w:r>
      <w:r w:rsidRPr="006A561F">
        <w:t xml:space="preserve">of the MWGE programme </w:t>
      </w:r>
      <w:r w:rsidR="00B065A4">
        <w:t>was</w:t>
      </w:r>
      <w:r w:rsidRPr="006A561F">
        <w:t xml:space="preserve"> appropriate to the changing contexts in all countries, and </w:t>
      </w:r>
      <w:r w:rsidR="00B065A4">
        <w:t>it managed to</w:t>
      </w:r>
      <w:r w:rsidRPr="006A561F">
        <w:t xml:space="preserve"> remain so throughout both implementation phases. The programme respond</w:t>
      </w:r>
      <w:r w:rsidR="00B065A4">
        <w:t xml:space="preserve">ed </w:t>
      </w:r>
      <w:r w:rsidRPr="006A561F">
        <w:t xml:space="preserve">to a variety of </w:t>
      </w:r>
      <w:r w:rsidR="00201936" w:rsidRPr="006A561F">
        <w:t>socio-political</w:t>
      </w:r>
      <w:r w:rsidRPr="006A561F">
        <w:t xml:space="preserve"> and economic crises in the implementing </w:t>
      </w:r>
      <w:proofErr w:type="gramStart"/>
      <w:r w:rsidRPr="006A561F">
        <w:t xml:space="preserve">countries, </w:t>
      </w:r>
      <w:r w:rsidR="00B065A4">
        <w:t>and</w:t>
      </w:r>
      <w:proofErr w:type="gramEnd"/>
      <w:r w:rsidRPr="006A561F">
        <w:t xml:space="preserve"> was also able to capitalise on favourable political developments</w:t>
      </w:r>
      <w:r w:rsidR="00B065A4">
        <w:t xml:space="preserve">. </w:t>
      </w:r>
      <w:r w:rsidRPr="006A561F">
        <w:t>The COVID-19 pandemic forced the programme to quickly adapt its ways of working, which it did successfully</w:t>
      </w:r>
      <w:r w:rsidRPr="007A36B3">
        <w:t xml:space="preserve">. The ‘shadow pandemic’ of increased VAWG </w:t>
      </w:r>
      <w:proofErr w:type="gramStart"/>
      <w:r w:rsidRPr="007A36B3">
        <w:t>as a consequence of</w:t>
      </w:r>
      <w:proofErr w:type="gramEnd"/>
      <w:r w:rsidRPr="007A36B3">
        <w:t xml:space="preserve"> COVID-19 and higher levels</w:t>
      </w:r>
      <w:r w:rsidR="0023424F" w:rsidRPr="007A36B3">
        <w:t xml:space="preserve"> of</w:t>
      </w:r>
      <w:r w:rsidRPr="007A36B3">
        <w:t xml:space="preserve"> socioecon</w:t>
      </w:r>
      <w:r w:rsidRPr="006A561F">
        <w:t>omic stress underscored the importance of the programme and</w:t>
      </w:r>
      <w:r w:rsidR="0023424F" w:rsidRPr="006A561F">
        <w:t xml:space="preserve"> also</w:t>
      </w:r>
      <w:r w:rsidRPr="006A561F">
        <w:t xml:space="preserve"> led</w:t>
      </w:r>
      <w:r w:rsidR="0023424F" w:rsidRPr="006A561F">
        <w:t xml:space="preserve"> to</w:t>
      </w:r>
      <w:r w:rsidRPr="006A561F">
        <w:t xml:space="preserve"> it adapt</w:t>
      </w:r>
      <w:r w:rsidR="0023424F" w:rsidRPr="006A561F">
        <w:t>ing</w:t>
      </w:r>
      <w:r w:rsidRPr="006A561F">
        <w:t xml:space="preserve"> its messaging.</w:t>
      </w:r>
      <w:r w:rsidR="00ED0F54">
        <w:t xml:space="preserve"> While </w:t>
      </w:r>
      <w:r w:rsidR="00466BE9">
        <w:t xml:space="preserve">the </w:t>
      </w:r>
      <w:r w:rsidR="006409AB">
        <w:t xml:space="preserve">degree of flexibility and adaptability was essential to the work at the local and national levels, it did in some cases </w:t>
      </w:r>
      <w:r w:rsidR="0025787A">
        <w:t>lead to a degree of divergence</w:t>
      </w:r>
      <w:r w:rsidR="00EF03CF">
        <w:t xml:space="preserve"> – particularly in relation to communications </w:t>
      </w:r>
      <w:r w:rsidR="00D330D9">
        <w:t>- that</w:t>
      </w:r>
      <w:r w:rsidR="0025787A">
        <w:t xml:space="preserve"> risked challenging the overall regional coherence of the programme.</w:t>
      </w:r>
      <w:r w:rsidR="00B065A4">
        <w:t xml:space="preserve"> </w:t>
      </w:r>
      <w:r w:rsidR="00B065A4" w:rsidRPr="00D330D9">
        <w:rPr>
          <w:b/>
          <w:bCs/>
          <w:color w:val="588B46" w:themeColor="text2"/>
        </w:rPr>
        <w:t>(</w:t>
      </w:r>
      <w:r w:rsidR="007A36B3">
        <w:rPr>
          <w:b/>
          <w:bCs/>
          <w:color w:val="588B46" w:themeColor="text2"/>
        </w:rPr>
        <w:t xml:space="preserve">Based on </w:t>
      </w:r>
      <w:r w:rsidR="00B065A4" w:rsidRPr="00D330D9">
        <w:rPr>
          <w:b/>
          <w:bCs/>
          <w:color w:val="588B46" w:themeColor="text2"/>
        </w:rPr>
        <w:t>Findings 2.1 and 2.2).</w:t>
      </w:r>
    </w:p>
    <w:p w14:paraId="6177F653" w14:textId="651DBD5B" w:rsidR="006F2F6D" w:rsidRDefault="006F2F6D" w:rsidP="00831D12">
      <w:pPr>
        <w:pStyle w:val="ItadNormalText"/>
        <w:jc w:val="both"/>
        <w:rPr>
          <w:b/>
          <w:bCs/>
          <w:color w:val="588B46" w:themeColor="text2"/>
        </w:rPr>
      </w:pPr>
      <w:r w:rsidRPr="006A561F">
        <w:rPr>
          <w:b/>
          <w:bCs/>
          <w:color w:val="auto"/>
        </w:rPr>
        <w:t xml:space="preserve">Conclusion 3: </w:t>
      </w:r>
      <w:r w:rsidRPr="006A561F">
        <w:t xml:space="preserve">UN Women demonstrated several strategic and practical </w:t>
      </w:r>
      <w:r w:rsidRPr="007A36B3">
        <w:t>comparative advantages</w:t>
      </w:r>
      <w:r w:rsidRPr="007A36B3">
        <w:rPr>
          <w:color w:val="E37230" w:themeColor="accent2"/>
        </w:rPr>
        <w:t xml:space="preserve"> </w:t>
      </w:r>
      <w:r w:rsidRPr="007A36B3">
        <w:t>over</w:t>
      </w:r>
      <w:r w:rsidRPr="006A561F">
        <w:t xml:space="preserve"> other UN agencies as well as compared to national agencies or INGOs. These </w:t>
      </w:r>
      <w:proofErr w:type="gramStart"/>
      <w:r w:rsidRPr="006A561F">
        <w:t>include</w:t>
      </w:r>
      <w:r w:rsidR="0023424F" w:rsidRPr="006A561F">
        <w:t>:</w:t>
      </w:r>
      <w:proofErr w:type="gramEnd"/>
      <w:r w:rsidRPr="006A561F">
        <w:t xml:space="preserve"> having the necessary political mandate for working on gender norm</w:t>
      </w:r>
      <w:r w:rsidR="00201936">
        <w:t>s</w:t>
      </w:r>
      <w:r w:rsidRPr="006A561F">
        <w:t xml:space="preserve"> change; technical expertise; its positioning and standing as an intermediary across national gender equality machineries, UN agencies and civil society</w:t>
      </w:r>
      <w:r w:rsidR="0023424F" w:rsidRPr="006A561F">
        <w:t>,</w:t>
      </w:r>
      <w:r w:rsidRPr="006A561F">
        <w:t xml:space="preserve"> as well as </w:t>
      </w:r>
      <w:r w:rsidR="0023424F" w:rsidRPr="006A561F">
        <w:t xml:space="preserve">its </w:t>
      </w:r>
      <w:r w:rsidRPr="006A561F">
        <w:t xml:space="preserve">links to academia; and having the necessary infrastructure in place to implement such a programme at both regional and </w:t>
      </w:r>
      <w:r w:rsidR="0023424F" w:rsidRPr="006A561F">
        <w:t xml:space="preserve">the </w:t>
      </w:r>
      <w:r w:rsidRPr="006A561F">
        <w:t xml:space="preserve">respective national level. However, while UN Women </w:t>
      </w:r>
      <w:r w:rsidR="007A36B3">
        <w:t>was</w:t>
      </w:r>
      <w:r w:rsidRPr="006A561F">
        <w:t xml:space="preserve"> able to use its added value to the benefit of the programme, including in terms of influencing other areas </w:t>
      </w:r>
      <w:r w:rsidR="0023424F" w:rsidRPr="006A561F">
        <w:t xml:space="preserve">of </w:t>
      </w:r>
      <w:r w:rsidRPr="006A561F">
        <w:t>work within UN Women itself</w:t>
      </w:r>
      <w:r w:rsidR="00F96424">
        <w:t>, building on synergies,</w:t>
      </w:r>
      <w:r w:rsidRPr="006A561F">
        <w:t xml:space="preserve"> as well as </w:t>
      </w:r>
      <w:r w:rsidR="00F96424">
        <w:t xml:space="preserve">influencing and cooperating </w:t>
      </w:r>
      <w:r w:rsidR="0023424F" w:rsidRPr="006A561F">
        <w:t xml:space="preserve">with </w:t>
      </w:r>
      <w:r w:rsidRPr="006A561F">
        <w:t xml:space="preserve">other UN agencies, engagements under a ‘One UN’ </w:t>
      </w:r>
      <w:r w:rsidR="00A13EF6">
        <w:t>approach</w:t>
      </w:r>
      <w:r w:rsidRPr="006A561F">
        <w:t xml:space="preserve"> could </w:t>
      </w:r>
      <w:r w:rsidR="007A36B3">
        <w:t>have been stronger</w:t>
      </w:r>
      <w:r w:rsidRPr="006A561F">
        <w:t xml:space="preserve">, planned for and undertaken </w:t>
      </w:r>
      <w:r w:rsidRPr="00BC5F1C">
        <w:rPr>
          <w:b/>
          <w:bCs/>
          <w:color w:val="588B46" w:themeColor="text2"/>
        </w:rPr>
        <w:t>(</w:t>
      </w:r>
      <w:r w:rsidR="00BC5F1C" w:rsidRPr="00BC5F1C">
        <w:rPr>
          <w:b/>
          <w:bCs/>
          <w:color w:val="588B46" w:themeColor="text2"/>
        </w:rPr>
        <w:t xml:space="preserve">Based on </w:t>
      </w:r>
      <w:r w:rsidR="0023424F" w:rsidRPr="00BC5F1C">
        <w:rPr>
          <w:b/>
          <w:bCs/>
          <w:color w:val="588B46" w:themeColor="text2"/>
        </w:rPr>
        <w:t>F</w:t>
      </w:r>
      <w:r w:rsidRPr="00BC5F1C">
        <w:rPr>
          <w:b/>
          <w:bCs/>
          <w:color w:val="588B46" w:themeColor="text2"/>
        </w:rPr>
        <w:t xml:space="preserve">inding </w:t>
      </w:r>
      <w:r w:rsidR="00D330D9" w:rsidRPr="00BC5F1C">
        <w:rPr>
          <w:b/>
          <w:bCs/>
          <w:color w:val="588B46" w:themeColor="text2"/>
        </w:rPr>
        <w:t xml:space="preserve">3.1, </w:t>
      </w:r>
      <w:r w:rsidRPr="00BC5F1C">
        <w:rPr>
          <w:b/>
          <w:bCs/>
          <w:color w:val="588B46" w:themeColor="text2"/>
        </w:rPr>
        <w:t>3.</w:t>
      </w:r>
      <w:r w:rsidR="00E037B7" w:rsidRPr="00BC5F1C">
        <w:rPr>
          <w:b/>
          <w:bCs/>
          <w:color w:val="588B46" w:themeColor="text2"/>
        </w:rPr>
        <w:t>2</w:t>
      </w:r>
      <w:r w:rsidRPr="00BC5F1C">
        <w:rPr>
          <w:b/>
          <w:bCs/>
          <w:color w:val="588B46" w:themeColor="text2"/>
        </w:rPr>
        <w:t>).</w:t>
      </w:r>
    </w:p>
    <w:p w14:paraId="5231BB2C" w14:textId="36474E40" w:rsidR="006F2F6D" w:rsidRPr="006A561F" w:rsidRDefault="006F2F6D" w:rsidP="00831D12">
      <w:pPr>
        <w:pStyle w:val="ItadNormalText"/>
        <w:jc w:val="both"/>
      </w:pPr>
      <w:r w:rsidRPr="006A561F">
        <w:rPr>
          <w:b/>
          <w:bCs/>
          <w:color w:val="auto"/>
        </w:rPr>
        <w:t xml:space="preserve">Conclusion 4: </w:t>
      </w:r>
      <w:r w:rsidRPr="006A561F">
        <w:t xml:space="preserve">The </w:t>
      </w:r>
      <w:r w:rsidR="007A36B3">
        <w:t xml:space="preserve">programme </w:t>
      </w:r>
      <w:proofErr w:type="spellStart"/>
      <w:r w:rsidRPr="00D330D9">
        <w:t>ToC</w:t>
      </w:r>
      <w:proofErr w:type="spellEnd"/>
      <w:r w:rsidRPr="00D330D9">
        <w:rPr>
          <w:color w:val="E37230" w:themeColor="accent2"/>
        </w:rPr>
        <w:t xml:space="preserve"> </w:t>
      </w:r>
      <w:r w:rsidR="007A36B3">
        <w:t xml:space="preserve">was </w:t>
      </w:r>
      <w:r w:rsidRPr="006A561F">
        <w:t>relevant to the extent that it broadly capture</w:t>
      </w:r>
      <w:r w:rsidR="007A36B3">
        <w:t>d</w:t>
      </w:r>
      <w:r w:rsidRPr="006A561F">
        <w:t xml:space="preserve"> the programme thematic areas and the change it </w:t>
      </w:r>
      <w:r w:rsidR="007A36B3">
        <w:t>planned</w:t>
      </w:r>
      <w:r w:rsidRPr="006A561F">
        <w:t xml:space="preserve"> to achieve in the impact and outcome statements. It outline</w:t>
      </w:r>
      <w:r w:rsidR="007A36B3">
        <w:t>d</w:t>
      </w:r>
      <w:r w:rsidRPr="006A561F">
        <w:t xml:space="preserve"> information about what activities could contribute to these changes and some intermediary outputs which would suggest </w:t>
      </w:r>
      <w:r w:rsidR="0023424F" w:rsidRPr="006A561F">
        <w:t xml:space="preserve">that </w:t>
      </w:r>
      <w:r w:rsidRPr="006A561F">
        <w:t>the programme is on the right path to reaching them. It therefore provide</w:t>
      </w:r>
      <w:r w:rsidR="007A36B3">
        <w:t>d</w:t>
      </w:r>
      <w:r w:rsidRPr="006A561F">
        <w:t xml:space="preserve"> a useful overview of the programme and</w:t>
      </w:r>
      <w:r w:rsidR="0023424F" w:rsidRPr="006A561F">
        <w:t xml:space="preserve"> a</w:t>
      </w:r>
      <w:r w:rsidRPr="006A561F">
        <w:t xml:space="preserve"> broad framework for the country programmes to follow for implementation. That said, the broadness of the </w:t>
      </w:r>
      <w:proofErr w:type="spellStart"/>
      <w:r w:rsidRPr="006A561F">
        <w:t>ToC</w:t>
      </w:r>
      <w:proofErr w:type="spellEnd"/>
      <w:r w:rsidRPr="006A561F">
        <w:t xml:space="preserve"> mean</w:t>
      </w:r>
      <w:r w:rsidR="007A36B3">
        <w:t>t</w:t>
      </w:r>
      <w:r w:rsidRPr="006A561F">
        <w:t xml:space="preserve"> that logic chains </w:t>
      </w:r>
      <w:r w:rsidR="007A36B3">
        <w:t>were</w:t>
      </w:r>
      <w:r w:rsidRPr="006A561F">
        <w:t xml:space="preserve"> not interrogated, the ways in which the different levels of the </w:t>
      </w:r>
      <w:proofErr w:type="spellStart"/>
      <w:r w:rsidRPr="006A561F">
        <w:t>ToC</w:t>
      </w:r>
      <w:proofErr w:type="spellEnd"/>
      <w:r w:rsidRPr="006A561F">
        <w:t xml:space="preserve"> (micro, </w:t>
      </w:r>
      <w:proofErr w:type="spellStart"/>
      <w:r w:rsidRPr="006A561F">
        <w:t>meso</w:t>
      </w:r>
      <w:proofErr w:type="spellEnd"/>
      <w:r w:rsidRPr="006A561F">
        <w:t xml:space="preserve"> and macro</w:t>
      </w:r>
      <w:r w:rsidR="00A37635" w:rsidRPr="006A561F">
        <w:t xml:space="preserve"> </w:t>
      </w:r>
      <w:r w:rsidRPr="006A561F">
        <w:t>level</w:t>
      </w:r>
      <w:r w:rsidR="00A37635" w:rsidRPr="006A561F">
        <w:t>s</w:t>
      </w:r>
      <w:r w:rsidRPr="006A561F">
        <w:t>) interact</w:t>
      </w:r>
      <w:r w:rsidR="007A36B3">
        <w:t>ed</w:t>
      </w:r>
      <w:r w:rsidRPr="006A561F">
        <w:t xml:space="preserve"> and reinforce</w:t>
      </w:r>
      <w:r w:rsidR="007A36B3">
        <w:t>d</w:t>
      </w:r>
      <w:r w:rsidRPr="006A561F">
        <w:t xml:space="preserve"> each other </w:t>
      </w:r>
      <w:r w:rsidR="007A36B3">
        <w:t xml:space="preserve">was </w:t>
      </w:r>
      <w:r w:rsidRPr="006A561F">
        <w:t xml:space="preserve">not </w:t>
      </w:r>
      <w:r w:rsidR="00B4459E">
        <w:t xml:space="preserve">systematically </w:t>
      </w:r>
      <w:r w:rsidRPr="006A561F">
        <w:t>explored</w:t>
      </w:r>
      <w:r w:rsidR="00275F75">
        <w:t>. Furthermore,</w:t>
      </w:r>
      <w:r w:rsidR="007A36B3">
        <w:t xml:space="preserve"> </w:t>
      </w:r>
      <w:r w:rsidRPr="006A561F">
        <w:t>assumptions remain</w:t>
      </w:r>
      <w:r w:rsidR="007A36B3">
        <w:t>ed</w:t>
      </w:r>
      <w:r w:rsidRPr="006A561F">
        <w:t xml:space="preserve"> at a very high level whereby they c</w:t>
      </w:r>
      <w:r w:rsidR="007A36B3">
        <w:t>ould not</w:t>
      </w:r>
      <w:r w:rsidRPr="006A561F">
        <w:t xml:space="preserve"> feed tangibly into </w:t>
      </w:r>
      <w:r w:rsidR="0023424F" w:rsidRPr="006A561F">
        <w:t xml:space="preserve">a </w:t>
      </w:r>
      <w:r w:rsidRPr="006A561F">
        <w:t xml:space="preserve">specific risk and mitigation plan. ROAS and </w:t>
      </w:r>
      <w:r w:rsidR="0023424F" w:rsidRPr="006A561F">
        <w:t>COs</w:t>
      </w:r>
      <w:r w:rsidRPr="006A561F">
        <w:t xml:space="preserve"> </w:t>
      </w:r>
      <w:r w:rsidR="007A36B3">
        <w:t>did</w:t>
      </w:r>
      <w:r w:rsidRPr="006A561F">
        <w:t xml:space="preserve"> not work</w:t>
      </w:r>
      <w:r w:rsidR="007A36B3">
        <w:t xml:space="preserve"> </w:t>
      </w:r>
      <w:r w:rsidRPr="006A561F">
        <w:t xml:space="preserve">systematically together to interpret the </w:t>
      </w:r>
      <w:proofErr w:type="spellStart"/>
      <w:r w:rsidRPr="006A561F">
        <w:t>ToC</w:t>
      </w:r>
      <w:proofErr w:type="spellEnd"/>
      <w:r w:rsidRPr="006A561F">
        <w:t xml:space="preserve"> at country</w:t>
      </w:r>
      <w:r w:rsidR="0023424F" w:rsidRPr="006A561F">
        <w:t xml:space="preserve"> </w:t>
      </w:r>
      <w:r w:rsidRPr="006A561F">
        <w:t>level and contextualise</w:t>
      </w:r>
      <w:r w:rsidR="007A36B3">
        <w:t>d</w:t>
      </w:r>
      <w:r w:rsidRPr="006A561F">
        <w:t xml:space="preserve"> the change pathways in terms of reporting, course correction and consensus building </w:t>
      </w:r>
      <w:r w:rsidRPr="00BC5F1C">
        <w:rPr>
          <w:b/>
          <w:bCs/>
          <w:color w:val="588B46" w:themeColor="text2"/>
        </w:rPr>
        <w:t>(</w:t>
      </w:r>
      <w:r w:rsidR="00BC5F1C" w:rsidRPr="00BC5F1C">
        <w:rPr>
          <w:b/>
          <w:bCs/>
          <w:color w:val="588B46" w:themeColor="text2"/>
        </w:rPr>
        <w:t xml:space="preserve">Based on </w:t>
      </w:r>
      <w:r w:rsidR="0023424F" w:rsidRPr="00BC5F1C">
        <w:rPr>
          <w:b/>
          <w:bCs/>
          <w:color w:val="588B46" w:themeColor="text2"/>
        </w:rPr>
        <w:t>F</w:t>
      </w:r>
      <w:r w:rsidRPr="00BC5F1C">
        <w:rPr>
          <w:b/>
          <w:bCs/>
          <w:color w:val="588B46" w:themeColor="text2"/>
        </w:rPr>
        <w:t xml:space="preserve">inding </w:t>
      </w:r>
      <w:r w:rsidR="00D330D9" w:rsidRPr="00BC5F1C">
        <w:rPr>
          <w:b/>
          <w:bCs/>
          <w:color w:val="588B46" w:themeColor="text2"/>
        </w:rPr>
        <w:t xml:space="preserve">4.1, </w:t>
      </w:r>
      <w:r w:rsidRPr="00BC5F1C">
        <w:rPr>
          <w:b/>
          <w:bCs/>
          <w:color w:val="588B46" w:themeColor="text2"/>
        </w:rPr>
        <w:t>4.</w:t>
      </w:r>
      <w:r w:rsidR="003602FA" w:rsidRPr="00BC5F1C">
        <w:rPr>
          <w:b/>
          <w:bCs/>
          <w:color w:val="588B46" w:themeColor="text2"/>
        </w:rPr>
        <w:t>2</w:t>
      </w:r>
      <w:r w:rsidRPr="00BC5F1C">
        <w:rPr>
          <w:b/>
          <w:bCs/>
          <w:color w:val="588B46" w:themeColor="text2"/>
        </w:rPr>
        <w:t>).</w:t>
      </w:r>
    </w:p>
    <w:p w14:paraId="2226D47D" w14:textId="77777777" w:rsidR="007A36B3" w:rsidRDefault="007A36B3" w:rsidP="00201936">
      <w:pPr>
        <w:pStyle w:val="ItadNormalText"/>
        <w:jc w:val="both"/>
        <w:rPr>
          <w:b/>
          <w:bCs/>
        </w:rPr>
      </w:pPr>
    </w:p>
    <w:p w14:paraId="4EDC22F6" w14:textId="38005806" w:rsidR="007A36B3" w:rsidRPr="00BC5F1C" w:rsidRDefault="5E311E0D" w:rsidP="00201936">
      <w:pPr>
        <w:pStyle w:val="ItadNormalText"/>
        <w:jc w:val="both"/>
      </w:pPr>
      <w:r w:rsidRPr="103DA8AC">
        <w:rPr>
          <w:b/>
          <w:bCs/>
        </w:rPr>
        <w:lastRenderedPageBreak/>
        <w:t xml:space="preserve">Conclusion 5: </w:t>
      </w:r>
      <w:r>
        <w:t>With respect to approaches relating to programming</w:t>
      </w:r>
      <w:r w:rsidRPr="103DA8AC">
        <w:rPr>
          <w:b/>
          <w:bCs/>
        </w:rPr>
        <w:t xml:space="preserve"> </w:t>
      </w:r>
      <w:r>
        <w:t>for</w:t>
      </w:r>
      <w:r w:rsidRPr="103DA8AC">
        <w:rPr>
          <w:b/>
          <w:bCs/>
        </w:rPr>
        <w:t xml:space="preserve"> </w:t>
      </w:r>
      <w:r w:rsidRPr="007A36B3">
        <w:t>behaviour change and norms</w:t>
      </w:r>
      <w:r w:rsidRPr="103DA8AC">
        <w:rPr>
          <w:b/>
          <w:bCs/>
          <w:color w:val="E37230" w:themeColor="accent2"/>
        </w:rPr>
        <w:t xml:space="preserve"> </w:t>
      </w:r>
      <w:r w:rsidRPr="103DA8AC">
        <w:rPr>
          <w:color w:val="auto"/>
        </w:rPr>
        <w:t>at community level, MWGE demonstrated good effectiveness in a broad range of interventions</w:t>
      </w:r>
      <w:r w:rsidR="007A36B3">
        <w:t xml:space="preserve">. </w:t>
      </w:r>
      <w:r w:rsidRPr="103DA8AC">
        <w:rPr>
          <w:color w:val="auto"/>
        </w:rPr>
        <w:t xml:space="preserve">There </w:t>
      </w:r>
      <w:r w:rsidR="007A36B3">
        <w:rPr>
          <w:color w:val="auto"/>
        </w:rPr>
        <w:t xml:space="preserve">was </w:t>
      </w:r>
      <w:r w:rsidRPr="103DA8AC">
        <w:rPr>
          <w:color w:val="auto"/>
        </w:rPr>
        <w:t>also strong evidence that the MWGE programme increased beneficiaries’ knowledge, attitudes and practices concerning gender equality and discrimination</w:t>
      </w:r>
      <w:r w:rsidR="25289CC3" w:rsidRPr="103DA8AC">
        <w:rPr>
          <w:color w:val="auto"/>
        </w:rPr>
        <w:t>.</w:t>
      </w:r>
      <w:r w:rsidRPr="103DA8AC">
        <w:rPr>
          <w:b/>
          <w:bCs/>
        </w:rPr>
        <w:t xml:space="preserve"> </w:t>
      </w:r>
      <w:r>
        <w:t>Despite multiple indications that beneficiaries were sharing newly gained knowledge concerning positive attitudes toward GEWE in their households and communitie</w:t>
      </w:r>
      <w:r w:rsidRPr="103DA8AC">
        <w:rPr>
          <w:color w:val="auto"/>
        </w:rPr>
        <w:t>s</w:t>
      </w:r>
      <w:r w:rsidR="007A36B3">
        <w:rPr>
          <w:color w:val="auto"/>
        </w:rPr>
        <w:t xml:space="preserve">, </w:t>
      </w:r>
      <w:r w:rsidRPr="103DA8AC">
        <w:rPr>
          <w:color w:val="auto"/>
        </w:rPr>
        <w:t xml:space="preserve">there was </w:t>
      </w:r>
      <w:r w:rsidR="007A36B3" w:rsidRPr="103DA8AC">
        <w:rPr>
          <w:color w:val="auto"/>
        </w:rPr>
        <w:t>yet</w:t>
      </w:r>
      <w:r w:rsidRPr="103DA8AC">
        <w:rPr>
          <w:color w:val="auto"/>
        </w:rPr>
        <w:t xml:space="preserve"> little sign of change in </w:t>
      </w:r>
      <w:r w:rsidRPr="007A36B3">
        <w:t>empirical or normative expectations</w:t>
      </w:r>
      <w:r w:rsidRPr="007A36B3">
        <w:rPr>
          <w:color w:val="E37230" w:themeColor="accent2"/>
        </w:rPr>
        <w:t xml:space="preserve"> </w:t>
      </w:r>
      <w:r w:rsidRPr="007A36B3">
        <w:rPr>
          <w:color w:val="auto"/>
        </w:rPr>
        <w:t>in the wider communities.</w:t>
      </w:r>
      <w:r w:rsidRPr="103DA8AC">
        <w:rPr>
          <w:color w:val="auto"/>
        </w:rPr>
        <w:t xml:space="preserve"> </w:t>
      </w:r>
      <w:r w:rsidR="39471E3B" w:rsidRPr="103DA8AC">
        <w:rPr>
          <w:color w:val="auto"/>
        </w:rPr>
        <w:t>Micro-, meso-and</w:t>
      </w:r>
      <w:r>
        <w:t xml:space="preserve"> </w:t>
      </w:r>
      <w:r w:rsidR="39471E3B">
        <w:t xml:space="preserve">macro-level </w:t>
      </w:r>
      <w:r>
        <w:t xml:space="preserve">resistance </w:t>
      </w:r>
      <w:r w:rsidR="39471E3B">
        <w:t xml:space="preserve">was </w:t>
      </w:r>
      <w:r>
        <w:t xml:space="preserve">observed which </w:t>
      </w:r>
      <w:r w:rsidR="39471E3B">
        <w:t xml:space="preserve">may </w:t>
      </w:r>
      <w:r>
        <w:t>jeopardise the gains made among programme participants, which</w:t>
      </w:r>
      <w:r w:rsidR="6BFDA52B">
        <w:t xml:space="preserve"> could be minimised through </w:t>
      </w:r>
      <w:r>
        <w:t xml:space="preserve">a </w:t>
      </w:r>
      <w:r w:rsidR="6BFDA52B">
        <w:t xml:space="preserve">more </w:t>
      </w:r>
      <w:r>
        <w:t>explicit and sophisticated social or gender norms approach</w:t>
      </w:r>
      <w:r w:rsidR="007A36B3">
        <w:t xml:space="preserve">. </w:t>
      </w:r>
      <w:r w:rsidR="05FA7886">
        <w:t xml:space="preserve">Efforts </w:t>
      </w:r>
      <w:r w:rsidR="15F4CB63">
        <w:t>t</w:t>
      </w:r>
      <w:r w:rsidR="05FA7886">
        <w:t xml:space="preserve">o ensure that gender equality is not misunderstood as a ‘western agenda’ </w:t>
      </w:r>
      <w:r w:rsidR="4CA3C75B">
        <w:t>need to be continued and factored into intervention design by highlighting national ownership.</w:t>
      </w:r>
      <w:r w:rsidR="00BC5F1C">
        <w:t xml:space="preserve"> </w:t>
      </w:r>
      <w:r w:rsidR="00AB07D6" w:rsidRPr="00BC5F1C">
        <w:rPr>
          <w:rFonts w:asciiTheme="minorHAnsi" w:hAnsiTheme="minorHAnsi" w:cstheme="minorHAnsi"/>
          <w:b/>
          <w:bCs/>
          <w:color w:val="588B46" w:themeColor="text2"/>
        </w:rPr>
        <w:t>(</w:t>
      </w:r>
      <w:r w:rsidR="00AB07D6" w:rsidRPr="00BC5F1C">
        <w:rPr>
          <w:rFonts w:asciiTheme="minorHAnsi" w:hAnsiTheme="minorHAnsi" w:cstheme="minorHAnsi"/>
          <w:b/>
          <w:bCs/>
          <w:color w:val="588B46" w:themeColor="text2"/>
        </w:rPr>
        <w:t>B</w:t>
      </w:r>
      <w:r w:rsidR="00BC5F1C" w:rsidRPr="00BC5F1C">
        <w:rPr>
          <w:rFonts w:asciiTheme="minorHAnsi" w:hAnsiTheme="minorHAnsi" w:cstheme="minorHAnsi"/>
          <w:b/>
          <w:bCs/>
          <w:color w:val="588B46" w:themeColor="text2"/>
        </w:rPr>
        <w:t>ased</w:t>
      </w:r>
      <w:r w:rsidR="00AB07D6" w:rsidRPr="00BC5F1C">
        <w:rPr>
          <w:rFonts w:asciiTheme="minorHAnsi" w:hAnsiTheme="minorHAnsi" w:cstheme="minorHAnsi"/>
          <w:b/>
          <w:bCs/>
          <w:color w:val="588B46" w:themeColor="text2"/>
        </w:rPr>
        <w:t xml:space="preserve"> on </w:t>
      </w:r>
      <w:r w:rsidR="00AB07D6" w:rsidRPr="00BC5F1C">
        <w:rPr>
          <w:rFonts w:asciiTheme="minorHAnsi" w:hAnsiTheme="minorHAnsi" w:cstheme="minorHAnsi"/>
          <w:b/>
          <w:bCs/>
          <w:color w:val="588B46" w:themeColor="text2"/>
        </w:rPr>
        <w:t>Findings 5.1, 5.2, 5.3, 5.4, 5.5. 5.6 and 5.10).</w:t>
      </w:r>
    </w:p>
    <w:p w14:paraId="749F5749" w14:textId="77777777" w:rsidR="00BC5F1C" w:rsidRDefault="00BC5F1C" w:rsidP="00BC5F1C">
      <w:pPr>
        <w:pStyle w:val="ItadNormalText"/>
        <w:jc w:val="both"/>
      </w:pPr>
      <w:r w:rsidRPr="006A561F">
        <w:rPr>
          <w:b/>
          <w:bCs/>
        </w:rPr>
        <w:t>Conclusion 6:</w:t>
      </w:r>
      <w:r w:rsidRPr="006A561F">
        <w:t xml:space="preserve"> The MWGE programme undert</w:t>
      </w:r>
      <w:r>
        <w:t>ook</w:t>
      </w:r>
      <w:r w:rsidRPr="006A561F">
        <w:t xml:space="preserve"> several engagements – with some successes – across all the implementing countries to facilitate and affect </w:t>
      </w:r>
      <w:r w:rsidRPr="00CD427B">
        <w:t>legal and policy change</w:t>
      </w:r>
      <w:r w:rsidRPr="006A561F">
        <w:rPr>
          <w:color w:val="E37230" w:themeColor="accent2"/>
        </w:rPr>
        <w:t xml:space="preserve"> </w:t>
      </w:r>
      <w:r w:rsidRPr="006A561F">
        <w:t xml:space="preserve">with respect to the leveraging of men’s and boys’ engagement for GEWE. Engagements </w:t>
      </w:r>
      <w:r>
        <w:t xml:space="preserve">were </w:t>
      </w:r>
      <w:r w:rsidRPr="006A561F">
        <w:t xml:space="preserve">predominantly exercised at national level </w:t>
      </w:r>
      <w:r w:rsidRPr="0085633F">
        <w:t>with support from ROAS on cross-learning for advocacy related to men's caregiving and paternity leave</w:t>
      </w:r>
      <w:r w:rsidRPr="006A561F">
        <w:t xml:space="preserve">. There </w:t>
      </w:r>
      <w:r>
        <w:t>was</w:t>
      </w:r>
      <w:r w:rsidRPr="006A561F">
        <w:t xml:space="preserve"> an expectation that MWGE could have extended more effort in this area, given that it </w:t>
      </w:r>
      <w:r>
        <w:t>was</w:t>
      </w:r>
      <w:r w:rsidRPr="006A561F">
        <w:t xml:space="preserve"> a central pillar of the </w:t>
      </w:r>
      <w:proofErr w:type="spellStart"/>
      <w:r w:rsidRPr="006A561F">
        <w:t>ToC</w:t>
      </w:r>
      <w:proofErr w:type="spellEnd"/>
      <w:r w:rsidRPr="006A561F">
        <w:t>, but it should be acknowledged that th</w:t>
      </w:r>
      <w:r>
        <w:t>is</w:t>
      </w:r>
      <w:r w:rsidRPr="006A561F">
        <w:t xml:space="preserve"> pillar was the least well-resourced, and that UN Women ROAS was not able to address this </w:t>
      </w:r>
      <w:r w:rsidRPr="00033228">
        <w:t>funding shortfall (see conclusion 11).</w:t>
      </w:r>
      <w:r>
        <w:t xml:space="preserve"> Important lessons were drawn from both successful and unsuccessful policy change campaigns on the need to line up various levels of advocacy, make use of arising opportunities, engage with ‘less usual’ allies and to ensure a common message. </w:t>
      </w:r>
      <w:r w:rsidRPr="00BC5F1C">
        <w:rPr>
          <w:b/>
          <w:bCs/>
          <w:color w:val="588B46" w:themeColor="text2"/>
        </w:rPr>
        <w:t>(Based on Finding 5.6)</w:t>
      </w:r>
    </w:p>
    <w:p w14:paraId="23631E18" w14:textId="003DB999" w:rsidR="00BC5F1C" w:rsidRPr="00BC5F1C" w:rsidRDefault="00BC5F1C" w:rsidP="00BC5F1C">
      <w:pPr>
        <w:pStyle w:val="ItadNormalText"/>
        <w:jc w:val="both"/>
        <w:rPr>
          <w:color w:val="588B46" w:themeColor="text2"/>
        </w:rPr>
      </w:pPr>
      <w:r w:rsidRPr="103DA8AC">
        <w:rPr>
          <w:b/>
          <w:bCs/>
        </w:rPr>
        <w:t>Conclusion 7:</w:t>
      </w:r>
      <w:r>
        <w:t xml:space="preserve"> The </w:t>
      </w:r>
      <w:r w:rsidRPr="00321382">
        <w:t>institutional and national capacity development</w:t>
      </w:r>
      <w:r w:rsidRPr="103DA8AC">
        <w:rPr>
          <w:color w:val="E37230" w:themeColor="accent2"/>
        </w:rPr>
        <w:t xml:space="preserve"> </w:t>
      </w:r>
      <w:r>
        <w:t xml:space="preserve">interventions were largely successful – particularly with respect to the outcomes observed in </w:t>
      </w:r>
      <w:proofErr w:type="gramStart"/>
      <w:r>
        <w:t>the majority of</w:t>
      </w:r>
      <w:proofErr w:type="gramEnd"/>
      <w:r>
        <w:t xml:space="preserve"> CBOs. A contributing factor to this was the use of umbrella organisations to oversee CBO activities and capacity building. Positive outcomes were also noted </w:t>
      </w:r>
      <w:proofErr w:type="gramStart"/>
      <w:r>
        <w:t>as a result of</w:t>
      </w:r>
      <w:proofErr w:type="gramEnd"/>
      <w:r>
        <w:t xml:space="preserve"> CBOs being supported to use innovative, adaptable and scalable approaches. However, some negative unintended results were observed in relation to the triggering of conservative and feminist movement reactions to a small number of communications materials. The former was, to a degree, to be expected but may require additional </w:t>
      </w:r>
      <w:proofErr w:type="gramStart"/>
      <w:r>
        <w:t>counter-strategies</w:t>
      </w:r>
      <w:proofErr w:type="gramEnd"/>
      <w:r>
        <w:t xml:space="preserve"> if anti-gender equality roll-backs gain more momentum. The latter needs to be addressed by pro-actively engaging with the women’s movement nationally and ensuring adherence to internal quality assurance processes.  </w:t>
      </w:r>
      <w:r w:rsidRPr="00BC5F1C">
        <w:rPr>
          <w:b/>
          <w:bCs/>
          <w:color w:val="588B46" w:themeColor="text2"/>
        </w:rPr>
        <w:t xml:space="preserve">(Based on Finding 5.7, 5.8. 5.9 and 5.10) </w:t>
      </w:r>
    </w:p>
    <w:p w14:paraId="33850C4C" w14:textId="5B05C6C5" w:rsidR="00BC5F1C" w:rsidRPr="00BC5F1C" w:rsidRDefault="00BC5F1C" w:rsidP="00BC5F1C">
      <w:pPr>
        <w:pStyle w:val="ItadNormalText"/>
        <w:jc w:val="both"/>
        <w:rPr>
          <w:color w:val="588B46" w:themeColor="text2"/>
        </w:rPr>
      </w:pPr>
      <w:r w:rsidRPr="006A561F">
        <w:rPr>
          <w:b/>
          <w:bCs/>
          <w:color w:val="auto"/>
        </w:rPr>
        <w:t xml:space="preserve">Conclusion 8: </w:t>
      </w:r>
      <w:r w:rsidRPr="006A561F">
        <w:rPr>
          <w:color w:val="auto"/>
        </w:rPr>
        <w:t xml:space="preserve">Although it faced numerous delays, in part owing to external circumstances and in part owing to processes internal to UN Women (requiring the adaptation of several ways of working), the </w:t>
      </w:r>
      <w:r w:rsidRPr="00321382">
        <w:rPr>
          <w:color w:val="auto"/>
        </w:rPr>
        <w:t xml:space="preserve">programme was </w:t>
      </w:r>
      <w:r w:rsidRPr="00321382">
        <w:t>largely efficient and cost-effective</w:t>
      </w:r>
      <w:r w:rsidRPr="006A561F">
        <w:rPr>
          <w:b/>
          <w:bCs/>
          <w:color w:val="E37230" w:themeColor="accent2"/>
        </w:rPr>
        <w:t xml:space="preserve"> </w:t>
      </w:r>
      <w:r w:rsidRPr="006A561F">
        <w:rPr>
          <w:color w:val="auto"/>
        </w:rPr>
        <w:t xml:space="preserve">in its delivery. By taking a regional approach and adapting existing programmatic approaches, ROAS </w:t>
      </w:r>
      <w:r>
        <w:rPr>
          <w:color w:val="auto"/>
        </w:rPr>
        <w:t>was</w:t>
      </w:r>
      <w:r w:rsidRPr="006A561F">
        <w:rPr>
          <w:color w:val="auto"/>
        </w:rPr>
        <w:t xml:space="preserve"> able to utilise economies of scale</w:t>
      </w:r>
      <w:r>
        <w:rPr>
          <w:color w:val="auto"/>
        </w:rPr>
        <w:t xml:space="preserve">, </w:t>
      </w:r>
      <w:r w:rsidRPr="006A561F">
        <w:rPr>
          <w:color w:val="auto"/>
        </w:rPr>
        <w:t>but met constraints in maintaining coherence and expectations around the framing of knowledge products and communications materials</w:t>
      </w:r>
      <w:r>
        <w:rPr>
          <w:color w:val="auto"/>
        </w:rPr>
        <w:t xml:space="preserve">. </w:t>
      </w:r>
      <w:r w:rsidRPr="006A561F">
        <w:rPr>
          <w:color w:val="auto"/>
        </w:rPr>
        <w:t xml:space="preserve">Nevertheless, economies of scale </w:t>
      </w:r>
      <w:r>
        <w:rPr>
          <w:color w:val="auto"/>
        </w:rPr>
        <w:t>were</w:t>
      </w:r>
      <w:r w:rsidRPr="006A561F">
        <w:rPr>
          <w:color w:val="auto"/>
        </w:rPr>
        <w:t xml:space="preserve"> gained by onboarding local research partners for IMAGES studies (to improve direct oversight and contribute to institutional capacity building and memory) </w:t>
      </w:r>
      <w:r w:rsidRPr="00BC5F1C">
        <w:rPr>
          <w:b/>
          <w:bCs/>
          <w:color w:val="416734" w:themeColor="text2" w:themeShade="BF"/>
        </w:rPr>
        <w:t>(</w:t>
      </w:r>
      <w:r w:rsidRPr="00BC5F1C">
        <w:rPr>
          <w:b/>
          <w:bCs/>
          <w:color w:val="588B46" w:themeColor="text2"/>
        </w:rPr>
        <w:t>Based on Finding 6.1,6.2 and 6.3 and conclusion 12)</w:t>
      </w:r>
    </w:p>
    <w:p w14:paraId="495C30CD" w14:textId="3C875E58" w:rsidR="00BC5F1C" w:rsidRPr="00BC5F1C" w:rsidRDefault="00BC5F1C" w:rsidP="00BC5F1C">
      <w:pPr>
        <w:pStyle w:val="ItadNormalText"/>
        <w:jc w:val="both"/>
        <w:rPr>
          <w:color w:val="auto"/>
        </w:rPr>
      </w:pPr>
      <w:r w:rsidRPr="006A561F">
        <w:rPr>
          <w:b/>
          <w:bCs/>
          <w:color w:val="auto"/>
        </w:rPr>
        <w:t>Conclusion 9:</w:t>
      </w:r>
      <w:r w:rsidRPr="006A561F">
        <w:rPr>
          <w:color w:val="auto"/>
        </w:rPr>
        <w:t xml:space="preserve"> The validation, </w:t>
      </w:r>
      <w:proofErr w:type="gramStart"/>
      <w:r w:rsidRPr="006A561F">
        <w:rPr>
          <w:color w:val="auto"/>
        </w:rPr>
        <w:t>distribution</w:t>
      </w:r>
      <w:proofErr w:type="gramEnd"/>
      <w:r w:rsidRPr="006A561F">
        <w:rPr>
          <w:color w:val="auto"/>
        </w:rPr>
        <w:t xml:space="preserve"> and monitoring of the MWGE </w:t>
      </w:r>
      <w:r w:rsidRPr="00321382">
        <w:t xml:space="preserve">programme budget </w:t>
      </w:r>
      <w:r>
        <w:t>was</w:t>
      </w:r>
      <w:r w:rsidRPr="00321382">
        <w:t xml:space="preserve"> inconsistent</w:t>
      </w:r>
      <w:r w:rsidRPr="00321382">
        <w:rPr>
          <w:color w:val="E37230" w:themeColor="accent2"/>
        </w:rPr>
        <w:t xml:space="preserve"> </w:t>
      </w:r>
      <w:r w:rsidRPr="006A561F">
        <w:rPr>
          <w:color w:val="auto"/>
        </w:rPr>
        <w:t>across Phases I and II. Evidence from across ROAS and COs demonstrate</w:t>
      </w:r>
      <w:r>
        <w:rPr>
          <w:color w:val="auto"/>
        </w:rPr>
        <w:t>d</w:t>
      </w:r>
      <w:r w:rsidRPr="006A561F">
        <w:rPr>
          <w:color w:val="auto"/>
        </w:rPr>
        <w:t xml:space="preserve"> that considerations for tailoring budget allocations relative to the scale and context of implementing countries (such as adjusting for purchasing power parity) was not clearly grounded in an overarching or shared logic between ROAS and all </w:t>
      </w:r>
      <w:proofErr w:type="spellStart"/>
      <w:r w:rsidRPr="006A561F">
        <w:rPr>
          <w:color w:val="auto"/>
        </w:rPr>
        <w:t>COs.</w:t>
      </w:r>
      <w:proofErr w:type="spellEnd"/>
      <w:r w:rsidRPr="006A561F">
        <w:rPr>
          <w:color w:val="auto"/>
        </w:rPr>
        <w:t xml:space="preserve"> There </w:t>
      </w:r>
      <w:r>
        <w:rPr>
          <w:color w:val="auto"/>
        </w:rPr>
        <w:t>were</w:t>
      </w:r>
      <w:r w:rsidRPr="006A561F">
        <w:rPr>
          <w:color w:val="auto"/>
        </w:rPr>
        <w:t xml:space="preserve"> also some inconsistencies in the financial tracking of resources lines across COs, which reduce</w:t>
      </w:r>
      <w:r>
        <w:rPr>
          <w:color w:val="auto"/>
        </w:rPr>
        <w:t>d</w:t>
      </w:r>
      <w:r w:rsidRPr="006A561F">
        <w:rPr>
          <w:color w:val="auto"/>
        </w:rPr>
        <w:t xml:space="preserve"> the potential for ensuring accurate comparability and associated course correction</w:t>
      </w:r>
      <w:r>
        <w:rPr>
          <w:color w:val="auto"/>
        </w:rPr>
        <w:t>.</w:t>
      </w:r>
      <w:r>
        <w:rPr>
          <w:color w:val="auto"/>
        </w:rPr>
        <w:t xml:space="preserve"> </w:t>
      </w:r>
      <w:r w:rsidRPr="00BC5F1C">
        <w:rPr>
          <w:b/>
          <w:bCs/>
          <w:color w:val="588B46" w:themeColor="text2"/>
        </w:rPr>
        <w:t>(Based on Finding 6.3)</w:t>
      </w:r>
    </w:p>
    <w:p w14:paraId="1244A6CF" w14:textId="673BE5AD" w:rsidR="00BC5F1C" w:rsidRPr="00BC5F1C" w:rsidRDefault="00BC5F1C" w:rsidP="00BC5F1C">
      <w:pPr>
        <w:pStyle w:val="ItadNormalText"/>
        <w:jc w:val="both"/>
        <w:rPr>
          <w:color w:val="auto"/>
        </w:rPr>
      </w:pPr>
      <w:r w:rsidRPr="65017676">
        <w:rPr>
          <w:b/>
          <w:bCs/>
        </w:rPr>
        <w:t xml:space="preserve">Conclusion 10: </w:t>
      </w:r>
      <w:r w:rsidRPr="65017676">
        <w:rPr>
          <w:color w:val="auto"/>
        </w:rPr>
        <w:t xml:space="preserve">The findings demonstrate that there </w:t>
      </w:r>
      <w:r>
        <w:rPr>
          <w:color w:val="auto"/>
        </w:rPr>
        <w:t>was</w:t>
      </w:r>
      <w:r w:rsidRPr="65017676">
        <w:rPr>
          <w:color w:val="auto"/>
        </w:rPr>
        <w:t xml:space="preserve"> a strong conceptual foundation in the MWGE programme emphasising </w:t>
      </w:r>
      <w:r w:rsidRPr="00445494">
        <w:t>a transformative approach towards gender equality and the empowerment of women</w:t>
      </w:r>
      <w:r w:rsidRPr="65017676">
        <w:rPr>
          <w:color w:val="auto"/>
        </w:rPr>
        <w:t xml:space="preserve"> – which </w:t>
      </w:r>
      <w:r>
        <w:rPr>
          <w:color w:val="auto"/>
        </w:rPr>
        <w:t>was</w:t>
      </w:r>
      <w:r w:rsidRPr="65017676">
        <w:rPr>
          <w:color w:val="auto"/>
        </w:rPr>
        <w:t xml:space="preserve"> more evident at the ROAS level of operations</w:t>
      </w:r>
      <w:r>
        <w:rPr>
          <w:color w:val="auto"/>
        </w:rPr>
        <w:t xml:space="preserve">. </w:t>
      </w:r>
      <w:r w:rsidRPr="65017676">
        <w:rPr>
          <w:color w:val="auto"/>
        </w:rPr>
        <w:t xml:space="preserve">In support of this, the acknowledgement and understanding of the LNOB agenda remained embryonic in Phase I but accelerated in Phase II, </w:t>
      </w:r>
      <w:r>
        <w:rPr>
          <w:color w:val="auto"/>
        </w:rPr>
        <w:t>including for refugees and persons with disabilities,</w:t>
      </w:r>
      <w:r w:rsidRPr="65017676">
        <w:rPr>
          <w:color w:val="auto"/>
        </w:rPr>
        <w:t xml:space="preserve"> </w:t>
      </w:r>
      <w:r>
        <w:rPr>
          <w:color w:val="auto"/>
        </w:rPr>
        <w:t>and to an</w:t>
      </w:r>
      <w:r w:rsidRPr="65017676">
        <w:rPr>
          <w:color w:val="auto"/>
        </w:rPr>
        <w:t xml:space="preserve"> extent for LGBT communities, </w:t>
      </w:r>
      <w:r>
        <w:rPr>
          <w:color w:val="auto"/>
        </w:rPr>
        <w:t xml:space="preserve">depending on the space </w:t>
      </w:r>
      <w:r>
        <w:rPr>
          <w:color w:val="auto"/>
        </w:rPr>
        <w:lastRenderedPageBreak/>
        <w:t>available</w:t>
      </w:r>
      <w:r w:rsidRPr="65017676">
        <w:rPr>
          <w:color w:val="auto"/>
        </w:rPr>
        <w:t xml:space="preserve"> </w:t>
      </w:r>
      <w:r>
        <w:rPr>
          <w:color w:val="auto"/>
        </w:rPr>
        <w:t xml:space="preserve">given </w:t>
      </w:r>
      <w:r w:rsidRPr="65017676">
        <w:rPr>
          <w:color w:val="auto"/>
        </w:rPr>
        <w:t>restrictive political environment and social norms</w:t>
      </w:r>
      <w:r>
        <w:rPr>
          <w:color w:val="auto"/>
        </w:rPr>
        <w:t xml:space="preserve">. </w:t>
      </w:r>
      <w:r w:rsidRPr="65017676">
        <w:rPr>
          <w:color w:val="auto"/>
        </w:rPr>
        <w:t xml:space="preserve">Underpinning this, the articulation of rights-based approaches – and the associated implications for men’s and boys’ engagement for GEWE – </w:t>
      </w:r>
      <w:r>
        <w:rPr>
          <w:color w:val="auto"/>
        </w:rPr>
        <w:t>was</w:t>
      </w:r>
      <w:r w:rsidRPr="65017676">
        <w:rPr>
          <w:color w:val="auto"/>
        </w:rPr>
        <w:t xml:space="preserve"> inconsistent and broadly undefined</w:t>
      </w:r>
      <w:r>
        <w:rPr>
          <w:color w:val="auto"/>
        </w:rPr>
        <w:t>.</w:t>
      </w:r>
      <w:r>
        <w:rPr>
          <w:color w:val="auto"/>
        </w:rPr>
        <w:t xml:space="preserve"> </w:t>
      </w:r>
      <w:r w:rsidRPr="00BC5F1C">
        <w:rPr>
          <w:b/>
          <w:bCs/>
          <w:color w:val="588B46" w:themeColor="text2"/>
        </w:rPr>
        <w:t>(Based on Finding 7.1, 7.2 and 7.3).</w:t>
      </w:r>
    </w:p>
    <w:p w14:paraId="6C5929B2" w14:textId="5B34870C" w:rsidR="00BC5F1C" w:rsidRPr="00BC5F1C" w:rsidRDefault="00BC5F1C" w:rsidP="00BC5F1C">
      <w:pPr>
        <w:pStyle w:val="ItadNormalText"/>
        <w:jc w:val="both"/>
      </w:pPr>
      <w:r w:rsidRPr="006A561F">
        <w:rPr>
          <w:b/>
          <w:bCs/>
        </w:rPr>
        <w:t>Conclusion 11</w:t>
      </w:r>
      <w:r>
        <w:rPr>
          <w:b/>
          <w:bCs/>
        </w:rPr>
        <w:t>:</w:t>
      </w:r>
      <w:r w:rsidRPr="006A561F">
        <w:t xml:space="preserve"> The likelihood of </w:t>
      </w:r>
      <w:r w:rsidRPr="00445494">
        <w:t>sustainability of CBO capacity, policy change and community engagement outcomes</w:t>
      </w:r>
      <w:r w:rsidRPr="006A561F">
        <w:t xml:space="preserve"> </w:t>
      </w:r>
      <w:proofErr w:type="gramStart"/>
      <w:r>
        <w:t>was</w:t>
      </w:r>
      <w:proofErr w:type="gramEnd"/>
      <w:r w:rsidRPr="006A561F">
        <w:t xml:space="preserve"> mixed. CBO capacity </w:t>
      </w:r>
      <w:r>
        <w:t>was</w:t>
      </w:r>
      <w:r w:rsidRPr="006A561F">
        <w:t xml:space="preserve"> enhanced significantly across both phases of the MWGE programme, although limitations </w:t>
      </w:r>
      <w:r>
        <w:t>were</w:t>
      </w:r>
      <w:r w:rsidRPr="006A561F">
        <w:t xml:space="preserve"> observed with respect to ongoing or tailored capacity support from umbrella organisations for CBO advocacy activities</w:t>
      </w:r>
      <w:r>
        <w:t xml:space="preserve">. </w:t>
      </w:r>
      <w:r w:rsidRPr="006A561F">
        <w:t xml:space="preserve">At normative framework level, several positive engagements with policy initiatives </w:t>
      </w:r>
      <w:r>
        <w:t>were</w:t>
      </w:r>
      <w:r w:rsidRPr="006A561F">
        <w:t xml:space="preserve"> traced in all programming contexts, despite the backdrop of a challenging enabling environment in </w:t>
      </w:r>
      <w:proofErr w:type="gramStart"/>
      <w:r w:rsidRPr="006A561F">
        <w:t>a number of</w:t>
      </w:r>
      <w:proofErr w:type="gramEnd"/>
      <w:r w:rsidRPr="006A561F">
        <w:t xml:space="preserve"> countries</w:t>
      </w:r>
      <w:r>
        <w:t xml:space="preserve">. </w:t>
      </w:r>
      <w:r w:rsidRPr="006A561F">
        <w:t xml:space="preserve">At community level, activities and outcomes </w:t>
      </w:r>
      <w:r>
        <w:t>were</w:t>
      </w:r>
      <w:r w:rsidRPr="006A561F">
        <w:t xml:space="preserve"> very positive and well evidenced, although changes in ‘practices’ and social or gender norms </w:t>
      </w:r>
      <w:r>
        <w:t>were</w:t>
      </w:r>
      <w:r w:rsidRPr="006A561F">
        <w:t xml:space="preserve"> difficult to determine or </w:t>
      </w:r>
      <w:r>
        <w:t>were</w:t>
      </w:r>
      <w:r w:rsidRPr="006A561F">
        <w:t xml:space="preserve"> anecdotal, as the MWGE programme ha</w:t>
      </w:r>
      <w:r>
        <w:t>d</w:t>
      </w:r>
      <w:r w:rsidRPr="006A561F">
        <w:t xml:space="preserve"> not fully embraced a sophisticated social norms measurement approach</w:t>
      </w:r>
      <w:r>
        <w:t xml:space="preserve">. </w:t>
      </w:r>
      <w:r w:rsidRPr="006A561F">
        <w:t xml:space="preserve">The sustainability of community-level gains </w:t>
      </w:r>
      <w:r>
        <w:t>wa</w:t>
      </w:r>
      <w:r w:rsidRPr="006A561F">
        <w:t xml:space="preserve">s therefore difficult to ascertain. Despite multiple efforts to expand financial resources – undertaken primarily at ROAS level – </w:t>
      </w:r>
      <w:r w:rsidRPr="00445494">
        <w:t xml:space="preserve">practically no new funding </w:t>
      </w:r>
      <w:proofErr w:type="gramStart"/>
      <w:r w:rsidRPr="00445494">
        <w:t>was been</w:t>
      </w:r>
      <w:proofErr w:type="gramEnd"/>
      <w:r w:rsidRPr="00445494">
        <w:t xml:space="preserve"> obtained</w:t>
      </w:r>
      <w:r>
        <w:rPr>
          <w:b/>
          <w:bCs/>
        </w:rPr>
        <w:t xml:space="preserve"> </w:t>
      </w:r>
      <w:r w:rsidRPr="00C80D78">
        <w:t>-with the exception of over USD 100,000 from the UK for IMAGES development in Jordan-</w:t>
      </w:r>
      <w:r w:rsidRPr="006A561F">
        <w:t>, thereby limiting the sustainability potential of operations at all levels.</w:t>
      </w:r>
      <w:r>
        <w:t xml:space="preserve"> </w:t>
      </w:r>
      <w:r w:rsidRPr="00BC5F1C">
        <w:rPr>
          <w:b/>
          <w:bCs/>
          <w:color w:val="588B46" w:themeColor="text2"/>
        </w:rPr>
        <w:t xml:space="preserve">(Based on Finding 8.1, 8.2 and 8.3) </w:t>
      </w:r>
    </w:p>
    <w:p w14:paraId="6B0FADE2" w14:textId="52D6EC24" w:rsidR="00BC5F1C" w:rsidRPr="00BC5F1C" w:rsidRDefault="00BC5F1C" w:rsidP="00BC5F1C">
      <w:pPr>
        <w:pStyle w:val="ItadNormalText"/>
        <w:jc w:val="both"/>
      </w:pPr>
      <w:r w:rsidRPr="076A58FF">
        <w:rPr>
          <w:b/>
          <w:bCs/>
        </w:rPr>
        <w:t xml:space="preserve">Conclusion 12: </w:t>
      </w:r>
      <w:r w:rsidRPr="00445494">
        <w:t>Knowledge management, learning and feedback has improved linearly</w:t>
      </w:r>
      <w:r w:rsidRPr="076A58FF">
        <w:rPr>
          <w:color w:val="E37130"/>
        </w:rPr>
        <w:t xml:space="preserve"> </w:t>
      </w:r>
      <w:r>
        <w:t xml:space="preserve">across Phase I and II countries, and dramatic improvements in knowledge exchange and uptake were demonstrated for new Phase I countries. Cross-national and regional learning in Phase I and II countries was facilitated by ROAS especially on IMAGES and Program P, and implementing partners were, to a degree, able to share lessons learned and approaches, though this could be enhanced. Nevertheless, a noticeable shift was identifiable with respect to the transfer of lessons and enhancement of the IMAGES approach in new Phase I countries. The numerous </w:t>
      </w:r>
      <w:r w:rsidRPr="007F4090">
        <w:t>knowledge products</w:t>
      </w:r>
      <w:r w:rsidRPr="076A58FF">
        <w:rPr>
          <w:color w:val="E37130"/>
        </w:rPr>
        <w:t xml:space="preserve"> </w:t>
      </w:r>
      <w:r>
        <w:t>that were developed provided a solid foundation for the MWGE programme to present results to prospective donors and share lessons with other UN offices and further afield in the next few years</w:t>
      </w:r>
      <w:r>
        <w:t xml:space="preserve">. </w:t>
      </w:r>
      <w:r w:rsidRPr="00BC5F1C">
        <w:rPr>
          <w:b/>
          <w:bCs/>
          <w:color w:val="588B46" w:themeColor="text2"/>
        </w:rPr>
        <w:t>(Based on Findings 9.1, 9.2 and 9.3)</w:t>
      </w:r>
    </w:p>
    <w:p w14:paraId="352557A0" w14:textId="77777777" w:rsidR="00BC5F1C" w:rsidRDefault="00BC5F1C" w:rsidP="00201936">
      <w:pPr>
        <w:pStyle w:val="ItadNormalText"/>
        <w:jc w:val="both"/>
        <w:rPr>
          <w:rFonts w:asciiTheme="minorHAnsi" w:hAnsiTheme="minorHAnsi" w:cstheme="minorHAnsi"/>
          <w:b/>
          <w:bCs/>
          <w:color w:val="588B46" w:themeColor="text2"/>
        </w:rPr>
      </w:pPr>
    </w:p>
    <w:p w14:paraId="512D7014" w14:textId="77777777" w:rsidR="00AB07D6" w:rsidRPr="00AB07D6" w:rsidRDefault="00AB07D6" w:rsidP="00201936">
      <w:pPr>
        <w:pStyle w:val="ItadNormalText"/>
        <w:jc w:val="both"/>
        <w:rPr>
          <w:rFonts w:asciiTheme="minorHAnsi" w:hAnsiTheme="minorHAnsi" w:cstheme="minorHAnsi"/>
          <w:b/>
          <w:bCs/>
          <w:color w:val="588B46" w:themeColor="text2"/>
        </w:rPr>
      </w:pPr>
    </w:p>
    <w:p w14:paraId="7B67DF5A" w14:textId="77777777" w:rsidR="00CD427B" w:rsidRPr="006A561F" w:rsidRDefault="00CD427B" w:rsidP="00A8556E">
      <w:pPr>
        <w:pStyle w:val="ItadNormalText"/>
        <w:jc w:val="both"/>
      </w:pPr>
    </w:p>
    <w:p w14:paraId="1C490A77" w14:textId="392332F4" w:rsidR="00321382" w:rsidRDefault="00321382" w:rsidP="00A8556E">
      <w:pPr>
        <w:pStyle w:val="ItadNormalText"/>
        <w:jc w:val="both"/>
        <w:rPr>
          <w:color w:val="auto"/>
        </w:rPr>
      </w:pPr>
    </w:p>
    <w:bookmarkEnd w:id="59"/>
    <w:p w14:paraId="5A990F4B" w14:textId="12577141" w:rsidR="00445494" w:rsidRDefault="00445494" w:rsidP="006F2F6D">
      <w:pPr>
        <w:pStyle w:val="ItadNormalText"/>
        <w:rPr>
          <w:b/>
          <w:bCs/>
          <w:vanish/>
          <w:color w:val="588B46" w:themeColor="text2"/>
          <w:szCs w:val="24"/>
        </w:rPr>
        <w:sectPr w:rsidR="00445494" w:rsidSect="00CB5ED5">
          <w:pgSz w:w="11906" w:h="16838" w:code="9"/>
          <w:pgMar w:top="1134" w:right="1191" w:bottom="1134" w:left="1191" w:header="720" w:footer="680" w:gutter="0"/>
          <w:cols w:space="720"/>
          <w:docGrid w:linePitch="360"/>
        </w:sectPr>
      </w:pPr>
    </w:p>
    <w:p w14:paraId="3CEC9DCB" w14:textId="77777777" w:rsidR="006F2F6D" w:rsidRPr="006A561F" w:rsidRDefault="006F2F6D" w:rsidP="4977AA67">
      <w:pPr>
        <w:spacing w:before="240" w:after="120"/>
        <w:rPr>
          <w:b/>
          <w:bCs/>
          <w:vanish/>
          <w:color w:val="588B46" w:themeColor="text2"/>
        </w:rPr>
      </w:pPr>
    </w:p>
    <w:p w14:paraId="5C6E3DA6" w14:textId="77777777" w:rsidR="00C2660F" w:rsidRDefault="39AF6AE5">
      <w:pPr>
        <w:pStyle w:val="ItadH1"/>
        <w:numPr>
          <w:ilvl w:val="0"/>
          <w:numId w:val="25"/>
        </w:numPr>
        <w:rPr>
          <w:rFonts w:eastAsia="Calibri"/>
        </w:rPr>
      </w:pPr>
      <w:bookmarkStart w:id="60" w:name="_Toc123126201"/>
      <w:r>
        <w:t>Recommendations</w:t>
      </w:r>
      <w:bookmarkEnd w:id="60"/>
    </w:p>
    <w:p w14:paraId="0C3FFF65" w14:textId="21EBD334" w:rsidR="006F2F6D" w:rsidRPr="006A561F" w:rsidRDefault="59E1A32F" w:rsidP="00BF5D79">
      <w:pPr>
        <w:pStyle w:val="ItadNormalText"/>
        <w:jc w:val="both"/>
      </w:pPr>
      <w:r>
        <w:t xml:space="preserve">Drawing on the evaluation evidence, </w:t>
      </w:r>
      <w:proofErr w:type="gramStart"/>
      <w:r>
        <w:t>a number of</w:t>
      </w:r>
      <w:proofErr w:type="gramEnd"/>
      <w:r>
        <w:t xml:space="preserve"> recommendations </w:t>
      </w:r>
      <w:r w:rsidR="00445494">
        <w:t>were</w:t>
      </w:r>
      <w:r>
        <w:t xml:space="preserve"> identified at </w:t>
      </w:r>
      <w:r w:rsidR="009321A5">
        <w:t xml:space="preserve">three </w:t>
      </w:r>
      <w:r>
        <w:t>interlinked levels, in particular with a view to a potential Phase III of MWGE and/or the implementation of a similar programme elsewhere:</w:t>
      </w:r>
    </w:p>
    <w:p w14:paraId="0E35835C" w14:textId="27278DB3" w:rsidR="006F2F6D" w:rsidRPr="006A561F" w:rsidRDefault="006F2F6D">
      <w:pPr>
        <w:pStyle w:val="ItadNormalText"/>
        <w:numPr>
          <w:ilvl w:val="0"/>
          <w:numId w:val="32"/>
        </w:numPr>
        <w:jc w:val="both"/>
      </w:pPr>
      <w:r w:rsidRPr="006A561F">
        <w:rPr>
          <w:b/>
          <w:bCs/>
        </w:rPr>
        <w:t>Strategic level:</w:t>
      </w:r>
      <w:r w:rsidRPr="006A561F">
        <w:t xml:space="preserve"> These recommendations relate to the broad parameters of the programme, and involve fundamental questions about the scope, focus and structure of the overall approach. </w:t>
      </w:r>
    </w:p>
    <w:p w14:paraId="35FD26B5" w14:textId="77777777" w:rsidR="006F2F6D" w:rsidRPr="006A561F" w:rsidRDefault="006F2F6D">
      <w:pPr>
        <w:pStyle w:val="ItadNormalText"/>
        <w:numPr>
          <w:ilvl w:val="0"/>
          <w:numId w:val="32"/>
        </w:numPr>
        <w:jc w:val="both"/>
      </w:pPr>
      <w:r w:rsidRPr="006A561F">
        <w:rPr>
          <w:b/>
          <w:bCs/>
        </w:rPr>
        <w:t>Programmatic level:</w:t>
      </w:r>
      <w:r w:rsidRPr="006A561F">
        <w:t xml:space="preserve"> Linked to the above, these recommendations refer to the choosing of appropriate programmatic tools for reaching the strategic goals.</w:t>
      </w:r>
    </w:p>
    <w:p w14:paraId="4BC2AFC4" w14:textId="3373DC47" w:rsidR="006F2F6D" w:rsidRPr="007F6DFD" w:rsidRDefault="59E1A32F">
      <w:pPr>
        <w:pStyle w:val="ItadNormalText"/>
        <w:numPr>
          <w:ilvl w:val="0"/>
          <w:numId w:val="32"/>
        </w:numPr>
        <w:jc w:val="both"/>
        <w:rPr>
          <w:b/>
          <w:bCs/>
        </w:rPr>
      </w:pPr>
      <w:r w:rsidRPr="076A58FF">
        <w:rPr>
          <w:b/>
          <w:bCs/>
        </w:rPr>
        <w:t>Implementation-level:</w:t>
      </w:r>
      <w:r>
        <w:t xml:space="preserve"> Lastly, these recommendations focused on the practical working</w:t>
      </w:r>
      <w:r w:rsidR="63DD1677">
        <w:t xml:space="preserve"> </w:t>
      </w:r>
      <w:r>
        <w:t>level of programming</w:t>
      </w:r>
      <w:r w:rsidR="5BCF2027">
        <w:t xml:space="preserve">, including ensuring that the necessary procedures, </w:t>
      </w:r>
      <w:proofErr w:type="gramStart"/>
      <w:r w:rsidR="5BCF2027">
        <w:t>processes</w:t>
      </w:r>
      <w:proofErr w:type="gramEnd"/>
      <w:r w:rsidR="5BCF2027">
        <w:t xml:space="preserve"> and frameworks are in place to allow for an effective and efficient implementation.</w:t>
      </w:r>
      <w:r>
        <w:t xml:space="preserve"> </w:t>
      </w:r>
    </w:p>
    <w:p w14:paraId="06DDCD05" w14:textId="19DA90F8" w:rsidR="009321A5" w:rsidRPr="007F6DFD" w:rsidRDefault="009321A5" w:rsidP="00BF5D79">
      <w:pPr>
        <w:pStyle w:val="ItadNormalText"/>
        <w:jc w:val="both"/>
      </w:pPr>
      <w:r>
        <w:t xml:space="preserve">These recommendations were </w:t>
      </w:r>
      <w:r w:rsidR="001C6DAB">
        <w:t xml:space="preserve">discussed and developed in a participatory way </w:t>
      </w:r>
      <w:r w:rsidR="00A46458">
        <w:t xml:space="preserve">by a </w:t>
      </w:r>
      <w:proofErr w:type="gramStart"/>
      <w:r w:rsidR="00A46458">
        <w:t>series</w:t>
      </w:r>
      <w:r w:rsidR="001C6DAB">
        <w:t xml:space="preserve"> </w:t>
      </w:r>
      <w:r w:rsidR="00A46458">
        <w:t>preliminary findings presentations</w:t>
      </w:r>
      <w:proofErr w:type="gramEnd"/>
      <w:r w:rsidR="00A46458">
        <w:t xml:space="preserve"> with each of the UN Women COs</w:t>
      </w:r>
      <w:r w:rsidR="00E34F09">
        <w:t xml:space="preserve"> – each of which involved representation from the ROAS office. A similar exercise was undertaken </w:t>
      </w:r>
      <w:r w:rsidR="00A11F98">
        <w:t>with the ROAS and</w:t>
      </w:r>
      <w:r w:rsidR="00E34F09">
        <w:t xml:space="preserve"> </w:t>
      </w:r>
      <w:proofErr w:type="spellStart"/>
      <w:r w:rsidR="00E34F09">
        <w:t>Sida</w:t>
      </w:r>
      <w:proofErr w:type="spellEnd"/>
      <w:r w:rsidR="00A11F98">
        <w:t xml:space="preserve"> at the regional level</w:t>
      </w:r>
      <w:r w:rsidR="00E34F09">
        <w:t>, all of which supported the tailoring and contextualisation of the recommendations</w:t>
      </w:r>
      <w:r w:rsidR="00F00D4F">
        <w:t>.</w:t>
      </w:r>
    </w:p>
    <w:p w14:paraId="060EF1FE" w14:textId="77777777" w:rsidR="076A58FF" w:rsidRDefault="076A58FF" w:rsidP="076A58FF">
      <w:pPr>
        <w:pStyle w:val="ItadNormalText"/>
      </w:pPr>
    </w:p>
    <w:tbl>
      <w:tblPr>
        <w:tblStyle w:val="TableGridLight"/>
        <w:tblW w:w="14588" w:type="dxa"/>
        <w:tblLook w:val="04A0" w:firstRow="1" w:lastRow="0" w:firstColumn="1" w:lastColumn="0" w:noHBand="0" w:noVBand="1"/>
      </w:tblPr>
      <w:tblGrid>
        <w:gridCol w:w="439"/>
        <w:gridCol w:w="4058"/>
        <w:gridCol w:w="1425"/>
        <w:gridCol w:w="1227"/>
        <w:gridCol w:w="1899"/>
        <w:gridCol w:w="1483"/>
        <w:gridCol w:w="4057"/>
      </w:tblGrid>
      <w:tr w:rsidR="00BA23D9" w:rsidRPr="003743EA" w14:paraId="4B73E03A" w14:textId="77777777" w:rsidTr="00AC78FE">
        <w:trPr>
          <w:trHeight w:val="1085"/>
        </w:trPr>
        <w:tc>
          <w:tcPr>
            <w:tcW w:w="4647" w:type="dxa"/>
            <w:gridSpan w:val="2"/>
            <w:shd w:val="clear" w:color="auto" w:fill="DCEAD6" w:themeFill="text2" w:themeFillTint="33"/>
          </w:tcPr>
          <w:p w14:paraId="06664118" w14:textId="654CEF65" w:rsidR="00223AAE" w:rsidRPr="003743EA" w:rsidRDefault="17E9106D" w:rsidP="00AC78FE">
            <w:pPr>
              <w:tabs>
                <w:tab w:val="left" w:pos="1418"/>
              </w:tabs>
              <w:spacing w:before="120" w:after="120"/>
              <w:jc w:val="center"/>
              <w:rPr>
                <w:b/>
                <w:bCs/>
                <w:color w:val="416734" w:themeColor="text2" w:themeShade="BF"/>
                <w:sz w:val="21"/>
                <w:szCs w:val="21"/>
              </w:rPr>
            </w:pPr>
            <w:r w:rsidRPr="003743EA">
              <w:rPr>
                <w:b/>
                <w:bCs/>
                <w:color w:val="416734" w:themeColor="text2" w:themeShade="BF"/>
                <w:sz w:val="21"/>
                <w:szCs w:val="21"/>
              </w:rPr>
              <w:t>Recommendation</w:t>
            </w:r>
          </w:p>
          <w:p w14:paraId="1BDBE274" w14:textId="77777777" w:rsidR="00223AAE" w:rsidRPr="003743EA" w:rsidRDefault="00223AAE" w:rsidP="00AC78FE">
            <w:pPr>
              <w:tabs>
                <w:tab w:val="left" w:pos="1418"/>
              </w:tabs>
              <w:spacing w:before="120" w:after="120"/>
              <w:jc w:val="center"/>
              <w:rPr>
                <w:b/>
                <w:bCs/>
                <w:color w:val="416734" w:themeColor="text2" w:themeShade="BF"/>
                <w:sz w:val="21"/>
                <w:szCs w:val="21"/>
              </w:rPr>
            </w:pPr>
          </w:p>
        </w:tc>
        <w:tc>
          <w:tcPr>
            <w:tcW w:w="1110" w:type="dxa"/>
            <w:shd w:val="clear" w:color="auto" w:fill="DCEAD6" w:themeFill="text2" w:themeFillTint="33"/>
          </w:tcPr>
          <w:p w14:paraId="5D8B4079" w14:textId="77777777" w:rsidR="00223AAE" w:rsidRPr="003743EA" w:rsidRDefault="17E9106D" w:rsidP="00AC78FE">
            <w:pPr>
              <w:tabs>
                <w:tab w:val="left" w:pos="1418"/>
              </w:tabs>
              <w:spacing w:before="120" w:after="120"/>
              <w:jc w:val="center"/>
              <w:rPr>
                <w:b/>
                <w:bCs/>
                <w:color w:val="416734" w:themeColor="text2" w:themeShade="BF"/>
                <w:sz w:val="21"/>
                <w:szCs w:val="21"/>
              </w:rPr>
            </w:pPr>
            <w:r w:rsidRPr="003743EA">
              <w:rPr>
                <w:b/>
                <w:bCs/>
                <w:color w:val="416734" w:themeColor="text2" w:themeShade="BF"/>
                <w:sz w:val="21"/>
                <w:szCs w:val="21"/>
              </w:rPr>
              <w:t>Level</w:t>
            </w:r>
          </w:p>
        </w:tc>
        <w:tc>
          <w:tcPr>
            <w:tcW w:w="1158" w:type="dxa"/>
            <w:shd w:val="clear" w:color="auto" w:fill="DCEAD6" w:themeFill="text2" w:themeFillTint="33"/>
          </w:tcPr>
          <w:p w14:paraId="423554F9" w14:textId="77777777" w:rsidR="00223AAE" w:rsidRPr="003743EA" w:rsidRDefault="17E9106D" w:rsidP="00AC78FE">
            <w:pPr>
              <w:tabs>
                <w:tab w:val="left" w:pos="1418"/>
              </w:tabs>
              <w:spacing w:before="120" w:after="120"/>
              <w:jc w:val="center"/>
              <w:rPr>
                <w:b/>
                <w:bCs/>
                <w:color w:val="416734" w:themeColor="text2" w:themeShade="BF"/>
                <w:sz w:val="21"/>
                <w:szCs w:val="21"/>
              </w:rPr>
            </w:pPr>
            <w:r w:rsidRPr="003743EA">
              <w:rPr>
                <w:b/>
                <w:bCs/>
                <w:color w:val="416734" w:themeColor="text2" w:themeShade="BF"/>
                <w:sz w:val="21"/>
                <w:szCs w:val="21"/>
              </w:rPr>
              <w:t>Linked conclusions</w:t>
            </w:r>
          </w:p>
        </w:tc>
        <w:tc>
          <w:tcPr>
            <w:tcW w:w="1914" w:type="dxa"/>
            <w:shd w:val="clear" w:color="auto" w:fill="DCEAD6" w:themeFill="text2" w:themeFillTint="33"/>
          </w:tcPr>
          <w:p w14:paraId="1309A755" w14:textId="77777777" w:rsidR="00223AAE" w:rsidRPr="003743EA" w:rsidRDefault="17E9106D" w:rsidP="00AC78FE">
            <w:pPr>
              <w:tabs>
                <w:tab w:val="left" w:pos="1418"/>
              </w:tabs>
              <w:spacing w:before="120" w:after="120"/>
              <w:jc w:val="center"/>
              <w:rPr>
                <w:b/>
                <w:bCs/>
                <w:color w:val="416734" w:themeColor="text2" w:themeShade="BF"/>
                <w:sz w:val="21"/>
                <w:szCs w:val="21"/>
              </w:rPr>
            </w:pPr>
            <w:r w:rsidRPr="003743EA">
              <w:rPr>
                <w:b/>
                <w:bCs/>
                <w:color w:val="416734" w:themeColor="text2" w:themeShade="BF"/>
                <w:sz w:val="21"/>
                <w:szCs w:val="21"/>
              </w:rPr>
              <w:t>Directed</w:t>
            </w:r>
          </w:p>
        </w:tc>
        <w:tc>
          <w:tcPr>
            <w:tcW w:w="1523" w:type="dxa"/>
            <w:shd w:val="clear" w:color="auto" w:fill="DCEAD6" w:themeFill="text2" w:themeFillTint="33"/>
          </w:tcPr>
          <w:p w14:paraId="7465174E" w14:textId="77777777" w:rsidR="00223AAE" w:rsidRPr="003743EA" w:rsidRDefault="17E9106D" w:rsidP="00AC78FE">
            <w:pPr>
              <w:tabs>
                <w:tab w:val="left" w:pos="1418"/>
              </w:tabs>
              <w:spacing w:before="120" w:after="120"/>
              <w:jc w:val="center"/>
              <w:rPr>
                <w:b/>
                <w:bCs/>
                <w:color w:val="416734" w:themeColor="text2" w:themeShade="BF"/>
                <w:sz w:val="21"/>
                <w:szCs w:val="21"/>
              </w:rPr>
            </w:pPr>
            <w:r w:rsidRPr="003743EA">
              <w:rPr>
                <w:b/>
                <w:bCs/>
                <w:color w:val="416734" w:themeColor="text2" w:themeShade="BF"/>
                <w:sz w:val="21"/>
                <w:szCs w:val="21"/>
              </w:rPr>
              <w:t>Ranking</w:t>
            </w:r>
            <w:r w:rsidR="00514CA9" w:rsidRPr="003743EA">
              <w:rPr>
                <w:b/>
                <w:bCs/>
                <w:color w:val="416734" w:themeColor="text2" w:themeShade="BF"/>
                <w:sz w:val="21"/>
                <w:szCs w:val="21"/>
              </w:rPr>
              <w:t xml:space="preserve"> (urgency of action)</w:t>
            </w:r>
          </w:p>
        </w:tc>
        <w:tc>
          <w:tcPr>
            <w:tcW w:w="4236" w:type="dxa"/>
            <w:shd w:val="clear" w:color="auto" w:fill="DCEAD6" w:themeFill="text2" w:themeFillTint="33"/>
          </w:tcPr>
          <w:p w14:paraId="653C0AB6" w14:textId="77777777" w:rsidR="00223AAE" w:rsidRPr="003743EA" w:rsidRDefault="17E9106D" w:rsidP="00AC78FE">
            <w:pPr>
              <w:tabs>
                <w:tab w:val="left" w:pos="1418"/>
              </w:tabs>
              <w:spacing w:before="120" w:after="120"/>
              <w:jc w:val="center"/>
              <w:rPr>
                <w:b/>
                <w:bCs/>
                <w:color w:val="416734" w:themeColor="text2" w:themeShade="BF"/>
                <w:sz w:val="21"/>
                <w:szCs w:val="21"/>
              </w:rPr>
            </w:pPr>
            <w:r w:rsidRPr="003743EA">
              <w:rPr>
                <w:b/>
                <w:bCs/>
                <w:color w:val="416734" w:themeColor="text2" w:themeShade="BF"/>
                <w:sz w:val="21"/>
                <w:szCs w:val="21"/>
              </w:rPr>
              <w:t>How Action Can be Supported</w:t>
            </w:r>
          </w:p>
        </w:tc>
      </w:tr>
      <w:tr w:rsidR="001C39AB" w:rsidRPr="003743EA" w14:paraId="17984EC6" w14:textId="77777777" w:rsidTr="4977AA67">
        <w:trPr>
          <w:trHeight w:val="1692"/>
        </w:trPr>
        <w:tc>
          <w:tcPr>
            <w:tcW w:w="440" w:type="dxa"/>
            <w:shd w:val="clear" w:color="auto" w:fill="E7E6E6" w:themeFill="background2"/>
          </w:tcPr>
          <w:p w14:paraId="376DF16E" w14:textId="77777777" w:rsidR="00223AAE" w:rsidRPr="003743EA" w:rsidRDefault="17E9106D" w:rsidP="00223AAE">
            <w:pPr>
              <w:tabs>
                <w:tab w:val="left" w:pos="1418"/>
              </w:tabs>
              <w:spacing w:before="120" w:after="120"/>
              <w:rPr>
                <w:sz w:val="21"/>
                <w:szCs w:val="21"/>
              </w:rPr>
            </w:pPr>
            <w:bookmarkStart w:id="61" w:name="_Hlk100767874"/>
            <w:r w:rsidRPr="003743EA">
              <w:rPr>
                <w:sz w:val="21"/>
                <w:szCs w:val="21"/>
              </w:rPr>
              <w:t>1</w:t>
            </w:r>
          </w:p>
        </w:tc>
        <w:tc>
          <w:tcPr>
            <w:tcW w:w="4207" w:type="dxa"/>
            <w:shd w:val="clear" w:color="auto" w:fill="E7E6E6" w:themeFill="background2"/>
          </w:tcPr>
          <w:p w14:paraId="0FD3D311" w14:textId="77777777" w:rsidR="00223AAE" w:rsidRPr="003743EA" w:rsidRDefault="17E9106D" w:rsidP="001B2F4C">
            <w:pPr>
              <w:tabs>
                <w:tab w:val="left" w:pos="1418"/>
              </w:tabs>
              <w:spacing w:before="120" w:after="120"/>
              <w:jc w:val="both"/>
              <w:rPr>
                <w:sz w:val="21"/>
                <w:szCs w:val="21"/>
              </w:rPr>
            </w:pPr>
            <w:r w:rsidRPr="003743EA">
              <w:rPr>
                <w:sz w:val="21"/>
                <w:szCs w:val="21"/>
              </w:rPr>
              <w:t xml:space="preserve">The MWGE to </w:t>
            </w:r>
            <w:proofErr w:type="gramStart"/>
            <w:r w:rsidRPr="003743EA">
              <w:rPr>
                <w:sz w:val="21"/>
                <w:szCs w:val="21"/>
              </w:rPr>
              <w:t>make a decision</w:t>
            </w:r>
            <w:proofErr w:type="gramEnd"/>
            <w:r w:rsidRPr="003743EA">
              <w:rPr>
                <w:sz w:val="21"/>
                <w:szCs w:val="21"/>
              </w:rPr>
              <w:t xml:space="preserve"> for a potential next stage whether it should </w:t>
            </w:r>
            <w:r w:rsidRPr="003743EA">
              <w:rPr>
                <w:b/>
                <w:bCs/>
                <w:sz w:val="21"/>
                <w:szCs w:val="21"/>
              </w:rPr>
              <w:t>scale up, scale out and/or scale deep</w:t>
            </w:r>
            <w:r w:rsidRPr="003743EA">
              <w:rPr>
                <w:sz w:val="21"/>
                <w:szCs w:val="21"/>
              </w:rPr>
              <w:t>,</w:t>
            </w:r>
            <w:r w:rsidRPr="003743EA">
              <w:rPr>
                <w:b/>
                <w:bCs/>
                <w:sz w:val="21"/>
                <w:szCs w:val="21"/>
              </w:rPr>
              <w:t xml:space="preserve"> </w:t>
            </w:r>
            <w:r w:rsidRPr="003743EA">
              <w:rPr>
                <w:sz w:val="21"/>
                <w:szCs w:val="21"/>
              </w:rPr>
              <w:t>and decide what these approaches would mean in the given context, what is feasible, and at what level. The options are not mutually exclusive but require strategic decisions on where to invest resources and how to best leverage entry points</w:t>
            </w:r>
            <w:r w:rsidR="00FC5EEE" w:rsidRPr="003743EA">
              <w:rPr>
                <w:sz w:val="21"/>
                <w:szCs w:val="21"/>
              </w:rPr>
              <w:t xml:space="preserve"> and maximize efficiency and cost-effectiveness within the programme</w:t>
            </w:r>
            <w:r w:rsidRPr="003743EA">
              <w:rPr>
                <w:sz w:val="21"/>
                <w:szCs w:val="21"/>
              </w:rPr>
              <w:t>. Options include:</w:t>
            </w:r>
          </w:p>
          <w:p w14:paraId="4C54FF4D" w14:textId="77777777" w:rsidR="00223AAE" w:rsidRPr="003743EA" w:rsidRDefault="009A9D37">
            <w:pPr>
              <w:numPr>
                <w:ilvl w:val="2"/>
                <w:numId w:val="36"/>
              </w:numPr>
              <w:tabs>
                <w:tab w:val="left" w:pos="1418"/>
              </w:tabs>
              <w:spacing w:before="120" w:after="120"/>
              <w:ind w:left="327" w:hanging="284"/>
              <w:jc w:val="both"/>
              <w:rPr>
                <w:sz w:val="21"/>
                <w:szCs w:val="21"/>
              </w:rPr>
            </w:pPr>
            <w:r w:rsidRPr="003743EA">
              <w:rPr>
                <w:b/>
                <w:bCs/>
                <w:sz w:val="21"/>
                <w:szCs w:val="21"/>
              </w:rPr>
              <w:lastRenderedPageBreak/>
              <w:t>scaling up</w:t>
            </w:r>
            <w:r w:rsidRPr="003743EA">
              <w:rPr>
                <w:sz w:val="21"/>
                <w:szCs w:val="21"/>
              </w:rPr>
              <w:t xml:space="preserve"> by using similar approaches as in the previous phases of MWGE, but increasing the number and/or type of beneficiaries reached, and/or focusing on achieving change ‘at scale’ by ensuring better institutional uptake by national and regional actors (see also recommendation 3 below on institutional uptake</w:t>
            </w:r>
            <w:proofErr w:type="gramStart"/>
            <w:r w:rsidRPr="003743EA">
              <w:rPr>
                <w:sz w:val="21"/>
                <w:szCs w:val="21"/>
              </w:rPr>
              <w:t>);</w:t>
            </w:r>
            <w:proofErr w:type="gramEnd"/>
          </w:p>
          <w:p w14:paraId="73D31BCA" w14:textId="77777777" w:rsidR="00223AAE" w:rsidRPr="003743EA" w:rsidRDefault="009A9D37">
            <w:pPr>
              <w:numPr>
                <w:ilvl w:val="2"/>
                <w:numId w:val="36"/>
              </w:numPr>
              <w:tabs>
                <w:tab w:val="left" w:pos="1418"/>
              </w:tabs>
              <w:spacing w:before="120" w:after="120"/>
              <w:ind w:left="327" w:hanging="284"/>
              <w:jc w:val="both"/>
              <w:rPr>
                <w:sz w:val="21"/>
                <w:szCs w:val="21"/>
              </w:rPr>
            </w:pPr>
            <w:r w:rsidRPr="003743EA">
              <w:rPr>
                <w:b/>
                <w:bCs/>
                <w:sz w:val="21"/>
                <w:szCs w:val="21"/>
              </w:rPr>
              <w:t>scaling out</w:t>
            </w:r>
            <w:r w:rsidRPr="003743EA">
              <w:rPr>
                <w:sz w:val="21"/>
                <w:szCs w:val="21"/>
              </w:rPr>
              <w:t xml:space="preserve"> by taking similar approaches as used up to now, but running these in parallel with new additional implementing partners in new communities/new beneficiaries and/or in other countries in the region; and/or</w:t>
            </w:r>
          </w:p>
          <w:p w14:paraId="04DE0707" w14:textId="77777777" w:rsidR="00223AAE" w:rsidRPr="003743EA" w:rsidRDefault="009A9D37">
            <w:pPr>
              <w:numPr>
                <w:ilvl w:val="2"/>
                <w:numId w:val="36"/>
              </w:numPr>
              <w:tabs>
                <w:tab w:val="left" w:pos="1418"/>
              </w:tabs>
              <w:spacing w:before="120" w:after="120"/>
              <w:ind w:left="327" w:hanging="284"/>
              <w:jc w:val="both"/>
              <w:rPr>
                <w:sz w:val="21"/>
                <w:szCs w:val="21"/>
              </w:rPr>
            </w:pPr>
            <w:r w:rsidRPr="003743EA">
              <w:rPr>
                <w:b/>
                <w:bCs/>
                <w:sz w:val="21"/>
                <w:szCs w:val="21"/>
              </w:rPr>
              <w:t>scaling deep</w:t>
            </w:r>
            <w:r w:rsidRPr="003743EA">
              <w:rPr>
                <w:sz w:val="21"/>
                <w:szCs w:val="21"/>
              </w:rPr>
              <w:t xml:space="preserve"> by engaging in the communities, with the partners and beneficiaries who have been in the focus of the intervention to date, and in new communities, but seeking to deepen the processes of change and to consolidate gains of previous phases, especially in the face of continuing economic crises and resistance to gender equality.</w:t>
            </w:r>
          </w:p>
        </w:tc>
        <w:tc>
          <w:tcPr>
            <w:tcW w:w="1110" w:type="dxa"/>
            <w:shd w:val="clear" w:color="auto" w:fill="E7E6E6" w:themeFill="background2"/>
          </w:tcPr>
          <w:p w14:paraId="54C047B9" w14:textId="77777777" w:rsidR="00223AAE" w:rsidRPr="003743EA" w:rsidRDefault="17E9106D" w:rsidP="00223AAE">
            <w:pPr>
              <w:tabs>
                <w:tab w:val="left" w:pos="1418"/>
              </w:tabs>
              <w:spacing w:before="120" w:after="120"/>
              <w:rPr>
                <w:sz w:val="21"/>
                <w:szCs w:val="21"/>
              </w:rPr>
            </w:pPr>
            <w:r w:rsidRPr="003743EA">
              <w:rPr>
                <w:sz w:val="21"/>
                <w:szCs w:val="21"/>
              </w:rPr>
              <w:lastRenderedPageBreak/>
              <w:t>Strategic</w:t>
            </w:r>
          </w:p>
        </w:tc>
        <w:tc>
          <w:tcPr>
            <w:tcW w:w="1158" w:type="dxa"/>
            <w:shd w:val="clear" w:color="auto" w:fill="E7E6E6" w:themeFill="background2"/>
          </w:tcPr>
          <w:p w14:paraId="6F8C562D" w14:textId="77777777" w:rsidR="00223AAE" w:rsidRPr="003743EA" w:rsidRDefault="17E9106D" w:rsidP="00223AAE">
            <w:pPr>
              <w:tabs>
                <w:tab w:val="left" w:pos="1418"/>
              </w:tabs>
              <w:spacing w:before="120" w:after="120"/>
              <w:rPr>
                <w:sz w:val="21"/>
                <w:szCs w:val="21"/>
              </w:rPr>
            </w:pPr>
            <w:r w:rsidRPr="003743EA">
              <w:rPr>
                <w:sz w:val="21"/>
                <w:szCs w:val="21"/>
              </w:rPr>
              <w:t>1, 3, 4, 5, 6, 7, 9, 11</w:t>
            </w:r>
          </w:p>
        </w:tc>
        <w:tc>
          <w:tcPr>
            <w:tcW w:w="1914" w:type="dxa"/>
            <w:shd w:val="clear" w:color="auto" w:fill="E7E6E6" w:themeFill="background2"/>
          </w:tcPr>
          <w:p w14:paraId="75D2F19C" w14:textId="77777777" w:rsidR="00223AAE" w:rsidRPr="003743EA" w:rsidRDefault="17E9106D" w:rsidP="00223AAE">
            <w:pPr>
              <w:tabs>
                <w:tab w:val="left" w:pos="1418"/>
              </w:tabs>
              <w:spacing w:before="120" w:after="120"/>
              <w:rPr>
                <w:sz w:val="21"/>
                <w:szCs w:val="21"/>
              </w:rPr>
            </w:pPr>
            <w:r w:rsidRPr="003743EA">
              <w:rPr>
                <w:rFonts w:cs="Calibri"/>
                <w:color w:val="262626"/>
                <w:sz w:val="21"/>
                <w:szCs w:val="21"/>
              </w:rPr>
              <w:t>UN Women (regional/</w:t>
            </w:r>
            <w:r w:rsidR="00131FCB" w:rsidRPr="003743EA">
              <w:rPr>
                <w:rFonts w:cs="Calibri"/>
                <w:color w:val="262626"/>
                <w:sz w:val="21"/>
                <w:szCs w:val="21"/>
              </w:rPr>
              <w:t>country offices</w:t>
            </w:r>
            <w:r w:rsidRPr="003743EA">
              <w:rPr>
                <w:rFonts w:cs="Calibri"/>
                <w:color w:val="262626"/>
                <w:sz w:val="21"/>
                <w:szCs w:val="21"/>
              </w:rPr>
              <w:t>)</w:t>
            </w:r>
            <w:r w:rsidRPr="003743EA">
              <w:rPr>
                <w:sz w:val="21"/>
                <w:szCs w:val="21"/>
              </w:rPr>
              <w:t xml:space="preserve">, </w:t>
            </w:r>
            <w:proofErr w:type="spellStart"/>
            <w:r w:rsidRPr="003743EA">
              <w:rPr>
                <w:rFonts w:cs="Calibri"/>
                <w:color w:val="262626"/>
                <w:sz w:val="21"/>
                <w:szCs w:val="21"/>
                <w:lang w:val="en-US"/>
              </w:rPr>
              <w:t>S</w:t>
            </w:r>
            <w:r w:rsidR="00131FCB" w:rsidRPr="003743EA">
              <w:rPr>
                <w:rFonts w:cs="Calibri"/>
                <w:color w:val="262626"/>
                <w:sz w:val="21"/>
                <w:szCs w:val="21"/>
                <w:lang w:val="en-US"/>
              </w:rPr>
              <w:t>ida</w:t>
            </w:r>
            <w:proofErr w:type="spellEnd"/>
            <w:r w:rsidRPr="003743EA">
              <w:rPr>
                <w:sz w:val="21"/>
                <w:szCs w:val="21"/>
              </w:rPr>
              <w:t>/ other donors</w:t>
            </w:r>
          </w:p>
        </w:tc>
        <w:tc>
          <w:tcPr>
            <w:tcW w:w="1523" w:type="dxa"/>
            <w:shd w:val="clear" w:color="auto" w:fill="E7E6E6" w:themeFill="background2"/>
          </w:tcPr>
          <w:p w14:paraId="388BD1DA" w14:textId="77777777" w:rsidR="00223AAE" w:rsidRPr="003743EA" w:rsidRDefault="17E9106D" w:rsidP="00223AAE">
            <w:pPr>
              <w:tabs>
                <w:tab w:val="left" w:pos="1418"/>
              </w:tabs>
              <w:spacing w:before="120" w:after="120"/>
              <w:rPr>
                <w:b/>
                <w:bCs/>
                <w:sz w:val="21"/>
                <w:szCs w:val="21"/>
              </w:rPr>
            </w:pPr>
            <w:r w:rsidRPr="003743EA">
              <w:rPr>
                <w:b/>
                <w:bCs/>
                <w:sz w:val="21"/>
                <w:szCs w:val="21"/>
              </w:rPr>
              <w:t>High</w:t>
            </w:r>
          </w:p>
        </w:tc>
        <w:tc>
          <w:tcPr>
            <w:tcW w:w="4236" w:type="dxa"/>
            <w:shd w:val="clear" w:color="auto" w:fill="E7E6E6" w:themeFill="background2"/>
          </w:tcPr>
          <w:p w14:paraId="66FE6C7D" w14:textId="7C6EE668" w:rsidR="007F3DA9" w:rsidRPr="003743EA" w:rsidRDefault="001C6DAB" w:rsidP="001B2F4C">
            <w:pPr>
              <w:tabs>
                <w:tab w:val="left" w:pos="1418"/>
              </w:tabs>
              <w:spacing w:before="120" w:after="120"/>
              <w:jc w:val="both"/>
              <w:rPr>
                <w:sz w:val="21"/>
                <w:szCs w:val="21"/>
              </w:rPr>
            </w:pPr>
            <w:r w:rsidRPr="003743EA">
              <w:rPr>
                <w:sz w:val="21"/>
                <w:szCs w:val="21"/>
              </w:rPr>
              <w:t>1.</w:t>
            </w:r>
            <w:r w:rsidR="00272B6F" w:rsidRPr="003743EA">
              <w:rPr>
                <w:sz w:val="21"/>
                <w:szCs w:val="21"/>
              </w:rPr>
              <w:t xml:space="preserve">Consult with MWGE team, wider </w:t>
            </w:r>
            <w:r w:rsidR="004D095B" w:rsidRPr="003743EA">
              <w:rPr>
                <w:sz w:val="21"/>
                <w:szCs w:val="21"/>
              </w:rPr>
              <w:t xml:space="preserve">UN Women </w:t>
            </w:r>
            <w:r w:rsidR="00272B6F" w:rsidRPr="003743EA">
              <w:rPr>
                <w:sz w:val="21"/>
                <w:szCs w:val="21"/>
              </w:rPr>
              <w:t xml:space="preserve">COs, </w:t>
            </w:r>
            <w:r w:rsidR="00130C9E" w:rsidRPr="003743EA">
              <w:rPr>
                <w:sz w:val="21"/>
                <w:szCs w:val="21"/>
              </w:rPr>
              <w:t xml:space="preserve">in-country </w:t>
            </w:r>
            <w:proofErr w:type="gramStart"/>
            <w:r w:rsidR="00130C9E" w:rsidRPr="003743EA">
              <w:rPr>
                <w:sz w:val="21"/>
                <w:szCs w:val="21"/>
              </w:rPr>
              <w:t>stakeholders</w:t>
            </w:r>
            <w:proofErr w:type="gramEnd"/>
            <w:r w:rsidR="00130C9E" w:rsidRPr="003743EA">
              <w:rPr>
                <w:sz w:val="21"/>
                <w:szCs w:val="21"/>
              </w:rPr>
              <w:t xml:space="preserve"> and forthcoming donor(s) </w:t>
            </w:r>
            <w:r w:rsidR="00802018" w:rsidRPr="003743EA">
              <w:rPr>
                <w:sz w:val="21"/>
                <w:szCs w:val="21"/>
              </w:rPr>
              <w:t xml:space="preserve">in conducting a cost-benefit exercise </w:t>
            </w:r>
            <w:r w:rsidR="0056087B" w:rsidRPr="003743EA">
              <w:rPr>
                <w:sz w:val="21"/>
                <w:szCs w:val="21"/>
              </w:rPr>
              <w:t>modelled</w:t>
            </w:r>
            <w:r w:rsidR="0056087B" w:rsidRPr="003743EA">
              <w:rPr>
                <w:b/>
                <w:bCs/>
                <w:sz w:val="21"/>
                <w:szCs w:val="21"/>
              </w:rPr>
              <w:t xml:space="preserve"> </w:t>
            </w:r>
            <w:r w:rsidR="0056087B" w:rsidRPr="003743EA">
              <w:rPr>
                <w:sz w:val="21"/>
                <w:szCs w:val="21"/>
              </w:rPr>
              <w:t>upon a range of implementation combinations (</w:t>
            </w:r>
            <w:r w:rsidR="008D0150" w:rsidRPr="003743EA">
              <w:rPr>
                <w:sz w:val="21"/>
                <w:szCs w:val="21"/>
              </w:rPr>
              <w:t>scaling-up</w:t>
            </w:r>
            <w:r w:rsidR="00B6061F" w:rsidRPr="003743EA">
              <w:rPr>
                <w:sz w:val="21"/>
                <w:szCs w:val="21"/>
              </w:rPr>
              <w:t xml:space="preserve"> vs out vs deep). </w:t>
            </w:r>
            <w:r w:rsidR="00262FD3" w:rsidRPr="003743EA">
              <w:rPr>
                <w:sz w:val="21"/>
                <w:szCs w:val="21"/>
              </w:rPr>
              <w:t>This exercise should be accompanied</w:t>
            </w:r>
            <w:r w:rsidR="17E9106D" w:rsidRPr="003743EA">
              <w:rPr>
                <w:sz w:val="21"/>
                <w:szCs w:val="21"/>
              </w:rPr>
              <w:t xml:space="preserve"> with a costing exercise and a rethink of budget allocation per country based on the scope and focus, as well as on purchasing power in-country.</w:t>
            </w:r>
            <w:r w:rsidR="00963EC2" w:rsidRPr="003743EA">
              <w:rPr>
                <w:sz w:val="21"/>
                <w:szCs w:val="21"/>
              </w:rPr>
              <w:t xml:space="preserve"> These materials should then be pivoted towards more systematic resource mobilisation</w:t>
            </w:r>
            <w:r w:rsidR="00DF10FC" w:rsidRPr="003743EA">
              <w:rPr>
                <w:sz w:val="21"/>
                <w:szCs w:val="21"/>
              </w:rPr>
              <w:t>,</w:t>
            </w:r>
            <w:r w:rsidR="00DF10FC" w:rsidRPr="003743EA">
              <w:rPr>
                <w:b/>
                <w:bCs/>
                <w:sz w:val="21"/>
                <w:szCs w:val="21"/>
              </w:rPr>
              <w:t xml:space="preserve"> </w:t>
            </w:r>
            <w:r w:rsidR="00DF10FC" w:rsidRPr="003743EA">
              <w:rPr>
                <w:sz w:val="21"/>
                <w:szCs w:val="21"/>
              </w:rPr>
              <w:t xml:space="preserve">further endorsed </w:t>
            </w:r>
            <w:r w:rsidR="00963EC2" w:rsidRPr="003743EA">
              <w:rPr>
                <w:sz w:val="21"/>
                <w:szCs w:val="21"/>
              </w:rPr>
              <w:t xml:space="preserve">by drawing on knowledge </w:t>
            </w:r>
            <w:r w:rsidR="00963EC2" w:rsidRPr="003743EA">
              <w:rPr>
                <w:sz w:val="21"/>
                <w:szCs w:val="21"/>
              </w:rPr>
              <w:lastRenderedPageBreak/>
              <w:t xml:space="preserve">products and </w:t>
            </w:r>
            <w:r w:rsidR="00DF10FC" w:rsidRPr="003743EA">
              <w:rPr>
                <w:sz w:val="21"/>
                <w:szCs w:val="21"/>
              </w:rPr>
              <w:t>key</w:t>
            </w:r>
            <w:r w:rsidR="00963EC2" w:rsidRPr="003743EA">
              <w:rPr>
                <w:sz w:val="21"/>
                <w:szCs w:val="21"/>
              </w:rPr>
              <w:t xml:space="preserve"> results from Phase II</w:t>
            </w:r>
            <w:r w:rsidR="007F3DA9" w:rsidRPr="003743EA">
              <w:rPr>
                <w:sz w:val="21"/>
                <w:szCs w:val="21"/>
              </w:rPr>
              <w:t>. The latter exercise should be underpinned by a MWGE resource mobilisation strategy</w:t>
            </w:r>
            <w:r w:rsidR="00915AE3" w:rsidRPr="003743EA">
              <w:rPr>
                <w:sz w:val="21"/>
                <w:szCs w:val="21"/>
              </w:rPr>
              <w:t xml:space="preserve"> – and aligned with the broader ROAS equivalent</w:t>
            </w:r>
            <w:r w:rsidR="00A32ED0" w:rsidRPr="003743EA">
              <w:rPr>
                <w:sz w:val="21"/>
                <w:szCs w:val="21"/>
              </w:rPr>
              <w:t xml:space="preserve">. Finally, </w:t>
            </w:r>
            <w:r w:rsidR="007F3DA9" w:rsidRPr="003743EA">
              <w:rPr>
                <w:sz w:val="21"/>
                <w:szCs w:val="21"/>
              </w:rPr>
              <w:t xml:space="preserve">seek commitment for core resources at ROAS and CO levels to </w:t>
            </w:r>
            <w:r w:rsidR="00A32ED0" w:rsidRPr="003743EA">
              <w:rPr>
                <w:sz w:val="21"/>
                <w:szCs w:val="21"/>
              </w:rPr>
              <w:t xml:space="preserve">be used to </w:t>
            </w:r>
            <w:r w:rsidR="007F3DA9" w:rsidRPr="003743EA">
              <w:rPr>
                <w:sz w:val="21"/>
                <w:szCs w:val="21"/>
              </w:rPr>
              <w:t>implement the strategy.</w:t>
            </w:r>
          </w:p>
          <w:p w14:paraId="4994DE83" w14:textId="77777777" w:rsidR="00223AAE" w:rsidRPr="003743EA" w:rsidRDefault="00223AAE" w:rsidP="00223AAE">
            <w:pPr>
              <w:tabs>
                <w:tab w:val="left" w:pos="1418"/>
              </w:tabs>
              <w:spacing w:before="120" w:after="120"/>
              <w:rPr>
                <w:sz w:val="21"/>
                <w:szCs w:val="21"/>
              </w:rPr>
            </w:pPr>
          </w:p>
          <w:p w14:paraId="6F291F07" w14:textId="5D31E7B6" w:rsidR="000C58AC" w:rsidRPr="003743EA" w:rsidRDefault="001C6DAB" w:rsidP="001B2F4C">
            <w:pPr>
              <w:tabs>
                <w:tab w:val="left" w:pos="1418"/>
              </w:tabs>
              <w:spacing w:before="120" w:after="120"/>
              <w:jc w:val="both"/>
              <w:rPr>
                <w:sz w:val="21"/>
                <w:szCs w:val="21"/>
              </w:rPr>
            </w:pPr>
            <w:r w:rsidRPr="003743EA">
              <w:rPr>
                <w:sz w:val="21"/>
                <w:szCs w:val="21"/>
              </w:rPr>
              <w:t>2.</w:t>
            </w:r>
            <w:r w:rsidR="3EF87045" w:rsidRPr="003743EA">
              <w:rPr>
                <w:sz w:val="21"/>
                <w:szCs w:val="21"/>
              </w:rPr>
              <w:t xml:space="preserve">A </w:t>
            </w:r>
            <w:r w:rsidR="766E2666" w:rsidRPr="003743EA">
              <w:rPr>
                <w:sz w:val="21"/>
                <w:szCs w:val="21"/>
              </w:rPr>
              <w:t xml:space="preserve">detailed review of the effectiveness and efficiency of </w:t>
            </w:r>
            <w:r w:rsidR="1319D3BD" w:rsidRPr="003743EA">
              <w:rPr>
                <w:sz w:val="21"/>
                <w:szCs w:val="21"/>
              </w:rPr>
              <w:t xml:space="preserve">staffing at all levels (implementing partners, COs, ROAS) of Phases I and II should also be carried out to review of staff time use and budget allocations, job descriptions, contract modalities, </w:t>
            </w:r>
            <w:proofErr w:type="gramStart"/>
            <w:r w:rsidR="1319D3BD" w:rsidRPr="003743EA">
              <w:rPr>
                <w:sz w:val="21"/>
                <w:szCs w:val="21"/>
              </w:rPr>
              <w:t>tasks</w:t>
            </w:r>
            <w:proofErr w:type="gramEnd"/>
            <w:r w:rsidR="1319D3BD" w:rsidRPr="003743EA">
              <w:rPr>
                <w:sz w:val="21"/>
                <w:szCs w:val="21"/>
              </w:rPr>
              <w:t xml:space="preserve"> and responsibilities, as well as lines of accountability to improve future efficiency and avoid over-burdening of staff. Furthermore, lines of accountability should be revisited to ensure a matrixed supervisory arrangement </w:t>
            </w:r>
            <w:r w:rsidR="004D095B" w:rsidRPr="003743EA">
              <w:rPr>
                <w:sz w:val="21"/>
                <w:szCs w:val="21"/>
              </w:rPr>
              <w:t xml:space="preserve">toward ROAS and the MWGE Programme Manager </w:t>
            </w:r>
            <w:r w:rsidR="1319D3BD" w:rsidRPr="003743EA">
              <w:rPr>
                <w:sz w:val="21"/>
                <w:szCs w:val="21"/>
              </w:rPr>
              <w:t xml:space="preserve">rather than having national level MWGE staff only being accountable to the country representative. </w:t>
            </w:r>
          </w:p>
        </w:tc>
      </w:tr>
      <w:tr w:rsidR="001C39AB" w:rsidRPr="003743EA" w14:paraId="028D9965" w14:textId="77777777" w:rsidTr="4977AA67">
        <w:tc>
          <w:tcPr>
            <w:tcW w:w="440" w:type="dxa"/>
          </w:tcPr>
          <w:p w14:paraId="4912C5E4" w14:textId="77777777" w:rsidR="001C39AB" w:rsidRPr="003743EA" w:rsidRDefault="001C39AB" w:rsidP="001C39AB">
            <w:pPr>
              <w:tabs>
                <w:tab w:val="left" w:pos="1418"/>
              </w:tabs>
              <w:spacing w:before="120" w:after="120"/>
              <w:rPr>
                <w:sz w:val="21"/>
                <w:szCs w:val="21"/>
              </w:rPr>
            </w:pPr>
            <w:r w:rsidRPr="003743EA">
              <w:rPr>
                <w:sz w:val="21"/>
                <w:szCs w:val="21"/>
              </w:rPr>
              <w:t>2</w:t>
            </w:r>
          </w:p>
        </w:tc>
        <w:tc>
          <w:tcPr>
            <w:tcW w:w="4207" w:type="dxa"/>
          </w:tcPr>
          <w:p w14:paraId="703E8C00" w14:textId="18718140" w:rsidR="001C39AB" w:rsidRPr="003743EA" w:rsidRDefault="001C39AB" w:rsidP="001B2F4C">
            <w:pPr>
              <w:tabs>
                <w:tab w:val="left" w:pos="1418"/>
              </w:tabs>
              <w:spacing w:before="120" w:after="120"/>
              <w:jc w:val="both"/>
              <w:rPr>
                <w:sz w:val="21"/>
                <w:szCs w:val="21"/>
              </w:rPr>
            </w:pPr>
            <w:r w:rsidRPr="003743EA">
              <w:rPr>
                <w:sz w:val="21"/>
                <w:szCs w:val="21"/>
              </w:rPr>
              <w:t xml:space="preserve">Increasing </w:t>
            </w:r>
            <w:r w:rsidRPr="003743EA">
              <w:rPr>
                <w:b/>
                <w:bCs/>
                <w:sz w:val="21"/>
                <w:szCs w:val="21"/>
              </w:rPr>
              <w:t>regional and</w:t>
            </w:r>
            <w:r w:rsidRPr="003743EA">
              <w:rPr>
                <w:sz w:val="21"/>
                <w:szCs w:val="21"/>
              </w:rPr>
              <w:t xml:space="preserve"> </w:t>
            </w:r>
            <w:r w:rsidRPr="003743EA">
              <w:rPr>
                <w:b/>
                <w:bCs/>
                <w:sz w:val="21"/>
                <w:szCs w:val="21"/>
              </w:rPr>
              <w:t xml:space="preserve">national ownership </w:t>
            </w:r>
            <w:r w:rsidRPr="003743EA">
              <w:rPr>
                <w:sz w:val="21"/>
                <w:szCs w:val="21"/>
              </w:rPr>
              <w:t xml:space="preserve">of various aspects of the programme should be continued, as this not only builds capacity and increases sustainability but also has positive impacts in terms of cost-efficiency and effectiveness. UN Women needs to ensure that all implementing partners understand, </w:t>
            </w:r>
            <w:proofErr w:type="gramStart"/>
            <w:r w:rsidRPr="003743EA">
              <w:rPr>
                <w:sz w:val="21"/>
                <w:szCs w:val="21"/>
              </w:rPr>
              <w:t>incorporate</w:t>
            </w:r>
            <w:proofErr w:type="gramEnd"/>
            <w:r w:rsidRPr="003743EA">
              <w:rPr>
                <w:sz w:val="21"/>
                <w:szCs w:val="21"/>
              </w:rPr>
              <w:t xml:space="preserve"> and live up to core feminist principles in their work, and are </w:t>
            </w:r>
            <w:r w:rsidR="00B950AB" w:rsidRPr="003743EA">
              <w:rPr>
                <w:sz w:val="21"/>
                <w:szCs w:val="21"/>
              </w:rPr>
              <w:t xml:space="preserve">horizontally </w:t>
            </w:r>
            <w:r w:rsidRPr="003743EA">
              <w:rPr>
                <w:sz w:val="21"/>
                <w:szCs w:val="21"/>
              </w:rPr>
              <w:t xml:space="preserve">accountable to the women’s rights movement nationally. </w:t>
            </w:r>
            <w:proofErr w:type="gramStart"/>
            <w:r w:rsidRPr="003743EA">
              <w:rPr>
                <w:sz w:val="21"/>
                <w:szCs w:val="21"/>
              </w:rPr>
              <w:t xml:space="preserve">Particular </w:t>
            </w:r>
            <w:r w:rsidRPr="003743EA">
              <w:rPr>
                <w:sz w:val="21"/>
                <w:szCs w:val="21"/>
              </w:rPr>
              <w:lastRenderedPageBreak/>
              <w:t>emphasis</w:t>
            </w:r>
            <w:proofErr w:type="gramEnd"/>
            <w:r w:rsidRPr="003743EA">
              <w:rPr>
                <w:sz w:val="21"/>
                <w:szCs w:val="21"/>
              </w:rPr>
              <w:t xml:space="preserve"> should be afforded to national implementing partners in this regard to both draw upon and enhance national partner capacities. </w:t>
            </w:r>
          </w:p>
        </w:tc>
        <w:tc>
          <w:tcPr>
            <w:tcW w:w="1110" w:type="dxa"/>
          </w:tcPr>
          <w:p w14:paraId="2A8DC37A" w14:textId="77777777" w:rsidR="001C39AB" w:rsidRPr="003743EA" w:rsidRDefault="001C39AB" w:rsidP="001C39AB">
            <w:pPr>
              <w:tabs>
                <w:tab w:val="left" w:pos="1418"/>
              </w:tabs>
              <w:spacing w:before="120" w:after="120"/>
              <w:rPr>
                <w:sz w:val="21"/>
                <w:szCs w:val="21"/>
              </w:rPr>
            </w:pPr>
            <w:r w:rsidRPr="003743EA">
              <w:rPr>
                <w:sz w:val="21"/>
                <w:szCs w:val="21"/>
              </w:rPr>
              <w:lastRenderedPageBreak/>
              <w:t>Programmatic and Strategic</w:t>
            </w:r>
          </w:p>
        </w:tc>
        <w:tc>
          <w:tcPr>
            <w:tcW w:w="1158" w:type="dxa"/>
          </w:tcPr>
          <w:p w14:paraId="1B90F351" w14:textId="77777777" w:rsidR="001C39AB" w:rsidRPr="003743EA" w:rsidRDefault="001C39AB" w:rsidP="001C39AB">
            <w:pPr>
              <w:tabs>
                <w:tab w:val="left" w:pos="1418"/>
              </w:tabs>
              <w:spacing w:before="120" w:after="120"/>
              <w:rPr>
                <w:sz w:val="21"/>
                <w:szCs w:val="21"/>
              </w:rPr>
            </w:pPr>
            <w:r w:rsidRPr="003743EA">
              <w:rPr>
                <w:sz w:val="21"/>
                <w:szCs w:val="21"/>
              </w:rPr>
              <w:t>1, 3, 5, 6, 7, 8, 9, 11, 12</w:t>
            </w:r>
          </w:p>
        </w:tc>
        <w:tc>
          <w:tcPr>
            <w:tcW w:w="1914" w:type="dxa"/>
          </w:tcPr>
          <w:p w14:paraId="22D335A8" w14:textId="77777777" w:rsidR="001C39AB" w:rsidRPr="003743EA" w:rsidRDefault="001C39AB" w:rsidP="001C39AB">
            <w:pPr>
              <w:autoSpaceDE w:val="0"/>
              <w:autoSpaceDN w:val="0"/>
              <w:adjustRightInd w:val="0"/>
              <w:rPr>
                <w:rFonts w:cs="Calibri"/>
                <w:color w:val="262626"/>
                <w:sz w:val="21"/>
                <w:szCs w:val="21"/>
              </w:rPr>
            </w:pPr>
            <w:r w:rsidRPr="003743EA">
              <w:rPr>
                <w:rFonts w:cs="Calibri"/>
                <w:color w:val="262626"/>
                <w:sz w:val="21"/>
                <w:szCs w:val="21"/>
              </w:rPr>
              <w:t>UN Women (regional/ country offices)</w:t>
            </w:r>
          </w:p>
        </w:tc>
        <w:tc>
          <w:tcPr>
            <w:tcW w:w="1523" w:type="dxa"/>
          </w:tcPr>
          <w:p w14:paraId="1BBE2F99" w14:textId="77777777" w:rsidR="001C39AB" w:rsidRPr="003743EA" w:rsidRDefault="001C39AB" w:rsidP="001C39AB">
            <w:pPr>
              <w:tabs>
                <w:tab w:val="left" w:pos="1418"/>
              </w:tabs>
              <w:spacing w:before="120" w:after="120"/>
              <w:rPr>
                <w:b/>
                <w:bCs/>
                <w:sz w:val="21"/>
                <w:szCs w:val="21"/>
              </w:rPr>
            </w:pPr>
            <w:r w:rsidRPr="003743EA">
              <w:rPr>
                <w:b/>
                <w:bCs/>
                <w:sz w:val="21"/>
                <w:szCs w:val="21"/>
              </w:rPr>
              <w:t>High</w:t>
            </w:r>
          </w:p>
        </w:tc>
        <w:tc>
          <w:tcPr>
            <w:tcW w:w="4236" w:type="dxa"/>
          </w:tcPr>
          <w:p w14:paraId="6A34B195" w14:textId="77777777" w:rsidR="001C39AB" w:rsidRPr="003743EA" w:rsidRDefault="001C39AB" w:rsidP="001B2F4C">
            <w:pPr>
              <w:tabs>
                <w:tab w:val="left" w:pos="1418"/>
              </w:tabs>
              <w:spacing w:before="120" w:after="120"/>
              <w:jc w:val="both"/>
              <w:rPr>
                <w:sz w:val="21"/>
                <w:szCs w:val="21"/>
              </w:rPr>
            </w:pPr>
            <w:r w:rsidRPr="003743EA">
              <w:rPr>
                <w:sz w:val="21"/>
                <w:szCs w:val="21"/>
              </w:rPr>
              <w:t xml:space="preserve">Expand on the catalogue of tools and guidance developed across Phase I and II by engaging in bespoke and targeted training for implementing partners on core feminist principles and accountability to women’s rights movements in specific policy dialogues. Engagement can be preceded by a shared understanding of the support available to </w:t>
            </w:r>
            <w:proofErr w:type="gramStart"/>
            <w:r w:rsidRPr="003743EA">
              <w:rPr>
                <w:sz w:val="21"/>
                <w:szCs w:val="21"/>
              </w:rPr>
              <w:t>partners, and</w:t>
            </w:r>
            <w:proofErr w:type="gramEnd"/>
            <w:r w:rsidRPr="003743EA">
              <w:rPr>
                <w:sz w:val="21"/>
                <w:szCs w:val="21"/>
              </w:rPr>
              <w:t xml:space="preserve"> formalised in a memorandum of understanding (MoU).</w:t>
            </w:r>
          </w:p>
        </w:tc>
      </w:tr>
      <w:tr w:rsidR="001C39AB" w:rsidRPr="003743EA" w14:paraId="56CE6718" w14:textId="77777777" w:rsidTr="4977AA67">
        <w:trPr>
          <w:trHeight w:val="3831"/>
        </w:trPr>
        <w:tc>
          <w:tcPr>
            <w:tcW w:w="440" w:type="dxa"/>
            <w:shd w:val="clear" w:color="auto" w:fill="E7E6E6" w:themeFill="background2"/>
          </w:tcPr>
          <w:p w14:paraId="0D425943" w14:textId="77777777" w:rsidR="00223AAE" w:rsidRPr="003743EA" w:rsidRDefault="001C39AB" w:rsidP="00223AAE">
            <w:pPr>
              <w:tabs>
                <w:tab w:val="left" w:pos="1418"/>
              </w:tabs>
              <w:spacing w:before="120" w:after="120"/>
              <w:rPr>
                <w:sz w:val="21"/>
                <w:szCs w:val="21"/>
              </w:rPr>
            </w:pPr>
            <w:r w:rsidRPr="003743EA">
              <w:rPr>
                <w:sz w:val="21"/>
                <w:szCs w:val="21"/>
              </w:rPr>
              <w:t>3</w:t>
            </w:r>
          </w:p>
        </w:tc>
        <w:tc>
          <w:tcPr>
            <w:tcW w:w="4207" w:type="dxa"/>
            <w:shd w:val="clear" w:color="auto" w:fill="E7E6E6" w:themeFill="background2"/>
          </w:tcPr>
          <w:p w14:paraId="45672134" w14:textId="2FEAB626" w:rsidR="00A84D3D" w:rsidRPr="003743EA" w:rsidRDefault="17E9106D" w:rsidP="001B2F4C">
            <w:pPr>
              <w:tabs>
                <w:tab w:val="left" w:pos="1418"/>
              </w:tabs>
              <w:spacing w:before="120" w:after="120"/>
              <w:jc w:val="both"/>
              <w:rPr>
                <w:sz w:val="21"/>
                <w:szCs w:val="21"/>
              </w:rPr>
            </w:pPr>
            <w:r w:rsidRPr="003743EA">
              <w:rPr>
                <w:sz w:val="21"/>
                <w:szCs w:val="21"/>
              </w:rPr>
              <w:t xml:space="preserve">Enhance </w:t>
            </w:r>
            <w:r w:rsidR="00E77B60" w:rsidRPr="003743EA">
              <w:rPr>
                <w:sz w:val="21"/>
                <w:szCs w:val="21"/>
              </w:rPr>
              <w:t xml:space="preserve">engagement and collaboration with national ministerial </w:t>
            </w:r>
            <w:r w:rsidR="00A84D3D" w:rsidRPr="003743EA">
              <w:rPr>
                <w:sz w:val="21"/>
                <w:szCs w:val="21"/>
              </w:rPr>
              <w:t>and gender</w:t>
            </w:r>
            <w:r w:rsidR="00B7046A" w:rsidRPr="003743EA">
              <w:rPr>
                <w:sz w:val="21"/>
                <w:szCs w:val="21"/>
              </w:rPr>
              <w:t xml:space="preserve"> equality</w:t>
            </w:r>
            <w:r w:rsidR="00A84D3D" w:rsidRPr="003743EA">
              <w:rPr>
                <w:sz w:val="21"/>
                <w:szCs w:val="21"/>
              </w:rPr>
              <w:t xml:space="preserve"> platforms</w:t>
            </w:r>
            <w:r w:rsidR="00B7046A" w:rsidRPr="003743EA">
              <w:rPr>
                <w:sz w:val="21"/>
                <w:szCs w:val="21"/>
              </w:rPr>
              <w:t>/mechanisms</w:t>
            </w:r>
            <w:r w:rsidR="001E090C" w:rsidRPr="003743EA">
              <w:rPr>
                <w:sz w:val="21"/>
                <w:szCs w:val="21"/>
              </w:rPr>
              <w:t xml:space="preserve"> for the </w:t>
            </w:r>
            <w:r w:rsidR="00AD6693" w:rsidRPr="003743EA">
              <w:rPr>
                <w:sz w:val="21"/>
                <w:szCs w:val="21"/>
              </w:rPr>
              <w:t xml:space="preserve">purposes </w:t>
            </w:r>
            <w:proofErr w:type="gramStart"/>
            <w:r w:rsidR="00AD6693" w:rsidRPr="003743EA">
              <w:rPr>
                <w:sz w:val="21"/>
                <w:szCs w:val="21"/>
              </w:rPr>
              <w:t>of</w:t>
            </w:r>
            <w:r w:rsidR="00445494" w:rsidRPr="003743EA">
              <w:rPr>
                <w:sz w:val="21"/>
                <w:szCs w:val="21"/>
              </w:rPr>
              <w:t>:</w:t>
            </w:r>
            <w:proofErr w:type="gramEnd"/>
            <w:r w:rsidR="00AD6693" w:rsidRPr="003743EA">
              <w:rPr>
                <w:sz w:val="21"/>
                <w:szCs w:val="21"/>
              </w:rPr>
              <w:t xml:space="preserve"> </w:t>
            </w:r>
            <w:r w:rsidR="00766BA2" w:rsidRPr="003743EA">
              <w:rPr>
                <w:sz w:val="21"/>
                <w:szCs w:val="21"/>
              </w:rPr>
              <w:t>a)</w:t>
            </w:r>
            <w:r w:rsidR="00AD6693" w:rsidRPr="003743EA">
              <w:rPr>
                <w:sz w:val="21"/>
                <w:szCs w:val="21"/>
              </w:rPr>
              <w:t xml:space="preserve"> </w:t>
            </w:r>
            <w:r w:rsidR="00952495" w:rsidRPr="003743EA">
              <w:rPr>
                <w:sz w:val="21"/>
                <w:szCs w:val="21"/>
              </w:rPr>
              <w:t>e</w:t>
            </w:r>
            <w:r w:rsidR="00AD6693" w:rsidRPr="003743EA">
              <w:rPr>
                <w:sz w:val="21"/>
                <w:szCs w:val="21"/>
              </w:rPr>
              <w:t xml:space="preserve">nsuring institutional uptake of lessons learned across MWGE thus far, </w:t>
            </w:r>
            <w:r w:rsidR="00766BA2" w:rsidRPr="003743EA">
              <w:rPr>
                <w:sz w:val="21"/>
                <w:szCs w:val="21"/>
              </w:rPr>
              <w:t>b)</w:t>
            </w:r>
            <w:r w:rsidR="00022E43" w:rsidRPr="003743EA">
              <w:rPr>
                <w:sz w:val="21"/>
                <w:szCs w:val="21"/>
              </w:rPr>
              <w:t xml:space="preserve"> </w:t>
            </w:r>
            <w:r w:rsidR="00952495" w:rsidRPr="003743EA">
              <w:rPr>
                <w:sz w:val="21"/>
                <w:szCs w:val="21"/>
              </w:rPr>
              <w:t>b</w:t>
            </w:r>
            <w:r w:rsidR="006E62C7" w:rsidRPr="003743EA">
              <w:rPr>
                <w:sz w:val="21"/>
                <w:szCs w:val="21"/>
              </w:rPr>
              <w:t>uilding collaborative space</w:t>
            </w:r>
            <w:r w:rsidR="00AE353D" w:rsidRPr="003743EA">
              <w:rPr>
                <w:sz w:val="21"/>
                <w:szCs w:val="21"/>
              </w:rPr>
              <w:t xml:space="preserve"> and credibility to then lever institutions for affecting wider policy change</w:t>
            </w:r>
            <w:r w:rsidR="003444A3" w:rsidRPr="003743EA">
              <w:rPr>
                <w:sz w:val="21"/>
                <w:szCs w:val="21"/>
              </w:rPr>
              <w:t xml:space="preserve">, and </w:t>
            </w:r>
            <w:r w:rsidR="00766BA2" w:rsidRPr="003743EA">
              <w:rPr>
                <w:sz w:val="21"/>
                <w:szCs w:val="21"/>
              </w:rPr>
              <w:t>c)</w:t>
            </w:r>
            <w:r w:rsidR="003444A3" w:rsidRPr="003743EA">
              <w:rPr>
                <w:sz w:val="21"/>
                <w:szCs w:val="21"/>
              </w:rPr>
              <w:t xml:space="preserve"> </w:t>
            </w:r>
            <w:r w:rsidR="00A11F98" w:rsidRPr="003743EA">
              <w:rPr>
                <w:sz w:val="21"/>
                <w:szCs w:val="21"/>
              </w:rPr>
              <w:t>s</w:t>
            </w:r>
            <w:r w:rsidR="00235ADF" w:rsidRPr="003743EA">
              <w:rPr>
                <w:sz w:val="21"/>
                <w:szCs w:val="21"/>
              </w:rPr>
              <w:t xml:space="preserve">hifting focus to policy implementation with a focus on </w:t>
            </w:r>
            <w:r w:rsidR="000E5132" w:rsidRPr="003743EA">
              <w:rPr>
                <w:sz w:val="21"/>
                <w:szCs w:val="21"/>
              </w:rPr>
              <w:t>the dividend that a masculinities focus brings to GEWE.</w:t>
            </w:r>
          </w:p>
          <w:p w14:paraId="2071ABC3" w14:textId="77777777" w:rsidR="00223AAE" w:rsidRPr="003743EA" w:rsidRDefault="00223AAE" w:rsidP="103DA8AC">
            <w:pPr>
              <w:tabs>
                <w:tab w:val="left" w:pos="1418"/>
              </w:tabs>
              <w:spacing w:before="120" w:after="120"/>
              <w:rPr>
                <w:sz w:val="21"/>
                <w:szCs w:val="21"/>
              </w:rPr>
            </w:pPr>
          </w:p>
        </w:tc>
        <w:tc>
          <w:tcPr>
            <w:tcW w:w="1110" w:type="dxa"/>
            <w:shd w:val="clear" w:color="auto" w:fill="E7E6E6" w:themeFill="background2"/>
          </w:tcPr>
          <w:p w14:paraId="43D72744" w14:textId="77777777" w:rsidR="00223AAE" w:rsidRPr="003743EA" w:rsidRDefault="17E9106D" w:rsidP="00223AAE">
            <w:pPr>
              <w:tabs>
                <w:tab w:val="left" w:pos="1418"/>
              </w:tabs>
              <w:spacing w:before="120" w:after="120"/>
              <w:rPr>
                <w:b/>
                <w:bCs/>
                <w:sz w:val="21"/>
                <w:szCs w:val="21"/>
              </w:rPr>
            </w:pPr>
            <w:r w:rsidRPr="003743EA">
              <w:rPr>
                <w:sz w:val="21"/>
                <w:szCs w:val="21"/>
              </w:rPr>
              <w:t>Strategic</w:t>
            </w:r>
          </w:p>
        </w:tc>
        <w:tc>
          <w:tcPr>
            <w:tcW w:w="1158" w:type="dxa"/>
            <w:shd w:val="clear" w:color="auto" w:fill="E7E6E6" w:themeFill="background2"/>
          </w:tcPr>
          <w:p w14:paraId="300A23DC" w14:textId="77777777" w:rsidR="00223AAE" w:rsidRPr="003743EA" w:rsidRDefault="17E9106D" w:rsidP="00223AAE">
            <w:pPr>
              <w:tabs>
                <w:tab w:val="left" w:pos="1418"/>
              </w:tabs>
              <w:spacing w:before="120" w:after="120"/>
              <w:rPr>
                <w:sz w:val="21"/>
                <w:szCs w:val="21"/>
              </w:rPr>
            </w:pPr>
            <w:r w:rsidRPr="003743EA">
              <w:rPr>
                <w:sz w:val="21"/>
                <w:szCs w:val="21"/>
              </w:rPr>
              <w:t>1, 3, 6, 11, 12</w:t>
            </w:r>
          </w:p>
        </w:tc>
        <w:tc>
          <w:tcPr>
            <w:tcW w:w="1914" w:type="dxa"/>
            <w:shd w:val="clear" w:color="auto" w:fill="E7E6E6" w:themeFill="background2"/>
          </w:tcPr>
          <w:p w14:paraId="100E85B1" w14:textId="77777777" w:rsidR="00223AAE" w:rsidRPr="003743EA" w:rsidRDefault="17E9106D" w:rsidP="00223AAE">
            <w:pPr>
              <w:autoSpaceDE w:val="0"/>
              <w:autoSpaceDN w:val="0"/>
              <w:adjustRightInd w:val="0"/>
              <w:rPr>
                <w:rFonts w:cs="Calibri"/>
                <w:color w:val="262626"/>
                <w:sz w:val="21"/>
                <w:szCs w:val="21"/>
              </w:rPr>
            </w:pPr>
            <w:r w:rsidRPr="003743EA">
              <w:rPr>
                <w:rFonts w:cs="Calibri"/>
                <w:color w:val="262626"/>
                <w:sz w:val="21"/>
                <w:szCs w:val="21"/>
              </w:rPr>
              <w:t>UN Women (regional/ country offices)</w:t>
            </w:r>
          </w:p>
        </w:tc>
        <w:tc>
          <w:tcPr>
            <w:tcW w:w="1523" w:type="dxa"/>
            <w:shd w:val="clear" w:color="auto" w:fill="E7E6E6" w:themeFill="background2"/>
          </w:tcPr>
          <w:p w14:paraId="182B97D1" w14:textId="77777777" w:rsidR="00223AAE" w:rsidRPr="003743EA" w:rsidRDefault="17E9106D" w:rsidP="00223AAE">
            <w:pPr>
              <w:tabs>
                <w:tab w:val="left" w:pos="1418"/>
              </w:tabs>
              <w:spacing w:before="120" w:after="120"/>
              <w:rPr>
                <w:b/>
                <w:bCs/>
                <w:sz w:val="21"/>
                <w:szCs w:val="21"/>
              </w:rPr>
            </w:pPr>
            <w:r w:rsidRPr="003743EA">
              <w:rPr>
                <w:b/>
                <w:bCs/>
                <w:sz w:val="21"/>
                <w:szCs w:val="21"/>
              </w:rPr>
              <w:t>High</w:t>
            </w:r>
          </w:p>
        </w:tc>
        <w:tc>
          <w:tcPr>
            <w:tcW w:w="4236" w:type="dxa"/>
            <w:shd w:val="clear" w:color="auto" w:fill="E7E6E6" w:themeFill="background2"/>
          </w:tcPr>
          <w:p w14:paraId="5B6BEF76" w14:textId="77777777" w:rsidR="00223AAE" w:rsidRPr="003743EA" w:rsidRDefault="23CF74E8" w:rsidP="4977AA67">
            <w:pPr>
              <w:tabs>
                <w:tab w:val="left" w:pos="1418"/>
              </w:tabs>
              <w:spacing w:before="120" w:after="120"/>
              <w:jc w:val="both"/>
              <w:rPr>
                <w:b/>
                <w:bCs/>
                <w:sz w:val="21"/>
                <w:szCs w:val="21"/>
              </w:rPr>
            </w:pPr>
            <w:r w:rsidRPr="003743EA">
              <w:rPr>
                <w:sz w:val="21"/>
                <w:szCs w:val="21"/>
              </w:rPr>
              <w:t xml:space="preserve">Undertake a detailed </w:t>
            </w:r>
            <w:r w:rsidR="1DD700CF" w:rsidRPr="003743EA">
              <w:rPr>
                <w:sz w:val="21"/>
                <w:szCs w:val="21"/>
              </w:rPr>
              <w:t xml:space="preserve">cross-programme stakeholder analysis for a potential </w:t>
            </w:r>
            <w:r w:rsidR="695187EC" w:rsidRPr="003743EA">
              <w:rPr>
                <w:sz w:val="21"/>
                <w:szCs w:val="21"/>
              </w:rPr>
              <w:t>new programme/</w:t>
            </w:r>
            <w:r w:rsidR="1DD700CF" w:rsidRPr="003743EA">
              <w:rPr>
                <w:sz w:val="21"/>
                <w:szCs w:val="21"/>
              </w:rPr>
              <w:t>phase III</w:t>
            </w:r>
            <w:r w:rsidR="4ABF3B6A" w:rsidRPr="003743EA">
              <w:rPr>
                <w:sz w:val="21"/>
                <w:szCs w:val="21"/>
              </w:rPr>
              <w:t>, as well as a detailed feminist political economy analysis to understand the political environment and associated fiscal space</w:t>
            </w:r>
            <w:r w:rsidR="7DBFE500" w:rsidRPr="003743EA">
              <w:rPr>
                <w:sz w:val="21"/>
                <w:szCs w:val="21"/>
              </w:rPr>
              <w:t>. Findings from these enquiries will inform a</w:t>
            </w:r>
            <w:r w:rsidR="17B982A6" w:rsidRPr="003743EA">
              <w:rPr>
                <w:sz w:val="21"/>
                <w:szCs w:val="21"/>
              </w:rPr>
              <w:t xml:space="preserve"> programme wide advocacy </w:t>
            </w:r>
            <w:proofErr w:type="gramStart"/>
            <w:r w:rsidR="17B982A6" w:rsidRPr="003743EA">
              <w:rPr>
                <w:sz w:val="21"/>
                <w:szCs w:val="21"/>
              </w:rPr>
              <w:t>strategy, and</w:t>
            </w:r>
            <w:proofErr w:type="gramEnd"/>
            <w:r w:rsidR="17B982A6" w:rsidRPr="003743EA">
              <w:rPr>
                <w:sz w:val="21"/>
                <w:szCs w:val="21"/>
              </w:rPr>
              <w:t xml:space="preserve"> will include actions to s</w:t>
            </w:r>
            <w:r w:rsidR="4BC6E3B0" w:rsidRPr="003743EA">
              <w:rPr>
                <w:sz w:val="21"/>
                <w:szCs w:val="21"/>
              </w:rPr>
              <w:t>trengthen engage</w:t>
            </w:r>
            <w:r w:rsidR="2CD8EF54" w:rsidRPr="003743EA">
              <w:rPr>
                <w:sz w:val="21"/>
                <w:szCs w:val="21"/>
              </w:rPr>
              <w:t>ment</w:t>
            </w:r>
            <w:r w:rsidR="4BC6E3B0" w:rsidRPr="003743EA">
              <w:rPr>
                <w:sz w:val="21"/>
                <w:szCs w:val="21"/>
              </w:rPr>
              <w:t xml:space="preserve"> across the UN system with other agencies</w:t>
            </w:r>
            <w:r w:rsidR="2CD8EF54" w:rsidRPr="003743EA">
              <w:rPr>
                <w:sz w:val="21"/>
                <w:szCs w:val="21"/>
              </w:rPr>
              <w:t xml:space="preserve">. A by-product of this will be </w:t>
            </w:r>
            <w:r w:rsidR="14C37FE0" w:rsidRPr="003743EA">
              <w:rPr>
                <w:sz w:val="21"/>
                <w:szCs w:val="21"/>
              </w:rPr>
              <w:t>the cross-pollination of experiences on working with men and boys for the purposes of promoting GEWE.</w:t>
            </w:r>
            <w:r w:rsidR="4BC6E3B0" w:rsidRPr="003743EA">
              <w:rPr>
                <w:sz w:val="21"/>
                <w:szCs w:val="21"/>
              </w:rPr>
              <w:t xml:space="preserve"> </w:t>
            </w:r>
          </w:p>
        </w:tc>
      </w:tr>
      <w:tr w:rsidR="0007473C" w:rsidRPr="003743EA" w14:paraId="675CFC51" w14:textId="77777777" w:rsidTr="4977AA67">
        <w:trPr>
          <w:trHeight w:val="5331"/>
        </w:trPr>
        <w:tc>
          <w:tcPr>
            <w:tcW w:w="440" w:type="dxa"/>
            <w:shd w:val="clear" w:color="auto" w:fill="FFFFFF" w:themeFill="background1"/>
          </w:tcPr>
          <w:p w14:paraId="4755ECC5" w14:textId="77777777" w:rsidR="00223AAE" w:rsidRPr="003743EA" w:rsidRDefault="001C39AB" w:rsidP="00223AAE">
            <w:pPr>
              <w:tabs>
                <w:tab w:val="left" w:pos="1418"/>
              </w:tabs>
              <w:spacing w:before="120" w:after="120"/>
              <w:rPr>
                <w:sz w:val="21"/>
                <w:szCs w:val="21"/>
              </w:rPr>
            </w:pPr>
            <w:r w:rsidRPr="003743EA">
              <w:rPr>
                <w:sz w:val="21"/>
                <w:szCs w:val="21"/>
              </w:rPr>
              <w:lastRenderedPageBreak/>
              <w:t>4</w:t>
            </w:r>
          </w:p>
        </w:tc>
        <w:tc>
          <w:tcPr>
            <w:tcW w:w="4207" w:type="dxa"/>
            <w:shd w:val="clear" w:color="auto" w:fill="FFFFFF" w:themeFill="background1"/>
          </w:tcPr>
          <w:p w14:paraId="46690E5E" w14:textId="77777777" w:rsidR="00223AAE" w:rsidRPr="003743EA" w:rsidRDefault="00C879D9" w:rsidP="001B2F4C">
            <w:pPr>
              <w:tabs>
                <w:tab w:val="left" w:pos="1418"/>
              </w:tabs>
              <w:spacing w:before="120" w:after="120"/>
              <w:jc w:val="both"/>
              <w:rPr>
                <w:sz w:val="21"/>
                <w:szCs w:val="21"/>
              </w:rPr>
            </w:pPr>
            <w:r w:rsidRPr="003743EA">
              <w:rPr>
                <w:sz w:val="21"/>
                <w:szCs w:val="21"/>
              </w:rPr>
              <w:t xml:space="preserve">To achieve </w:t>
            </w:r>
            <w:r w:rsidR="00DF7112" w:rsidRPr="003743EA">
              <w:rPr>
                <w:sz w:val="21"/>
                <w:szCs w:val="21"/>
              </w:rPr>
              <w:t>sustained change, t</w:t>
            </w:r>
            <w:r w:rsidRPr="003743EA">
              <w:rPr>
                <w:sz w:val="21"/>
                <w:szCs w:val="21"/>
              </w:rPr>
              <w:t>he MWGE</w:t>
            </w:r>
            <w:r w:rsidR="17E9106D" w:rsidRPr="003743EA">
              <w:rPr>
                <w:sz w:val="21"/>
                <w:szCs w:val="21"/>
              </w:rPr>
              <w:t xml:space="preserve"> programme </w:t>
            </w:r>
            <w:r w:rsidRPr="003743EA">
              <w:rPr>
                <w:sz w:val="21"/>
                <w:szCs w:val="21"/>
              </w:rPr>
              <w:t>must</w:t>
            </w:r>
            <w:r w:rsidR="17E9106D" w:rsidRPr="003743EA">
              <w:rPr>
                <w:sz w:val="21"/>
                <w:szCs w:val="21"/>
              </w:rPr>
              <w:t xml:space="preserve"> move away from a linear ‘KAP approach’ </w:t>
            </w:r>
            <w:r w:rsidR="00DF7112" w:rsidRPr="003743EA">
              <w:rPr>
                <w:sz w:val="21"/>
                <w:szCs w:val="21"/>
              </w:rPr>
              <w:t xml:space="preserve">and </w:t>
            </w:r>
            <w:r w:rsidR="17E9106D" w:rsidRPr="003743EA">
              <w:rPr>
                <w:sz w:val="21"/>
                <w:szCs w:val="21"/>
              </w:rPr>
              <w:t xml:space="preserve">a heavy reliance on public awareness raising </w:t>
            </w:r>
            <w:r w:rsidR="00DF7112" w:rsidRPr="003743EA">
              <w:rPr>
                <w:sz w:val="21"/>
                <w:szCs w:val="21"/>
              </w:rPr>
              <w:t xml:space="preserve">and shift </w:t>
            </w:r>
            <w:r w:rsidR="17E9106D" w:rsidRPr="003743EA">
              <w:rPr>
                <w:sz w:val="21"/>
                <w:szCs w:val="21"/>
              </w:rPr>
              <w:t xml:space="preserve">towards a </w:t>
            </w:r>
            <w:r w:rsidR="00DF7112" w:rsidRPr="003743EA">
              <w:rPr>
                <w:sz w:val="21"/>
                <w:szCs w:val="21"/>
              </w:rPr>
              <w:t xml:space="preserve">social and </w:t>
            </w:r>
            <w:r w:rsidR="17E9106D" w:rsidRPr="003743EA">
              <w:rPr>
                <w:sz w:val="21"/>
                <w:szCs w:val="21"/>
              </w:rPr>
              <w:t>gender norms change approach utilising a comprehensive socioecological model</w:t>
            </w:r>
            <w:r w:rsidR="00D675D3" w:rsidRPr="003743EA">
              <w:rPr>
                <w:sz w:val="21"/>
                <w:szCs w:val="21"/>
              </w:rPr>
              <w:t>.</w:t>
            </w:r>
            <w:r w:rsidR="00D675D3" w:rsidRPr="003743EA">
              <w:rPr>
                <w:b/>
                <w:bCs/>
                <w:sz w:val="21"/>
                <w:szCs w:val="21"/>
              </w:rPr>
              <w:t xml:space="preserve"> </w:t>
            </w:r>
            <w:r w:rsidR="00E76555" w:rsidRPr="003743EA">
              <w:rPr>
                <w:sz w:val="21"/>
                <w:szCs w:val="21"/>
              </w:rPr>
              <w:t xml:space="preserve">This shift should be reflected in </w:t>
            </w:r>
            <w:r w:rsidR="00C909A5" w:rsidRPr="003743EA">
              <w:rPr>
                <w:sz w:val="21"/>
                <w:szCs w:val="21"/>
              </w:rPr>
              <w:t xml:space="preserve">a reconstructed programme-wide </w:t>
            </w:r>
            <w:proofErr w:type="gramStart"/>
            <w:r w:rsidR="00C909A5" w:rsidRPr="003743EA">
              <w:rPr>
                <w:sz w:val="21"/>
                <w:szCs w:val="21"/>
              </w:rPr>
              <w:t>TOC, and</w:t>
            </w:r>
            <w:proofErr w:type="gramEnd"/>
            <w:r w:rsidR="00C909A5" w:rsidRPr="003743EA">
              <w:rPr>
                <w:sz w:val="21"/>
                <w:szCs w:val="21"/>
              </w:rPr>
              <w:t xml:space="preserve"> include </w:t>
            </w:r>
            <w:r w:rsidR="005454B0" w:rsidRPr="003743EA">
              <w:rPr>
                <w:sz w:val="21"/>
                <w:szCs w:val="21"/>
              </w:rPr>
              <w:t xml:space="preserve">key risks and assumptions – particularly those relating to both feminist and broader </w:t>
            </w:r>
            <w:r w:rsidR="009F525D" w:rsidRPr="003743EA">
              <w:rPr>
                <w:sz w:val="21"/>
                <w:szCs w:val="21"/>
              </w:rPr>
              <w:t>resistance or</w:t>
            </w:r>
            <w:r w:rsidR="005454B0" w:rsidRPr="003743EA">
              <w:rPr>
                <w:sz w:val="21"/>
                <w:szCs w:val="21"/>
              </w:rPr>
              <w:t xml:space="preserve"> </w:t>
            </w:r>
            <w:r w:rsidR="005B2753" w:rsidRPr="003743EA">
              <w:rPr>
                <w:sz w:val="21"/>
                <w:szCs w:val="21"/>
              </w:rPr>
              <w:t xml:space="preserve">‘patriarchal </w:t>
            </w:r>
            <w:r w:rsidR="005454B0" w:rsidRPr="003743EA">
              <w:rPr>
                <w:sz w:val="21"/>
                <w:szCs w:val="21"/>
              </w:rPr>
              <w:t>backlash</w:t>
            </w:r>
            <w:r w:rsidR="005B2753" w:rsidRPr="003743EA">
              <w:rPr>
                <w:sz w:val="21"/>
                <w:szCs w:val="21"/>
              </w:rPr>
              <w:t>’</w:t>
            </w:r>
            <w:r w:rsidR="001B1DF4" w:rsidRPr="003743EA">
              <w:rPr>
                <w:sz w:val="21"/>
                <w:szCs w:val="21"/>
              </w:rPr>
              <w:t>. More broadly, there is a need to extend the timescale – particularly ‘face time’ with beneficiaries - beyond the current allocation to allow for sustained work on norm change, while catering for retention/attrition concerns</w:t>
            </w:r>
            <w:r w:rsidR="000B0BC9" w:rsidRPr="003743EA">
              <w:rPr>
                <w:sz w:val="21"/>
                <w:szCs w:val="21"/>
              </w:rPr>
              <w:t>.</w:t>
            </w:r>
          </w:p>
        </w:tc>
        <w:tc>
          <w:tcPr>
            <w:tcW w:w="1110" w:type="dxa"/>
            <w:shd w:val="clear" w:color="auto" w:fill="FFFFFF" w:themeFill="background1"/>
          </w:tcPr>
          <w:p w14:paraId="47590CF5" w14:textId="77777777" w:rsidR="00223AAE" w:rsidRPr="003743EA" w:rsidRDefault="17E9106D" w:rsidP="00223AAE">
            <w:pPr>
              <w:tabs>
                <w:tab w:val="left" w:pos="1418"/>
              </w:tabs>
              <w:spacing w:before="120" w:after="120"/>
              <w:rPr>
                <w:b/>
                <w:bCs/>
                <w:sz w:val="21"/>
                <w:szCs w:val="21"/>
              </w:rPr>
            </w:pPr>
            <w:r w:rsidRPr="003743EA">
              <w:rPr>
                <w:sz w:val="21"/>
                <w:szCs w:val="21"/>
              </w:rPr>
              <w:t>Programmatic</w:t>
            </w:r>
          </w:p>
        </w:tc>
        <w:tc>
          <w:tcPr>
            <w:tcW w:w="1158" w:type="dxa"/>
            <w:shd w:val="clear" w:color="auto" w:fill="FFFFFF" w:themeFill="background1"/>
          </w:tcPr>
          <w:p w14:paraId="3E52E08E" w14:textId="77777777" w:rsidR="00223AAE" w:rsidRPr="003743EA" w:rsidRDefault="17E9106D" w:rsidP="00223AAE">
            <w:pPr>
              <w:tabs>
                <w:tab w:val="left" w:pos="1418"/>
              </w:tabs>
              <w:spacing w:before="120" w:after="120"/>
              <w:rPr>
                <w:sz w:val="21"/>
                <w:szCs w:val="21"/>
              </w:rPr>
            </w:pPr>
            <w:r w:rsidRPr="003743EA">
              <w:rPr>
                <w:sz w:val="21"/>
                <w:szCs w:val="21"/>
              </w:rPr>
              <w:t>1, 2, 4, 5, 6, 10</w:t>
            </w:r>
          </w:p>
        </w:tc>
        <w:tc>
          <w:tcPr>
            <w:tcW w:w="1914" w:type="dxa"/>
            <w:shd w:val="clear" w:color="auto" w:fill="FFFFFF" w:themeFill="background1"/>
          </w:tcPr>
          <w:p w14:paraId="0C7D815A" w14:textId="77777777" w:rsidR="00223AAE" w:rsidRPr="003743EA" w:rsidRDefault="17E9106D" w:rsidP="00223AAE">
            <w:pPr>
              <w:tabs>
                <w:tab w:val="left" w:pos="1418"/>
              </w:tabs>
              <w:spacing w:before="120" w:after="120"/>
              <w:rPr>
                <w:sz w:val="21"/>
                <w:szCs w:val="21"/>
              </w:rPr>
            </w:pPr>
            <w:r w:rsidRPr="003743EA">
              <w:rPr>
                <w:rFonts w:cs="Calibri"/>
                <w:color w:val="262626"/>
                <w:sz w:val="21"/>
                <w:szCs w:val="21"/>
              </w:rPr>
              <w:t>UN Women (regional/ country offices)</w:t>
            </w:r>
          </w:p>
        </w:tc>
        <w:tc>
          <w:tcPr>
            <w:tcW w:w="1523" w:type="dxa"/>
            <w:shd w:val="clear" w:color="auto" w:fill="FFFFFF" w:themeFill="background1"/>
          </w:tcPr>
          <w:p w14:paraId="45D82466" w14:textId="77777777" w:rsidR="00223AAE" w:rsidRPr="003743EA" w:rsidRDefault="17E9106D" w:rsidP="00223AAE">
            <w:pPr>
              <w:tabs>
                <w:tab w:val="left" w:pos="1418"/>
              </w:tabs>
              <w:spacing w:before="120" w:after="120"/>
              <w:rPr>
                <w:b/>
                <w:bCs/>
                <w:sz w:val="21"/>
                <w:szCs w:val="21"/>
              </w:rPr>
            </w:pPr>
            <w:r w:rsidRPr="003743EA">
              <w:rPr>
                <w:b/>
                <w:bCs/>
                <w:sz w:val="21"/>
                <w:szCs w:val="21"/>
              </w:rPr>
              <w:t>High</w:t>
            </w:r>
          </w:p>
        </w:tc>
        <w:tc>
          <w:tcPr>
            <w:tcW w:w="4236" w:type="dxa"/>
            <w:shd w:val="clear" w:color="auto" w:fill="FFFFFF" w:themeFill="background1"/>
          </w:tcPr>
          <w:p w14:paraId="0FF93A92" w14:textId="77777777" w:rsidR="00295FC9" w:rsidRPr="003743EA" w:rsidRDefault="005B2753" w:rsidP="001B2F4C">
            <w:pPr>
              <w:tabs>
                <w:tab w:val="left" w:pos="1418"/>
              </w:tabs>
              <w:spacing w:before="120" w:after="120"/>
              <w:jc w:val="both"/>
              <w:rPr>
                <w:sz w:val="21"/>
                <w:szCs w:val="21"/>
              </w:rPr>
            </w:pPr>
            <w:r w:rsidRPr="003743EA">
              <w:rPr>
                <w:sz w:val="21"/>
                <w:szCs w:val="21"/>
              </w:rPr>
              <w:t xml:space="preserve">Draw on the </w:t>
            </w:r>
            <w:r w:rsidR="00295FC9" w:rsidRPr="003743EA">
              <w:rPr>
                <w:sz w:val="21"/>
                <w:szCs w:val="21"/>
              </w:rPr>
              <w:t xml:space="preserve">evaluation Social Norms and Comparator studies, as well as the newly formed </w:t>
            </w:r>
            <w:r w:rsidR="004D095B" w:rsidRPr="003743EA">
              <w:rPr>
                <w:sz w:val="21"/>
                <w:szCs w:val="21"/>
              </w:rPr>
              <w:t xml:space="preserve">UN Women </w:t>
            </w:r>
            <w:r w:rsidR="00295FC9" w:rsidRPr="003743EA">
              <w:rPr>
                <w:sz w:val="21"/>
                <w:szCs w:val="21"/>
              </w:rPr>
              <w:t xml:space="preserve">norms </w:t>
            </w:r>
            <w:r w:rsidR="00614892" w:rsidRPr="003743EA">
              <w:rPr>
                <w:sz w:val="21"/>
                <w:szCs w:val="21"/>
              </w:rPr>
              <w:t xml:space="preserve">working group (at HQ) to frame the thinking and practical implications of </w:t>
            </w:r>
            <w:r w:rsidR="005C0F76" w:rsidRPr="003743EA">
              <w:rPr>
                <w:sz w:val="21"/>
                <w:szCs w:val="21"/>
              </w:rPr>
              <w:t xml:space="preserve">shifting toward </w:t>
            </w:r>
            <w:r w:rsidR="00614892" w:rsidRPr="003743EA">
              <w:rPr>
                <w:sz w:val="21"/>
                <w:szCs w:val="21"/>
              </w:rPr>
              <w:t xml:space="preserve">a sophisticated gender and social norms </w:t>
            </w:r>
            <w:r w:rsidR="005C0F76" w:rsidRPr="003743EA">
              <w:rPr>
                <w:sz w:val="21"/>
                <w:szCs w:val="21"/>
              </w:rPr>
              <w:t xml:space="preserve">approach. </w:t>
            </w:r>
          </w:p>
          <w:p w14:paraId="67489A86" w14:textId="77777777" w:rsidR="00223AAE" w:rsidRPr="003743EA" w:rsidRDefault="1BA466A9" w:rsidP="4977AA67">
            <w:pPr>
              <w:tabs>
                <w:tab w:val="left" w:pos="1418"/>
              </w:tabs>
              <w:spacing w:before="120" w:after="120"/>
              <w:jc w:val="both"/>
              <w:rPr>
                <w:b/>
                <w:bCs/>
                <w:sz w:val="21"/>
                <w:szCs w:val="21"/>
              </w:rPr>
            </w:pPr>
            <w:r w:rsidRPr="003743EA">
              <w:rPr>
                <w:sz w:val="21"/>
                <w:szCs w:val="21"/>
              </w:rPr>
              <w:t xml:space="preserve">This process must be supported by </w:t>
            </w:r>
            <w:r w:rsidR="4BC6E3B0" w:rsidRPr="003743EA">
              <w:rPr>
                <w:sz w:val="21"/>
                <w:szCs w:val="21"/>
              </w:rPr>
              <w:t xml:space="preserve">ROAS and CO staff, implementing partners and other key stakeholders </w:t>
            </w:r>
            <w:r w:rsidRPr="003743EA">
              <w:rPr>
                <w:sz w:val="21"/>
                <w:szCs w:val="21"/>
              </w:rPr>
              <w:t xml:space="preserve">via a review </w:t>
            </w:r>
            <w:r w:rsidR="35EB8F33" w:rsidRPr="003743EA">
              <w:rPr>
                <w:sz w:val="21"/>
                <w:szCs w:val="21"/>
              </w:rPr>
              <w:t>or ‘reconstruction’ of</w:t>
            </w:r>
            <w:r w:rsidR="4BC6E3B0" w:rsidRPr="003743EA">
              <w:rPr>
                <w:sz w:val="21"/>
                <w:szCs w:val="21"/>
              </w:rPr>
              <w:t xml:space="preserve"> the </w:t>
            </w:r>
            <w:r w:rsidR="35EB8F33" w:rsidRPr="003743EA">
              <w:rPr>
                <w:sz w:val="21"/>
                <w:szCs w:val="21"/>
              </w:rPr>
              <w:t xml:space="preserve">MWGE </w:t>
            </w:r>
            <w:proofErr w:type="spellStart"/>
            <w:r w:rsidR="4BC6E3B0" w:rsidRPr="003743EA">
              <w:rPr>
                <w:sz w:val="21"/>
                <w:szCs w:val="21"/>
              </w:rPr>
              <w:t>ToC</w:t>
            </w:r>
            <w:proofErr w:type="spellEnd"/>
            <w:r w:rsidR="4BC6E3B0" w:rsidRPr="003743EA">
              <w:rPr>
                <w:sz w:val="21"/>
                <w:szCs w:val="21"/>
              </w:rPr>
              <w:t xml:space="preserve"> in a participatory workshop</w:t>
            </w:r>
            <w:r w:rsidR="35EB8F33" w:rsidRPr="003743EA">
              <w:rPr>
                <w:sz w:val="21"/>
                <w:szCs w:val="21"/>
              </w:rPr>
              <w:t>(s). This process</w:t>
            </w:r>
            <w:r w:rsidR="4BC6E3B0" w:rsidRPr="003743EA">
              <w:rPr>
                <w:sz w:val="21"/>
                <w:szCs w:val="21"/>
              </w:rPr>
              <w:t xml:space="preserve"> also needs to reassess assumptions</w:t>
            </w:r>
            <w:r w:rsidR="35EB8F33" w:rsidRPr="003743EA">
              <w:rPr>
                <w:sz w:val="21"/>
                <w:szCs w:val="21"/>
              </w:rPr>
              <w:t xml:space="preserve"> and risks the TO</w:t>
            </w:r>
            <w:r w:rsidR="316DC4D1" w:rsidRPr="003743EA">
              <w:rPr>
                <w:sz w:val="21"/>
                <w:szCs w:val="21"/>
              </w:rPr>
              <w:t xml:space="preserve">C </w:t>
            </w:r>
            <w:r w:rsidR="4BC6E3B0" w:rsidRPr="003743EA">
              <w:rPr>
                <w:sz w:val="21"/>
                <w:szCs w:val="21"/>
              </w:rPr>
              <w:t>and consider more effective responses to overcoming resistance to gender equality</w:t>
            </w:r>
            <w:r w:rsidR="79756F6F" w:rsidRPr="003743EA">
              <w:rPr>
                <w:sz w:val="21"/>
                <w:szCs w:val="21"/>
              </w:rPr>
              <w:t xml:space="preserve">, and </w:t>
            </w:r>
            <w:r w:rsidR="3191DDCD" w:rsidRPr="003743EA">
              <w:rPr>
                <w:sz w:val="21"/>
                <w:szCs w:val="21"/>
              </w:rPr>
              <w:t>strategies on mitigating backlash (incl. clear guidelines on when/when not to use logos).</w:t>
            </w:r>
          </w:p>
        </w:tc>
      </w:tr>
      <w:tr w:rsidR="0007473C" w:rsidRPr="003743EA" w14:paraId="4EAF5EA2" w14:textId="77777777" w:rsidTr="4977AA67">
        <w:trPr>
          <w:trHeight w:val="3012"/>
        </w:trPr>
        <w:tc>
          <w:tcPr>
            <w:tcW w:w="440" w:type="dxa"/>
            <w:shd w:val="clear" w:color="auto" w:fill="E7E6E6" w:themeFill="background2"/>
          </w:tcPr>
          <w:p w14:paraId="75489001" w14:textId="77777777" w:rsidR="007247EC" w:rsidRPr="003743EA" w:rsidRDefault="001C39AB" w:rsidP="007247EC">
            <w:pPr>
              <w:tabs>
                <w:tab w:val="left" w:pos="1418"/>
              </w:tabs>
              <w:spacing w:before="120" w:after="120"/>
              <w:rPr>
                <w:sz w:val="21"/>
                <w:szCs w:val="21"/>
              </w:rPr>
            </w:pPr>
            <w:r w:rsidRPr="003743EA">
              <w:rPr>
                <w:sz w:val="21"/>
                <w:szCs w:val="21"/>
              </w:rPr>
              <w:t>5</w:t>
            </w:r>
          </w:p>
        </w:tc>
        <w:tc>
          <w:tcPr>
            <w:tcW w:w="4207" w:type="dxa"/>
            <w:shd w:val="clear" w:color="auto" w:fill="E7E6E6" w:themeFill="background2"/>
          </w:tcPr>
          <w:p w14:paraId="7BC97BBB" w14:textId="42701F90" w:rsidR="007247EC" w:rsidRPr="003743EA" w:rsidRDefault="007247EC" w:rsidP="001B2F4C">
            <w:pPr>
              <w:tabs>
                <w:tab w:val="left" w:pos="1418"/>
              </w:tabs>
              <w:spacing w:before="120" w:after="120"/>
              <w:jc w:val="both"/>
              <w:rPr>
                <w:sz w:val="21"/>
                <w:szCs w:val="21"/>
              </w:rPr>
            </w:pPr>
            <w:r w:rsidRPr="003743EA">
              <w:rPr>
                <w:sz w:val="21"/>
                <w:szCs w:val="21"/>
              </w:rPr>
              <w:t xml:space="preserve">Engage more systematically with the strategic private sector actors, who are also key potential partners in ensuring that norms and behaviour change at individual and community levels are also enhanced through messaging and practices at the workplace, </w:t>
            </w:r>
            <w:r w:rsidR="00766BA2" w:rsidRPr="003743EA">
              <w:rPr>
                <w:sz w:val="21"/>
                <w:szCs w:val="21"/>
              </w:rPr>
              <w:t>e.g.,</w:t>
            </w:r>
            <w:r w:rsidRPr="003743EA">
              <w:rPr>
                <w:sz w:val="21"/>
                <w:szCs w:val="21"/>
              </w:rPr>
              <w:t xml:space="preserve"> through parental leave practices. </w:t>
            </w:r>
          </w:p>
        </w:tc>
        <w:tc>
          <w:tcPr>
            <w:tcW w:w="1110" w:type="dxa"/>
            <w:shd w:val="clear" w:color="auto" w:fill="E7E6E6" w:themeFill="background2"/>
          </w:tcPr>
          <w:p w14:paraId="7B9CC16C" w14:textId="77777777" w:rsidR="007247EC" w:rsidRPr="003743EA" w:rsidRDefault="007247EC" w:rsidP="007247EC">
            <w:pPr>
              <w:tabs>
                <w:tab w:val="left" w:pos="1418"/>
              </w:tabs>
              <w:spacing w:before="120" w:after="120"/>
              <w:rPr>
                <w:sz w:val="21"/>
                <w:szCs w:val="21"/>
              </w:rPr>
            </w:pPr>
            <w:r w:rsidRPr="003743EA">
              <w:rPr>
                <w:sz w:val="21"/>
                <w:szCs w:val="21"/>
              </w:rPr>
              <w:t>Programmatic</w:t>
            </w:r>
          </w:p>
        </w:tc>
        <w:tc>
          <w:tcPr>
            <w:tcW w:w="1158" w:type="dxa"/>
            <w:shd w:val="clear" w:color="auto" w:fill="E7E6E6" w:themeFill="background2"/>
          </w:tcPr>
          <w:p w14:paraId="47B53C41" w14:textId="77777777" w:rsidR="007247EC" w:rsidRPr="003743EA" w:rsidRDefault="007247EC" w:rsidP="007247EC">
            <w:pPr>
              <w:tabs>
                <w:tab w:val="left" w:pos="1418"/>
              </w:tabs>
              <w:spacing w:before="120" w:after="120"/>
              <w:rPr>
                <w:sz w:val="21"/>
                <w:szCs w:val="21"/>
              </w:rPr>
            </w:pPr>
            <w:r w:rsidRPr="003743EA">
              <w:rPr>
                <w:sz w:val="21"/>
                <w:szCs w:val="21"/>
              </w:rPr>
              <w:t>3, 8, 9, 11</w:t>
            </w:r>
          </w:p>
        </w:tc>
        <w:tc>
          <w:tcPr>
            <w:tcW w:w="1914" w:type="dxa"/>
            <w:shd w:val="clear" w:color="auto" w:fill="E7E6E6" w:themeFill="background2"/>
          </w:tcPr>
          <w:p w14:paraId="0ED5525F" w14:textId="77777777" w:rsidR="007247EC" w:rsidRPr="003743EA" w:rsidRDefault="007247EC" w:rsidP="007247EC">
            <w:pPr>
              <w:tabs>
                <w:tab w:val="left" w:pos="1418"/>
              </w:tabs>
              <w:spacing w:before="120" w:after="120"/>
              <w:rPr>
                <w:rFonts w:cs="Calibri"/>
                <w:color w:val="262626"/>
                <w:sz w:val="21"/>
                <w:szCs w:val="21"/>
              </w:rPr>
            </w:pPr>
            <w:r w:rsidRPr="003743EA">
              <w:rPr>
                <w:rFonts w:cs="Calibri"/>
                <w:color w:val="262626"/>
                <w:sz w:val="21"/>
                <w:szCs w:val="21"/>
                <w:lang w:val="en-US"/>
              </w:rPr>
              <w:t>UN Women (regional/country offices)</w:t>
            </w:r>
          </w:p>
        </w:tc>
        <w:tc>
          <w:tcPr>
            <w:tcW w:w="1523" w:type="dxa"/>
            <w:shd w:val="clear" w:color="auto" w:fill="E7E6E6" w:themeFill="background2"/>
          </w:tcPr>
          <w:p w14:paraId="28C5C84D" w14:textId="77777777" w:rsidR="007247EC" w:rsidRPr="003743EA" w:rsidRDefault="007247EC" w:rsidP="007247EC">
            <w:pPr>
              <w:tabs>
                <w:tab w:val="left" w:pos="1418"/>
              </w:tabs>
              <w:spacing w:before="120" w:after="120"/>
              <w:rPr>
                <w:b/>
                <w:bCs/>
                <w:sz w:val="21"/>
                <w:szCs w:val="21"/>
              </w:rPr>
            </w:pPr>
            <w:r w:rsidRPr="003743EA">
              <w:rPr>
                <w:b/>
                <w:bCs/>
                <w:sz w:val="21"/>
                <w:szCs w:val="21"/>
                <w:lang w:val="es-ES"/>
              </w:rPr>
              <w:t>High</w:t>
            </w:r>
          </w:p>
        </w:tc>
        <w:tc>
          <w:tcPr>
            <w:tcW w:w="4236" w:type="dxa"/>
            <w:shd w:val="clear" w:color="auto" w:fill="E7E6E6" w:themeFill="background2"/>
          </w:tcPr>
          <w:p w14:paraId="46A1F7E1" w14:textId="5B797188" w:rsidR="007247EC" w:rsidRPr="003743EA" w:rsidRDefault="611E0F13" w:rsidP="4977AA67">
            <w:pPr>
              <w:tabs>
                <w:tab w:val="left" w:pos="1418"/>
              </w:tabs>
              <w:spacing w:before="120" w:after="120"/>
              <w:jc w:val="both"/>
              <w:rPr>
                <w:sz w:val="21"/>
                <w:szCs w:val="21"/>
              </w:rPr>
            </w:pPr>
            <w:r w:rsidRPr="003743EA">
              <w:rPr>
                <w:sz w:val="21"/>
                <w:szCs w:val="21"/>
              </w:rPr>
              <w:t xml:space="preserve">Work with </w:t>
            </w:r>
            <w:proofErr w:type="spellStart"/>
            <w:r w:rsidRPr="003743EA">
              <w:rPr>
                <w:sz w:val="21"/>
                <w:szCs w:val="21"/>
              </w:rPr>
              <w:t>S</w:t>
            </w:r>
            <w:r w:rsidR="001C6DAB" w:rsidRPr="003743EA">
              <w:rPr>
                <w:sz w:val="21"/>
                <w:szCs w:val="21"/>
              </w:rPr>
              <w:t>ida</w:t>
            </w:r>
            <w:proofErr w:type="spellEnd"/>
            <w:r w:rsidRPr="003743EA">
              <w:rPr>
                <w:sz w:val="21"/>
                <w:szCs w:val="21"/>
              </w:rPr>
              <w:t xml:space="preserve"> </w:t>
            </w:r>
            <w:proofErr w:type="gramStart"/>
            <w:r w:rsidRPr="003743EA">
              <w:rPr>
                <w:sz w:val="21"/>
                <w:szCs w:val="21"/>
              </w:rPr>
              <w:t>and also</w:t>
            </w:r>
            <w:proofErr w:type="gramEnd"/>
            <w:r w:rsidRPr="003743EA">
              <w:rPr>
                <w:sz w:val="21"/>
                <w:szCs w:val="21"/>
              </w:rPr>
              <w:t xml:space="preserve"> other UN Women colleagues working in the Decent Work for Women programme at both ROAS and COs levels to mitigate overlaps with other programmes when looking to engage with potential private sector partners. This discussion would be conducted in reference to any current private sector engagement plan/strategy, with the aim of re-developing this, as well as associated action plans. </w:t>
            </w:r>
          </w:p>
        </w:tc>
      </w:tr>
      <w:tr w:rsidR="001C39AB" w:rsidRPr="003743EA" w14:paraId="4DCF22C7" w14:textId="77777777" w:rsidTr="003743EA">
        <w:trPr>
          <w:trHeight w:val="2964"/>
        </w:trPr>
        <w:tc>
          <w:tcPr>
            <w:tcW w:w="440" w:type="dxa"/>
            <w:shd w:val="clear" w:color="auto" w:fill="FFFFFF" w:themeFill="background1"/>
          </w:tcPr>
          <w:p w14:paraId="38CE5C45" w14:textId="77777777" w:rsidR="00223AAE" w:rsidRPr="003743EA" w:rsidRDefault="001C39AB" w:rsidP="00223AAE">
            <w:pPr>
              <w:tabs>
                <w:tab w:val="left" w:pos="1418"/>
              </w:tabs>
              <w:spacing w:before="120" w:after="120"/>
              <w:rPr>
                <w:sz w:val="21"/>
                <w:szCs w:val="21"/>
              </w:rPr>
            </w:pPr>
            <w:r w:rsidRPr="003743EA">
              <w:rPr>
                <w:sz w:val="21"/>
                <w:szCs w:val="21"/>
              </w:rPr>
              <w:lastRenderedPageBreak/>
              <w:t>6</w:t>
            </w:r>
          </w:p>
        </w:tc>
        <w:tc>
          <w:tcPr>
            <w:tcW w:w="4207" w:type="dxa"/>
            <w:shd w:val="clear" w:color="auto" w:fill="FFFFFF" w:themeFill="background1"/>
          </w:tcPr>
          <w:p w14:paraId="5FB6A0BA" w14:textId="77777777" w:rsidR="00223AAE" w:rsidRPr="003743EA" w:rsidRDefault="644E42AA" w:rsidP="4977AA67">
            <w:pPr>
              <w:tabs>
                <w:tab w:val="left" w:pos="1418"/>
              </w:tabs>
              <w:spacing w:before="120" w:after="120"/>
              <w:jc w:val="both"/>
              <w:rPr>
                <w:b/>
                <w:bCs/>
                <w:sz w:val="21"/>
                <w:szCs w:val="21"/>
              </w:rPr>
            </w:pPr>
            <w:r w:rsidRPr="003743EA">
              <w:rPr>
                <w:sz w:val="21"/>
                <w:szCs w:val="21"/>
              </w:rPr>
              <w:t>Given positive</w:t>
            </w:r>
            <w:r w:rsidR="52108B84" w:rsidRPr="003743EA">
              <w:rPr>
                <w:sz w:val="21"/>
                <w:szCs w:val="21"/>
              </w:rPr>
              <w:t xml:space="preserve"> evaluation results</w:t>
            </w:r>
            <w:r w:rsidR="19B17DE6" w:rsidRPr="003743EA">
              <w:rPr>
                <w:sz w:val="21"/>
                <w:szCs w:val="21"/>
              </w:rPr>
              <w:t xml:space="preserve"> of effective </w:t>
            </w:r>
            <w:r w:rsidR="52108B84" w:rsidRPr="003743EA">
              <w:rPr>
                <w:sz w:val="21"/>
                <w:szCs w:val="21"/>
              </w:rPr>
              <w:t xml:space="preserve">community-based, peer-to-peer, </w:t>
            </w:r>
            <w:r w:rsidR="696C340A" w:rsidRPr="003743EA">
              <w:rPr>
                <w:sz w:val="21"/>
                <w:szCs w:val="21"/>
              </w:rPr>
              <w:t xml:space="preserve">and </w:t>
            </w:r>
            <w:r w:rsidR="52108B84" w:rsidRPr="003743EA">
              <w:rPr>
                <w:sz w:val="21"/>
                <w:szCs w:val="21"/>
              </w:rPr>
              <w:t>‘Positive Deviance’</w:t>
            </w:r>
            <w:r w:rsidR="00633CA8" w:rsidRPr="003743EA">
              <w:rPr>
                <w:rStyle w:val="FootnoteReference"/>
                <w:b/>
                <w:bCs/>
                <w:sz w:val="21"/>
                <w:szCs w:val="21"/>
              </w:rPr>
              <w:footnoteReference w:id="324"/>
            </w:r>
            <w:r w:rsidR="52108B84" w:rsidRPr="003743EA">
              <w:rPr>
                <w:sz w:val="21"/>
                <w:szCs w:val="21"/>
              </w:rPr>
              <w:t xml:space="preserve"> conceptual approach</w:t>
            </w:r>
            <w:r w:rsidR="696C340A" w:rsidRPr="003743EA">
              <w:rPr>
                <w:sz w:val="21"/>
                <w:szCs w:val="21"/>
              </w:rPr>
              <w:t>es</w:t>
            </w:r>
            <w:r w:rsidR="29F522EB" w:rsidRPr="003743EA">
              <w:rPr>
                <w:sz w:val="21"/>
                <w:szCs w:val="21"/>
              </w:rPr>
              <w:t xml:space="preserve"> and work with persons with disabilities</w:t>
            </w:r>
            <w:r w:rsidR="19B17DE6" w:rsidRPr="003743EA">
              <w:rPr>
                <w:sz w:val="21"/>
                <w:szCs w:val="21"/>
              </w:rPr>
              <w:t>, invest further in these</w:t>
            </w:r>
            <w:r w:rsidR="52108B84" w:rsidRPr="003743EA">
              <w:rPr>
                <w:sz w:val="21"/>
                <w:szCs w:val="21"/>
              </w:rPr>
              <w:t xml:space="preserve"> to promote new norms among individuals and communities through organised diffusion. In line with a socioecological approach, </w:t>
            </w:r>
            <w:r w:rsidR="3D50EBB7" w:rsidRPr="003743EA">
              <w:rPr>
                <w:sz w:val="21"/>
                <w:szCs w:val="21"/>
              </w:rPr>
              <w:t>these modalities must be undertaken on multiple levels</w:t>
            </w:r>
            <w:r w:rsidR="784F4CB9" w:rsidRPr="003743EA">
              <w:rPr>
                <w:sz w:val="21"/>
                <w:szCs w:val="21"/>
              </w:rPr>
              <w:t xml:space="preserve"> (individual, community, faith-based and state and private institutions)</w:t>
            </w:r>
            <w:r w:rsidR="2C361E5C" w:rsidRPr="003743EA">
              <w:rPr>
                <w:sz w:val="21"/>
                <w:szCs w:val="21"/>
              </w:rPr>
              <w:t>.</w:t>
            </w:r>
          </w:p>
        </w:tc>
        <w:tc>
          <w:tcPr>
            <w:tcW w:w="1110" w:type="dxa"/>
            <w:shd w:val="clear" w:color="auto" w:fill="FFFFFF" w:themeFill="background1"/>
          </w:tcPr>
          <w:p w14:paraId="7C40DB5B" w14:textId="77777777" w:rsidR="00223AAE" w:rsidRPr="003743EA" w:rsidRDefault="17E9106D" w:rsidP="00223AAE">
            <w:pPr>
              <w:tabs>
                <w:tab w:val="left" w:pos="1418"/>
              </w:tabs>
              <w:spacing w:before="120" w:after="120"/>
              <w:rPr>
                <w:sz w:val="21"/>
                <w:szCs w:val="21"/>
              </w:rPr>
            </w:pPr>
            <w:r w:rsidRPr="003743EA">
              <w:rPr>
                <w:sz w:val="21"/>
                <w:szCs w:val="21"/>
              </w:rPr>
              <w:t>Programmatic</w:t>
            </w:r>
          </w:p>
        </w:tc>
        <w:tc>
          <w:tcPr>
            <w:tcW w:w="1158" w:type="dxa"/>
            <w:shd w:val="clear" w:color="auto" w:fill="FFFFFF" w:themeFill="background1"/>
          </w:tcPr>
          <w:p w14:paraId="5F2C1F74" w14:textId="77777777" w:rsidR="00223AAE" w:rsidRPr="003743EA" w:rsidRDefault="17E9106D" w:rsidP="00223AAE">
            <w:pPr>
              <w:tabs>
                <w:tab w:val="left" w:pos="1418"/>
              </w:tabs>
              <w:spacing w:before="120" w:after="120"/>
              <w:rPr>
                <w:sz w:val="21"/>
                <w:szCs w:val="21"/>
              </w:rPr>
            </w:pPr>
            <w:r w:rsidRPr="003743EA">
              <w:rPr>
                <w:sz w:val="21"/>
                <w:szCs w:val="21"/>
              </w:rPr>
              <w:t>4, 5, 7, 10, 11</w:t>
            </w:r>
          </w:p>
        </w:tc>
        <w:tc>
          <w:tcPr>
            <w:tcW w:w="1914" w:type="dxa"/>
            <w:shd w:val="clear" w:color="auto" w:fill="FFFFFF" w:themeFill="background1"/>
          </w:tcPr>
          <w:p w14:paraId="3ABF8679" w14:textId="77777777" w:rsidR="00223AAE" w:rsidRPr="003743EA" w:rsidRDefault="17E9106D" w:rsidP="00223AAE">
            <w:pPr>
              <w:tabs>
                <w:tab w:val="left" w:pos="1418"/>
              </w:tabs>
              <w:spacing w:before="120" w:after="120"/>
              <w:rPr>
                <w:sz w:val="21"/>
                <w:szCs w:val="21"/>
              </w:rPr>
            </w:pPr>
            <w:r w:rsidRPr="003743EA">
              <w:rPr>
                <w:rFonts w:cs="Calibri"/>
                <w:color w:val="262626"/>
                <w:sz w:val="21"/>
                <w:szCs w:val="21"/>
              </w:rPr>
              <w:t xml:space="preserve">UN Women (regional/ country offices)/ </w:t>
            </w:r>
            <w:proofErr w:type="spellStart"/>
            <w:r w:rsidRPr="003743EA">
              <w:rPr>
                <w:rFonts w:cs="Calibri"/>
                <w:color w:val="262626"/>
                <w:sz w:val="21"/>
                <w:szCs w:val="21"/>
              </w:rPr>
              <w:t>S</w:t>
            </w:r>
            <w:r w:rsidR="00131FCB" w:rsidRPr="003743EA">
              <w:rPr>
                <w:rFonts w:cs="Calibri"/>
                <w:color w:val="262626"/>
                <w:sz w:val="21"/>
                <w:szCs w:val="21"/>
              </w:rPr>
              <w:t>ida</w:t>
            </w:r>
            <w:proofErr w:type="spellEnd"/>
          </w:p>
        </w:tc>
        <w:tc>
          <w:tcPr>
            <w:tcW w:w="1523" w:type="dxa"/>
            <w:shd w:val="clear" w:color="auto" w:fill="FFFFFF" w:themeFill="background1"/>
          </w:tcPr>
          <w:p w14:paraId="6096A7EC" w14:textId="77777777" w:rsidR="00223AAE" w:rsidRPr="003743EA" w:rsidRDefault="17E9106D" w:rsidP="00223AAE">
            <w:pPr>
              <w:tabs>
                <w:tab w:val="left" w:pos="1418"/>
              </w:tabs>
              <w:spacing w:before="120" w:after="120"/>
              <w:rPr>
                <w:b/>
                <w:bCs/>
                <w:sz w:val="21"/>
                <w:szCs w:val="21"/>
              </w:rPr>
            </w:pPr>
            <w:r w:rsidRPr="003743EA">
              <w:rPr>
                <w:b/>
                <w:bCs/>
                <w:sz w:val="21"/>
                <w:szCs w:val="21"/>
              </w:rPr>
              <w:t>High</w:t>
            </w:r>
          </w:p>
        </w:tc>
        <w:tc>
          <w:tcPr>
            <w:tcW w:w="4236" w:type="dxa"/>
            <w:shd w:val="clear" w:color="auto" w:fill="FFFFFF" w:themeFill="background1"/>
          </w:tcPr>
          <w:p w14:paraId="0EB4EC05" w14:textId="77777777" w:rsidR="00223AAE" w:rsidRPr="003743EA" w:rsidRDefault="764A0A9E" w:rsidP="4977AA67">
            <w:pPr>
              <w:tabs>
                <w:tab w:val="left" w:pos="1418"/>
              </w:tabs>
              <w:spacing w:before="120" w:after="120"/>
              <w:jc w:val="both"/>
              <w:rPr>
                <w:sz w:val="21"/>
                <w:szCs w:val="21"/>
              </w:rPr>
            </w:pPr>
            <w:r w:rsidRPr="003743EA">
              <w:rPr>
                <w:sz w:val="21"/>
                <w:szCs w:val="21"/>
              </w:rPr>
              <w:t xml:space="preserve">Potential Phase II results frameworks should seek to align and combine </w:t>
            </w:r>
            <w:r w:rsidR="5CC9DB48" w:rsidRPr="003743EA">
              <w:rPr>
                <w:sz w:val="21"/>
                <w:szCs w:val="21"/>
              </w:rPr>
              <w:t xml:space="preserve">outcome areas across micro, </w:t>
            </w:r>
            <w:proofErr w:type="spellStart"/>
            <w:r w:rsidR="5CC9DB48" w:rsidRPr="003743EA">
              <w:rPr>
                <w:sz w:val="21"/>
                <w:szCs w:val="21"/>
              </w:rPr>
              <w:t>meso</w:t>
            </w:r>
            <w:proofErr w:type="spellEnd"/>
            <w:r w:rsidR="5CC9DB48" w:rsidRPr="003743EA">
              <w:rPr>
                <w:sz w:val="21"/>
                <w:szCs w:val="21"/>
              </w:rPr>
              <w:t xml:space="preserve"> and </w:t>
            </w:r>
            <w:r w:rsidR="0C636E75" w:rsidRPr="003743EA">
              <w:rPr>
                <w:sz w:val="21"/>
                <w:szCs w:val="21"/>
              </w:rPr>
              <w:t>macro-operational</w:t>
            </w:r>
            <w:r w:rsidR="5CC9DB48" w:rsidRPr="003743EA">
              <w:rPr>
                <w:sz w:val="21"/>
                <w:szCs w:val="21"/>
              </w:rPr>
              <w:t xml:space="preserve"> levels</w:t>
            </w:r>
            <w:r w:rsidR="63FCA327" w:rsidRPr="003743EA">
              <w:rPr>
                <w:sz w:val="21"/>
                <w:szCs w:val="21"/>
              </w:rPr>
              <w:t xml:space="preserve"> by facilitating a </w:t>
            </w:r>
            <w:r w:rsidR="4CB53130" w:rsidRPr="003743EA">
              <w:rPr>
                <w:sz w:val="21"/>
                <w:szCs w:val="21"/>
              </w:rPr>
              <w:t>tiered</w:t>
            </w:r>
            <w:r w:rsidR="63FCA327" w:rsidRPr="003743EA">
              <w:rPr>
                <w:sz w:val="21"/>
                <w:szCs w:val="21"/>
              </w:rPr>
              <w:t xml:space="preserve"> approach to MEL. In other words, </w:t>
            </w:r>
            <w:r w:rsidR="4CB53130" w:rsidRPr="003743EA">
              <w:rPr>
                <w:sz w:val="21"/>
                <w:szCs w:val="21"/>
              </w:rPr>
              <w:t xml:space="preserve">while standalone </w:t>
            </w:r>
            <w:r w:rsidR="63FCA327" w:rsidRPr="003743EA">
              <w:rPr>
                <w:sz w:val="21"/>
                <w:szCs w:val="21"/>
              </w:rPr>
              <w:t>activities</w:t>
            </w:r>
            <w:r w:rsidR="4CB53130" w:rsidRPr="003743EA">
              <w:rPr>
                <w:sz w:val="21"/>
                <w:szCs w:val="21"/>
              </w:rPr>
              <w:t xml:space="preserve"> may be endorsed </w:t>
            </w:r>
            <w:r w:rsidR="767E5D84" w:rsidRPr="003743EA">
              <w:rPr>
                <w:sz w:val="21"/>
                <w:szCs w:val="21"/>
              </w:rPr>
              <w:t xml:space="preserve">in a particular CO, COs should nevertheless have the choice to </w:t>
            </w:r>
            <w:r w:rsidR="7E34D607" w:rsidRPr="003743EA">
              <w:rPr>
                <w:sz w:val="21"/>
                <w:szCs w:val="21"/>
              </w:rPr>
              <w:t>prioritise</w:t>
            </w:r>
            <w:r w:rsidR="767E5D84" w:rsidRPr="003743EA">
              <w:rPr>
                <w:sz w:val="21"/>
                <w:szCs w:val="21"/>
              </w:rPr>
              <w:t xml:space="preserve"> a suite of </w:t>
            </w:r>
            <w:r w:rsidR="61FD1698" w:rsidRPr="003743EA">
              <w:rPr>
                <w:sz w:val="21"/>
                <w:szCs w:val="21"/>
              </w:rPr>
              <w:t xml:space="preserve">mutually reinforcing activities, which recognising the increased complexity and support costs </w:t>
            </w:r>
            <w:r w:rsidR="691C4558" w:rsidRPr="003743EA">
              <w:rPr>
                <w:sz w:val="21"/>
                <w:szCs w:val="21"/>
              </w:rPr>
              <w:t xml:space="preserve">of the latter. </w:t>
            </w:r>
            <w:r w:rsidR="2EE4FEF2" w:rsidRPr="003743EA">
              <w:rPr>
                <w:sz w:val="21"/>
                <w:szCs w:val="21"/>
              </w:rPr>
              <w:t xml:space="preserve"> </w:t>
            </w:r>
          </w:p>
        </w:tc>
      </w:tr>
      <w:tr w:rsidR="0007473C" w:rsidRPr="003743EA" w14:paraId="02E60934" w14:textId="77777777" w:rsidTr="4977AA67">
        <w:tc>
          <w:tcPr>
            <w:tcW w:w="440" w:type="dxa"/>
            <w:shd w:val="clear" w:color="auto" w:fill="E7E6E6" w:themeFill="background2"/>
          </w:tcPr>
          <w:p w14:paraId="1E761785" w14:textId="77777777" w:rsidR="00223AAE" w:rsidRPr="003743EA" w:rsidRDefault="00F91439" w:rsidP="00223AAE">
            <w:pPr>
              <w:tabs>
                <w:tab w:val="left" w:pos="1418"/>
              </w:tabs>
              <w:spacing w:before="120" w:after="120"/>
              <w:rPr>
                <w:sz w:val="21"/>
                <w:szCs w:val="21"/>
              </w:rPr>
            </w:pPr>
            <w:r w:rsidRPr="003743EA">
              <w:rPr>
                <w:sz w:val="21"/>
                <w:szCs w:val="21"/>
              </w:rPr>
              <w:t>7</w:t>
            </w:r>
          </w:p>
        </w:tc>
        <w:tc>
          <w:tcPr>
            <w:tcW w:w="4207" w:type="dxa"/>
            <w:shd w:val="clear" w:color="auto" w:fill="E7E6E6" w:themeFill="background2"/>
          </w:tcPr>
          <w:p w14:paraId="3370FA05" w14:textId="77777777" w:rsidR="00223AAE" w:rsidRPr="003743EA" w:rsidRDefault="17E9106D" w:rsidP="001D498E">
            <w:pPr>
              <w:tabs>
                <w:tab w:val="left" w:pos="1418"/>
              </w:tabs>
              <w:spacing w:before="120" w:after="120"/>
              <w:jc w:val="both"/>
              <w:rPr>
                <w:sz w:val="21"/>
                <w:szCs w:val="21"/>
              </w:rPr>
            </w:pPr>
            <w:r w:rsidRPr="003743EA">
              <w:rPr>
                <w:sz w:val="21"/>
                <w:szCs w:val="21"/>
              </w:rPr>
              <w:t>Continue to facilitate regular bilateral and thematic learning sessions between country-level teams and implementing partners, as well as the ROAS office, to ensure that best practices are shared and learning is captured in real time</w:t>
            </w:r>
            <w:r w:rsidR="00191A9B" w:rsidRPr="003743EA">
              <w:rPr>
                <w:sz w:val="21"/>
                <w:szCs w:val="21"/>
              </w:rPr>
              <w:t xml:space="preserve">, but also </w:t>
            </w:r>
            <w:r w:rsidR="00973A53" w:rsidRPr="003743EA">
              <w:rPr>
                <w:sz w:val="21"/>
                <w:szCs w:val="21"/>
              </w:rPr>
              <w:t>coherent with an MWGE communications strategy overseen by ROAS</w:t>
            </w:r>
            <w:r w:rsidRPr="003743EA">
              <w:rPr>
                <w:sz w:val="21"/>
                <w:szCs w:val="21"/>
              </w:rPr>
              <w:t xml:space="preserve">. </w:t>
            </w:r>
            <w:r w:rsidR="00470EE2" w:rsidRPr="003743EA">
              <w:rPr>
                <w:sz w:val="21"/>
                <w:szCs w:val="21"/>
              </w:rPr>
              <w:t xml:space="preserve">Coherence with a revised MEL approach – which should </w:t>
            </w:r>
            <w:r w:rsidR="00692B6A" w:rsidRPr="003743EA">
              <w:rPr>
                <w:sz w:val="21"/>
                <w:szCs w:val="21"/>
              </w:rPr>
              <w:t xml:space="preserve">increasingly involve third party monitoring </w:t>
            </w:r>
            <w:r w:rsidR="00A80D5B" w:rsidRPr="003743EA">
              <w:rPr>
                <w:sz w:val="21"/>
                <w:szCs w:val="21"/>
              </w:rPr>
              <w:t xml:space="preserve">– would </w:t>
            </w:r>
            <w:r w:rsidR="005D53CD" w:rsidRPr="003743EA">
              <w:rPr>
                <w:sz w:val="21"/>
                <w:szCs w:val="21"/>
              </w:rPr>
              <w:t>enhance evidence triangulation possibilities and credibility of findings.</w:t>
            </w:r>
            <w:r w:rsidR="00A80D5B" w:rsidRPr="003743EA">
              <w:rPr>
                <w:sz w:val="21"/>
                <w:szCs w:val="21"/>
              </w:rPr>
              <w:t xml:space="preserve"> </w:t>
            </w:r>
            <w:r w:rsidRPr="003743EA">
              <w:rPr>
                <w:sz w:val="21"/>
                <w:szCs w:val="21"/>
              </w:rPr>
              <w:t xml:space="preserve">The umbrella organisation approach works for new implementing partners, but these should continue to be able to ‘graduate’ once this capacity has been built. </w:t>
            </w:r>
          </w:p>
        </w:tc>
        <w:tc>
          <w:tcPr>
            <w:tcW w:w="1110" w:type="dxa"/>
            <w:shd w:val="clear" w:color="auto" w:fill="E7E6E6" w:themeFill="background2"/>
          </w:tcPr>
          <w:p w14:paraId="10346E35" w14:textId="77777777" w:rsidR="00223AAE" w:rsidRPr="003743EA" w:rsidRDefault="17E9106D" w:rsidP="00223AAE">
            <w:pPr>
              <w:tabs>
                <w:tab w:val="left" w:pos="1418"/>
              </w:tabs>
              <w:spacing w:before="120" w:after="120"/>
              <w:rPr>
                <w:sz w:val="21"/>
                <w:szCs w:val="21"/>
              </w:rPr>
            </w:pPr>
            <w:r w:rsidRPr="003743EA">
              <w:rPr>
                <w:sz w:val="21"/>
                <w:szCs w:val="21"/>
              </w:rPr>
              <w:t>Operational</w:t>
            </w:r>
          </w:p>
        </w:tc>
        <w:tc>
          <w:tcPr>
            <w:tcW w:w="1158" w:type="dxa"/>
            <w:shd w:val="clear" w:color="auto" w:fill="E7E6E6" w:themeFill="background2"/>
          </w:tcPr>
          <w:p w14:paraId="4674994E" w14:textId="77777777" w:rsidR="00223AAE" w:rsidRPr="003743EA" w:rsidRDefault="17E9106D" w:rsidP="00223AAE">
            <w:pPr>
              <w:tabs>
                <w:tab w:val="left" w:pos="1418"/>
              </w:tabs>
              <w:spacing w:before="120" w:after="120"/>
              <w:rPr>
                <w:sz w:val="21"/>
                <w:szCs w:val="21"/>
              </w:rPr>
            </w:pPr>
            <w:r w:rsidRPr="003743EA">
              <w:rPr>
                <w:sz w:val="21"/>
                <w:szCs w:val="21"/>
              </w:rPr>
              <w:t>2, 5, 6, 7, 11, 12</w:t>
            </w:r>
          </w:p>
        </w:tc>
        <w:tc>
          <w:tcPr>
            <w:tcW w:w="1914" w:type="dxa"/>
            <w:shd w:val="clear" w:color="auto" w:fill="E7E6E6" w:themeFill="background2"/>
          </w:tcPr>
          <w:p w14:paraId="022A2C11" w14:textId="77777777" w:rsidR="00223AAE" w:rsidRPr="003743EA" w:rsidRDefault="17E9106D" w:rsidP="00223AAE">
            <w:pPr>
              <w:tabs>
                <w:tab w:val="left" w:pos="1418"/>
              </w:tabs>
              <w:spacing w:before="120" w:after="120"/>
              <w:rPr>
                <w:sz w:val="21"/>
                <w:szCs w:val="21"/>
              </w:rPr>
            </w:pPr>
            <w:r w:rsidRPr="003743EA">
              <w:rPr>
                <w:rFonts w:cs="Calibri"/>
                <w:color w:val="262626"/>
                <w:sz w:val="21"/>
                <w:szCs w:val="21"/>
              </w:rPr>
              <w:t>UN Women (regional/ country offices)</w:t>
            </w:r>
          </w:p>
        </w:tc>
        <w:tc>
          <w:tcPr>
            <w:tcW w:w="1523" w:type="dxa"/>
            <w:shd w:val="clear" w:color="auto" w:fill="E7E6E6" w:themeFill="background2"/>
          </w:tcPr>
          <w:p w14:paraId="26E93CC7" w14:textId="77777777" w:rsidR="00223AAE" w:rsidRPr="003743EA" w:rsidRDefault="17E9106D" w:rsidP="00223AAE">
            <w:pPr>
              <w:tabs>
                <w:tab w:val="left" w:pos="1418"/>
              </w:tabs>
              <w:spacing w:before="120" w:after="120"/>
              <w:rPr>
                <w:b/>
                <w:bCs/>
                <w:sz w:val="21"/>
                <w:szCs w:val="21"/>
              </w:rPr>
            </w:pPr>
            <w:r w:rsidRPr="003743EA">
              <w:rPr>
                <w:b/>
                <w:bCs/>
                <w:sz w:val="21"/>
                <w:szCs w:val="21"/>
              </w:rPr>
              <w:t>Medium</w:t>
            </w:r>
          </w:p>
        </w:tc>
        <w:tc>
          <w:tcPr>
            <w:tcW w:w="4236" w:type="dxa"/>
            <w:shd w:val="clear" w:color="auto" w:fill="E7E6E6" w:themeFill="background2"/>
          </w:tcPr>
          <w:p w14:paraId="5CCD6567" w14:textId="77777777" w:rsidR="00223AAE" w:rsidRPr="003743EA" w:rsidRDefault="005D53CD" w:rsidP="001B2F4C">
            <w:pPr>
              <w:tabs>
                <w:tab w:val="left" w:pos="1418"/>
              </w:tabs>
              <w:spacing w:before="120" w:after="120"/>
              <w:jc w:val="both"/>
              <w:rPr>
                <w:sz w:val="21"/>
                <w:szCs w:val="21"/>
              </w:rPr>
            </w:pPr>
            <w:r w:rsidRPr="003743EA">
              <w:rPr>
                <w:sz w:val="21"/>
                <w:szCs w:val="21"/>
              </w:rPr>
              <w:t>Facilitate</w:t>
            </w:r>
            <w:r w:rsidR="17E9106D" w:rsidRPr="003743EA">
              <w:rPr>
                <w:sz w:val="21"/>
                <w:szCs w:val="21"/>
              </w:rPr>
              <w:t xml:space="preserve"> cross-learning events </w:t>
            </w:r>
            <w:r w:rsidRPr="003743EA">
              <w:rPr>
                <w:sz w:val="21"/>
                <w:szCs w:val="21"/>
              </w:rPr>
              <w:t xml:space="preserve">that </w:t>
            </w:r>
            <w:r w:rsidR="17E9106D" w:rsidRPr="003743EA">
              <w:rPr>
                <w:sz w:val="21"/>
                <w:szCs w:val="21"/>
              </w:rPr>
              <w:t xml:space="preserve">are scheduled </w:t>
            </w:r>
            <w:r w:rsidRPr="003743EA">
              <w:rPr>
                <w:sz w:val="21"/>
                <w:szCs w:val="21"/>
              </w:rPr>
              <w:t>from programme inception onwards.</w:t>
            </w:r>
            <w:r w:rsidR="00973A53" w:rsidRPr="003743EA">
              <w:rPr>
                <w:sz w:val="21"/>
                <w:szCs w:val="21"/>
              </w:rPr>
              <w:t xml:space="preserve"> In addition, COs must ensure that ROAS </w:t>
            </w:r>
            <w:r w:rsidR="00D44729" w:rsidRPr="003743EA">
              <w:rPr>
                <w:sz w:val="21"/>
                <w:szCs w:val="21"/>
              </w:rPr>
              <w:t xml:space="preserve">and </w:t>
            </w:r>
            <w:proofErr w:type="gramStart"/>
            <w:r w:rsidR="00D44729" w:rsidRPr="003743EA">
              <w:rPr>
                <w:sz w:val="21"/>
                <w:szCs w:val="21"/>
              </w:rPr>
              <w:t>third party</w:t>
            </w:r>
            <w:proofErr w:type="gramEnd"/>
            <w:r w:rsidR="00D44729" w:rsidRPr="003743EA">
              <w:rPr>
                <w:sz w:val="21"/>
                <w:szCs w:val="21"/>
              </w:rPr>
              <w:t xml:space="preserve"> agents (national and regionally-based universities, think-tanks or consultancies) are</w:t>
            </w:r>
            <w:r w:rsidR="00973A53" w:rsidRPr="003743EA">
              <w:rPr>
                <w:sz w:val="21"/>
                <w:szCs w:val="21"/>
              </w:rPr>
              <w:t xml:space="preserve"> systematically brought in for quality assurance</w:t>
            </w:r>
            <w:r w:rsidR="00015CA8" w:rsidRPr="003743EA">
              <w:rPr>
                <w:sz w:val="21"/>
                <w:szCs w:val="21"/>
              </w:rPr>
              <w:t xml:space="preserve">. </w:t>
            </w:r>
            <w:r w:rsidR="00A1666D" w:rsidRPr="003743EA">
              <w:rPr>
                <w:sz w:val="21"/>
                <w:szCs w:val="21"/>
              </w:rPr>
              <w:t>The alignment of associated k</w:t>
            </w:r>
            <w:r w:rsidR="002D1431" w:rsidRPr="003743EA">
              <w:rPr>
                <w:sz w:val="21"/>
                <w:szCs w:val="21"/>
              </w:rPr>
              <w:t xml:space="preserve">nowledge </w:t>
            </w:r>
            <w:r w:rsidR="00973A53" w:rsidRPr="003743EA">
              <w:rPr>
                <w:sz w:val="21"/>
                <w:szCs w:val="21"/>
              </w:rPr>
              <w:t xml:space="preserve">products </w:t>
            </w:r>
            <w:r w:rsidR="00A1666D" w:rsidRPr="003743EA">
              <w:rPr>
                <w:sz w:val="21"/>
                <w:szCs w:val="21"/>
              </w:rPr>
              <w:t>can be reinforced by</w:t>
            </w:r>
            <w:r w:rsidR="00973A53" w:rsidRPr="003743EA">
              <w:rPr>
                <w:sz w:val="21"/>
                <w:szCs w:val="21"/>
              </w:rPr>
              <w:t xml:space="preserve"> </w:t>
            </w:r>
            <w:r w:rsidR="009A25D0" w:rsidRPr="003743EA">
              <w:rPr>
                <w:sz w:val="21"/>
                <w:szCs w:val="21"/>
              </w:rPr>
              <w:t>a comprehensive MWGE knowledge exchange, learning and communications strategy</w:t>
            </w:r>
            <w:r w:rsidR="00ED66D5" w:rsidRPr="003743EA">
              <w:rPr>
                <w:sz w:val="21"/>
                <w:szCs w:val="21"/>
              </w:rPr>
              <w:t xml:space="preserve"> (and/or a revised MEL strategy). </w:t>
            </w:r>
          </w:p>
          <w:p w14:paraId="4EB7F95B" w14:textId="77777777" w:rsidR="00223AAE" w:rsidRPr="003743EA" w:rsidRDefault="00223AAE" w:rsidP="00223AAE">
            <w:pPr>
              <w:tabs>
                <w:tab w:val="left" w:pos="1418"/>
              </w:tabs>
              <w:spacing w:before="120" w:after="120"/>
              <w:rPr>
                <w:b/>
                <w:bCs/>
                <w:sz w:val="21"/>
                <w:szCs w:val="21"/>
              </w:rPr>
            </w:pPr>
          </w:p>
        </w:tc>
      </w:tr>
      <w:tr w:rsidR="0007473C" w:rsidRPr="003743EA" w14:paraId="3F96434B" w14:textId="77777777" w:rsidTr="4977AA67">
        <w:tc>
          <w:tcPr>
            <w:tcW w:w="440" w:type="dxa"/>
          </w:tcPr>
          <w:p w14:paraId="4DFBCE01" w14:textId="77777777" w:rsidR="00223AAE" w:rsidRPr="003743EA" w:rsidRDefault="003436DB" w:rsidP="00223AAE">
            <w:pPr>
              <w:tabs>
                <w:tab w:val="left" w:pos="1418"/>
              </w:tabs>
              <w:spacing w:before="120" w:after="120"/>
              <w:rPr>
                <w:sz w:val="21"/>
                <w:szCs w:val="21"/>
              </w:rPr>
            </w:pPr>
            <w:r w:rsidRPr="003743EA">
              <w:rPr>
                <w:sz w:val="21"/>
                <w:szCs w:val="21"/>
              </w:rPr>
              <w:t>8</w:t>
            </w:r>
          </w:p>
        </w:tc>
        <w:tc>
          <w:tcPr>
            <w:tcW w:w="4207" w:type="dxa"/>
          </w:tcPr>
          <w:p w14:paraId="501AEC75" w14:textId="77777777" w:rsidR="00223AAE" w:rsidRPr="003743EA" w:rsidRDefault="17E9106D" w:rsidP="001B2F4C">
            <w:pPr>
              <w:tabs>
                <w:tab w:val="left" w:pos="1418"/>
              </w:tabs>
              <w:spacing w:before="120" w:after="120"/>
              <w:jc w:val="both"/>
              <w:rPr>
                <w:sz w:val="21"/>
                <w:szCs w:val="21"/>
              </w:rPr>
            </w:pPr>
            <w:r w:rsidRPr="003743EA">
              <w:rPr>
                <w:sz w:val="21"/>
                <w:szCs w:val="21"/>
              </w:rPr>
              <w:t xml:space="preserve">Continue to improve </w:t>
            </w:r>
            <w:r w:rsidR="00C57398" w:rsidRPr="003743EA">
              <w:rPr>
                <w:sz w:val="21"/>
                <w:szCs w:val="21"/>
              </w:rPr>
              <w:t xml:space="preserve">social and gender </w:t>
            </w:r>
            <w:r w:rsidRPr="003743EA">
              <w:rPr>
                <w:sz w:val="21"/>
                <w:szCs w:val="21"/>
              </w:rPr>
              <w:t xml:space="preserve">norms measurement tools and – more broadly – develop more ambitious MEL indicators, including to better capture resistance to change as well as with respect to impact of media outreach and advocacy. Improve </w:t>
            </w:r>
            <w:r w:rsidRPr="003743EA">
              <w:rPr>
                <w:sz w:val="21"/>
                <w:szCs w:val="21"/>
              </w:rPr>
              <w:lastRenderedPageBreak/>
              <w:t xml:space="preserve">feedback mechanisms to COs and implementing </w:t>
            </w:r>
            <w:proofErr w:type="gramStart"/>
            <w:r w:rsidRPr="003743EA">
              <w:rPr>
                <w:sz w:val="21"/>
                <w:szCs w:val="21"/>
              </w:rPr>
              <w:t>partners, and</w:t>
            </w:r>
            <w:proofErr w:type="gramEnd"/>
            <w:r w:rsidRPr="003743EA">
              <w:rPr>
                <w:sz w:val="21"/>
                <w:szCs w:val="21"/>
              </w:rPr>
              <w:t xml:space="preserve"> build their capacity to better capture outcomes and impact. Ensure that baseline and endline data, and other evaluation data involving beneficiaries, is </w:t>
            </w:r>
            <w:proofErr w:type="gramStart"/>
            <w:r w:rsidRPr="003743EA">
              <w:rPr>
                <w:sz w:val="21"/>
                <w:szCs w:val="21"/>
              </w:rPr>
              <w:t>collected</w:t>
            </w:r>
            <w:proofErr w:type="gramEnd"/>
            <w:r w:rsidRPr="003743EA">
              <w:rPr>
                <w:sz w:val="21"/>
                <w:szCs w:val="21"/>
              </w:rPr>
              <w:t xml:space="preserve"> and analysed by external third parties </w:t>
            </w:r>
            <w:r w:rsidR="00431BD2" w:rsidRPr="003743EA">
              <w:rPr>
                <w:sz w:val="21"/>
                <w:szCs w:val="21"/>
              </w:rPr>
              <w:t>with, or in addition to,</w:t>
            </w:r>
            <w:r w:rsidR="00294E30" w:rsidRPr="003743EA">
              <w:rPr>
                <w:sz w:val="21"/>
                <w:szCs w:val="21"/>
              </w:rPr>
              <w:t xml:space="preserve"> </w:t>
            </w:r>
            <w:r w:rsidRPr="003743EA">
              <w:rPr>
                <w:sz w:val="21"/>
                <w:szCs w:val="21"/>
              </w:rPr>
              <w:t xml:space="preserve">implementing </w:t>
            </w:r>
            <w:r w:rsidR="004F46E2" w:rsidRPr="003743EA">
              <w:rPr>
                <w:sz w:val="21"/>
                <w:szCs w:val="21"/>
              </w:rPr>
              <w:t>partners</w:t>
            </w:r>
            <w:r w:rsidRPr="003743EA">
              <w:rPr>
                <w:sz w:val="21"/>
                <w:szCs w:val="21"/>
              </w:rPr>
              <w:t>.</w:t>
            </w:r>
          </w:p>
          <w:p w14:paraId="33EE2B28" w14:textId="77777777" w:rsidR="00223AAE" w:rsidRPr="003743EA" w:rsidRDefault="00223AAE" w:rsidP="00704448">
            <w:pPr>
              <w:tabs>
                <w:tab w:val="left" w:pos="1418"/>
              </w:tabs>
              <w:spacing w:before="120" w:after="120"/>
              <w:rPr>
                <w:rFonts w:eastAsia="Calibri"/>
                <w:sz w:val="21"/>
                <w:szCs w:val="21"/>
              </w:rPr>
            </w:pPr>
          </w:p>
        </w:tc>
        <w:tc>
          <w:tcPr>
            <w:tcW w:w="1110" w:type="dxa"/>
          </w:tcPr>
          <w:p w14:paraId="52FA7186" w14:textId="77777777" w:rsidR="00223AAE" w:rsidRPr="003743EA" w:rsidRDefault="17E9106D" w:rsidP="00223AAE">
            <w:pPr>
              <w:tabs>
                <w:tab w:val="left" w:pos="1418"/>
              </w:tabs>
              <w:spacing w:before="120" w:after="120"/>
              <w:rPr>
                <w:sz w:val="21"/>
                <w:szCs w:val="21"/>
              </w:rPr>
            </w:pPr>
            <w:r w:rsidRPr="003743EA">
              <w:rPr>
                <w:sz w:val="21"/>
                <w:szCs w:val="21"/>
              </w:rPr>
              <w:lastRenderedPageBreak/>
              <w:t>Operational</w:t>
            </w:r>
          </w:p>
        </w:tc>
        <w:tc>
          <w:tcPr>
            <w:tcW w:w="1158" w:type="dxa"/>
          </w:tcPr>
          <w:p w14:paraId="6CE21345" w14:textId="77777777" w:rsidR="00223AAE" w:rsidRPr="003743EA" w:rsidRDefault="17E9106D" w:rsidP="00223AAE">
            <w:pPr>
              <w:tabs>
                <w:tab w:val="left" w:pos="1418"/>
              </w:tabs>
              <w:spacing w:before="120" w:after="120"/>
              <w:rPr>
                <w:sz w:val="21"/>
                <w:szCs w:val="21"/>
              </w:rPr>
            </w:pPr>
            <w:r w:rsidRPr="003743EA">
              <w:rPr>
                <w:sz w:val="21"/>
                <w:szCs w:val="21"/>
              </w:rPr>
              <w:t>2, 5, 6, 7, 10, 11</w:t>
            </w:r>
          </w:p>
        </w:tc>
        <w:tc>
          <w:tcPr>
            <w:tcW w:w="1914" w:type="dxa"/>
          </w:tcPr>
          <w:p w14:paraId="380A25FE" w14:textId="77777777" w:rsidR="00223AAE" w:rsidRPr="003743EA" w:rsidRDefault="17E9106D" w:rsidP="00223AAE">
            <w:pPr>
              <w:tabs>
                <w:tab w:val="left" w:pos="1418"/>
              </w:tabs>
              <w:spacing w:before="120" w:after="120"/>
              <w:rPr>
                <w:sz w:val="21"/>
                <w:szCs w:val="21"/>
              </w:rPr>
            </w:pPr>
            <w:r w:rsidRPr="003743EA">
              <w:rPr>
                <w:rFonts w:cs="Calibri"/>
                <w:color w:val="262626"/>
                <w:sz w:val="21"/>
                <w:szCs w:val="21"/>
              </w:rPr>
              <w:t>UN Women (ROAS/ country offices)</w:t>
            </w:r>
          </w:p>
        </w:tc>
        <w:tc>
          <w:tcPr>
            <w:tcW w:w="1523" w:type="dxa"/>
          </w:tcPr>
          <w:p w14:paraId="786058B6" w14:textId="77777777" w:rsidR="00223AAE" w:rsidRPr="003743EA" w:rsidRDefault="001C39AB" w:rsidP="00223AAE">
            <w:pPr>
              <w:tabs>
                <w:tab w:val="left" w:pos="1418"/>
              </w:tabs>
              <w:spacing w:before="120" w:after="120"/>
              <w:rPr>
                <w:b/>
                <w:bCs/>
                <w:sz w:val="21"/>
                <w:szCs w:val="21"/>
              </w:rPr>
            </w:pPr>
            <w:r w:rsidRPr="003743EA">
              <w:rPr>
                <w:b/>
                <w:bCs/>
                <w:sz w:val="21"/>
                <w:szCs w:val="21"/>
              </w:rPr>
              <w:t>High</w:t>
            </w:r>
          </w:p>
        </w:tc>
        <w:tc>
          <w:tcPr>
            <w:tcW w:w="4236" w:type="dxa"/>
          </w:tcPr>
          <w:p w14:paraId="23383D59" w14:textId="77777777" w:rsidR="00223AAE" w:rsidRPr="003743EA" w:rsidRDefault="007C061A" w:rsidP="001B2F4C">
            <w:pPr>
              <w:tabs>
                <w:tab w:val="left" w:pos="1418"/>
              </w:tabs>
              <w:spacing w:before="120" w:after="120"/>
              <w:jc w:val="both"/>
              <w:rPr>
                <w:rFonts w:eastAsia="Calibri"/>
                <w:sz w:val="21"/>
                <w:szCs w:val="21"/>
              </w:rPr>
            </w:pPr>
            <w:r w:rsidRPr="003743EA">
              <w:rPr>
                <w:sz w:val="21"/>
                <w:szCs w:val="21"/>
              </w:rPr>
              <w:t xml:space="preserve">In consultation with </w:t>
            </w:r>
            <w:r w:rsidR="004D095B" w:rsidRPr="003743EA">
              <w:rPr>
                <w:sz w:val="21"/>
                <w:szCs w:val="21"/>
              </w:rPr>
              <w:t xml:space="preserve">UN Women </w:t>
            </w:r>
            <w:r w:rsidRPr="003743EA">
              <w:rPr>
                <w:sz w:val="21"/>
                <w:szCs w:val="21"/>
              </w:rPr>
              <w:t xml:space="preserve">COs and key implementation partners, ROAS should </w:t>
            </w:r>
            <w:r w:rsidR="008C52D3" w:rsidRPr="003743EA">
              <w:rPr>
                <w:sz w:val="21"/>
                <w:szCs w:val="21"/>
              </w:rPr>
              <w:t xml:space="preserve">develop a MEL strategy for a potential phase III of the MWGE programme. </w:t>
            </w:r>
            <w:r w:rsidR="00A512C8" w:rsidRPr="003743EA">
              <w:rPr>
                <w:sz w:val="21"/>
                <w:szCs w:val="21"/>
              </w:rPr>
              <w:t xml:space="preserve">This strategy should include technical guidance on more sophisticated social and gender norms </w:t>
            </w:r>
            <w:r w:rsidR="00A512C8" w:rsidRPr="003743EA">
              <w:rPr>
                <w:sz w:val="21"/>
                <w:szCs w:val="21"/>
              </w:rPr>
              <w:lastRenderedPageBreak/>
              <w:t>approaches</w:t>
            </w:r>
            <w:r w:rsidR="004E44FB" w:rsidRPr="003743EA">
              <w:rPr>
                <w:sz w:val="21"/>
                <w:szCs w:val="21"/>
              </w:rPr>
              <w:t xml:space="preserve"> (see Recommendation 4) but also managerial expectations on quality assurance and when/where third party agents can add value (such as </w:t>
            </w:r>
            <w:r w:rsidR="00E5714E" w:rsidRPr="003743EA">
              <w:rPr>
                <w:sz w:val="21"/>
                <w:szCs w:val="21"/>
              </w:rPr>
              <w:t xml:space="preserve">through capacity building, evidence validation and triangulation, or standalone ‘operational research’ contracts which can unpack </w:t>
            </w:r>
            <w:r w:rsidR="00281E75" w:rsidRPr="003743EA">
              <w:rPr>
                <w:sz w:val="21"/>
                <w:szCs w:val="21"/>
              </w:rPr>
              <w:t>promising emergent results or critical bottlenecks in relative ‘real-time’).</w:t>
            </w:r>
          </w:p>
        </w:tc>
      </w:tr>
      <w:tr w:rsidR="0007473C" w:rsidRPr="003743EA" w14:paraId="440E2269" w14:textId="77777777" w:rsidTr="4977AA67">
        <w:tc>
          <w:tcPr>
            <w:tcW w:w="440" w:type="dxa"/>
            <w:shd w:val="clear" w:color="auto" w:fill="E7E6E6" w:themeFill="background2"/>
          </w:tcPr>
          <w:p w14:paraId="02A0646C" w14:textId="77777777" w:rsidR="00917338" w:rsidRPr="003743EA" w:rsidRDefault="00D852F8" w:rsidP="00223AAE">
            <w:pPr>
              <w:tabs>
                <w:tab w:val="left" w:pos="1418"/>
              </w:tabs>
              <w:spacing w:before="120" w:after="120"/>
              <w:rPr>
                <w:sz w:val="21"/>
                <w:szCs w:val="21"/>
              </w:rPr>
            </w:pPr>
            <w:r w:rsidRPr="003743EA">
              <w:rPr>
                <w:sz w:val="21"/>
                <w:szCs w:val="21"/>
              </w:rPr>
              <w:lastRenderedPageBreak/>
              <w:t>9</w:t>
            </w:r>
          </w:p>
        </w:tc>
        <w:tc>
          <w:tcPr>
            <w:tcW w:w="4207" w:type="dxa"/>
            <w:shd w:val="clear" w:color="auto" w:fill="E7E6E6" w:themeFill="background2"/>
          </w:tcPr>
          <w:p w14:paraId="5E394458" w14:textId="77777777" w:rsidR="00917338" w:rsidRPr="003743EA" w:rsidRDefault="001D498E" w:rsidP="001B2F4C">
            <w:pPr>
              <w:tabs>
                <w:tab w:val="left" w:pos="1418"/>
              </w:tabs>
              <w:spacing w:before="120" w:after="120"/>
              <w:jc w:val="both"/>
              <w:rPr>
                <w:sz w:val="21"/>
                <w:szCs w:val="21"/>
              </w:rPr>
            </w:pPr>
            <w:r w:rsidRPr="003743EA">
              <w:rPr>
                <w:sz w:val="21"/>
                <w:szCs w:val="21"/>
              </w:rPr>
              <w:t>Strengthen the HRBA and LNOB approach by i</w:t>
            </w:r>
            <w:r w:rsidR="00614F47" w:rsidRPr="003743EA">
              <w:rPr>
                <w:sz w:val="21"/>
                <w:szCs w:val="21"/>
              </w:rPr>
              <w:t>ntroduc</w:t>
            </w:r>
            <w:r w:rsidRPr="003743EA">
              <w:rPr>
                <w:sz w:val="21"/>
                <w:szCs w:val="21"/>
              </w:rPr>
              <w:t>ing</w:t>
            </w:r>
            <w:r w:rsidR="00614F47" w:rsidRPr="003743EA">
              <w:rPr>
                <w:sz w:val="21"/>
                <w:szCs w:val="21"/>
              </w:rPr>
              <w:t xml:space="preserve"> an initiative to refresh </w:t>
            </w:r>
            <w:r w:rsidR="007D02E4" w:rsidRPr="003743EA">
              <w:rPr>
                <w:sz w:val="21"/>
                <w:szCs w:val="21"/>
              </w:rPr>
              <w:t>familiarity</w:t>
            </w:r>
            <w:r w:rsidR="00614F47" w:rsidRPr="003743EA">
              <w:rPr>
                <w:sz w:val="21"/>
                <w:szCs w:val="21"/>
              </w:rPr>
              <w:t xml:space="preserve"> on</w:t>
            </w:r>
            <w:r w:rsidR="007D02E4" w:rsidRPr="003743EA">
              <w:rPr>
                <w:sz w:val="21"/>
                <w:szCs w:val="21"/>
              </w:rPr>
              <w:t xml:space="preserve"> both</w:t>
            </w:r>
            <w:r w:rsidR="00614F47" w:rsidRPr="003743EA">
              <w:rPr>
                <w:sz w:val="21"/>
                <w:szCs w:val="21"/>
              </w:rPr>
              <w:t xml:space="preserve"> </w:t>
            </w:r>
            <w:r w:rsidR="00AA421A" w:rsidRPr="003743EA">
              <w:rPr>
                <w:sz w:val="21"/>
                <w:szCs w:val="21"/>
              </w:rPr>
              <w:t>the HRBA</w:t>
            </w:r>
            <w:r w:rsidR="007D02E4" w:rsidRPr="003743EA">
              <w:rPr>
                <w:sz w:val="21"/>
                <w:szCs w:val="21"/>
              </w:rPr>
              <w:t xml:space="preserve"> and LNOB</w:t>
            </w:r>
            <w:r w:rsidR="00AA421A" w:rsidRPr="003743EA">
              <w:rPr>
                <w:sz w:val="21"/>
                <w:szCs w:val="21"/>
              </w:rPr>
              <w:t xml:space="preserve"> approach </w:t>
            </w:r>
            <w:r w:rsidR="007D02E4" w:rsidRPr="003743EA">
              <w:rPr>
                <w:sz w:val="21"/>
                <w:szCs w:val="21"/>
              </w:rPr>
              <w:t xml:space="preserve">(and their interlinkages) </w:t>
            </w:r>
            <w:r w:rsidR="00AA421A" w:rsidRPr="003743EA">
              <w:rPr>
                <w:sz w:val="21"/>
                <w:szCs w:val="21"/>
              </w:rPr>
              <w:t>with ROAS, CO and partner staff to develop a shared understanding of the</w:t>
            </w:r>
            <w:r w:rsidR="00F12E7B" w:rsidRPr="003743EA">
              <w:rPr>
                <w:sz w:val="21"/>
                <w:szCs w:val="21"/>
              </w:rPr>
              <w:t xml:space="preserve"> associated concepts and </w:t>
            </w:r>
            <w:r w:rsidR="00AA421A" w:rsidRPr="003743EA">
              <w:rPr>
                <w:sz w:val="21"/>
                <w:szCs w:val="21"/>
              </w:rPr>
              <w:t xml:space="preserve">practical realities </w:t>
            </w:r>
            <w:r w:rsidR="00F12E7B" w:rsidRPr="003743EA">
              <w:rPr>
                <w:sz w:val="21"/>
                <w:szCs w:val="21"/>
              </w:rPr>
              <w:t xml:space="preserve">of integrating such approaches into MWGE programming. </w:t>
            </w:r>
          </w:p>
        </w:tc>
        <w:tc>
          <w:tcPr>
            <w:tcW w:w="1110" w:type="dxa"/>
            <w:shd w:val="clear" w:color="auto" w:fill="E7E6E6" w:themeFill="background2"/>
          </w:tcPr>
          <w:p w14:paraId="55FFDE41" w14:textId="77777777" w:rsidR="00917338" w:rsidRPr="003743EA" w:rsidRDefault="005F578D" w:rsidP="00223AAE">
            <w:pPr>
              <w:tabs>
                <w:tab w:val="left" w:pos="1418"/>
              </w:tabs>
              <w:spacing w:before="120" w:after="120"/>
              <w:rPr>
                <w:sz w:val="21"/>
                <w:szCs w:val="21"/>
              </w:rPr>
            </w:pPr>
            <w:r w:rsidRPr="003743EA">
              <w:rPr>
                <w:sz w:val="21"/>
                <w:szCs w:val="21"/>
              </w:rPr>
              <w:t xml:space="preserve">Operational </w:t>
            </w:r>
          </w:p>
        </w:tc>
        <w:tc>
          <w:tcPr>
            <w:tcW w:w="1158" w:type="dxa"/>
            <w:shd w:val="clear" w:color="auto" w:fill="E7E6E6" w:themeFill="background2"/>
          </w:tcPr>
          <w:p w14:paraId="53FE3EE0" w14:textId="77777777" w:rsidR="00917338" w:rsidRPr="003743EA" w:rsidRDefault="00726E46" w:rsidP="00223AAE">
            <w:pPr>
              <w:tabs>
                <w:tab w:val="left" w:pos="1418"/>
              </w:tabs>
              <w:spacing w:before="120" w:after="120"/>
              <w:rPr>
                <w:sz w:val="21"/>
                <w:szCs w:val="21"/>
              </w:rPr>
            </w:pPr>
            <w:r w:rsidRPr="003743EA">
              <w:rPr>
                <w:sz w:val="21"/>
                <w:szCs w:val="21"/>
              </w:rPr>
              <w:t>5, 10</w:t>
            </w:r>
          </w:p>
        </w:tc>
        <w:tc>
          <w:tcPr>
            <w:tcW w:w="1914" w:type="dxa"/>
            <w:shd w:val="clear" w:color="auto" w:fill="E7E6E6" w:themeFill="background2"/>
          </w:tcPr>
          <w:p w14:paraId="5BBEFA5B" w14:textId="77777777" w:rsidR="00917338" w:rsidRPr="003743EA" w:rsidRDefault="00726E46" w:rsidP="00223AAE">
            <w:pPr>
              <w:tabs>
                <w:tab w:val="left" w:pos="1418"/>
              </w:tabs>
              <w:spacing w:before="120" w:after="120"/>
              <w:rPr>
                <w:rFonts w:cs="Calibri"/>
                <w:color w:val="262626"/>
                <w:sz w:val="21"/>
                <w:szCs w:val="21"/>
              </w:rPr>
            </w:pPr>
            <w:r w:rsidRPr="003743EA">
              <w:rPr>
                <w:rFonts w:cs="Calibri"/>
                <w:color w:val="262626"/>
                <w:sz w:val="21"/>
                <w:szCs w:val="21"/>
              </w:rPr>
              <w:t>UN Women (ROAS/ country offices)</w:t>
            </w:r>
            <w:r w:rsidR="004E4BDC" w:rsidRPr="003743EA">
              <w:rPr>
                <w:rFonts w:cs="Calibri"/>
                <w:color w:val="262626"/>
                <w:sz w:val="21"/>
                <w:szCs w:val="21"/>
              </w:rPr>
              <w:t>, implementing partners</w:t>
            </w:r>
          </w:p>
        </w:tc>
        <w:tc>
          <w:tcPr>
            <w:tcW w:w="1523" w:type="dxa"/>
            <w:shd w:val="clear" w:color="auto" w:fill="E7E6E6" w:themeFill="background2"/>
          </w:tcPr>
          <w:p w14:paraId="48974CE0" w14:textId="77777777" w:rsidR="00917338" w:rsidRPr="003743EA" w:rsidRDefault="004E4BDC" w:rsidP="00223AAE">
            <w:pPr>
              <w:tabs>
                <w:tab w:val="left" w:pos="1418"/>
              </w:tabs>
              <w:spacing w:before="120" w:after="120"/>
              <w:rPr>
                <w:b/>
                <w:bCs/>
                <w:sz w:val="21"/>
                <w:szCs w:val="21"/>
              </w:rPr>
            </w:pPr>
            <w:r w:rsidRPr="003743EA">
              <w:rPr>
                <w:b/>
                <w:bCs/>
                <w:sz w:val="21"/>
                <w:szCs w:val="21"/>
              </w:rPr>
              <w:t>Medium</w:t>
            </w:r>
          </w:p>
        </w:tc>
        <w:tc>
          <w:tcPr>
            <w:tcW w:w="4236" w:type="dxa"/>
            <w:shd w:val="clear" w:color="auto" w:fill="E7E6E6" w:themeFill="background2"/>
          </w:tcPr>
          <w:p w14:paraId="6F6D02B7" w14:textId="77777777" w:rsidR="00917338" w:rsidRPr="003743EA" w:rsidDel="007D52CF" w:rsidRDefault="004E4BDC" w:rsidP="001B2F4C">
            <w:pPr>
              <w:tabs>
                <w:tab w:val="left" w:pos="1418"/>
              </w:tabs>
              <w:spacing w:before="120" w:after="120"/>
              <w:jc w:val="both"/>
              <w:rPr>
                <w:sz w:val="21"/>
                <w:szCs w:val="21"/>
              </w:rPr>
            </w:pPr>
            <w:r w:rsidRPr="003743EA">
              <w:rPr>
                <w:sz w:val="21"/>
                <w:szCs w:val="21"/>
              </w:rPr>
              <w:t xml:space="preserve">Use </w:t>
            </w:r>
            <w:r w:rsidR="001C22B5" w:rsidRPr="003743EA">
              <w:rPr>
                <w:sz w:val="21"/>
                <w:szCs w:val="21"/>
              </w:rPr>
              <w:t>(</w:t>
            </w:r>
            <w:r w:rsidRPr="003743EA">
              <w:rPr>
                <w:sz w:val="21"/>
                <w:szCs w:val="21"/>
              </w:rPr>
              <w:t xml:space="preserve">and/or revamp </w:t>
            </w:r>
            <w:r w:rsidR="001C22B5" w:rsidRPr="003743EA">
              <w:rPr>
                <w:sz w:val="21"/>
                <w:szCs w:val="21"/>
              </w:rPr>
              <w:t>for the</w:t>
            </w:r>
            <w:r w:rsidRPr="003743EA">
              <w:rPr>
                <w:sz w:val="21"/>
                <w:szCs w:val="21"/>
              </w:rPr>
              <w:t xml:space="preserve"> regional context) existing </w:t>
            </w:r>
            <w:r w:rsidR="004D095B" w:rsidRPr="003743EA">
              <w:rPr>
                <w:sz w:val="21"/>
                <w:szCs w:val="21"/>
              </w:rPr>
              <w:t xml:space="preserve">UN Women </w:t>
            </w:r>
            <w:r w:rsidRPr="003743EA">
              <w:rPr>
                <w:sz w:val="21"/>
                <w:szCs w:val="21"/>
              </w:rPr>
              <w:t>guidelines and tools on HRBA and LNOB</w:t>
            </w:r>
            <w:r w:rsidR="00EE32AE" w:rsidRPr="003743EA">
              <w:rPr>
                <w:sz w:val="21"/>
                <w:szCs w:val="21"/>
              </w:rPr>
              <w:t xml:space="preserve"> as part of the potential phase III kick-off reading package, and provide detailed insights in </w:t>
            </w:r>
            <w:r w:rsidR="00621A2F" w:rsidRPr="003743EA">
              <w:rPr>
                <w:sz w:val="21"/>
                <w:szCs w:val="21"/>
              </w:rPr>
              <w:t>the programme TOC, and accompanying strategic documentation (</w:t>
            </w:r>
            <w:r w:rsidR="001C22B5" w:rsidRPr="003743EA">
              <w:rPr>
                <w:sz w:val="21"/>
                <w:szCs w:val="21"/>
              </w:rPr>
              <w:t>results frameworks, communications strategy, MEL strategy, annual work plans etc.)</w:t>
            </w:r>
            <w:r w:rsidR="001B2F4C" w:rsidRPr="003743EA">
              <w:rPr>
                <w:sz w:val="21"/>
                <w:szCs w:val="21"/>
              </w:rPr>
              <w:t>.</w:t>
            </w:r>
          </w:p>
        </w:tc>
      </w:tr>
      <w:tr w:rsidR="0007473C" w:rsidRPr="003743EA" w14:paraId="1B3AD404" w14:textId="77777777" w:rsidTr="4977AA67">
        <w:tc>
          <w:tcPr>
            <w:tcW w:w="440" w:type="dxa"/>
          </w:tcPr>
          <w:p w14:paraId="6D4B00C4" w14:textId="77777777" w:rsidR="00223AAE" w:rsidRPr="003743EA" w:rsidRDefault="00917338" w:rsidP="00223AAE">
            <w:pPr>
              <w:tabs>
                <w:tab w:val="left" w:pos="1418"/>
              </w:tabs>
              <w:spacing w:before="120" w:after="120"/>
              <w:rPr>
                <w:sz w:val="21"/>
                <w:szCs w:val="21"/>
              </w:rPr>
            </w:pPr>
            <w:r w:rsidRPr="003743EA">
              <w:rPr>
                <w:sz w:val="21"/>
                <w:szCs w:val="21"/>
              </w:rPr>
              <w:t>1</w:t>
            </w:r>
            <w:r w:rsidR="00D852F8" w:rsidRPr="003743EA">
              <w:rPr>
                <w:sz w:val="21"/>
                <w:szCs w:val="21"/>
              </w:rPr>
              <w:t>0</w:t>
            </w:r>
          </w:p>
        </w:tc>
        <w:tc>
          <w:tcPr>
            <w:tcW w:w="4207" w:type="dxa"/>
          </w:tcPr>
          <w:p w14:paraId="71694B3F" w14:textId="77777777" w:rsidR="00223AAE" w:rsidRPr="003743EA" w:rsidRDefault="00FD5DDE" w:rsidP="001B2F4C">
            <w:pPr>
              <w:tabs>
                <w:tab w:val="left" w:pos="1418"/>
              </w:tabs>
              <w:spacing w:before="120" w:after="120"/>
              <w:jc w:val="both"/>
              <w:rPr>
                <w:b/>
                <w:bCs/>
                <w:sz w:val="21"/>
                <w:szCs w:val="21"/>
              </w:rPr>
            </w:pPr>
            <w:r w:rsidRPr="003743EA">
              <w:rPr>
                <w:sz w:val="21"/>
                <w:szCs w:val="21"/>
              </w:rPr>
              <w:t>Develop and s</w:t>
            </w:r>
            <w:r w:rsidR="17E9106D" w:rsidRPr="003743EA">
              <w:rPr>
                <w:sz w:val="21"/>
                <w:szCs w:val="21"/>
              </w:rPr>
              <w:t>ystematically apply</w:t>
            </w:r>
            <w:r w:rsidRPr="003743EA">
              <w:rPr>
                <w:sz w:val="21"/>
                <w:szCs w:val="21"/>
              </w:rPr>
              <w:t xml:space="preserve"> ‘ways of working’ guidelines</w:t>
            </w:r>
            <w:r w:rsidRPr="003743EA">
              <w:rPr>
                <w:b/>
                <w:bCs/>
                <w:sz w:val="21"/>
                <w:szCs w:val="21"/>
              </w:rPr>
              <w:t xml:space="preserve"> </w:t>
            </w:r>
            <w:r w:rsidRPr="003743EA">
              <w:rPr>
                <w:sz w:val="21"/>
                <w:szCs w:val="21"/>
              </w:rPr>
              <w:t xml:space="preserve">that outline </w:t>
            </w:r>
            <w:r w:rsidR="17E9106D" w:rsidRPr="003743EA">
              <w:rPr>
                <w:sz w:val="21"/>
                <w:szCs w:val="21"/>
              </w:rPr>
              <w:t>agreed responsibilities, accountabilities, consultation processes and information updates between ROAS</w:t>
            </w:r>
            <w:r w:rsidRPr="003743EA">
              <w:rPr>
                <w:sz w:val="21"/>
                <w:szCs w:val="21"/>
              </w:rPr>
              <w:t xml:space="preserve">, </w:t>
            </w:r>
            <w:r w:rsidR="17E9106D" w:rsidRPr="003743EA">
              <w:rPr>
                <w:sz w:val="21"/>
                <w:szCs w:val="21"/>
              </w:rPr>
              <w:t>CO</w:t>
            </w:r>
            <w:r w:rsidRPr="003743EA">
              <w:rPr>
                <w:sz w:val="21"/>
                <w:szCs w:val="21"/>
              </w:rPr>
              <w:t xml:space="preserve"> and implementing partners. </w:t>
            </w:r>
            <w:r w:rsidR="17E9106D" w:rsidRPr="003743EA">
              <w:rPr>
                <w:sz w:val="21"/>
                <w:szCs w:val="21"/>
              </w:rPr>
              <w:t xml:space="preserve"> </w:t>
            </w:r>
          </w:p>
          <w:p w14:paraId="6F78AD64" w14:textId="77777777" w:rsidR="00223AAE" w:rsidRPr="003743EA" w:rsidRDefault="103DA8AC" w:rsidP="103DA8AC">
            <w:pPr>
              <w:tabs>
                <w:tab w:val="left" w:pos="1418"/>
              </w:tabs>
              <w:spacing w:before="120" w:after="120"/>
              <w:rPr>
                <w:rFonts w:eastAsia="Calibri"/>
                <w:sz w:val="21"/>
                <w:szCs w:val="21"/>
              </w:rPr>
            </w:pPr>
            <w:r w:rsidRPr="003743EA">
              <w:rPr>
                <w:rFonts w:eastAsia="Calibri"/>
                <w:sz w:val="21"/>
                <w:szCs w:val="21"/>
              </w:rPr>
              <w:t xml:space="preserve"> </w:t>
            </w:r>
          </w:p>
        </w:tc>
        <w:tc>
          <w:tcPr>
            <w:tcW w:w="1110" w:type="dxa"/>
          </w:tcPr>
          <w:p w14:paraId="03A0B8C3" w14:textId="77777777" w:rsidR="00223AAE" w:rsidRPr="003743EA" w:rsidRDefault="00103EB6" w:rsidP="00223AAE">
            <w:pPr>
              <w:tabs>
                <w:tab w:val="left" w:pos="1418"/>
              </w:tabs>
              <w:spacing w:before="120" w:after="120"/>
              <w:rPr>
                <w:sz w:val="21"/>
                <w:szCs w:val="21"/>
              </w:rPr>
            </w:pPr>
            <w:r w:rsidRPr="003743EA">
              <w:rPr>
                <w:sz w:val="21"/>
                <w:szCs w:val="21"/>
              </w:rPr>
              <w:t xml:space="preserve">Managerial </w:t>
            </w:r>
          </w:p>
        </w:tc>
        <w:tc>
          <w:tcPr>
            <w:tcW w:w="1158" w:type="dxa"/>
          </w:tcPr>
          <w:p w14:paraId="47DCC5D0" w14:textId="77777777" w:rsidR="00223AAE" w:rsidRPr="003743EA" w:rsidRDefault="17E9106D" w:rsidP="00223AAE">
            <w:pPr>
              <w:tabs>
                <w:tab w:val="left" w:pos="1418"/>
              </w:tabs>
              <w:spacing w:before="120" w:after="120"/>
              <w:rPr>
                <w:sz w:val="21"/>
                <w:szCs w:val="21"/>
              </w:rPr>
            </w:pPr>
            <w:r w:rsidRPr="003743EA">
              <w:rPr>
                <w:sz w:val="21"/>
                <w:szCs w:val="21"/>
              </w:rPr>
              <w:t>2, 3, 8, 11, 12</w:t>
            </w:r>
          </w:p>
        </w:tc>
        <w:tc>
          <w:tcPr>
            <w:tcW w:w="1914" w:type="dxa"/>
          </w:tcPr>
          <w:p w14:paraId="7B9DA682" w14:textId="77777777" w:rsidR="00223AAE" w:rsidRPr="003743EA" w:rsidRDefault="17E9106D" w:rsidP="00223AAE">
            <w:pPr>
              <w:tabs>
                <w:tab w:val="left" w:pos="1418"/>
              </w:tabs>
              <w:spacing w:before="120" w:after="120"/>
              <w:rPr>
                <w:sz w:val="21"/>
                <w:szCs w:val="21"/>
              </w:rPr>
            </w:pPr>
            <w:r w:rsidRPr="003743EA">
              <w:rPr>
                <w:rFonts w:cs="Calibri"/>
                <w:color w:val="262626"/>
                <w:sz w:val="21"/>
                <w:szCs w:val="21"/>
              </w:rPr>
              <w:t>UN Women (ROAS/ country offices)</w:t>
            </w:r>
          </w:p>
        </w:tc>
        <w:tc>
          <w:tcPr>
            <w:tcW w:w="1523" w:type="dxa"/>
          </w:tcPr>
          <w:p w14:paraId="6A09C348" w14:textId="77777777" w:rsidR="00223AAE" w:rsidRPr="003743EA" w:rsidRDefault="17E9106D" w:rsidP="00223AAE">
            <w:pPr>
              <w:tabs>
                <w:tab w:val="left" w:pos="1418"/>
              </w:tabs>
              <w:spacing w:before="120" w:after="120"/>
              <w:rPr>
                <w:b/>
                <w:bCs/>
                <w:sz w:val="21"/>
                <w:szCs w:val="21"/>
              </w:rPr>
            </w:pPr>
            <w:r w:rsidRPr="003743EA">
              <w:rPr>
                <w:b/>
                <w:bCs/>
                <w:sz w:val="21"/>
                <w:szCs w:val="21"/>
              </w:rPr>
              <w:t>Medium</w:t>
            </w:r>
          </w:p>
        </w:tc>
        <w:tc>
          <w:tcPr>
            <w:tcW w:w="4236" w:type="dxa"/>
          </w:tcPr>
          <w:p w14:paraId="13959D51" w14:textId="77777777" w:rsidR="00A2646D" w:rsidRPr="003743EA" w:rsidRDefault="2FA88435" w:rsidP="001B2F4C">
            <w:pPr>
              <w:tabs>
                <w:tab w:val="left" w:pos="1418"/>
              </w:tabs>
              <w:spacing w:before="120" w:after="120"/>
              <w:jc w:val="both"/>
              <w:rPr>
                <w:sz w:val="21"/>
                <w:szCs w:val="21"/>
              </w:rPr>
            </w:pPr>
            <w:r w:rsidRPr="003743EA">
              <w:rPr>
                <w:sz w:val="21"/>
                <w:szCs w:val="21"/>
              </w:rPr>
              <w:t>By drawing inspiration from a ‘RACI chart’</w:t>
            </w:r>
            <w:r w:rsidR="00544CEB" w:rsidRPr="003743EA">
              <w:rPr>
                <w:rStyle w:val="FootnoteReference"/>
                <w:sz w:val="21"/>
                <w:szCs w:val="21"/>
              </w:rPr>
              <w:footnoteReference w:id="325"/>
            </w:r>
            <w:r w:rsidR="7D83FAFF" w:rsidRPr="003743EA">
              <w:rPr>
                <w:sz w:val="21"/>
                <w:szCs w:val="21"/>
              </w:rPr>
              <w:t>, revisit l</w:t>
            </w:r>
            <w:r w:rsidR="75D5D530" w:rsidRPr="003743EA">
              <w:rPr>
                <w:sz w:val="21"/>
                <w:szCs w:val="21"/>
              </w:rPr>
              <w:t>ines of accountability to ensure matrixed supervisory arrangement</w:t>
            </w:r>
            <w:r w:rsidR="14CFCF45" w:rsidRPr="003743EA">
              <w:rPr>
                <w:sz w:val="21"/>
                <w:szCs w:val="21"/>
              </w:rPr>
              <w:t xml:space="preserve">s. This exercise </w:t>
            </w:r>
            <w:r w:rsidR="57CF08FF" w:rsidRPr="003743EA">
              <w:rPr>
                <w:sz w:val="21"/>
                <w:szCs w:val="21"/>
              </w:rPr>
              <w:t>would</w:t>
            </w:r>
            <w:r w:rsidR="14CFCF45" w:rsidRPr="003743EA">
              <w:rPr>
                <w:sz w:val="21"/>
                <w:szCs w:val="21"/>
              </w:rPr>
              <w:t xml:space="preserve"> map </w:t>
            </w:r>
            <w:r w:rsidR="06B5A622" w:rsidRPr="003743EA">
              <w:rPr>
                <w:sz w:val="21"/>
                <w:szCs w:val="21"/>
              </w:rPr>
              <w:t>expectations on management and sequencing of the programme cycle</w:t>
            </w:r>
            <w:r w:rsidR="604881F3" w:rsidRPr="003743EA">
              <w:rPr>
                <w:sz w:val="21"/>
                <w:szCs w:val="21"/>
              </w:rPr>
              <w:t xml:space="preserve"> and</w:t>
            </w:r>
            <w:r w:rsidR="609DCEE5" w:rsidRPr="003743EA">
              <w:rPr>
                <w:sz w:val="21"/>
                <w:szCs w:val="21"/>
              </w:rPr>
              <w:t xml:space="preserve"> thereby</w:t>
            </w:r>
            <w:r w:rsidR="604881F3" w:rsidRPr="003743EA">
              <w:rPr>
                <w:sz w:val="21"/>
                <w:szCs w:val="21"/>
              </w:rPr>
              <w:t xml:space="preserve"> facilitate alignment and coherence with ROAS vis-à-vis COs </w:t>
            </w:r>
            <w:proofErr w:type="gramStart"/>
            <w:r w:rsidR="604881F3" w:rsidRPr="003743EA">
              <w:rPr>
                <w:sz w:val="21"/>
                <w:szCs w:val="21"/>
              </w:rPr>
              <w:t>and also</w:t>
            </w:r>
            <w:proofErr w:type="gramEnd"/>
            <w:r w:rsidR="604881F3" w:rsidRPr="003743EA">
              <w:rPr>
                <w:sz w:val="21"/>
                <w:szCs w:val="21"/>
              </w:rPr>
              <w:t xml:space="preserve"> implementing partners. </w:t>
            </w:r>
            <w:r w:rsidR="3EE954B3" w:rsidRPr="003743EA">
              <w:rPr>
                <w:sz w:val="21"/>
                <w:szCs w:val="21"/>
              </w:rPr>
              <w:t xml:space="preserve">This would underpin, for example, recommendation 8 above. </w:t>
            </w:r>
          </w:p>
          <w:p w14:paraId="6DC0DF13" w14:textId="77777777" w:rsidR="00223AAE" w:rsidRPr="003743EA" w:rsidRDefault="00223AAE" w:rsidP="00704448">
            <w:pPr>
              <w:tabs>
                <w:tab w:val="left" w:pos="1418"/>
              </w:tabs>
              <w:spacing w:before="120" w:after="120"/>
              <w:rPr>
                <w:sz w:val="21"/>
                <w:szCs w:val="21"/>
              </w:rPr>
            </w:pPr>
          </w:p>
        </w:tc>
      </w:tr>
      <w:bookmarkEnd w:id="61"/>
    </w:tbl>
    <w:p w14:paraId="3AE45786" w14:textId="77777777" w:rsidR="00C4468C" w:rsidRDefault="00C4468C" w:rsidP="076A58FF">
      <w:pPr>
        <w:pStyle w:val="ItadNormalText"/>
        <w:rPr>
          <w:highlight w:val="yellow"/>
        </w:rPr>
        <w:sectPr w:rsidR="00C4468C" w:rsidSect="00AD5702">
          <w:pgSz w:w="16838" w:h="11906" w:orient="landscape" w:code="9"/>
          <w:pgMar w:top="1191" w:right="1134" w:bottom="1191" w:left="1134" w:header="720" w:footer="680" w:gutter="0"/>
          <w:cols w:space="720"/>
          <w:docGrid w:linePitch="360"/>
        </w:sectPr>
      </w:pPr>
    </w:p>
    <w:p w14:paraId="64FE80C0" w14:textId="77777777" w:rsidR="00C4468C" w:rsidRPr="00917CBB" w:rsidRDefault="00C4468C" w:rsidP="00917CBB">
      <w:pPr>
        <w:pStyle w:val="ItadNormalText"/>
        <w:rPr>
          <w:rFonts w:ascii="CubeOT" w:hAnsi="CubeOT" w:cs="CubeOT"/>
          <w:color w:val="E37230" w:themeColor="accent2"/>
          <w:sz w:val="40"/>
          <w:szCs w:val="40"/>
          <w:highlight w:val="yellow"/>
        </w:rPr>
      </w:pPr>
      <w:bookmarkStart w:id="62" w:name="_Hlk101786393"/>
      <w:r w:rsidRPr="00917CBB">
        <w:rPr>
          <w:rFonts w:ascii="CubeOT" w:hAnsi="CubeOT" w:cs="CubeOT"/>
          <w:color w:val="E37230" w:themeColor="accent2"/>
          <w:sz w:val="40"/>
          <w:szCs w:val="40"/>
        </w:rPr>
        <w:lastRenderedPageBreak/>
        <w:t>Egypt</w:t>
      </w:r>
    </w:p>
    <w:tbl>
      <w:tblPr>
        <w:tblStyle w:val="GridTable2-Accent31"/>
        <w:tblW w:w="14624" w:type="dxa"/>
        <w:tblLook w:val="04A0" w:firstRow="1" w:lastRow="0" w:firstColumn="1" w:lastColumn="0" w:noHBand="0" w:noVBand="1"/>
      </w:tblPr>
      <w:tblGrid>
        <w:gridCol w:w="555"/>
        <w:gridCol w:w="4403"/>
        <w:gridCol w:w="1483"/>
        <w:gridCol w:w="1275"/>
        <w:gridCol w:w="1667"/>
        <w:gridCol w:w="1473"/>
        <w:gridCol w:w="3768"/>
      </w:tblGrid>
      <w:tr w:rsidR="003B068E" w:rsidRPr="003743EA" w14:paraId="7DEF72B8" w14:textId="77777777" w:rsidTr="4977AA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8" w:type="dxa"/>
            <w:gridSpan w:val="2"/>
          </w:tcPr>
          <w:bookmarkEnd w:id="62"/>
          <w:p w14:paraId="129E341F" w14:textId="77777777" w:rsidR="003B068E" w:rsidRPr="003743EA" w:rsidRDefault="003B068E" w:rsidP="003B068E">
            <w:pPr>
              <w:spacing w:before="120" w:after="120"/>
              <w:rPr>
                <w:bCs w:val="0"/>
                <w:color w:val="000000"/>
                <w:sz w:val="21"/>
                <w:szCs w:val="21"/>
              </w:rPr>
            </w:pPr>
            <w:r w:rsidRPr="003743EA">
              <w:rPr>
                <w:color w:val="000000"/>
                <w:sz w:val="21"/>
                <w:szCs w:val="21"/>
              </w:rPr>
              <w:t xml:space="preserve">Recommendation </w:t>
            </w:r>
          </w:p>
          <w:p w14:paraId="5A425217" w14:textId="77777777" w:rsidR="003B068E" w:rsidRPr="003743EA" w:rsidRDefault="003B068E" w:rsidP="003B068E">
            <w:pPr>
              <w:spacing w:before="120" w:after="120"/>
              <w:rPr>
                <w:bCs w:val="0"/>
                <w:color w:val="000000"/>
                <w:sz w:val="21"/>
                <w:szCs w:val="21"/>
              </w:rPr>
            </w:pPr>
          </w:p>
        </w:tc>
        <w:tc>
          <w:tcPr>
            <w:tcW w:w="1483" w:type="dxa"/>
            <w:hideMark/>
          </w:tcPr>
          <w:p w14:paraId="3D542B7A" w14:textId="77777777" w:rsidR="003B068E" w:rsidRPr="003743EA" w:rsidRDefault="003B068E" w:rsidP="003B068E">
            <w:pPr>
              <w:spacing w:before="120" w:after="120"/>
              <w:cnfStyle w:val="100000000000" w:firstRow="1" w:lastRow="0" w:firstColumn="0" w:lastColumn="0" w:oddVBand="0" w:evenVBand="0" w:oddHBand="0" w:evenHBand="0" w:firstRowFirstColumn="0" w:firstRowLastColumn="0" w:lastRowFirstColumn="0" w:lastRowLastColumn="0"/>
              <w:rPr>
                <w:bCs w:val="0"/>
                <w:color w:val="000000"/>
                <w:sz w:val="21"/>
                <w:szCs w:val="21"/>
              </w:rPr>
            </w:pPr>
            <w:r w:rsidRPr="003743EA">
              <w:rPr>
                <w:color w:val="000000"/>
                <w:sz w:val="21"/>
                <w:szCs w:val="21"/>
              </w:rPr>
              <w:t>Level</w:t>
            </w:r>
          </w:p>
        </w:tc>
        <w:tc>
          <w:tcPr>
            <w:tcW w:w="1275" w:type="dxa"/>
            <w:hideMark/>
          </w:tcPr>
          <w:p w14:paraId="6114A91B" w14:textId="77777777" w:rsidR="003B068E" w:rsidRPr="003743EA" w:rsidRDefault="003B068E" w:rsidP="003B068E">
            <w:pPr>
              <w:spacing w:before="120" w:after="120"/>
              <w:cnfStyle w:val="100000000000" w:firstRow="1" w:lastRow="0" w:firstColumn="0" w:lastColumn="0" w:oddVBand="0" w:evenVBand="0" w:oddHBand="0" w:evenHBand="0" w:firstRowFirstColumn="0" w:firstRowLastColumn="0" w:lastRowFirstColumn="0" w:lastRowLastColumn="0"/>
              <w:rPr>
                <w:bCs w:val="0"/>
                <w:color w:val="000000"/>
                <w:sz w:val="21"/>
                <w:szCs w:val="21"/>
              </w:rPr>
            </w:pPr>
            <w:r w:rsidRPr="003743EA">
              <w:rPr>
                <w:color w:val="000000"/>
                <w:sz w:val="21"/>
                <w:szCs w:val="21"/>
              </w:rPr>
              <w:t>Linked conclusions</w:t>
            </w:r>
          </w:p>
        </w:tc>
        <w:tc>
          <w:tcPr>
            <w:tcW w:w="1667" w:type="dxa"/>
            <w:hideMark/>
          </w:tcPr>
          <w:p w14:paraId="70A85D14" w14:textId="77777777" w:rsidR="003B068E" w:rsidRPr="003743EA" w:rsidRDefault="003B068E" w:rsidP="003B068E">
            <w:pPr>
              <w:spacing w:before="120" w:after="120"/>
              <w:cnfStyle w:val="100000000000" w:firstRow="1" w:lastRow="0" w:firstColumn="0" w:lastColumn="0" w:oddVBand="0" w:evenVBand="0" w:oddHBand="0" w:evenHBand="0" w:firstRowFirstColumn="0" w:firstRowLastColumn="0" w:lastRowFirstColumn="0" w:lastRowLastColumn="0"/>
              <w:rPr>
                <w:bCs w:val="0"/>
                <w:color w:val="000000"/>
                <w:sz w:val="21"/>
                <w:szCs w:val="21"/>
              </w:rPr>
            </w:pPr>
            <w:r w:rsidRPr="003743EA">
              <w:rPr>
                <w:color w:val="000000"/>
                <w:sz w:val="21"/>
                <w:szCs w:val="21"/>
              </w:rPr>
              <w:t>Directed</w:t>
            </w:r>
          </w:p>
        </w:tc>
        <w:tc>
          <w:tcPr>
            <w:tcW w:w="1473" w:type="dxa"/>
            <w:hideMark/>
          </w:tcPr>
          <w:p w14:paraId="0607B42B" w14:textId="77777777" w:rsidR="003B068E" w:rsidRPr="003743EA" w:rsidRDefault="003B068E" w:rsidP="003B068E">
            <w:pPr>
              <w:spacing w:before="120" w:after="120"/>
              <w:cnfStyle w:val="100000000000" w:firstRow="1" w:lastRow="0" w:firstColumn="0" w:lastColumn="0" w:oddVBand="0" w:evenVBand="0" w:oddHBand="0" w:evenHBand="0" w:firstRowFirstColumn="0" w:firstRowLastColumn="0" w:lastRowFirstColumn="0" w:lastRowLastColumn="0"/>
              <w:rPr>
                <w:bCs w:val="0"/>
                <w:color w:val="000000"/>
                <w:sz w:val="21"/>
                <w:szCs w:val="21"/>
              </w:rPr>
            </w:pPr>
            <w:r w:rsidRPr="003743EA">
              <w:rPr>
                <w:color w:val="000000"/>
                <w:sz w:val="21"/>
                <w:szCs w:val="21"/>
              </w:rPr>
              <w:t>Ranking</w:t>
            </w:r>
            <w:r w:rsidR="001C39AB" w:rsidRPr="003743EA">
              <w:rPr>
                <w:color w:val="000000"/>
                <w:sz w:val="21"/>
                <w:szCs w:val="21"/>
              </w:rPr>
              <w:t xml:space="preserve"> </w:t>
            </w:r>
            <w:r w:rsidR="001C39AB" w:rsidRPr="003743EA">
              <w:rPr>
                <w:sz w:val="21"/>
                <w:szCs w:val="21"/>
              </w:rPr>
              <w:t>(urgency of action)</w:t>
            </w:r>
          </w:p>
        </w:tc>
        <w:tc>
          <w:tcPr>
            <w:tcW w:w="3768" w:type="dxa"/>
            <w:hideMark/>
          </w:tcPr>
          <w:p w14:paraId="7097784F" w14:textId="77777777" w:rsidR="003B068E" w:rsidRPr="003743EA" w:rsidRDefault="003B068E" w:rsidP="003B068E">
            <w:pPr>
              <w:spacing w:before="120" w:after="120"/>
              <w:cnfStyle w:val="100000000000" w:firstRow="1" w:lastRow="0" w:firstColumn="0" w:lastColumn="0" w:oddVBand="0" w:evenVBand="0" w:oddHBand="0" w:evenHBand="0" w:firstRowFirstColumn="0" w:firstRowLastColumn="0" w:lastRowFirstColumn="0" w:lastRowLastColumn="0"/>
              <w:rPr>
                <w:bCs w:val="0"/>
                <w:color w:val="000000"/>
                <w:sz w:val="21"/>
                <w:szCs w:val="21"/>
              </w:rPr>
            </w:pPr>
            <w:r w:rsidRPr="003743EA">
              <w:rPr>
                <w:color w:val="000000"/>
                <w:sz w:val="21"/>
                <w:szCs w:val="21"/>
              </w:rPr>
              <w:t>How Action Can be Supported</w:t>
            </w:r>
          </w:p>
        </w:tc>
      </w:tr>
      <w:tr w:rsidR="001B6FAD" w:rsidRPr="003743EA" w14:paraId="1A374D65" w14:textId="77777777" w:rsidTr="4977AA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tcPr>
          <w:p w14:paraId="6610FF24" w14:textId="77777777" w:rsidR="001B6FAD" w:rsidRPr="003743EA" w:rsidRDefault="001B6FAD" w:rsidP="001B6FAD">
            <w:pPr>
              <w:spacing w:before="120" w:after="120"/>
              <w:rPr>
                <w:color w:val="000000"/>
                <w:sz w:val="21"/>
                <w:szCs w:val="21"/>
              </w:rPr>
            </w:pPr>
          </w:p>
        </w:tc>
        <w:tc>
          <w:tcPr>
            <w:tcW w:w="4403" w:type="dxa"/>
          </w:tcPr>
          <w:p w14:paraId="3519037C" w14:textId="77777777" w:rsidR="001B6FAD" w:rsidRPr="003743EA" w:rsidRDefault="001B6FAD" w:rsidP="001B6FAD">
            <w:pPr>
              <w:spacing w:before="120" w:after="120"/>
              <w:ind w:left="39"/>
              <w:cnfStyle w:val="000000100000" w:firstRow="0" w:lastRow="0" w:firstColumn="0" w:lastColumn="0" w:oddVBand="0" w:evenVBand="0" w:oddHBand="1" w:evenHBand="0" w:firstRowFirstColumn="0" w:firstRowLastColumn="0" w:lastRowFirstColumn="0" w:lastRowLastColumn="0"/>
              <w:rPr>
                <w:color w:val="000000"/>
                <w:sz w:val="21"/>
                <w:szCs w:val="21"/>
              </w:rPr>
            </w:pPr>
          </w:p>
        </w:tc>
        <w:tc>
          <w:tcPr>
            <w:tcW w:w="1483" w:type="dxa"/>
          </w:tcPr>
          <w:p w14:paraId="1BA78C1C" w14:textId="77777777" w:rsidR="001B6FAD" w:rsidRPr="003743EA" w:rsidRDefault="001B6FAD" w:rsidP="001B6FAD">
            <w:pPr>
              <w:spacing w:before="120" w:after="120"/>
              <w:cnfStyle w:val="000000100000" w:firstRow="0" w:lastRow="0" w:firstColumn="0" w:lastColumn="0" w:oddVBand="0" w:evenVBand="0" w:oddHBand="1" w:evenHBand="0" w:firstRowFirstColumn="0" w:firstRowLastColumn="0" w:lastRowFirstColumn="0" w:lastRowLastColumn="0"/>
              <w:rPr>
                <w:color w:val="000000"/>
                <w:sz w:val="21"/>
                <w:szCs w:val="21"/>
              </w:rPr>
            </w:pPr>
          </w:p>
        </w:tc>
        <w:tc>
          <w:tcPr>
            <w:tcW w:w="1275" w:type="dxa"/>
          </w:tcPr>
          <w:p w14:paraId="05B6BC68" w14:textId="77777777" w:rsidR="001B6FAD" w:rsidRPr="003743EA" w:rsidRDefault="001B6FAD" w:rsidP="001B6FAD">
            <w:pPr>
              <w:spacing w:before="120" w:after="120"/>
              <w:cnfStyle w:val="000000100000" w:firstRow="0" w:lastRow="0" w:firstColumn="0" w:lastColumn="0" w:oddVBand="0" w:evenVBand="0" w:oddHBand="1" w:evenHBand="0" w:firstRowFirstColumn="0" w:firstRowLastColumn="0" w:lastRowFirstColumn="0" w:lastRowLastColumn="0"/>
              <w:rPr>
                <w:color w:val="000000"/>
                <w:sz w:val="21"/>
                <w:szCs w:val="21"/>
              </w:rPr>
            </w:pPr>
          </w:p>
        </w:tc>
        <w:tc>
          <w:tcPr>
            <w:tcW w:w="1667" w:type="dxa"/>
          </w:tcPr>
          <w:p w14:paraId="4E669807" w14:textId="77777777" w:rsidR="001B6FAD" w:rsidRPr="003743EA" w:rsidRDefault="001B6FAD" w:rsidP="001B6FAD">
            <w:pPr>
              <w:spacing w:before="120" w:after="120"/>
              <w:cnfStyle w:val="000000100000" w:firstRow="0" w:lastRow="0" w:firstColumn="0" w:lastColumn="0" w:oddVBand="0" w:evenVBand="0" w:oddHBand="1" w:evenHBand="0" w:firstRowFirstColumn="0" w:firstRowLastColumn="0" w:lastRowFirstColumn="0" w:lastRowLastColumn="0"/>
              <w:rPr>
                <w:rFonts w:cs="Calibri"/>
                <w:color w:val="262626"/>
                <w:sz w:val="21"/>
                <w:szCs w:val="21"/>
              </w:rPr>
            </w:pPr>
          </w:p>
        </w:tc>
        <w:tc>
          <w:tcPr>
            <w:tcW w:w="1473" w:type="dxa"/>
          </w:tcPr>
          <w:p w14:paraId="50E331DD" w14:textId="77777777" w:rsidR="001B6FAD" w:rsidRPr="003743EA" w:rsidRDefault="001B6FAD" w:rsidP="001B6FAD">
            <w:pPr>
              <w:spacing w:before="120" w:after="120"/>
              <w:cnfStyle w:val="000000100000" w:firstRow="0" w:lastRow="0" w:firstColumn="0" w:lastColumn="0" w:oddVBand="0" w:evenVBand="0" w:oddHBand="1" w:evenHBand="0" w:firstRowFirstColumn="0" w:firstRowLastColumn="0" w:lastRowFirstColumn="0" w:lastRowLastColumn="0"/>
              <w:rPr>
                <w:b/>
                <w:color w:val="000000"/>
                <w:sz w:val="21"/>
                <w:szCs w:val="21"/>
              </w:rPr>
            </w:pPr>
          </w:p>
        </w:tc>
        <w:tc>
          <w:tcPr>
            <w:tcW w:w="3768" w:type="dxa"/>
          </w:tcPr>
          <w:p w14:paraId="36FCC5A6" w14:textId="77777777" w:rsidR="001B6FAD" w:rsidRPr="003743EA" w:rsidRDefault="001B6FAD" w:rsidP="001B6FAD">
            <w:pPr>
              <w:spacing w:before="120" w:after="120"/>
              <w:cnfStyle w:val="000000100000" w:firstRow="0" w:lastRow="0" w:firstColumn="0" w:lastColumn="0" w:oddVBand="0" w:evenVBand="0" w:oddHBand="1" w:evenHBand="0" w:firstRowFirstColumn="0" w:firstRowLastColumn="0" w:lastRowFirstColumn="0" w:lastRowLastColumn="0"/>
              <w:rPr>
                <w:color w:val="000000"/>
                <w:sz w:val="21"/>
                <w:szCs w:val="21"/>
              </w:rPr>
            </w:pPr>
          </w:p>
        </w:tc>
      </w:tr>
      <w:tr w:rsidR="001B6FAD" w:rsidRPr="003743EA" w14:paraId="71C6AF4C" w14:textId="77777777" w:rsidTr="4977AA67">
        <w:tc>
          <w:tcPr>
            <w:cnfStyle w:val="001000000000" w:firstRow="0" w:lastRow="0" w:firstColumn="1" w:lastColumn="0" w:oddVBand="0" w:evenVBand="0" w:oddHBand="0" w:evenHBand="0" w:firstRowFirstColumn="0" w:firstRowLastColumn="0" w:lastRowFirstColumn="0" w:lastRowLastColumn="0"/>
            <w:tcW w:w="555" w:type="dxa"/>
            <w:hideMark/>
          </w:tcPr>
          <w:p w14:paraId="56A0D83B" w14:textId="77777777" w:rsidR="001B6FAD" w:rsidRPr="003743EA" w:rsidRDefault="001B6FAD" w:rsidP="001B6FAD">
            <w:pPr>
              <w:spacing w:before="120" w:after="120"/>
              <w:rPr>
                <w:bCs w:val="0"/>
                <w:color w:val="000000"/>
                <w:sz w:val="21"/>
                <w:szCs w:val="21"/>
              </w:rPr>
            </w:pPr>
            <w:r w:rsidRPr="003743EA">
              <w:rPr>
                <w:color w:val="000000"/>
                <w:sz w:val="21"/>
                <w:szCs w:val="21"/>
              </w:rPr>
              <w:t>1</w:t>
            </w:r>
          </w:p>
        </w:tc>
        <w:tc>
          <w:tcPr>
            <w:tcW w:w="4403" w:type="dxa"/>
            <w:hideMark/>
          </w:tcPr>
          <w:p w14:paraId="739446A4" w14:textId="77777777" w:rsidR="001B6FAD" w:rsidRPr="003743EA" w:rsidRDefault="001B6FAD" w:rsidP="001B2F4C">
            <w:pPr>
              <w:spacing w:before="120" w:after="120"/>
              <w:ind w:left="39"/>
              <w:jc w:val="both"/>
              <w:cnfStyle w:val="000000000000" w:firstRow="0" w:lastRow="0" w:firstColumn="0" w:lastColumn="0" w:oddVBand="0" w:evenVBand="0" w:oddHBand="0" w:evenHBand="0" w:firstRowFirstColumn="0" w:firstRowLastColumn="0" w:lastRowFirstColumn="0" w:lastRowLastColumn="0"/>
              <w:rPr>
                <w:color w:val="000000"/>
                <w:sz w:val="21"/>
                <w:szCs w:val="21"/>
              </w:rPr>
            </w:pPr>
            <w:r w:rsidRPr="003743EA">
              <w:rPr>
                <w:color w:val="000000"/>
                <w:sz w:val="21"/>
                <w:szCs w:val="21"/>
              </w:rPr>
              <w:t xml:space="preserve">In moving from Phase II to the next stage, Egypt as the largest society in the </w:t>
            </w:r>
            <w:proofErr w:type="gramStart"/>
            <w:r w:rsidRPr="003743EA">
              <w:rPr>
                <w:color w:val="000000"/>
                <w:sz w:val="21"/>
                <w:szCs w:val="21"/>
              </w:rPr>
              <w:t>region  requires</w:t>
            </w:r>
            <w:proofErr w:type="gramEnd"/>
            <w:r w:rsidRPr="003743EA">
              <w:rPr>
                <w:color w:val="000000"/>
                <w:sz w:val="21"/>
                <w:szCs w:val="21"/>
              </w:rPr>
              <w:t xml:space="preserve"> an assessment of the most strategic entry points and partners of the </w:t>
            </w:r>
            <w:proofErr w:type="spellStart"/>
            <w:r w:rsidRPr="003743EA">
              <w:rPr>
                <w:color w:val="000000"/>
                <w:sz w:val="21"/>
                <w:szCs w:val="21"/>
              </w:rPr>
              <w:t>programme</w:t>
            </w:r>
            <w:proofErr w:type="spellEnd"/>
            <w:r w:rsidR="00A96721" w:rsidRPr="003743EA">
              <w:rPr>
                <w:color w:val="000000"/>
                <w:sz w:val="21"/>
                <w:szCs w:val="21"/>
              </w:rPr>
              <w:t xml:space="preserve"> </w:t>
            </w:r>
            <w:r w:rsidRPr="003743EA">
              <w:rPr>
                <w:color w:val="000000"/>
                <w:sz w:val="21"/>
                <w:szCs w:val="21"/>
              </w:rPr>
              <w:t>and a review discussion of the past two phases in order to ensure further programmatic relevance and work at scale.</w:t>
            </w:r>
          </w:p>
        </w:tc>
        <w:tc>
          <w:tcPr>
            <w:tcW w:w="1483" w:type="dxa"/>
            <w:hideMark/>
          </w:tcPr>
          <w:p w14:paraId="1A670169" w14:textId="77777777" w:rsidR="001B6FAD" w:rsidRPr="003743EA" w:rsidRDefault="001B6FAD" w:rsidP="001B6FAD">
            <w:pPr>
              <w:spacing w:before="120" w:after="120"/>
              <w:cnfStyle w:val="000000000000" w:firstRow="0" w:lastRow="0" w:firstColumn="0" w:lastColumn="0" w:oddVBand="0" w:evenVBand="0" w:oddHBand="0" w:evenHBand="0" w:firstRowFirstColumn="0" w:firstRowLastColumn="0" w:lastRowFirstColumn="0" w:lastRowLastColumn="0"/>
              <w:rPr>
                <w:color w:val="000000"/>
                <w:sz w:val="21"/>
                <w:szCs w:val="21"/>
              </w:rPr>
            </w:pPr>
            <w:r w:rsidRPr="003743EA">
              <w:rPr>
                <w:color w:val="000000"/>
                <w:sz w:val="21"/>
                <w:szCs w:val="21"/>
              </w:rPr>
              <w:t>Strategic</w:t>
            </w:r>
          </w:p>
        </w:tc>
        <w:tc>
          <w:tcPr>
            <w:tcW w:w="1275" w:type="dxa"/>
            <w:hideMark/>
          </w:tcPr>
          <w:p w14:paraId="7CADC81F" w14:textId="77777777" w:rsidR="001B6FAD" w:rsidRPr="003743EA" w:rsidRDefault="001B6FAD" w:rsidP="001B6FAD">
            <w:pPr>
              <w:spacing w:before="120" w:after="120"/>
              <w:cnfStyle w:val="000000000000" w:firstRow="0" w:lastRow="0" w:firstColumn="0" w:lastColumn="0" w:oddVBand="0" w:evenVBand="0" w:oddHBand="0" w:evenHBand="0" w:firstRowFirstColumn="0" w:firstRowLastColumn="0" w:lastRowFirstColumn="0" w:lastRowLastColumn="0"/>
              <w:rPr>
                <w:color w:val="000000"/>
                <w:sz w:val="21"/>
                <w:szCs w:val="21"/>
              </w:rPr>
            </w:pPr>
            <w:r w:rsidRPr="003743EA">
              <w:rPr>
                <w:color w:val="000000"/>
                <w:sz w:val="21"/>
                <w:szCs w:val="21"/>
              </w:rPr>
              <w:t xml:space="preserve">1, 2, 3, 4, 5, 6, 7, </w:t>
            </w:r>
          </w:p>
        </w:tc>
        <w:tc>
          <w:tcPr>
            <w:tcW w:w="1667" w:type="dxa"/>
            <w:hideMark/>
          </w:tcPr>
          <w:p w14:paraId="31E34932" w14:textId="77777777" w:rsidR="001B6FAD" w:rsidRPr="003743EA" w:rsidRDefault="001B6FAD" w:rsidP="001B6FAD">
            <w:pPr>
              <w:spacing w:before="120" w:after="120"/>
              <w:cnfStyle w:val="000000000000" w:firstRow="0" w:lastRow="0" w:firstColumn="0" w:lastColumn="0" w:oddVBand="0" w:evenVBand="0" w:oddHBand="0" w:evenHBand="0" w:firstRowFirstColumn="0" w:firstRowLastColumn="0" w:lastRowFirstColumn="0" w:lastRowLastColumn="0"/>
              <w:rPr>
                <w:color w:val="000000"/>
                <w:sz w:val="21"/>
                <w:szCs w:val="21"/>
              </w:rPr>
            </w:pPr>
            <w:r w:rsidRPr="003743EA">
              <w:rPr>
                <w:rFonts w:cs="Calibri"/>
                <w:color w:val="262626"/>
                <w:sz w:val="21"/>
                <w:szCs w:val="21"/>
              </w:rPr>
              <w:t>UN Women (regional/CO)</w:t>
            </w:r>
            <w:r w:rsidRPr="003743EA">
              <w:rPr>
                <w:color w:val="000000"/>
                <w:sz w:val="21"/>
                <w:szCs w:val="21"/>
              </w:rPr>
              <w:t xml:space="preserve">, </w:t>
            </w:r>
            <w:r w:rsidRPr="003743EA">
              <w:rPr>
                <w:rFonts w:cs="Calibri"/>
                <w:color w:val="262626"/>
                <w:sz w:val="21"/>
                <w:szCs w:val="21"/>
                <w:lang w:val="en-GB"/>
              </w:rPr>
              <w:t>S</w:t>
            </w:r>
            <w:proofErr w:type="spellStart"/>
            <w:r w:rsidRPr="003743EA">
              <w:rPr>
                <w:rFonts w:cs="Calibri"/>
                <w:color w:val="262626"/>
                <w:sz w:val="21"/>
                <w:szCs w:val="21"/>
              </w:rPr>
              <w:t>ida</w:t>
            </w:r>
            <w:proofErr w:type="spellEnd"/>
            <w:r w:rsidRPr="003743EA">
              <w:rPr>
                <w:color w:val="000000"/>
                <w:sz w:val="21"/>
                <w:szCs w:val="21"/>
              </w:rPr>
              <w:t>/ other donors, implementing partners</w:t>
            </w:r>
          </w:p>
        </w:tc>
        <w:tc>
          <w:tcPr>
            <w:tcW w:w="1473" w:type="dxa"/>
          </w:tcPr>
          <w:p w14:paraId="777BC76C" w14:textId="77777777" w:rsidR="001B6FAD" w:rsidRPr="003743EA" w:rsidRDefault="001B6FAD" w:rsidP="001B6FAD">
            <w:pPr>
              <w:spacing w:before="120" w:after="120"/>
              <w:cnfStyle w:val="000000000000" w:firstRow="0" w:lastRow="0" w:firstColumn="0" w:lastColumn="0" w:oddVBand="0" w:evenVBand="0" w:oddHBand="0" w:evenHBand="0" w:firstRowFirstColumn="0" w:firstRowLastColumn="0" w:lastRowFirstColumn="0" w:lastRowLastColumn="0"/>
              <w:rPr>
                <w:b/>
                <w:color w:val="000000"/>
                <w:sz w:val="21"/>
                <w:szCs w:val="21"/>
              </w:rPr>
            </w:pPr>
            <w:r w:rsidRPr="003743EA">
              <w:rPr>
                <w:b/>
                <w:color w:val="000000"/>
                <w:sz w:val="21"/>
                <w:szCs w:val="21"/>
              </w:rPr>
              <w:t>High</w:t>
            </w:r>
          </w:p>
        </w:tc>
        <w:tc>
          <w:tcPr>
            <w:tcW w:w="3768" w:type="dxa"/>
            <w:hideMark/>
          </w:tcPr>
          <w:p w14:paraId="629E6647" w14:textId="77777777" w:rsidR="001B6FAD" w:rsidRPr="003743EA" w:rsidRDefault="001B6FAD" w:rsidP="001B2F4C">
            <w:pPr>
              <w:spacing w:before="120" w:after="120"/>
              <w:jc w:val="both"/>
              <w:cnfStyle w:val="000000000000" w:firstRow="0" w:lastRow="0" w:firstColumn="0" w:lastColumn="0" w:oddVBand="0" w:evenVBand="0" w:oddHBand="0" w:evenHBand="0" w:firstRowFirstColumn="0" w:firstRowLastColumn="0" w:lastRowFirstColumn="0" w:lastRowLastColumn="0"/>
              <w:rPr>
                <w:color w:val="000000"/>
                <w:sz w:val="21"/>
                <w:szCs w:val="21"/>
              </w:rPr>
            </w:pPr>
            <w:r w:rsidRPr="003743EA">
              <w:rPr>
                <w:color w:val="000000"/>
                <w:sz w:val="21"/>
                <w:szCs w:val="21"/>
              </w:rPr>
              <w:t xml:space="preserve">A </w:t>
            </w:r>
            <w:proofErr w:type="gramStart"/>
            <w:r w:rsidRPr="003743EA">
              <w:rPr>
                <w:color w:val="000000"/>
                <w:sz w:val="21"/>
                <w:szCs w:val="21"/>
              </w:rPr>
              <w:t>lessons</w:t>
            </w:r>
            <w:proofErr w:type="gramEnd"/>
            <w:r w:rsidRPr="003743EA">
              <w:rPr>
                <w:color w:val="000000"/>
                <w:sz w:val="21"/>
                <w:szCs w:val="21"/>
              </w:rPr>
              <w:t xml:space="preserve"> learned-session with current implementing partners, UN Women ROAS and CO could reflect on challenges, innovations and entry points, as well as strategic partners. This should be combined with a costing exercise</w:t>
            </w:r>
            <w:r w:rsidR="002C30B7" w:rsidRPr="003743EA">
              <w:rPr>
                <w:color w:val="000000"/>
                <w:sz w:val="21"/>
                <w:szCs w:val="21"/>
              </w:rPr>
              <w:t>.</w:t>
            </w:r>
          </w:p>
        </w:tc>
      </w:tr>
      <w:tr w:rsidR="001B6FAD" w:rsidRPr="003743EA" w14:paraId="3CEEF0B2" w14:textId="77777777" w:rsidTr="4977AA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hideMark/>
          </w:tcPr>
          <w:p w14:paraId="6E3FD9F6" w14:textId="77777777" w:rsidR="001B6FAD" w:rsidRPr="003743EA" w:rsidRDefault="001B6FAD" w:rsidP="001B6FAD">
            <w:pPr>
              <w:spacing w:before="120" w:after="120"/>
              <w:rPr>
                <w:bCs w:val="0"/>
                <w:color w:val="000000"/>
                <w:sz w:val="21"/>
                <w:szCs w:val="21"/>
              </w:rPr>
            </w:pPr>
            <w:r w:rsidRPr="003743EA">
              <w:rPr>
                <w:color w:val="000000"/>
                <w:sz w:val="21"/>
                <w:szCs w:val="21"/>
              </w:rPr>
              <w:t>2</w:t>
            </w:r>
          </w:p>
        </w:tc>
        <w:tc>
          <w:tcPr>
            <w:tcW w:w="4403" w:type="dxa"/>
            <w:hideMark/>
          </w:tcPr>
          <w:p w14:paraId="2299AD2D" w14:textId="77777777" w:rsidR="001B6FAD" w:rsidRPr="003743EA" w:rsidRDefault="001B6FAD" w:rsidP="001B2F4C">
            <w:pPr>
              <w:spacing w:before="120" w:after="120"/>
              <w:jc w:val="both"/>
              <w:cnfStyle w:val="000000100000" w:firstRow="0" w:lastRow="0" w:firstColumn="0" w:lastColumn="0" w:oddVBand="0" w:evenVBand="0" w:oddHBand="1" w:evenHBand="0" w:firstRowFirstColumn="0" w:firstRowLastColumn="0" w:lastRowFirstColumn="0" w:lastRowLastColumn="0"/>
              <w:rPr>
                <w:b/>
                <w:color w:val="000000"/>
                <w:sz w:val="21"/>
                <w:szCs w:val="21"/>
              </w:rPr>
            </w:pPr>
            <w:r w:rsidRPr="003743EA">
              <w:rPr>
                <w:color w:val="000000"/>
                <w:sz w:val="21"/>
                <w:szCs w:val="21"/>
              </w:rPr>
              <w:t xml:space="preserve">Enhance </w:t>
            </w:r>
            <w:r w:rsidRPr="003743EA">
              <w:rPr>
                <w:bCs/>
                <w:color w:val="000000"/>
                <w:sz w:val="21"/>
                <w:szCs w:val="21"/>
              </w:rPr>
              <w:t>institutional uptake,</w:t>
            </w:r>
            <w:r w:rsidRPr="003743EA">
              <w:rPr>
                <w:color w:val="000000"/>
                <w:sz w:val="21"/>
                <w:szCs w:val="21"/>
              </w:rPr>
              <w:t xml:space="preserve"> </w:t>
            </w:r>
            <w:proofErr w:type="gramStart"/>
            <w:r w:rsidRPr="003743EA">
              <w:rPr>
                <w:color w:val="000000"/>
                <w:sz w:val="21"/>
                <w:szCs w:val="21"/>
              </w:rPr>
              <w:t>in particular at</w:t>
            </w:r>
            <w:proofErr w:type="gramEnd"/>
            <w:r w:rsidRPr="003743EA">
              <w:rPr>
                <w:color w:val="000000"/>
                <w:sz w:val="21"/>
                <w:szCs w:val="21"/>
              </w:rPr>
              <w:t xml:space="preserve"> national and local government actors, including institutions less often engaged with gender equality work. </w:t>
            </w:r>
          </w:p>
        </w:tc>
        <w:tc>
          <w:tcPr>
            <w:tcW w:w="1483" w:type="dxa"/>
            <w:hideMark/>
          </w:tcPr>
          <w:p w14:paraId="7C956618" w14:textId="77777777" w:rsidR="001B6FAD" w:rsidRPr="003743EA" w:rsidRDefault="001B6FAD" w:rsidP="001B6FAD">
            <w:pPr>
              <w:spacing w:before="120" w:after="120"/>
              <w:cnfStyle w:val="000000100000" w:firstRow="0" w:lastRow="0" w:firstColumn="0" w:lastColumn="0" w:oddVBand="0" w:evenVBand="0" w:oddHBand="1" w:evenHBand="0" w:firstRowFirstColumn="0" w:firstRowLastColumn="0" w:lastRowFirstColumn="0" w:lastRowLastColumn="0"/>
              <w:rPr>
                <w:b/>
                <w:color w:val="000000"/>
                <w:sz w:val="21"/>
                <w:szCs w:val="21"/>
              </w:rPr>
            </w:pPr>
            <w:r w:rsidRPr="003743EA">
              <w:rPr>
                <w:color w:val="000000"/>
                <w:sz w:val="21"/>
                <w:szCs w:val="21"/>
              </w:rPr>
              <w:t>Strategic</w:t>
            </w:r>
          </w:p>
        </w:tc>
        <w:tc>
          <w:tcPr>
            <w:tcW w:w="1275" w:type="dxa"/>
            <w:hideMark/>
          </w:tcPr>
          <w:p w14:paraId="0A7AA341" w14:textId="77777777" w:rsidR="001B6FAD" w:rsidRPr="003743EA" w:rsidRDefault="001B6FAD" w:rsidP="001B6FAD">
            <w:pPr>
              <w:spacing w:before="120" w:after="120"/>
              <w:cnfStyle w:val="000000100000" w:firstRow="0" w:lastRow="0" w:firstColumn="0" w:lastColumn="0" w:oddVBand="0" w:evenVBand="0" w:oddHBand="1" w:evenHBand="0" w:firstRowFirstColumn="0" w:firstRowLastColumn="0" w:lastRowFirstColumn="0" w:lastRowLastColumn="0"/>
              <w:rPr>
                <w:color w:val="000000"/>
                <w:sz w:val="21"/>
                <w:szCs w:val="21"/>
              </w:rPr>
            </w:pPr>
            <w:r w:rsidRPr="003743EA">
              <w:rPr>
                <w:color w:val="000000"/>
                <w:sz w:val="21"/>
                <w:szCs w:val="21"/>
              </w:rPr>
              <w:t>1, 3, 4, 5</w:t>
            </w:r>
          </w:p>
        </w:tc>
        <w:tc>
          <w:tcPr>
            <w:tcW w:w="1667" w:type="dxa"/>
            <w:hideMark/>
          </w:tcPr>
          <w:p w14:paraId="1DD5A3E5" w14:textId="77777777" w:rsidR="001B6FAD" w:rsidRPr="003743EA" w:rsidRDefault="001B6FAD" w:rsidP="001B6FA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Calibri"/>
                <w:color w:val="262626"/>
                <w:sz w:val="21"/>
                <w:szCs w:val="21"/>
              </w:rPr>
            </w:pPr>
            <w:r w:rsidRPr="003743EA">
              <w:rPr>
                <w:rFonts w:cs="Calibri"/>
                <w:color w:val="262626"/>
                <w:sz w:val="21"/>
                <w:szCs w:val="21"/>
              </w:rPr>
              <w:t>UN Women CO, implementing partners</w:t>
            </w:r>
          </w:p>
        </w:tc>
        <w:tc>
          <w:tcPr>
            <w:tcW w:w="1473" w:type="dxa"/>
          </w:tcPr>
          <w:p w14:paraId="27FD5345" w14:textId="77777777" w:rsidR="001B6FAD" w:rsidRPr="003743EA" w:rsidRDefault="001B6FAD" w:rsidP="001B6FAD">
            <w:pPr>
              <w:spacing w:before="120" w:after="120"/>
              <w:cnfStyle w:val="000000100000" w:firstRow="0" w:lastRow="0" w:firstColumn="0" w:lastColumn="0" w:oddVBand="0" w:evenVBand="0" w:oddHBand="1" w:evenHBand="0" w:firstRowFirstColumn="0" w:firstRowLastColumn="0" w:lastRowFirstColumn="0" w:lastRowLastColumn="0"/>
              <w:rPr>
                <w:b/>
                <w:color w:val="000000"/>
                <w:sz w:val="21"/>
                <w:szCs w:val="21"/>
              </w:rPr>
            </w:pPr>
            <w:r w:rsidRPr="003743EA">
              <w:rPr>
                <w:b/>
                <w:color w:val="000000"/>
                <w:sz w:val="21"/>
                <w:szCs w:val="21"/>
              </w:rPr>
              <w:t>High</w:t>
            </w:r>
          </w:p>
        </w:tc>
        <w:tc>
          <w:tcPr>
            <w:tcW w:w="3768" w:type="dxa"/>
            <w:hideMark/>
          </w:tcPr>
          <w:p w14:paraId="3C70580E" w14:textId="77777777" w:rsidR="001B6FAD" w:rsidRPr="003743EA" w:rsidRDefault="001B6FAD" w:rsidP="001B2F4C">
            <w:pPr>
              <w:spacing w:before="120" w:after="120"/>
              <w:jc w:val="both"/>
              <w:cnfStyle w:val="000000100000" w:firstRow="0" w:lastRow="0" w:firstColumn="0" w:lastColumn="0" w:oddVBand="0" w:evenVBand="0" w:oddHBand="1" w:evenHBand="0" w:firstRowFirstColumn="0" w:firstRowLastColumn="0" w:lastRowFirstColumn="0" w:lastRowLastColumn="0"/>
              <w:rPr>
                <w:b/>
                <w:color w:val="000000"/>
                <w:sz w:val="21"/>
                <w:szCs w:val="21"/>
              </w:rPr>
            </w:pPr>
            <w:r w:rsidRPr="003743EA">
              <w:rPr>
                <w:color w:val="000000"/>
                <w:sz w:val="21"/>
                <w:szCs w:val="21"/>
              </w:rPr>
              <w:t xml:space="preserve">Strategies should be developed to effectively engage with local and national government and find entry points for institutional take-up. Synergies with other UN Women </w:t>
            </w:r>
            <w:proofErr w:type="spellStart"/>
            <w:r w:rsidRPr="003743EA">
              <w:rPr>
                <w:color w:val="000000"/>
                <w:sz w:val="21"/>
                <w:szCs w:val="21"/>
              </w:rPr>
              <w:t>programmes</w:t>
            </w:r>
            <w:proofErr w:type="spellEnd"/>
            <w:r w:rsidRPr="003743EA">
              <w:rPr>
                <w:color w:val="000000"/>
                <w:sz w:val="21"/>
                <w:szCs w:val="21"/>
              </w:rPr>
              <w:t xml:space="preserve"> should be </w:t>
            </w:r>
            <w:r w:rsidR="001B2F4C" w:rsidRPr="003743EA">
              <w:rPr>
                <w:color w:val="000000"/>
                <w:sz w:val="21"/>
                <w:szCs w:val="21"/>
              </w:rPr>
              <w:t>maximized.</w:t>
            </w:r>
          </w:p>
        </w:tc>
      </w:tr>
      <w:tr w:rsidR="00183BA7" w:rsidRPr="003743EA" w14:paraId="09DA99E9" w14:textId="77777777" w:rsidTr="4977AA67">
        <w:tc>
          <w:tcPr>
            <w:cnfStyle w:val="001000000000" w:firstRow="0" w:lastRow="0" w:firstColumn="1" w:lastColumn="0" w:oddVBand="0" w:evenVBand="0" w:oddHBand="0" w:evenHBand="0" w:firstRowFirstColumn="0" w:firstRowLastColumn="0" w:lastRowFirstColumn="0" w:lastRowLastColumn="0"/>
            <w:tcW w:w="555" w:type="dxa"/>
          </w:tcPr>
          <w:p w14:paraId="3594ADD0" w14:textId="77777777" w:rsidR="00183BA7" w:rsidRPr="003743EA" w:rsidRDefault="00183BA7" w:rsidP="00183BA7">
            <w:pPr>
              <w:spacing w:before="120" w:after="120"/>
              <w:rPr>
                <w:color w:val="000000"/>
                <w:sz w:val="21"/>
                <w:szCs w:val="21"/>
              </w:rPr>
            </w:pPr>
            <w:r w:rsidRPr="003743EA">
              <w:rPr>
                <w:color w:val="000000"/>
                <w:sz w:val="21"/>
                <w:szCs w:val="21"/>
              </w:rPr>
              <w:t>3</w:t>
            </w:r>
          </w:p>
        </w:tc>
        <w:tc>
          <w:tcPr>
            <w:tcW w:w="4403" w:type="dxa"/>
          </w:tcPr>
          <w:p w14:paraId="23DCD38A" w14:textId="77777777" w:rsidR="00183BA7" w:rsidRPr="003743EA" w:rsidRDefault="00183BA7" w:rsidP="001B2F4C">
            <w:pPr>
              <w:spacing w:before="120" w:after="120"/>
              <w:jc w:val="both"/>
              <w:cnfStyle w:val="000000000000" w:firstRow="0" w:lastRow="0" w:firstColumn="0" w:lastColumn="0" w:oddVBand="0" w:evenVBand="0" w:oddHBand="0" w:evenHBand="0" w:firstRowFirstColumn="0" w:firstRowLastColumn="0" w:lastRowFirstColumn="0" w:lastRowLastColumn="0"/>
              <w:rPr>
                <w:color w:val="000000"/>
                <w:sz w:val="21"/>
                <w:szCs w:val="21"/>
              </w:rPr>
            </w:pPr>
            <w:r w:rsidRPr="003743EA">
              <w:rPr>
                <w:color w:val="000000"/>
                <w:sz w:val="21"/>
                <w:szCs w:val="21"/>
              </w:rPr>
              <w:t xml:space="preserve">Ensure that all implementing partners understand, </w:t>
            </w:r>
            <w:proofErr w:type="gramStart"/>
            <w:r w:rsidRPr="003743EA">
              <w:rPr>
                <w:color w:val="000000"/>
                <w:sz w:val="21"/>
                <w:szCs w:val="21"/>
              </w:rPr>
              <w:t>incorporate</w:t>
            </w:r>
            <w:proofErr w:type="gramEnd"/>
            <w:r w:rsidRPr="003743EA">
              <w:rPr>
                <w:color w:val="000000"/>
                <w:sz w:val="21"/>
                <w:szCs w:val="21"/>
              </w:rPr>
              <w:t xml:space="preserve"> and live up to core </w:t>
            </w:r>
            <w:r w:rsidRPr="003743EA">
              <w:rPr>
                <w:bCs/>
                <w:color w:val="000000"/>
                <w:sz w:val="21"/>
                <w:szCs w:val="21"/>
              </w:rPr>
              <w:t>feminist principles in their work, and are accountable to the women’s rights movement nationally.</w:t>
            </w:r>
          </w:p>
        </w:tc>
        <w:tc>
          <w:tcPr>
            <w:tcW w:w="1483" w:type="dxa"/>
          </w:tcPr>
          <w:p w14:paraId="69AC19D7" w14:textId="77777777" w:rsidR="00183BA7" w:rsidRPr="003743EA" w:rsidRDefault="00183BA7" w:rsidP="00183BA7">
            <w:pPr>
              <w:spacing w:before="120" w:after="120"/>
              <w:cnfStyle w:val="000000000000" w:firstRow="0" w:lastRow="0" w:firstColumn="0" w:lastColumn="0" w:oddVBand="0" w:evenVBand="0" w:oddHBand="0" w:evenHBand="0" w:firstRowFirstColumn="0" w:firstRowLastColumn="0" w:lastRowFirstColumn="0" w:lastRowLastColumn="0"/>
              <w:rPr>
                <w:color w:val="000000"/>
                <w:sz w:val="21"/>
                <w:szCs w:val="21"/>
              </w:rPr>
            </w:pPr>
            <w:r w:rsidRPr="003743EA">
              <w:rPr>
                <w:color w:val="000000"/>
                <w:sz w:val="21"/>
                <w:szCs w:val="21"/>
              </w:rPr>
              <w:t>Programmatic</w:t>
            </w:r>
          </w:p>
        </w:tc>
        <w:tc>
          <w:tcPr>
            <w:tcW w:w="1275" w:type="dxa"/>
          </w:tcPr>
          <w:p w14:paraId="0A683C9A" w14:textId="77777777" w:rsidR="00183BA7" w:rsidRPr="003743EA" w:rsidRDefault="00183BA7" w:rsidP="00183BA7">
            <w:pPr>
              <w:spacing w:before="120" w:after="120"/>
              <w:cnfStyle w:val="000000000000" w:firstRow="0" w:lastRow="0" w:firstColumn="0" w:lastColumn="0" w:oddVBand="0" w:evenVBand="0" w:oddHBand="0" w:evenHBand="0" w:firstRowFirstColumn="0" w:firstRowLastColumn="0" w:lastRowFirstColumn="0" w:lastRowLastColumn="0"/>
              <w:rPr>
                <w:color w:val="000000"/>
                <w:sz w:val="21"/>
                <w:szCs w:val="21"/>
              </w:rPr>
            </w:pPr>
            <w:r w:rsidRPr="003743EA">
              <w:rPr>
                <w:color w:val="000000"/>
                <w:sz w:val="21"/>
                <w:szCs w:val="21"/>
              </w:rPr>
              <w:t>1, 8,</w:t>
            </w:r>
          </w:p>
        </w:tc>
        <w:tc>
          <w:tcPr>
            <w:tcW w:w="1667" w:type="dxa"/>
          </w:tcPr>
          <w:p w14:paraId="5BE99E36" w14:textId="77777777" w:rsidR="00183BA7" w:rsidRPr="003743EA" w:rsidRDefault="00183BA7" w:rsidP="00183BA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262626"/>
                <w:sz w:val="21"/>
                <w:szCs w:val="21"/>
              </w:rPr>
            </w:pPr>
            <w:r w:rsidRPr="003743EA">
              <w:rPr>
                <w:rFonts w:cs="Calibri"/>
                <w:color w:val="262626"/>
                <w:sz w:val="21"/>
                <w:szCs w:val="21"/>
              </w:rPr>
              <w:t xml:space="preserve">UN Women CO, implementing partners </w:t>
            </w:r>
          </w:p>
        </w:tc>
        <w:tc>
          <w:tcPr>
            <w:tcW w:w="1473" w:type="dxa"/>
          </w:tcPr>
          <w:p w14:paraId="2C675549" w14:textId="77777777" w:rsidR="00183BA7" w:rsidRPr="003743EA" w:rsidRDefault="00183BA7" w:rsidP="00183BA7">
            <w:pPr>
              <w:spacing w:before="120" w:after="120"/>
              <w:cnfStyle w:val="000000000000" w:firstRow="0" w:lastRow="0" w:firstColumn="0" w:lastColumn="0" w:oddVBand="0" w:evenVBand="0" w:oddHBand="0" w:evenHBand="0" w:firstRowFirstColumn="0" w:firstRowLastColumn="0" w:lastRowFirstColumn="0" w:lastRowLastColumn="0"/>
              <w:rPr>
                <w:b/>
                <w:color w:val="000000"/>
                <w:sz w:val="21"/>
                <w:szCs w:val="21"/>
              </w:rPr>
            </w:pPr>
            <w:r w:rsidRPr="003743EA">
              <w:rPr>
                <w:b/>
                <w:color w:val="000000"/>
                <w:sz w:val="21"/>
                <w:szCs w:val="21"/>
              </w:rPr>
              <w:t>High</w:t>
            </w:r>
          </w:p>
        </w:tc>
        <w:tc>
          <w:tcPr>
            <w:tcW w:w="3768" w:type="dxa"/>
          </w:tcPr>
          <w:p w14:paraId="133F98EE" w14:textId="77777777" w:rsidR="00183BA7" w:rsidRPr="003743EA" w:rsidRDefault="00183BA7" w:rsidP="001B2F4C">
            <w:pPr>
              <w:spacing w:before="120" w:after="120"/>
              <w:jc w:val="both"/>
              <w:cnfStyle w:val="000000000000" w:firstRow="0" w:lastRow="0" w:firstColumn="0" w:lastColumn="0" w:oddVBand="0" w:evenVBand="0" w:oddHBand="0" w:evenHBand="0" w:firstRowFirstColumn="0" w:firstRowLastColumn="0" w:lastRowFirstColumn="0" w:lastRowLastColumn="0"/>
              <w:rPr>
                <w:color w:val="000000"/>
                <w:sz w:val="21"/>
                <w:szCs w:val="21"/>
              </w:rPr>
            </w:pPr>
            <w:r w:rsidRPr="003743EA">
              <w:rPr>
                <w:color w:val="000000"/>
                <w:sz w:val="21"/>
                <w:szCs w:val="21"/>
              </w:rPr>
              <w:t xml:space="preserve">Targeted training for implementing partners on core feminist principles and accountability to women’s rights movement where necessary. </w:t>
            </w:r>
          </w:p>
        </w:tc>
      </w:tr>
      <w:tr w:rsidR="001B6FAD" w:rsidRPr="003743EA" w14:paraId="08B16010" w14:textId="77777777" w:rsidTr="4977AA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hideMark/>
          </w:tcPr>
          <w:p w14:paraId="224F4302" w14:textId="77777777" w:rsidR="001B6FAD" w:rsidRPr="003743EA" w:rsidRDefault="001B6FAD" w:rsidP="001B6FAD">
            <w:pPr>
              <w:spacing w:before="120" w:after="120"/>
              <w:rPr>
                <w:bCs w:val="0"/>
                <w:color w:val="000000"/>
                <w:sz w:val="21"/>
                <w:szCs w:val="21"/>
              </w:rPr>
            </w:pPr>
            <w:r w:rsidRPr="003743EA">
              <w:rPr>
                <w:color w:val="000000"/>
                <w:sz w:val="21"/>
                <w:szCs w:val="21"/>
              </w:rPr>
              <w:t>4</w:t>
            </w:r>
          </w:p>
        </w:tc>
        <w:tc>
          <w:tcPr>
            <w:tcW w:w="4403" w:type="dxa"/>
            <w:hideMark/>
          </w:tcPr>
          <w:p w14:paraId="55CA6284" w14:textId="77777777" w:rsidR="001B6FAD" w:rsidRPr="003743EA" w:rsidRDefault="001B6FAD" w:rsidP="001B2F4C">
            <w:pPr>
              <w:spacing w:before="120" w:after="120"/>
              <w:jc w:val="both"/>
              <w:cnfStyle w:val="000000100000" w:firstRow="0" w:lastRow="0" w:firstColumn="0" w:lastColumn="0" w:oddVBand="0" w:evenVBand="0" w:oddHBand="1" w:evenHBand="0" w:firstRowFirstColumn="0" w:firstRowLastColumn="0" w:lastRowFirstColumn="0" w:lastRowLastColumn="0"/>
              <w:rPr>
                <w:b/>
                <w:color w:val="000000"/>
                <w:sz w:val="21"/>
                <w:szCs w:val="21"/>
              </w:rPr>
            </w:pPr>
            <w:r w:rsidRPr="003743EA">
              <w:rPr>
                <w:color w:val="000000"/>
                <w:sz w:val="21"/>
                <w:szCs w:val="21"/>
              </w:rPr>
              <w:t xml:space="preserve">The </w:t>
            </w:r>
            <w:proofErr w:type="spellStart"/>
            <w:r w:rsidRPr="003743EA">
              <w:rPr>
                <w:color w:val="000000"/>
                <w:sz w:val="21"/>
                <w:szCs w:val="21"/>
              </w:rPr>
              <w:t>programme</w:t>
            </w:r>
            <w:proofErr w:type="spellEnd"/>
            <w:r w:rsidRPr="003743EA">
              <w:rPr>
                <w:color w:val="000000"/>
                <w:sz w:val="21"/>
                <w:szCs w:val="21"/>
              </w:rPr>
              <w:t xml:space="preserve"> should continue to move towards a </w:t>
            </w:r>
            <w:proofErr w:type="gramStart"/>
            <w:r w:rsidRPr="003743EA">
              <w:rPr>
                <w:color w:val="000000"/>
                <w:sz w:val="21"/>
                <w:szCs w:val="21"/>
              </w:rPr>
              <w:t>gender norms</w:t>
            </w:r>
            <w:proofErr w:type="gramEnd"/>
            <w:r w:rsidRPr="003743EA">
              <w:rPr>
                <w:color w:val="000000"/>
                <w:sz w:val="21"/>
                <w:szCs w:val="21"/>
              </w:rPr>
              <w:t xml:space="preserve"> change approach using a </w:t>
            </w:r>
            <w:r w:rsidRPr="003743EA">
              <w:rPr>
                <w:bCs/>
                <w:color w:val="000000"/>
                <w:sz w:val="21"/>
                <w:szCs w:val="21"/>
              </w:rPr>
              <w:t>comprehensive socioecological model</w:t>
            </w:r>
            <w:r w:rsidRPr="003743EA">
              <w:rPr>
                <w:b/>
                <w:color w:val="000000"/>
                <w:sz w:val="21"/>
                <w:szCs w:val="21"/>
              </w:rPr>
              <w:t xml:space="preserve"> </w:t>
            </w:r>
            <w:r w:rsidRPr="003743EA">
              <w:rPr>
                <w:color w:val="000000"/>
                <w:sz w:val="21"/>
                <w:szCs w:val="21"/>
              </w:rPr>
              <w:t>involving men and women together, but also assessing to what degree approaches and messaging need to be tailored to different age groups, different parts of the country and people of different socio-</w:t>
            </w:r>
            <w:r w:rsidRPr="003743EA">
              <w:rPr>
                <w:color w:val="000000"/>
                <w:sz w:val="21"/>
                <w:szCs w:val="21"/>
              </w:rPr>
              <w:lastRenderedPageBreak/>
              <w:t xml:space="preserve">economic backgrounds. The broader approach should also </w:t>
            </w:r>
            <w:r w:rsidR="00CB2C56" w:rsidRPr="003743EA">
              <w:rPr>
                <w:color w:val="000000"/>
                <w:sz w:val="21"/>
                <w:szCs w:val="21"/>
              </w:rPr>
              <w:t>utilize</w:t>
            </w:r>
            <w:r w:rsidRPr="003743EA">
              <w:rPr>
                <w:color w:val="000000"/>
                <w:sz w:val="21"/>
                <w:szCs w:val="21"/>
              </w:rPr>
              <w:t xml:space="preserve"> </w:t>
            </w:r>
            <w:r w:rsidR="00CB2C56" w:rsidRPr="003743EA">
              <w:rPr>
                <w:color w:val="000000"/>
                <w:sz w:val="21"/>
                <w:szCs w:val="21"/>
              </w:rPr>
              <w:t xml:space="preserve">alternative stakeholders </w:t>
            </w:r>
            <w:r w:rsidRPr="003743EA">
              <w:rPr>
                <w:color w:val="000000"/>
                <w:sz w:val="21"/>
                <w:szCs w:val="21"/>
              </w:rPr>
              <w:t>as amplifiers of messaging.</w:t>
            </w:r>
          </w:p>
        </w:tc>
        <w:tc>
          <w:tcPr>
            <w:tcW w:w="1483" w:type="dxa"/>
            <w:hideMark/>
          </w:tcPr>
          <w:p w14:paraId="50324409" w14:textId="77777777" w:rsidR="001B6FAD" w:rsidRPr="003743EA" w:rsidRDefault="001B6FAD" w:rsidP="001B6FAD">
            <w:pPr>
              <w:spacing w:before="120" w:after="120"/>
              <w:cnfStyle w:val="000000100000" w:firstRow="0" w:lastRow="0" w:firstColumn="0" w:lastColumn="0" w:oddVBand="0" w:evenVBand="0" w:oddHBand="1" w:evenHBand="0" w:firstRowFirstColumn="0" w:firstRowLastColumn="0" w:lastRowFirstColumn="0" w:lastRowLastColumn="0"/>
              <w:rPr>
                <w:b/>
                <w:color w:val="000000"/>
                <w:sz w:val="21"/>
                <w:szCs w:val="21"/>
              </w:rPr>
            </w:pPr>
            <w:r w:rsidRPr="003743EA">
              <w:rPr>
                <w:color w:val="000000"/>
                <w:sz w:val="21"/>
                <w:szCs w:val="21"/>
              </w:rPr>
              <w:lastRenderedPageBreak/>
              <w:t>Programmatic</w:t>
            </w:r>
          </w:p>
        </w:tc>
        <w:tc>
          <w:tcPr>
            <w:tcW w:w="1275" w:type="dxa"/>
            <w:hideMark/>
          </w:tcPr>
          <w:p w14:paraId="3368DE31" w14:textId="77777777" w:rsidR="001B6FAD" w:rsidRPr="003743EA" w:rsidRDefault="001B6FAD" w:rsidP="001B6FAD">
            <w:pPr>
              <w:spacing w:before="120" w:after="120"/>
              <w:cnfStyle w:val="000000100000" w:firstRow="0" w:lastRow="0" w:firstColumn="0" w:lastColumn="0" w:oddVBand="0" w:evenVBand="0" w:oddHBand="1" w:evenHBand="0" w:firstRowFirstColumn="0" w:firstRowLastColumn="0" w:lastRowFirstColumn="0" w:lastRowLastColumn="0"/>
              <w:rPr>
                <w:color w:val="000000"/>
                <w:sz w:val="21"/>
                <w:szCs w:val="21"/>
              </w:rPr>
            </w:pPr>
            <w:r w:rsidRPr="003743EA">
              <w:rPr>
                <w:color w:val="000000"/>
                <w:sz w:val="21"/>
                <w:szCs w:val="21"/>
              </w:rPr>
              <w:t>1, 4, 5, 6, 7</w:t>
            </w:r>
          </w:p>
        </w:tc>
        <w:tc>
          <w:tcPr>
            <w:tcW w:w="1667" w:type="dxa"/>
            <w:hideMark/>
          </w:tcPr>
          <w:p w14:paraId="5920DE3B" w14:textId="77777777" w:rsidR="001B6FAD" w:rsidRPr="003743EA" w:rsidRDefault="001B6FAD" w:rsidP="001B6FAD">
            <w:pPr>
              <w:spacing w:before="120" w:after="120"/>
              <w:cnfStyle w:val="000000100000" w:firstRow="0" w:lastRow="0" w:firstColumn="0" w:lastColumn="0" w:oddVBand="0" w:evenVBand="0" w:oddHBand="1" w:evenHBand="0" w:firstRowFirstColumn="0" w:firstRowLastColumn="0" w:lastRowFirstColumn="0" w:lastRowLastColumn="0"/>
              <w:rPr>
                <w:color w:val="000000"/>
                <w:sz w:val="21"/>
                <w:szCs w:val="21"/>
              </w:rPr>
            </w:pPr>
            <w:r w:rsidRPr="003743EA">
              <w:rPr>
                <w:rFonts w:cs="Calibri"/>
                <w:color w:val="262626"/>
                <w:sz w:val="21"/>
                <w:szCs w:val="21"/>
              </w:rPr>
              <w:t>UN Women CO, implementing partners</w:t>
            </w:r>
          </w:p>
        </w:tc>
        <w:tc>
          <w:tcPr>
            <w:tcW w:w="1473" w:type="dxa"/>
          </w:tcPr>
          <w:p w14:paraId="5CFA74DE" w14:textId="77777777" w:rsidR="001B6FAD" w:rsidRPr="003743EA" w:rsidRDefault="001B6FAD" w:rsidP="001B6FAD">
            <w:pPr>
              <w:spacing w:before="120" w:after="120"/>
              <w:cnfStyle w:val="000000100000" w:firstRow="0" w:lastRow="0" w:firstColumn="0" w:lastColumn="0" w:oddVBand="0" w:evenVBand="0" w:oddHBand="1" w:evenHBand="0" w:firstRowFirstColumn="0" w:firstRowLastColumn="0" w:lastRowFirstColumn="0" w:lastRowLastColumn="0"/>
              <w:rPr>
                <w:b/>
                <w:color w:val="000000"/>
                <w:sz w:val="21"/>
                <w:szCs w:val="21"/>
              </w:rPr>
            </w:pPr>
            <w:r w:rsidRPr="003743EA">
              <w:rPr>
                <w:b/>
                <w:color w:val="000000"/>
                <w:sz w:val="21"/>
                <w:szCs w:val="21"/>
              </w:rPr>
              <w:t>High</w:t>
            </w:r>
          </w:p>
        </w:tc>
        <w:tc>
          <w:tcPr>
            <w:tcW w:w="3768" w:type="dxa"/>
            <w:hideMark/>
          </w:tcPr>
          <w:p w14:paraId="0F625705" w14:textId="77777777" w:rsidR="001B6FAD" w:rsidRPr="003743EA" w:rsidRDefault="001B6FAD" w:rsidP="001B2F4C">
            <w:pPr>
              <w:spacing w:before="120" w:after="120"/>
              <w:jc w:val="both"/>
              <w:cnfStyle w:val="000000100000" w:firstRow="0" w:lastRow="0" w:firstColumn="0" w:lastColumn="0" w:oddVBand="0" w:evenVBand="0" w:oddHBand="1" w:evenHBand="0" w:firstRowFirstColumn="0" w:firstRowLastColumn="0" w:lastRowFirstColumn="0" w:lastRowLastColumn="0"/>
              <w:rPr>
                <w:color w:val="000000"/>
                <w:sz w:val="21"/>
                <w:szCs w:val="21"/>
              </w:rPr>
            </w:pPr>
            <w:r w:rsidRPr="003743EA">
              <w:rPr>
                <w:color w:val="000000"/>
                <w:sz w:val="21"/>
                <w:szCs w:val="21"/>
              </w:rPr>
              <w:t xml:space="preserve">This will require ensuring better integration of different levels of programming to ensure that these are mutually reinforcing rather than stand-alone. </w:t>
            </w:r>
          </w:p>
          <w:p w14:paraId="4AB123A5" w14:textId="77777777" w:rsidR="001B6FAD" w:rsidRPr="003743EA" w:rsidRDefault="001B6FAD" w:rsidP="001B2F4C">
            <w:pPr>
              <w:spacing w:before="120" w:after="120"/>
              <w:jc w:val="both"/>
              <w:cnfStyle w:val="000000100000" w:firstRow="0" w:lastRow="0" w:firstColumn="0" w:lastColumn="0" w:oddVBand="0" w:evenVBand="0" w:oddHBand="1" w:evenHBand="0" w:firstRowFirstColumn="0" w:firstRowLastColumn="0" w:lastRowFirstColumn="0" w:lastRowLastColumn="0"/>
              <w:rPr>
                <w:b/>
                <w:color w:val="000000"/>
                <w:sz w:val="21"/>
                <w:szCs w:val="21"/>
              </w:rPr>
            </w:pPr>
            <w:r w:rsidRPr="003743EA">
              <w:rPr>
                <w:color w:val="000000"/>
                <w:sz w:val="21"/>
                <w:szCs w:val="21"/>
              </w:rPr>
              <w:lastRenderedPageBreak/>
              <w:t>The design phase should also consider more effective responses to overcoming resistance to gender equality.</w:t>
            </w:r>
          </w:p>
        </w:tc>
      </w:tr>
      <w:tr w:rsidR="001B6FAD" w:rsidRPr="003743EA" w14:paraId="4D856F6C" w14:textId="77777777" w:rsidTr="4977AA67">
        <w:tc>
          <w:tcPr>
            <w:cnfStyle w:val="001000000000" w:firstRow="0" w:lastRow="0" w:firstColumn="1" w:lastColumn="0" w:oddVBand="0" w:evenVBand="0" w:oddHBand="0" w:evenHBand="0" w:firstRowFirstColumn="0" w:firstRowLastColumn="0" w:lastRowFirstColumn="0" w:lastRowLastColumn="0"/>
            <w:tcW w:w="555" w:type="dxa"/>
            <w:hideMark/>
          </w:tcPr>
          <w:p w14:paraId="17BF079A" w14:textId="77777777" w:rsidR="001B6FAD" w:rsidRPr="003743EA" w:rsidRDefault="001B6FAD" w:rsidP="001B6FAD">
            <w:pPr>
              <w:spacing w:before="120" w:after="120"/>
              <w:rPr>
                <w:bCs w:val="0"/>
                <w:color w:val="000000"/>
                <w:sz w:val="21"/>
                <w:szCs w:val="21"/>
              </w:rPr>
            </w:pPr>
            <w:r w:rsidRPr="003743EA">
              <w:rPr>
                <w:color w:val="000000"/>
                <w:sz w:val="21"/>
                <w:szCs w:val="21"/>
              </w:rPr>
              <w:t>5</w:t>
            </w:r>
          </w:p>
        </w:tc>
        <w:tc>
          <w:tcPr>
            <w:tcW w:w="4403" w:type="dxa"/>
            <w:hideMark/>
          </w:tcPr>
          <w:p w14:paraId="169364DB" w14:textId="77777777" w:rsidR="001B6FAD" w:rsidRPr="003743EA" w:rsidRDefault="001B6FAD" w:rsidP="001B2F4C">
            <w:pPr>
              <w:spacing w:before="120" w:after="120"/>
              <w:jc w:val="both"/>
              <w:cnfStyle w:val="000000000000" w:firstRow="0" w:lastRow="0" w:firstColumn="0" w:lastColumn="0" w:oddVBand="0" w:evenVBand="0" w:oddHBand="0" w:evenHBand="0" w:firstRowFirstColumn="0" w:firstRowLastColumn="0" w:lastRowFirstColumn="0" w:lastRowLastColumn="0"/>
              <w:rPr>
                <w:b/>
                <w:color w:val="000000"/>
                <w:sz w:val="21"/>
                <w:szCs w:val="21"/>
              </w:rPr>
            </w:pPr>
            <w:r w:rsidRPr="003743EA">
              <w:rPr>
                <w:color w:val="000000"/>
                <w:sz w:val="21"/>
                <w:szCs w:val="21"/>
              </w:rPr>
              <w:t>Build on and scale up successful and innovative approaches developed to date, such as working with persons with disabilities.</w:t>
            </w:r>
          </w:p>
        </w:tc>
        <w:tc>
          <w:tcPr>
            <w:tcW w:w="1483" w:type="dxa"/>
            <w:hideMark/>
          </w:tcPr>
          <w:p w14:paraId="2F90EB18" w14:textId="77777777" w:rsidR="001B6FAD" w:rsidRPr="003743EA" w:rsidRDefault="001B6FAD" w:rsidP="001B6FAD">
            <w:pPr>
              <w:spacing w:before="120" w:after="120"/>
              <w:cnfStyle w:val="000000000000" w:firstRow="0" w:lastRow="0" w:firstColumn="0" w:lastColumn="0" w:oddVBand="0" w:evenVBand="0" w:oddHBand="0" w:evenHBand="0" w:firstRowFirstColumn="0" w:firstRowLastColumn="0" w:lastRowFirstColumn="0" w:lastRowLastColumn="0"/>
              <w:rPr>
                <w:color w:val="000000"/>
                <w:sz w:val="21"/>
                <w:szCs w:val="21"/>
              </w:rPr>
            </w:pPr>
            <w:r w:rsidRPr="003743EA">
              <w:rPr>
                <w:color w:val="000000"/>
                <w:sz w:val="21"/>
                <w:szCs w:val="21"/>
              </w:rPr>
              <w:t>Programmatic</w:t>
            </w:r>
          </w:p>
        </w:tc>
        <w:tc>
          <w:tcPr>
            <w:tcW w:w="1275" w:type="dxa"/>
            <w:hideMark/>
          </w:tcPr>
          <w:p w14:paraId="6597C0C6" w14:textId="77777777" w:rsidR="001B6FAD" w:rsidRPr="003743EA" w:rsidRDefault="001B6FAD" w:rsidP="001B6FAD">
            <w:pPr>
              <w:spacing w:before="120" w:after="120"/>
              <w:cnfStyle w:val="000000000000" w:firstRow="0" w:lastRow="0" w:firstColumn="0" w:lastColumn="0" w:oddVBand="0" w:evenVBand="0" w:oddHBand="0" w:evenHBand="0" w:firstRowFirstColumn="0" w:firstRowLastColumn="0" w:lastRowFirstColumn="0" w:lastRowLastColumn="0"/>
              <w:rPr>
                <w:color w:val="000000"/>
                <w:sz w:val="21"/>
                <w:szCs w:val="21"/>
              </w:rPr>
            </w:pPr>
            <w:r w:rsidRPr="003743EA">
              <w:rPr>
                <w:color w:val="000000"/>
                <w:sz w:val="21"/>
                <w:szCs w:val="21"/>
              </w:rPr>
              <w:t>1, 2</w:t>
            </w:r>
          </w:p>
        </w:tc>
        <w:tc>
          <w:tcPr>
            <w:tcW w:w="1667" w:type="dxa"/>
            <w:hideMark/>
          </w:tcPr>
          <w:p w14:paraId="09CB4998" w14:textId="77777777" w:rsidR="001B6FAD" w:rsidRPr="003743EA" w:rsidRDefault="001B6FAD" w:rsidP="001B6FAD">
            <w:pPr>
              <w:spacing w:before="120" w:after="120"/>
              <w:cnfStyle w:val="000000000000" w:firstRow="0" w:lastRow="0" w:firstColumn="0" w:lastColumn="0" w:oddVBand="0" w:evenVBand="0" w:oddHBand="0" w:evenHBand="0" w:firstRowFirstColumn="0" w:firstRowLastColumn="0" w:lastRowFirstColumn="0" w:lastRowLastColumn="0"/>
              <w:rPr>
                <w:color w:val="000000"/>
                <w:sz w:val="21"/>
                <w:szCs w:val="21"/>
              </w:rPr>
            </w:pPr>
            <w:r w:rsidRPr="003743EA">
              <w:rPr>
                <w:rFonts w:cs="Calibri"/>
                <w:color w:val="262626"/>
                <w:sz w:val="21"/>
                <w:szCs w:val="21"/>
              </w:rPr>
              <w:t>UN Women CO, implementing partners</w:t>
            </w:r>
          </w:p>
        </w:tc>
        <w:tc>
          <w:tcPr>
            <w:tcW w:w="1473" w:type="dxa"/>
          </w:tcPr>
          <w:p w14:paraId="56D301A4" w14:textId="77777777" w:rsidR="001B6FAD" w:rsidRPr="003743EA" w:rsidRDefault="001B6FAD" w:rsidP="001B6FAD">
            <w:pPr>
              <w:spacing w:before="120" w:after="120"/>
              <w:cnfStyle w:val="000000000000" w:firstRow="0" w:lastRow="0" w:firstColumn="0" w:lastColumn="0" w:oddVBand="0" w:evenVBand="0" w:oddHBand="0" w:evenHBand="0" w:firstRowFirstColumn="0" w:firstRowLastColumn="0" w:lastRowFirstColumn="0" w:lastRowLastColumn="0"/>
              <w:rPr>
                <w:b/>
                <w:color w:val="000000"/>
                <w:sz w:val="21"/>
                <w:szCs w:val="21"/>
              </w:rPr>
            </w:pPr>
            <w:r w:rsidRPr="003743EA">
              <w:rPr>
                <w:b/>
                <w:color w:val="000000"/>
                <w:sz w:val="21"/>
                <w:szCs w:val="21"/>
              </w:rPr>
              <w:t>Medium</w:t>
            </w:r>
          </w:p>
        </w:tc>
        <w:tc>
          <w:tcPr>
            <w:tcW w:w="3768" w:type="dxa"/>
            <w:hideMark/>
          </w:tcPr>
          <w:p w14:paraId="77F2DDF8" w14:textId="77777777" w:rsidR="001B6FAD" w:rsidRPr="003743EA" w:rsidRDefault="001B6FAD" w:rsidP="001B2F4C">
            <w:pPr>
              <w:spacing w:before="120" w:after="120"/>
              <w:jc w:val="both"/>
              <w:cnfStyle w:val="000000000000" w:firstRow="0" w:lastRow="0" w:firstColumn="0" w:lastColumn="0" w:oddVBand="0" w:evenVBand="0" w:oddHBand="0" w:evenHBand="0" w:firstRowFirstColumn="0" w:firstRowLastColumn="0" w:lastRowFirstColumn="0" w:lastRowLastColumn="0"/>
              <w:rPr>
                <w:color w:val="000000"/>
                <w:sz w:val="21"/>
                <w:szCs w:val="21"/>
              </w:rPr>
            </w:pPr>
            <w:r w:rsidRPr="003743EA">
              <w:rPr>
                <w:color w:val="000000"/>
                <w:sz w:val="21"/>
                <w:szCs w:val="21"/>
              </w:rPr>
              <w:t>Investigate scope to replicate innovative community-based interventions for the potential Phase III of MWGE.</w:t>
            </w:r>
          </w:p>
          <w:p w14:paraId="3B3A7ACA" w14:textId="77777777" w:rsidR="001B6FAD" w:rsidRPr="003743EA" w:rsidRDefault="001B6FAD" w:rsidP="001B2F4C">
            <w:pPr>
              <w:spacing w:before="120" w:after="120"/>
              <w:jc w:val="both"/>
              <w:cnfStyle w:val="000000000000" w:firstRow="0" w:lastRow="0" w:firstColumn="0" w:lastColumn="0" w:oddVBand="0" w:evenVBand="0" w:oddHBand="0" w:evenHBand="0" w:firstRowFirstColumn="0" w:firstRowLastColumn="0" w:lastRowFirstColumn="0" w:lastRowLastColumn="0"/>
              <w:rPr>
                <w:color w:val="000000"/>
                <w:sz w:val="21"/>
                <w:szCs w:val="21"/>
              </w:rPr>
            </w:pPr>
            <w:r w:rsidRPr="003743EA">
              <w:rPr>
                <w:color w:val="000000"/>
                <w:sz w:val="21"/>
                <w:szCs w:val="21"/>
              </w:rPr>
              <w:t>Expand the work with men and women with disabilities.</w:t>
            </w:r>
          </w:p>
        </w:tc>
      </w:tr>
      <w:tr w:rsidR="00100975" w:rsidRPr="003743EA" w14:paraId="419A8620" w14:textId="77777777" w:rsidTr="4977AA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5" w:type="dxa"/>
          </w:tcPr>
          <w:p w14:paraId="13106C7C" w14:textId="77777777" w:rsidR="00100975" w:rsidRPr="003743EA" w:rsidRDefault="00100975" w:rsidP="00100975">
            <w:pPr>
              <w:spacing w:before="120" w:after="120"/>
              <w:rPr>
                <w:color w:val="000000"/>
                <w:sz w:val="21"/>
                <w:szCs w:val="21"/>
              </w:rPr>
            </w:pPr>
            <w:r w:rsidRPr="003743EA">
              <w:rPr>
                <w:color w:val="000000"/>
                <w:sz w:val="21"/>
                <w:szCs w:val="21"/>
              </w:rPr>
              <w:t>6</w:t>
            </w:r>
          </w:p>
        </w:tc>
        <w:tc>
          <w:tcPr>
            <w:tcW w:w="4403" w:type="dxa"/>
          </w:tcPr>
          <w:p w14:paraId="781E9A40" w14:textId="77777777" w:rsidR="00100975" w:rsidRPr="003743EA" w:rsidRDefault="00100975" w:rsidP="001B2F4C">
            <w:pPr>
              <w:spacing w:before="120" w:after="120"/>
              <w:jc w:val="both"/>
              <w:cnfStyle w:val="000000100000" w:firstRow="0" w:lastRow="0" w:firstColumn="0" w:lastColumn="0" w:oddVBand="0" w:evenVBand="0" w:oddHBand="1" w:evenHBand="0" w:firstRowFirstColumn="0" w:firstRowLastColumn="0" w:lastRowFirstColumn="0" w:lastRowLastColumn="0"/>
              <w:rPr>
                <w:color w:val="000000"/>
                <w:sz w:val="21"/>
                <w:szCs w:val="21"/>
              </w:rPr>
            </w:pPr>
            <w:r w:rsidRPr="003743EA">
              <w:rPr>
                <w:rFonts w:asciiTheme="minorHAnsi" w:hAnsiTheme="minorHAnsi" w:cstheme="minorHAnsi"/>
                <w:sz w:val="21"/>
                <w:szCs w:val="21"/>
              </w:rPr>
              <w:t xml:space="preserve">Work with ROAS to clarify and confirm lines of accountability and feedback vis-à-vis ROAS and CO </w:t>
            </w:r>
            <w:proofErr w:type="spellStart"/>
            <w:r w:rsidRPr="003743EA">
              <w:rPr>
                <w:rFonts w:asciiTheme="minorHAnsi" w:hAnsiTheme="minorHAnsi" w:cstheme="minorHAnsi"/>
                <w:sz w:val="21"/>
                <w:szCs w:val="21"/>
              </w:rPr>
              <w:t>programme</w:t>
            </w:r>
            <w:proofErr w:type="spellEnd"/>
            <w:r w:rsidRPr="003743EA">
              <w:rPr>
                <w:rFonts w:asciiTheme="minorHAnsi" w:hAnsiTheme="minorHAnsi" w:cstheme="minorHAnsi"/>
                <w:sz w:val="21"/>
                <w:szCs w:val="21"/>
              </w:rPr>
              <w:t xml:space="preserve"> staff. </w:t>
            </w:r>
          </w:p>
        </w:tc>
        <w:tc>
          <w:tcPr>
            <w:tcW w:w="1483" w:type="dxa"/>
          </w:tcPr>
          <w:p w14:paraId="491074D9" w14:textId="77777777" w:rsidR="00100975" w:rsidRPr="003743EA" w:rsidRDefault="00100975" w:rsidP="00100975">
            <w:pPr>
              <w:spacing w:before="120" w:after="120"/>
              <w:cnfStyle w:val="000000100000" w:firstRow="0" w:lastRow="0" w:firstColumn="0" w:lastColumn="0" w:oddVBand="0" w:evenVBand="0" w:oddHBand="1" w:evenHBand="0" w:firstRowFirstColumn="0" w:firstRowLastColumn="0" w:lastRowFirstColumn="0" w:lastRowLastColumn="0"/>
              <w:rPr>
                <w:color w:val="000000"/>
                <w:sz w:val="21"/>
                <w:szCs w:val="21"/>
              </w:rPr>
            </w:pPr>
            <w:r w:rsidRPr="003743EA">
              <w:rPr>
                <w:rFonts w:asciiTheme="minorHAnsi" w:hAnsiTheme="minorHAnsi" w:cstheme="minorHAnsi"/>
                <w:sz w:val="21"/>
                <w:szCs w:val="21"/>
              </w:rPr>
              <w:t>Programmatic</w:t>
            </w:r>
          </w:p>
        </w:tc>
        <w:tc>
          <w:tcPr>
            <w:tcW w:w="1275" w:type="dxa"/>
          </w:tcPr>
          <w:p w14:paraId="175F7C61" w14:textId="77777777" w:rsidR="00100975" w:rsidRPr="003743EA" w:rsidRDefault="00100975" w:rsidP="00100975">
            <w:pPr>
              <w:spacing w:before="120" w:after="120"/>
              <w:cnfStyle w:val="000000100000" w:firstRow="0" w:lastRow="0" w:firstColumn="0" w:lastColumn="0" w:oddVBand="0" w:evenVBand="0" w:oddHBand="1" w:evenHBand="0" w:firstRowFirstColumn="0" w:firstRowLastColumn="0" w:lastRowFirstColumn="0" w:lastRowLastColumn="0"/>
              <w:rPr>
                <w:color w:val="000000"/>
                <w:sz w:val="21"/>
                <w:szCs w:val="21"/>
              </w:rPr>
            </w:pPr>
            <w:r w:rsidRPr="003743EA">
              <w:rPr>
                <w:rFonts w:asciiTheme="minorHAnsi" w:hAnsiTheme="minorHAnsi" w:cstheme="minorHAnsi"/>
                <w:sz w:val="21"/>
                <w:szCs w:val="21"/>
              </w:rPr>
              <w:t>1</w:t>
            </w:r>
          </w:p>
        </w:tc>
        <w:tc>
          <w:tcPr>
            <w:tcW w:w="1667" w:type="dxa"/>
          </w:tcPr>
          <w:p w14:paraId="45335D05" w14:textId="77777777" w:rsidR="00100975" w:rsidRPr="003743EA" w:rsidRDefault="00100975" w:rsidP="00100975">
            <w:pPr>
              <w:spacing w:before="120" w:after="120"/>
              <w:cnfStyle w:val="000000100000" w:firstRow="0" w:lastRow="0" w:firstColumn="0" w:lastColumn="0" w:oddVBand="0" w:evenVBand="0" w:oddHBand="1" w:evenHBand="0" w:firstRowFirstColumn="0" w:firstRowLastColumn="0" w:lastRowFirstColumn="0" w:lastRowLastColumn="0"/>
              <w:rPr>
                <w:rFonts w:cs="Calibri"/>
                <w:color w:val="262626"/>
                <w:sz w:val="21"/>
                <w:szCs w:val="21"/>
              </w:rPr>
            </w:pPr>
            <w:r w:rsidRPr="003743EA">
              <w:rPr>
                <w:rFonts w:asciiTheme="minorHAnsi" w:hAnsiTheme="minorHAnsi" w:cstheme="minorHAnsi"/>
                <w:sz w:val="21"/>
                <w:szCs w:val="21"/>
              </w:rPr>
              <w:t>ROAS, all COs</w:t>
            </w:r>
          </w:p>
        </w:tc>
        <w:tc>
          <w:tcPr>
            <w:tcW w:w="1473" w:type="dxa"/>
          </w:tcPr>
          <w:p w14:paraId="5E84631A" w14:textId="77777777" w:rsidR="00100975" w:rsidRPr="003743EA" w:rsidRDefault="00100975" w:rsidP="00100975">
            <w:pPr>
              <w:spacing w:before="120" w:after="120"/>
              <w:cnfStyle w:val="000000100000" w:firstRow="0" w:lastRow="0" w:firstColumn="0" w:lastColumn="0" w:oddVBand="0" w:evenVBand="0" w:oddHBand="1" w:evenHBand="0" w:firstRowFirstColumn="0" w:firstRowLastColumn="0" w:lastRowFirstColumn="0" w:lastRowLastColumn="0"/>
              <w:rPr>
                <w:b/>
                <w:color w:val="000000"/>
                <w:sz w:val="21"/>
                <w:szCs w:val="21"/>
              </w:rPr>
            </w:pPr>
            <w:r w:rsidRPr="003743EA">
              <w:rPr>
                <w:rFonts w:asciiTheme="minorHAnsi" w:hAnsiTheme="minorHAnsi" w:cstheme="minorHAnsi"/>
                <w:b/>
                <w:bCs/>
                <w:sz w:val="21"/>
                <w:szCs w:val="21"/>
              </w:rPr>
              <w:t>High</w:t>
            </w:r>
          </w:p>
        </w:tc>
        <w:tc>
          <w:tcPr>
            <w:tcW w:w="3768" w:type="dxa"/>
          </w:tcPr>
          <w:p w14:paraId="17DAD7EE" w14:textId="77777777" w:rsidR="00100975" w:rsidRPr="003743EA" w:rsidRDefault="09C43A29" w:rsidP="001B2F4C">
            <w:pPr>
              <w:spacing w:before="120" w:after="120"/>
              <w:jc w:val="both"/>
              <w:cnfStyle w:val="000000100000" w:firstRow="0" w:lastRow="0" w:firstColumn="0" w:lastColumn="0" w:oddVBand="0" w:evenVBand="0" w:oddHBand="1" w:evenHBand="0" w:firstRowFirstColumn="0" w:firstRowLastColumn="0" w:lastRowFirstColumn="0" w:lastRowLastColumn="0"/>
              <w:rPr>
                <w:color w:val="000000"/>
                <w:sz w:val="21"/>
                <w:szCs w:val="21"/>
              </w:rPr>
            </w:pPr>
            <w:r w:rsidRPr="003743EA">
              <w:rPr>
                <w:rFonts w:asciiTheme="minorHAnsi" w:hAnsiTheme="minorHAnsi" w:cstheme="minorBidi"/>
                <w:sz w:val="21"/>
                <w:szCs w:val="21"/>
              </w:rPr>
              <w:t xml:space="preserve">ROAS can lead in developing a ‘ways of working’ document – </w:t>
            </w:r>
            <w:proofErr w:type="gramStart"/>
            <w:r w:rsidRPr="003743EA">
              <w:rPr>
                <w:rFonts w:asciiTheme="minorHAnsi" w:hAnsiTheme="minorHAnsi" w:cstheme="minorBidi"/>
                <w:sz w:val="21"/>
                <w:szCs w:val="21"/>
              </w:rPr>
              <w:t>similar to</w:t>
            </w:r>
            <w:proofErr w:type="gramEnd"/>
            <w:r w:rsidRPr="003743EA">
              <w:rPr>
                <w:rFonts w:asciiTheme="minorHAnsi" w:hAnsiTheme="minorHAnsi" w:cstheme="minorBidi"/>
                <w:sz w:val="21"/>
                <w:szCs w:val="21"/>
              </w:rPr>
              <w:t xml:space="preserve"> a RACI</w:t>
            </w:r>
            <w:r w:rsidR="00100975" w:rsidRPr="003743EA">
              <w:rPr>
                <w:rStyle w:val="FootnoteReference"/>
                <w:rFonts w:cstheme="minorBidi"/>
                <w:sz w:val="21"/>
                <w:szCs w:val="21"/>
              </w:rPr>
              <w:footnoteReference w:id="326"/>
            </w:r>
            <w:r w:rsidRPr="003743EA">
              <w:rPr>
                <w:rFonts w:asciiTheme="minorHAnsi" w:hAnsiTheme="minorHAnsi" w:cstheme="minorBidi"/>
                <w:sz w:val="21"/>
                <w:szCs w:val="21"/>
              </w:rPr>
              <w:t xml:space="preserve"> chart – which serves to clarify opportunities for engaging in performance management reviews</w:t>
            </w:r>
            <w:r w:rsidR="318C76CD" w:rsidRPr="003743EA">
              <w:rPr>
                <w:rFonts w:asciiTheme="minorHAnsi" w:hAnsiTheme="minorHAnsi" w:cstheme="minorBidi"/>
                <w:sz w:val="21"/>
                <w:szCs w:val="21"/>
              </w:rPr>
              <w:t>.</w:t>
            </w:r>
          </w:p>
        </w:tc>
      </w:tr>
    </w:tbl>
    <w:p w14:paraId="60184A19" w14:textId="77777777" w:rsidR="006950C4" w:rsidRPr="00246336" w:rsidRDefault="006950C4" w:rsidP="007F6DFD">
      <w:pPr>
        <w:pStyle w:val="ItadNormalText"/>
        <w:rPr>
          <w:b/>
          <w:bCs/>
          <w:highlight w:val="yellow"/>
        </w:rPr>
        <w:sectPr w:rsidR="006950C4" w:rsidRPr="00246336" w:rsidSect="00AD5702">
          <w:pgSz w:w="16838" w:h="11906" w:orient="landscape" w:code="9"/>
          <w:pgMar w:top="1191" w:right="1134" w:bottom="1191" w:left="1134" w:header="720" w:footer="680" w:gutter="0"/>
          <w:cols w:space="720"/>
          <w:docGrid w:linePitch="360"/>
        </w:sectPr>
      </w:pPr>
    </w:p>
    <w:p w14:paraId="1EDF7E12" w14:textId="77777777" w:rsidR="00917CBB" w:rsidRPr="00917CBB" w:rsidRDefault="00917CBB" w:rsidP="00917CBB">
      <w:pPr>
        <w:pStyle w:val="ItadNormalText"/>
        <w:rPr>
          <w:rFonts w:ascii="CubeOT" w:hAnsi="CubeOT" w:cs="CubeOT"/>
          <w:color w:val="E37230" w:themeColor="accent2"/>
          <w:sz w:val="40"/>
          <w:szCs w:val="40"/>
          <w:highlight w:val="yellow"/>
        </w:rPr>
      </w:pPr>
      <w:r>
        <w:rPr>
          <w:rFonts w:ascii="CubeOT" w:hAnsi="CubeOT" w:cs="CubeOT"/>
          <w:color w:val="E37230" w:themeColor="accent2"/>
          <w:sz w:val="40"/>
          <w:szCs w:val="40"/>
        </w:rPr>
        <w:lastRenderedPageBreak/>
        <w:t>Jordan</w:t>
      </w:r>
    </w:p>
    <w:tbl>
      <w:tblPr>
        <w:tblStyle w:val="PlainTable1"/>
        <w:tblW w:w="14589" w:type="dxa"/>
        <w:tblLayout w:type="fixed"/>
        <w:tblLook w:val="04A0" w:firstRow="1" w:lastRow="0" w:firstColumn="1" w:lastColumn="0" w:noHBand="0" w:noVBand="1"/>
      </w:tblPr>
      <w:tblGrid>
        <w:gridCol w:w="236"/>
        <w:gridCol w:w="4872"/>
        <w:gridCol w:w="1535"/>
        <w:gridCol w:w="1007"/>
        <w:gridCol w:w="1417"/>
        <w:gridCol w:w="1134"/>
        <w:gridCol w:w="4388"/>
      </w:tblGrid>
      <w:tr w:rsidR="004D7B8C" w:rsidRPr="003743EA" w14:paraId="63FA06FF" w14:textId="77777777" w:rsidTr="00476A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8" w:type="dxa"/>
            <w:gridSpan w:val="2"/>
          </w:tcPr>
          <w:p w14:paraId="7EF43BF9" w14:textId="77777777" w:rsidR="004D7B8C" w:rsidRPr="003743EA" w:rsidRDefault="008070B7" w:rsidP="007F6DFD">
            <w:pPr>
              <w:pStyle w:val="ItadNormalText"/>
              <w:rPr>
                <w:sz w:val="20"/>
                <w:szCs w:val="20"/>
              </w:rPr>
            </w:pPr>
            <w:r w:rsidRPr="003743EA">
              <w:rPr>
                <w:sz w:val="20"/>
                <w:szCs w:val="20"/>
              </w:rPr>
              <w:t xml:space="preserve">Recommendation </w:t>
            </w:r>
          </w:p>
        </w:tc>
        <w:tc>
          <w:tcPr>
            <w:tcW w:w="1535" w:type="dxa"/>
          </w:tcPr>
          <w:p w14:paraId="7AADAB93" w14:textId="77777777" w:rsidR="004D7B8C" w:rsidRPr="003743EA" w:rsidRDefault="004D7B8C" w:rsidP="0073474D">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0"/>
                <w:szCs w:val="20"/>
              </w:rPr>
            </w:pPr>
            <w:r w:rsidRPr="003743EA">
              <w:rPr>
                <w:rFonts w:asciiTheme="minorHAnsi" w:hAnsiTheme="minorHAnsi" w:cstheme="minorHAnsi"/>
                <w:sz w:val="20"/>
                <w:szCs w:val="20"/>
              </w:rPr>
              <w:t>Level</w:t>
            </w:r>
          </w:p>
        </w:tc>
        <w:tc>
          <w:tcPr>
            <w:tcW w:w="1007" w:type="dxa"/>
          </w:tcPr>
          <w:p w14:paraId="739C2ACC" w14:textId="77777777" w:rsidR="004D7B8C" w:rsidRPr="003743EA" w:rsidRDefault="004D7B8C" w:rsidP="0073474D">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0"/>
                <w:szCs w:val="20"/>
              </w:rPr>
            </w:pPr>
            <w:r w:rsidRPr="003743EA">
              <w:rPr>
                <w:rFonts w:asciiTheme="minorHAnsi" w:hAnsiTheme="minorHAnsi" w:cstheme="minorHAnsi"/>
                <w:sz w:val="20"/>
                <w:szCs w:val="20"/>
              </w:rPr>
              <w:t>Linked conclusions</w:t>
            </w:r>
          </w:p>
        </w:tc>
        <w:tc>
          <w:tcPr>
            <w:tcW w:w="1417" w:type="dxa"/>
          </w:tcPr>
          <w:p w14:paraId="4922D2D0" w14:textId="77777777" w:rsidR="004D7B8C" w:rsidRPr="003743EA" w:rsidRDefault="004D7B8C" w:rsidP="0073474D">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0"/>
                <w:szCs w:val="20"/>
              </w:rPr>
            </w:pPr>
            <w:r w:rsidRPr="003743EA">
              <w:rPr>
                <w:rFonts w:asciiTheme="minorHAnsi" w:hAnsiTheme="minorHAnsi" w:cstheme="minorHAnsi"/>
                <w:sz w:val="20"/>
                <w:szCs w:val="20"/>
              </w:rPr>
              <w:t>Directed</w:t>
            </w:r>
          </w:p>
        </w:tc>
        <w:tc>
          <w:tcPr>
            <w:tcW w:w="1134" w:type="dxa"/>
          </w:tcPr>
          <w:p w14:paraId="57FE5565" w14:textId="77777777" w:rsidR="004D7B8C" w:rsidRPr="003743EA" w:rsidRDefault="004D7B8C" w:rsidP="0073474D">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0"/>
                <w:szCs w:val="20"/>
              </w:rPr>
            </w:pPr>
            <w:r w:rsidRPr="003743EA">
              <w:rPr>
                <w:rFonts w:asciiTheme="minorHAnsi" w:hAnsiTheme="minorHAnsi" w:cstheme="minorHAnsi"/>
                <w:sz w:val="20"/>
                <w:szCs w:val="20"/>
              </w:rPr>
              <w:t>Ranking</w:t>
            </w:r>
            <w:r w:rsidR="001C39AB" w:rsidRPr="003743EA">
              <w:rPr>
                <w:rFonts w:asciiTheme="minorHAnsi" w:hAnsiTheme="minorHAnsi" w:cstheme="minorHAnsi"/>
                <w:sz w:val="20"/>
                <w:szCs w:val="20"/>
              </w:rPr>
              <w:t xml:space="preserve"> </w:t>
            </w:r>
            <w:r w:rsidR="001C39AB" w:rsidRPr="003743EA">
              <w:rPr>
                <w:sz w:val="20"/>
                <w:szCs w:val="20"/>
              </w:rPr>
              <w:t>(urgency of action)</w:t>
            </w:r>
          </w:p>
        </w:tc>
        <w:tc>
          <w:tcPr>
            <w:tcW w:w="4388" w:type="dxa"/>
          </w:tcPr>
          <w:p w14:paraId="531EE9BE" w14:textId="77777777" w:rsidR="004D7B8C" w:rsidRPr="003743EA" w:rsidRDefault="004D7B8C" w:rsidP="0073474D">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0"/>
                <w:szCs w:val="20"/>
              </w:rPr>
            </w:pPr>
            <w:r w:rsidRPr="003743EA">
              <w:rPr>
                <w:rFonts w:asciiTheme="minorHAnsi" w:hAnsiTheme="minorHAnsi" w:cstheme="minorHAnsi"/>
                <w:sz w:val="20"/>
                <w:szCs w:val="20"/>
              </w:rPr>
              <w:t>How Action Can be Supported</w:t>
            </w:r>
          </w:p>
        </w:tc>
      </w:tr>
      <w:tr w:rsidR="007C168D" w:rsidRPr="003743EA" w14:paraId="324436E2" w14:textId="77777777" w:rsidTr="00476A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 w:type="dxa"/>
          </w:tcPr>
          <w:p w14:paraId="09EB50D6" w14:textId="77777777" w:rsidR="004D7B8C" w:rsidRPr="003743EA" w:rsidRDefault="004D7B8C" w:rsidP="0073474D">
            <w:pPr>
              <w:rPr>
                <w:rFonts w:asciiTheme="minorHAnsi" w:hAnsiTheme="minorHAnsi" w:cstheme="minorHAnsi"/>
                <w:b w:val="0"/>
                <w:bCs w:val="0"/>
                <w:sz w:val="20"/>
                <w:szCs w:val="20"/>
              </w:rPr>
            </w:pPr>
            <w:r w:rsidRPr="003743EA">
              <w:rPr>
                <w:rFonts w:asciiTheme="minorHAnsi" w:hAnsiTheme="minorHAnsi" w:cstheme="minorHAnsi"/>
                <w:sz w:val="20"/>
                <w:szCs w:val="20"/>
              </w:rPr>
              <w:t>1</w:t>
            </w:r>
          </w:p>
          <w:p w14:paraId="2388E04F" w14:textId="77777777" w:rsidR="004D7B8C" w:rsidRPr="003743EA" w:rsidRDefault="004D7B8C" w:rsidP="0073474D">
            <w:pPr>
              <w:rPr>
                <w:rFonts w:asciiTheme="minorHAnsi" w:hAnsiTheme="minorHAnsi" w:cstheme="minorHAnsi"/>
                <w:b w:val="0"/>
                <w:bCs w:val="0"/>
                <w:sz w:val="20"/>
                <w:szCs w:val="20"/>
              </w:rPr>
            </w:pPr>
          </w:p>
          <w:p w14:paraId="551203E0" w14:textId="77777777" w:rsidR="004D7B8C" w:rsidRPr="003743EA" w:rsidRDefault="004D7B8C" w:rsidP="0073474D">
            <w:pPr>
              <w:rPr>
                <w:rFonts w:asciiTheme="minorHAnsi" w:hAnsiTheme="minorHAnsi" w:cstheme="minorHAnsi"/>
                <w:b w:val="0"/>
                <w:bCs w:val="0"/>
                <w:sz w:val="20"/>
                <w:szCs w:val="20"/>
              </w:rPr>
            </w:pPr>
          </w:p>
          <w:p w14:paraId="2F2B85A9" w14:textId="77777777" w:rsidR="004D7B8C" w:rsidRPr="003743EA" w:rsidRDefault="004D7B8C" w:rsidP="0073474D">
            <w:pPr>
              <w:rPr>
                <w:rFonts w:asciiTheme="minorHAnsi" w:hAnsiTheme="minorHAnsi" w:cstheme="minorHAnsi"/>
                <w:b w:val="0"/>
                <w:bCs w:val="0"/>
                <w:sz w:val="20"/>
                <w:szCs w:val="20"/>
              </w:rPr>
            </w:pPr>
          </w:p>
          <w:p w14:paraId="33B383B4" w14:textId="77777777" w:rsidR="004D7B8C" w:rsidRPr="003743EA" w:rsidRDefault="004D7B8C" w:rsidP="0073474D">
            <w:pPr>
              <w:rPr>
                <w:rFonts w:asciiTheme="minorHAnsi" w:hAnsiTheme="minorHAnsi" w:cstheme="minorHAnsi"/>
                <w:b w:val="0"/>
                <w:bCs w:val="0"/>
                <w:sz w:val="20"/>
                <w:szCs w:val="20"/>
              </w:rPr>
            </w:pPr>
          </w:p>
        </w:tc>
        <w:tc>
          <w:tcPr>
            <w:tcW w:w="4872" w:type="dxa"/>
          </w:tcPr>
          <w:p w14:paraId="08D06C08" w14:textId="426CC626" w:rsidR="004D7B8C" w:rsidRPr="003743EA" w:rsidRDefault="004D7B8C" w:rsidP="001B2F4C">
            <w:pPr>
              <w:ind w:left="36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743EA">
              <w:rPr>
                <w:rFonts w:asciiTheme="minorHAnsi" w:hAnsiTheme="minorHAnsi" w:cstheme="minorHAnsi"/>
                <w:sz w:val="20"/>
                <w:szCs w:val="20"/>
              </w:rPr>
              <w:t xml:space="preserve">Further document the learning process between Phase I&amp;II, and the productive collaboration between national research partners, the </w:t>
            </w:r>
            <w:r w:rsidR="004D095B" w:rsidRPr="003743EA">
              <w:rPr>
                <w:rFonts w:asciiTheme="minorHAnsi" w:hAnsiTheme="minorHAnsi" w:cstheme="minorHAnsi"/>
                <w:sz w:val="20"/>
                <w:szCs w:val="20"/>
              </w:rPr>
              <w:t xml:space="preserve">UN Women </w:t>
            </w:r>
            <w:r w:rsidRPr="003743EA">
              <w:rPr>
                <w:rFonts w:asciiTheme="minorHAnsi" w:hAnsiTheme="minorHAnsi" w:cstheme="minorHAnsi"/>
                <w:sz w:val="20"/>
                <w:szCs w:val="20"/>
              </w:rPr>
              <w:t>CO and ROAS, to be used as guidance for the onboarding of stakeholders in any new Phase III countries</w:t>
            </w:r>
            <w:r w:rsidR="00CB52D0" w:rsidRPr="003743EA">
              <w:rPr>
                <w:rFonts w:asciiTheme="minorHAnsi" w:hAnsiTheme="minorHAnsi" w:cstheme="minorHAnsi"/>
                <w:sz w:val="20"/>
                <w:szCs w:val="20"/>
              </w:rPr>
              <w:t xml:space="preserve">. </w:t>
            </w:r>
            <w:r w:rsidR="00CB52D0" w:rsidRPr="003743EA">
              <w:rPr>
                <w:rFonts w:asciiTheme="minorHAnsi" w:eastAsiaTheme="minorEastAsia" w:hAnsiTheme="minorHAnsi" w:cstheme="minorBidi"/>
                <w:sz w:val="20"/>
                <w:szCs w:val="20"/>
              </w:rPr>
              <w:t>Ensure a repository of the handover of tools, guidelines and quality assurance/feedback guidance is captured for further use</w:t>
            </w:r>
            <w:r w:rsidR="00F33612" w:rsidRPr="003743EA">
              <w:rPr>
                <w:rFonts w:asciiTheme="minorHAnsi" w:eastAsiaTheme="minorEastAsia" w:hAnsiTheme="minorHAnsi" w:cstheme="minorBidi"/>
                <w:sz w:val="20"/>
                <w:szCs w:val="20"/>
              </w:rPr>
              <w:t>.</w:t>
            </w:r>
          </w:p>
          <w:p w14:paraId="5F847193" w14:textId="77777777" w:rsidR="004D7B8C" w:rsidRPr="003743EA" w:rsidRDefault="004D7B8C" w:rsidP="00C80D78">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p>
        </w:tc>
        <w:tc>
          <w:tcPr>
            <w:tcW w:w="1535" w:type="dxa"/>
          </w:tcPr>
          <w:p w14:paraId="7705EB9E" w14:textId="77777777" w:rsidR="004D7B8C" w:rsidRPr="003743EA" w:rsidRDefault="004D7B8C" w:rsidP="0073474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743EA">
              <w:rPr>
                <w:rFonts w:asciiTheme="minorHAnsi" w:hAnsiTheme="minorHAnsi" w:cstheme="minorHAnsi"/>
                <w:sz w:val="20"/>
                <w:szCs w:val="20"/>
              </w:rPr>
              <w:t>Programmatic</w:t>
            </w:r>
          </w:p>
        </w:tc>
        <w:tc>
          <w:tcPr>
            <w:tcW w:w="1007" w:type="dxa"/>
          </w:tcPr>
          <w:p w14:paraId="392CF6B9" w14:textId="77777777" w:rsidR="004D7B8C" w:rsidRPr="003743EA" w:rsidRDefault="004D7B8C" w:rsidP="0073474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743EA">
              <w:rPr>
                <w:rFonts w:asciiTheme="minorHAnsi" w:hAnsiTheme="minorHAnsi" w:cstheme="minorHAnsi"/>
                <w:sz w:val="20"/>
                <w:szCs w:val="20"/>
              </w:rPr>
              <w:t>1,2, 6</w:t>
            </w:r>
          </w:p>
        </w:tc>
        <w:tc>
          <w:tcPr>
            <w:tcW w:w="1417" w:type="dxa"/>
          </w:tcPr>
          <w:p w14:paraId="0D01E775" w14:textId="77777777" w:rsidR="004D7B8C" w:rsidRPr="003743EA" w:rsidRDefault="004D7B8C" w:rsidP="0073474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743EA">
              <w:rPr>
                <w:rFonts w:asciiTheme="minorHAnsi" w:hAnsiTheme="minorHAnsi" w:cstheme="minorHAnsi"/>
                <w:sz w:val="20"/>
                <w:szCs w:val="20"/>
              </w:rPr>
              <w:t>ROAS, all COs</w:t>
            </w:r>
          </w:p>
        </w:tc>
        <w:tc>
          <w:tcPr>
            <w:tcW w:w="1134" w:type="dxa"/>
          </w:tcPr>
          <w:p w14:paraId="1D193B96" w14:textId="77777777" w:rsidR="004D7B8C" w:rsidRPr="003743EA" w:rsidRDefault="004D7B8C" w:rsidP="0073474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0"/>
                <w:szCs w:val="20"/>
              </w:rPr>
            </w:pPr>
            <w:r w:rsidRPr="003743EA">
              <w:rPr>
                <w:rFonts w:asciiTheme="minorHAnsi" w:hAnsiTheme="minorHAnsi" w:cstheme="minorHAnsi"/>
                <w:b/>
                <w:bCs/>
                <w:sz w:val="20"/>
                <w:szCs w:val="20"/>
              </w:rPr>
              <w:t>High</w:t>
            </w:r>
          </w:p>
        </w:tc>
        <w:tc>
          <w:tcPr>
            <w:tcW w:w="4388" w:type="dxa"/>
          </w:tcPr>
          <w:p w14:paraId="6C0FB94A" w14:textId="77777777" w:rsidR="004D7B8C" w:rsidRPr="003743EA" w:rsidRDefault="004D7B8C" w:rsidP="001B2F4C">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743EA">
              <w:rPr>
                <w:rFonts w:asciiTheme="minorHAnsi" w:hAnsiTheme="minorHAnsi" w:cstheme="minorHAnsi"/>
                <w:sz w:val="20"/>
                <w:szCs w:val="20"/>
              </w:rPr>
              <w:t xml:space="preserve">Undertake brief review of lessons learnt across the collaboration, and develop short guidance note, with inputs from </w:t>
            </w:r>
            <w:proofErr w:type="spellStart"/>
            <w:r w:rsidRPr="003743EA">
              <w:rPr>
                <w:rFonts w:asciiTheme="minorHAnsi" w:hAnsiTheme="minorHAnsi" w:cstheme="minorHAnsi"/>
                <w:sz w:val="20"/>
                <w:szCs w:val="20"/>
              </w:rPr>
              <w:t>COs.</w:t>
            </w:r>
            <w:proofErr w:type="spellEnd"/>
            <w:r w:rsidRPr="003743EA">
              <w:rPr>
                <w:rFonts w:asciiTheme="minorHAnsi" w:hAnsiTheme="minorHAnsi" w:cstheme="minorHAnsi"/>
                <w:sz w:val="20"/>
                <w:szCs w:val="20"/>
              </w:rPr>
              <w:t xml:space="preserve"> </w:t>
            </w:r>
            <w:r w:rsidR="00CB52D0" w:rsidRPr="003743EA">
              <w:rPr>
                <w:rFonts w:asciiTheme="minorHAnsi" w:hAnsiTheme="minorHAnsi" w:cstheme="minorHAnsi"/>
                <w:sz w:val="20"/>
                <w:szCs w:val="20"/>
              </w:rPr>
              <w:t>ROAS to engage with both Jordan and Tunisia offices to capture detailed nuances on the IMAGES methodological shifts for the purposes of sharing internally and externally</w:t>
            </w:r>
            <w:r w:rsidR="001B2F4C" w:rsidRPr="003743EA">
              <w:rPr>
                <w:rFonts w:asciiTheme="minorHAnsi" w:hAnsiTheme="minorHAnsi" w:cstheme="minorHAnsi"/>
                <w:sz w:val="20"/>
                <w:szCs w:val="20"/>
              </w:rPr>
              <w:t>.</w:t>
            </w:r>
          </w:p>
        </w:tc>
      </w:tr>
      <w:tr w:rsidR="004D7B8C" w:rsidRPr="003743EA" w14:paraId="5938152D" w14:textId="77777777" w:rsidTr="00476A17">
        <w:tc>
          <w:tcPr>
            <w:tcW w:w="236" w:type="dxa"/>
          </w:tcPr>
          <w:p w14:paraId="7DFA3E43" w14:textId="77777777" w:rsidR="004D7B8C" w:rsidRPr="003743EA" w:rsidRDefault="004D7B8C" w:rsidP="0073474D">
            <w:pPr>
              <w:cnfStyle w:val="001000000000" w:firstRow="0" w:lastRow="0" w:firstColumn="1" w:lastColumn="0" w:oddVBand="0" w:evenVBand="0" w:oddHBand="0" w:evenHBand="0" w:firstRowFirstColumn="0" w:firstRowLastColumn="0" w:lastRowFirstColumn="0" w:lastRowLastColumn="0"/>
              <w:rPr>
                <w:rFonts w:asciiTheme="minorHAnsi" w:hAnsiTheme="minorHAnsi" w:cstheme="minorHAnsi"/>
                <w:b w:val="0"/>
                <w:bCs w:val="0"/>
                <w:sz w:val="20"/>
                <w:szCs w:val="20"/>
              </w:rPr>
            </w:pPr>
            <w:r w:rsidRPr="003743EA">
              <w:rPr>
                <w:rFonts w:asciiTheme="minorHAnsi" w:hAnsiTheme="minorHAnsi" w:cstheme="minorHAnsi"/>
                <w:sz w:val="20"/>
                <w:szCs w:val="20"/>
              </w:rPr>
              <w:t xml:space="preserve">2 </w:t>
            </w:r>
          </w:p>
        </w:tc>
        <w:tc>
          <w:tcPr>
            <w:tcW w:w="4872" w:type="dxa"/>
          </w:tcPr>
          <w:p w14:paraId="04337918" w14:textId="77777777" w:rsidR="004D7B8C" w:rsidRPr="003743EA" w:rsidRDefault="004D7B8C" w:rsidP="0073474D">
            <w:pPr>
              <w:ind w:left="360"/>
              <w:rPr>
                <w:rFonts w:asciiTheme="minorHAnsi" w:hAnsiTheme="minorHAnsi" w:cstheme="minorHAnsi"/>
                <w:sz w:val="20"/>
                <w:szCs w:val="20"/>
              </w:rPr>
            </w:pPr>
            <w:r w:rsidRPr="003743EA">
              <w:rPr>
                <w:rFonts w:asciiTheme="minorHAnsi" w:hAnsiTheme="minorHAnsi" w:cstheme="minorHAnsi"/>
                <w:sz w:val="20"/>
                <w:szCs w:val="20"/>
              </w:rPr>
              <w:t xml:space="preserve">Work with ROAS to clarify and confirm lines of accountability and feedback vis-à-vis ROAS and CO programme staff. </w:t>
            </w:r>
          </w:p>
        </w:tc>
        <w:tc>
          <w:tcPr>
            <w:tcW w:w="1535" w:type="dxa"/>
          </w:tcPr>
          <w:p w14:paraId="45B93ECC" w14:textId="77777777" w:rsidR="004D7B8C" w:rsidRPr="003743EA" w:rsidRDefault="004D7B8C" w:rsidP="0073474D">
            <w:pPr>
              <w:rPr>
                <w:rFonts w:asciiTheme="minorHAnsi" w:hAnsiTheme="minorHAnsi" w:cstheme="minorHAnsi"/>
                <w:sz w:val="20"/>
                <w:szCs w:val="20"/>
              </w:rPr>
            </w:pPr>
            <w:r w:rsidRPr="003743EA">
              <w:rPr>
                <w:rFonts w:asciiTheme="minorHAnsi" w:hAnsiTheme="minorHAnsi" w:cstheme="minorHAnsi"/>
                <w:sz w:val="20"/>
                <w:szCs w:val="20"/>
              </w:rPr>
              <w:t>Programmatic</w:t>
            </w:r>
          </w:p>
        </w:tc>
        <w:tc>
          <w:tcPr>
            <w:tcW w:w="1007" w:type="dxa"/>
          </w:tcPr>
          <w:p w14:paraId="6EAAF0F9" w14:textId="77777777" w:rsidR="004D7B8C" w:rsidRPr="003743EA" w:rsidRDefault="004D7B8C" w:rsidP="0073474D">
            <w:pPr>
              <w:rPr>
                <w:rFonts w:asciiTheme="minorHAnsi" w:hAnsiTheme="minorHAnsi" w:cstheme="minorHAnsi"/>
                <w:sz w:val="20"/>
                <w:szCs w:val="20"/>
              </w:rPr>
            </w:pPr>
            <w:r w:rsidRPr="003743EA">
              <w:rPr>
                <w:rFonts w:asciiTheme="minorHAnsi" w:hAnsiTheme="minorHAnsi" w:cstheme="minorHAnsi"/>
                <w:sz w:val="20"/>
                <w:szCs w:val="20"/>
              </w:rPr>
              <w:t>1</w:t>
            </w:r>
          </w:p>
        </w:tc>
        <w:tc>
          <w:tcPr>
            <w:tcW w:w="1417" w:type="dxa"/>
          </w:tcPr>
          <w:p w14:paraId="2EEB6AA2" w14:textId="77777777" w:rsidR="004D7B8C" w:rsidRPr="003743EA" w:rsidRDefault="004D7B8C" w:rsidP="0073474D">
            <w:pPr>
              <w:rPr>
                <w:rFonts w:asciiTheme="minorHAnsi" w:hAnsiTheme="minorHAnsi" w:cstheme="minorHAnsi"/>
                <w:sz w:val="20"/>
                <w:szCs w:val="20"/>
              </w:rPr>
            </w:pPr>
            <w:r w:rsidRPr="003743EA">
              <w:rPr>
                <w:rFonts w:asciiTheme="minorHAnsi" w:hAnsiTheme="minorHAnsi" w:cstheme="minorHAnsi"/>
                <w:sz w:val="20"/>
                <w:szCs w:val="20"/>
              </w:rPr>
              <w:t>ROAS, all COs</w:t>
            </w:r>
          </w:p>
        </w:tc>
        <w:tc>
          <w:tcPr>
            <w:tcW w:w="1134" w:type="dxa"/>
          </w:tcPr>
          <w:p w14:paraId="18668B2A" w14:textId="77777777" w:rsidR="004D7B8C" w:rsidRPr="003743EA" w:rsidRDefault="004D7B8C" w:rsidP="0073474D">
            <w:pPr>
              <w:rPr>
                <w:rFonts w:asciiTheme="minorHAnsi" w:hAnsiTheme="minorHAnsi" w:cstheme="minorHAnsi"/>
                <w:b/>
                <w:bCs/>
                <w:sz w:val="20"/>
                <w:szCs w:val="20"/>
              </w:rPr>
            </w:pPr>
            <w:r w:rsidRPr="003743EA">
              <w:rPr>
                <w:rFonts w:asciiTheme="minorHAnsi" w:hAnsiTheme="minorHAnsi" w:cstheme="minorHAnsi"/>
                <w:b/>
                <w:bCs/>
                <w:sz w:val="20"/>
                <w:szCs w:val="20"/>
              </w:rPr>
              <w:t>High</w:t>
            </w:r>
          </w:p>
        </w:tc>
        <w:tc>
          <w:tcPr>
            <w:tcW w:w="4388" w:type="dxa"/>
          </w:tcPr>
          <w:p w14:paraId="30F59A95" w14:textId="77777777" w:rsidR="004D7B8C" w:rsidRPr="003743EA" w:rsidRDefault="06E44FC0" w:rsidP="0073474D">
            <w:pPr>
              <w:rPr>
                <w:rFonts w:asciiTheme="minorHAnsi" w:hAnsiTheme="minorHAnsi" w:cstheme="minorHAnsi"/>
                <w:sz w:val="20"/>
                <w:szCs w:val="20"/>
              </w:rPr>
            </w:pPr>
            <w:r w:rsidRPr="003743EA">
              <w:rPr>
                <w:rFonts w:asciiTheme="minorHAnsi" w:hAnsiTheme="minorHAnsi" w:cstheme="minorBidi"/>
                <w:sz w:val="20"/>
                <w:szCs w:val="20"/>
              </w:rPr>
              <w:t xml:space="preserve">ROAS can lead in developing a ‘ways of working’ document – </w:t>
            </w:r>
            <w:proofErr w:type="gramStart"/>
            <w:r w:rsidRPr="003743EA">
              <w:rPr>
                <w:rFonts w:asciiTheme="minorHAnsi" w:hAnsiTheme="minorHAnsi" w:cstheme="minorBidi"/>
                <w:sz w:val="20"/>
                <w:szCs w:val="20"/>
              </w:rPr>
              <w:t>similar to</w:t>
            </w:r>
            <w:proofErr w:type="gramEnd"/>
            <w:r w:rsidRPr="003743EA">
              <w:rPr>
                <w:rFonts w:asciiTheme="minorHAnsi" w:hAnsiTheme="minorHAnsi" w:cstheme="minorBidi"/>
                <w:sz w:val="20"/>
                <w:szCs w:val="20"/>
              </w:rPr>
              <w:t xml:space="preserve"> a RACI</w:t>
            </w:r>
            <w:r w:rsidR="004D7B8C" w:rsidRPr="003743EA">
              <w:rPr>
                <w:rStyle w:val="FootnoteReference"/>
                <w:rFonts w:cstheme="minorBidi"/>
              </w:rPr>
              <w:footnoteReference w:id="327"/>
            </w:r>
            <w:r w:rsidRPr="003743EA">
              <w:rPr>
                <w:rFonts w:asciiTheme="minorHAnsi" w:hAnsiTheme="minorHAnsi" w:cstheme="minorBidi"/>
                <w:sz w:val="20"/>
                <w:szCs w:val="20"/>
              </w:rPr>
              <w:t xml:space="preserve"> chart – which serves to clarify opportunities for engaging in performance management reviews</w:t>
            </w:r>
            <w:r w:rsidR="318C76CD" w:rsidRPr="003743EA">
              <w:rPr>
                <w:rFonts w:asciiTheme="minorHAnsi" w:hAnsiTheme="minorHAnsi" w:cstheme="minorBidi"/>
                <w:sz w:val="20"/>
                <w:szCs w:val="20"/>
              </w:rPr>
              <w:t>.</w:t>
            </w:r>
          </w:p>
        </w:tc>
      </w:tr>
      <w:tr w:rsidR="007C168D" w:rsidRPr="003743EA" w14:paraId="5646DC81" w14:textId="77777777" w:rsidTr="00476A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 w:type="dxa"/>
          </w:tcPr>
          <w:p w14:paraId="57915163" w14:textId="77777777" w:rsidR="004D7B8C" w:rsidRPr="003743EA" w:rsidRDefault="004D7B8C" w:rsidP="0073474D">
            <w:pPr>
              <w:rPr>
                <w:rFonts w:asciiTheme="minorHAnsi" w:hAnsiTheme="minorHAnsi" w:cstheme="minorHAnsi"/>
                <w:b w:val="0"/>
                <w:bCs w:val="0"/>
                <w:sz w:val="20"/>
                <w:szCs w:val="20"/>
              </w:rPr>
            </w:pPr>
            <w:r w:rsidRPr="003743EA">
              <w:rPr>
                <w:rFonts w:asciiTheme="minorHAnsi" w:hAnsiTheme="minorHAnsi" w:cstheme="minorHAnsi"/>
                <w:sz w:val="20"/>
                <w:szCs w:val="20"/>
              </w:rPr>
              <w:t>3</w:t>
            </w:r>
          </w:p>
        </w:tc>
        <w:tc>
          <w:tcPr>
            <w:tcW w:w="4872" w:type="dxa"/>
          </w:tcPr>
          <w:p w14:paraId="7CEC2E55" w14:textId="61FA8A33" w:rsidR="004D7B8C" w:rsidRPr="003743EA" w:rsidRDefault="004D7B8C" w:rsidP="007F6DFD">
            <w:pPr>
              <w:ind w:left="360"/>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0"/>
                <w:szCs w:val="20"/>
              </w:rPr>
            </w:pPr>
            <w:r w:rsidRPr="003743EA">
              <w:rPr>
                <w:rFonts w:asciiTheme="minorHAnsi" w:eastAsiaTheme="minorEastAsia" w:hAnsiTheme="minorHAnsi" w:cstheme="minorBidi"/>
                <w:sz w:val="20"/>
                <w:szCs w:val="20"/>
              </w:rPr>
              <w:t>Take further advantage of a well-capacitated enabling environment to ensure momentum and institutional memory is maintained</w:t>
            </w:r>
            <w:r w:rsidR="00F33612" w:rsidRPr="003743EA">
              <w:rPr>
                <w:rFonts w:asciiTheme="minorHAnsi" w:eastAsiaTheme="minorEastAsia" w:hAnsiTheme="minorHAnsi" w:cstheme="minorBidi"/>
                <w:sz w:val="20"/>
                <w:szCs w:val="20"/>
              </w:rPr>
              <w:t>.</w:t>
            </w:r>
          </w:p>
        </w:tc>
        <w:tc>
          <w:tcPr>
            <w:tcW w:w="1535" w:type="dxa"/>
          </w:tcPr>
          <w:p w14:paraId="0BBA7E40" w14:textId="77777777" w:rsidR="004D7B8C" w:rsidRPr="003743EA" w:rsidRDefault="004D7B8C" w:rsidP="0073474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743EA">
              <w:rPr>
                <w:rFonts w:asciiTheme="minorHAnsi" w:hAnsiTheme="minorHAnsi" w:cstheme="minorHAnsi"/>
                <w:sz w:val="20"/>
                <w:szCs w:val="20"/>
              </w:rPr>
              <w:t>Operational</w:t>
            </w:r>
          </w:p>
        </w:tc>
        <w:tc>
          <w:tcPr>
            <w:tcW w:w="1007" w:type="dxa"/>
          </w:tcPr>
          <w:p w14:paraId="0C8A0B09" w14:textId="77777777" w:rsidR="004D7B8C" w:rsidRPr="003743EA" w:rsidRDefault="004D7B8C" w:rsidP="0073474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743EA">
              <w:rPr>
                <w:rFonts w:asciiTheme="minorHAnsi" w:hAnsiTheme="minorHAnsi" w:cstheme="minorHAnsi"/>
                <w:sz w:val="20"/>
                <w:szCs w:val="20"/>
              </w:rPr>
              <w:t>3</w:t>
            </w:r>
          </w:p>
        </w:tc>
        <w:tc>
          <w:tcPr>
            <w:tcW w:w="1417" w:type="dxa"/>
          </w:tcPr>
          <w:p w14:paraId="26D60B13" w14:textId="77777777" w:rsidR="004D7B8C" w:rsidRPr="003743EA" w:rsidRDefault="0007378D" w:rsidP="0073474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62626"/>
                <w:sz w:val="20"/>
                <w:szCs w:val="20"/>
              </w:rPr>
            </w:pPr>
            <w:r w:rsidRPr="003743EA">
              <w:rPr>
                <w:rFonts w:asciiTheme="minorHAnsi" w:hAnsiTheme="minorHAnsi" w:cstheme="minorHAnsi"/>
                <w:color w:val="262626"/>
                <w:sz w:val="20"/>
                <w:szCs w:val="20"/>
              </w:rPr>
              <w:t>Jordan</w:t>
            </w:r>
            <w:r w:rsidR="004D7B8C" w:rsidRPr="003743EA">
              <w:rPr>
                <w:rFonts w:asciiTheme="minorHAnsi" w:hAnsiTheme="minorHAnsi" w:cstheme="minorHAnsi"/>
                <w:color w:val="262626"/>
                <w:sz w:val="20"/>
                <w:szCs w:val="20"/>
              </w:rPr>
              <w:t xml:space="preserve"> CO</w:t>
            </w:r>
          </w:p>
        </w:tc>
        <w:tc>
          <w:tcPr>
            <w:tcW w:w="1134" w:type="dxa"/>
          </w:tcPr>
          <w:p w14:paraId="7C739138" w14:textId="77777777" w:rsidR="004D7B8C" w:rsidRPr="003743EA" w:rsidRDefault="004D7B8C" w:rsidP="0073474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0"/>
                <w:szCs w:val="20"/>
              </w:rPr>
            </w:pPr>
            <w:r w:rsidRPr="003743EA">
              <w:rPr>
                <w:rFonts w:asciiTheme="minorHAnsi" w:hAnsiTheme="minorHAnsi" w:cstheme="minorHAnsi"/>
                <w:b/>
                <w:bCs/>
                <w:sz w:val="20"/>
                <w:szCs w:val="20"/>
              </w:rPr>
              <w:t>Low</w:t>
            </w:r>
          </w:p>
        </w:tc>
        <w:tc>
          <w:tcPr>
            <w:tcW w:w="4388" w:type="dxa"/>
          </w:tcPr>
          <w:p w14:paraId="78970FD2" w14:textId="77777777" w:rsidR="004D7B8C" w:rsidRPr="003743EA" w:rsidRDefault="004D7B8C" w:rsidP="0073474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3743EA">
              <w:rPr>
                <w:rFonts w:asciiTheme="minorHAnsi" w:hAnsiTheme="minorHAnsi" w:cstheme="minorHAnsi"/>
                <w:sz w:val="20"/>
                <w:szCs w:val="20"/>
              </w:rPr>
              <w:t xml:space="preserve">Ensure a plan or agreement is in place – via a MoU or open dialogue between the </w:t>
            </w:r>
            <w:r w:rsidR="004D095B" w:rsidRPr="003743EA">
              <w:rPr>
                <w:rFonts w:asciiTheme="minorHAnsi" w:hAnsiTheme="minorHAnsi" w:cstheme="minorHAnsi"/>
                <w:sz w:val="20"/>
                <w:szCs w:val="20"/>
              </w:rPr>
              <w:t xml:space="preserve">UN Women </w:t>
            </w:r>
            <w:r w:rsidRPr="003743EA">
              <w:rPr>
                <w:rFonts w:asciiTheme="minorHAnsi" w:hAnsiTheme="minorHAnsi" w:cstheme="minorHAnsi"/>
                <w:sz w:val="20"/>
                <w:szCs w:val="20"/>
              </w:rPr>
              <w:t xml:space="preserve">CO and research partners </w:t>
            </w:r>
            <w:r w:rsidR="002E3AC3" w:rsidRPr="003743EA">
              <w:rPr>
                <w:rFonts w:asciiTheme="minorHAnsi" w:hAnsiTheme="minorHAnsi" w:cstheme="minorHAnsi"/>
                <w:sz w:val="20"/>
                <w:szCs w:val="20"/>
              </w:rPr>
              <w:t>–</w:t>
            </w:r>
            <w:r w:rsidRPr="003743EA">
              <w:rPr>
                <w:rFonts w:asciiTheme="minorHAnsi" w:hAnsiTheme="minorHAnsi" w:cstheme="minorHAnsi"/>
                <w:sz w:val="20"/>
                <w:szCs w:val="20"/>
              </w:rPr>
              <w:t xml:space="preserve"> that ensures institutional memory is retained in </w:t>
            </w:r>
            <w:proofErr w:type="gramStart"/>
            <w:r w:rsidRPr="003743EA">
              <w:rPr>
                <w:rFonts w:asciiTheme="minorHAnsi" w:hAnsiTheme="minorHAnsi" w:cstheme="minorHAnsi"/>
                <w:sz w:val="20"/>
                <w:szCs w:val="20"/>
              </w:rPr>
              <w:t>Phase II, and</w:t>
            </w:r>
            <w:proofErr w:type="gramEnd"/>
            <w:r w:rsidRPr="003743EA">
              <w:rPr>
                <w:rFonts w:asciiTheme="minorHAnsi" w:hAnsiTheme="minorHAnsi" w:cstheme="minorHAnsi"/>
                <w:sz w:val="20"/>
                <w:szCs w:val="20"/>
              </w:rPr>
              <w:t xml:space="preserve"> maximises the role of civil society partners.</w:t>
            </w:r>
          </w:p>
        </w:tc>
      </w:tr>
      <w:tr w:rsidR="007C168D" w:rsidRPr="003743EA" w14:paraId="18468781" w14:textId="77777777" w:rsidTr="00476A17">
        <w:tc>
          <w:tcPr>
            <w:cnfStyle w:val="001000000000" w:firstRow="0" w:lastRow="0" w:firstColumn="1" w:lastColumn="0" w:oddVBand="0" w:evenVBand="0" w:oddHBand="0" w:evenHBand="0" w:firstRowFirstColumn="0" w:firstRowLastColumn="0" w:lastRowFirstColumn="0" w:lastRowLastColumn="0"/>
            <w:tcW w:w="236" w:type="dxa"/>
          </w:tcPr>
          <w:p w14:paraId="77862C62" w14:textId="77777777" w:rsidR="004D7B8C" w:rsidRPr="003743EA" w:rsidRDefault="003606DB" w:rsidP="0073474D">
            <w:pPr>
              <w:rPr>
                <w:rFonts w:asciiTheme="minorHAnsi" w:hAnsiTheme="minorHAnsi" w:cstheme="minorHAnsi"/>
                <w:b w:val="0"/>
                <w:bCs w:val="0"/>
                <w:sz w:val="20"/>
                <w:szCs w:val="20"/>
              </w:rPr>
            </w:pPr>
            <w:r w:rsidRPr="003743EA">
              <w:rPr>
                <w:rFonts w:asciiTheme="minorHAnsi" w:hAnsiTheme="minorHAnsi" w:cstheme="minorHAnsi"/>
                <w:sz w:val="20"/>
                <w:szCs w:val="20"/>
              </w:rPr>
              <w:t>4</w:t>
            </w:r>
          </w:p>
        </w:tc>
        <w:tc>
          <w:tcPr>
            <w:tcW w:w="4872" w:type="dxa"/>
          </w:tcPr>
          <w:p w14:paraId="71619E8A" w14:textId="6394C408" w:rsidR="004D7B8C" w:rsidRPr="003743EA" w:rsidRDefault="004D7B8C" w:rsidP="0073474D">
            <w:pPr>
              <w:ind w:left="36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3743EA">
              <w:rPr>
                <w:rFonts w:asciiTheme="minorHAnsi" w:hAnsiTheme="minorHAnsi" w:cstheme="minorHAnsi"/>
                <w:sz w:val="20"/>
                <w:szCs w:val="20"/>
              </w:rPr>
              <w:t>Take advantage of the considerable potential of forthcoming IMAGES study findings by developing a detailed communications and knowledge uptake strategy</w:t>
            </w:r>
            <w:r w:rsidR="00F33612" w:rsidRPr="003743EA">
              <w:rPr>
                <w:rFonts w:asciiTheme="minorHAnsi" w:hAnsiTheme="minorHAnsi" w:cstheme="minorHAnsi"/>
                <w:sz w:val="20"/>
                <w:szCs w:val="20"/>
              </w:rPr>
              <w:t>.</w:t>
            </w:r>
          </w:p>
          <w:p w14:paraId="490C068C" w14:textId="77777777" w:rsidR="004D7B8C" w:rsidRPr="003743EA" w:rsidRDefault="004D7B8C" w:rsidP="0073474D">
            <w:pPr>
              <w:ind w:left="36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p w14:paraId="6D6410C8" w14:textId="77777777" w:rsidR="004D7B8C" w:rsidRPr="003743EA" w:rsidRDefault="004D7B8C" w:rsidP="0073474D">
            <w:pPr>
              <w:ind w:left="36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1535" w:type="dxa"/>
          </w:tcPr>
          <w:p w14:paraId="32E4C663" w14:textId="77777777" w:rsidR="004D7B8C" w:rsidRPr="003743EA" w:rsidRDefault="004D7B8C" w:rsidP="0073474D">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3743EA">
              <w:rPr>
                <w:rFonts w:asciiTheme="minorHAnsi" w:hAnsiTheme="minorHAnsi" w:cstheme="minorHAnsi"/>
                <w:sz w:val="20"/>
                <w:szCs w:val="20"/>
              </w:rPr>
              <w:t>Strategic</w:t>
            </w:r>
          </w:p>
        </w:tc>
        <w:tc>
          <w:tcPr>
            <w:tcW w:w="1007" w:type="dxa"/>
          </w:tcPr>
          <w:p w14:paraId="0D9B9604" w14:textId="77777777" w:rsidR="004D7B8C" w:rsidRPr="003743EA" w:rsidRDefault="004D7B8C" w:rsidP="0073474D">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3743EA">
              <w:rPr>
                <w:rFonts w:asciiTheme="minorHAnsi" w:hAnsiTheme="minorHAnsi" w:cstheme="minorHAnsi"/>
                <w:sz w:val="20"/>
                <w:szCs w:val="20"/>
              </w:rPr>
              <w:t>6, 7</w:t>
            </w:r>
          </w:p>
        </w:tc>
        <w:tc>
          <w:tcPr>
            <w:tcW w:w="1417" w:type="dxa"/>
          </w:tcPr>
          <w:p w14:paraId="24D6C6F6" w14:textId="77777777" w:rsidR="004D7B8C" w:rsidRPr="003743EA" w:rsidRDefault="004D7B8C" w:rsidP="0073474D">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62626"/>
                <w:sz w:val="20"/>
                <w:szCs w:val="20"/>
              </w:rPr>
            </w:pPr>
            <w:r w:rsidRPr="003743EA">
              <w:rPr>
                <w:rFonts w:asciiTheme="minorHAnsi" w:hAnsiTheme="minorHAnsi" w:cstheme="minorHAnsi"/>
                <w:sz w:val="20"/>
                <w:szCs w:val="20"/>
              </w:rPr>
              <w:t xml:space="preserve">ROAS, </w:t>
            </w:r>
            <w:r w:rsidR="0007378D" w:rsidRPr="003743EA">
              <w:rPr>
                <w:rFonts w:asciiTheme="minorHAnsi" w:hAnsiTheme="minorHAnsi" w:cstheme="minorHAnsi"/>
                <w:color w:val="262626"/>
                <w:sz w:val="20"/>
                <w:szCs w:val="20"/>
              </w:rPr>
              <w:t>Jordan</w:t>
            </w:r>
            <w:r w:rsidRPr="003743EA">
              <w:rPr>
                <w:rFonts w:asciiTheme="minorHAnsi" w:hAnsiTheme="minorHAnsi" w:cstheme="minorHAnsi"/>
                <w:color w:val="262626"/>
                <w:sz w:val="20"/>
                <w:szCs w:val="20"/>
              </w:rPr>
              <w:t xml:space="preserve"> CO</w:t>
            </w:r>
          </w:p>
        </w:tc>
        <w:tc>
          <w:tcPr>
            <w:tcW w:w="1134" w:type="dxa"/>
          </w:tcPr>
          <w:p w14:paraId="5E9B84FC" w14:textId="77777777" w:rsidR="004D7B8C" w:rsidRPr="003743EA" w:rsidRDefault="004D7B8C" w:rsidP="0073474D">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szCs w:val="20"/>
              </w:rPr>
            </w:pPr>
            <w:r w:rsidRPr="003743EA">
              <w:rPr>
                <w:rFonts w:asciiTheme="minorHAnsi" w:hAnsiTheme="minorHAnsi" w:cstheme="minorHAnsi"/>
                <w:b/>
                <w:bCs/>
                <w:sz w:val="20"/>
                <w:szCs w:val="20"/>
              </w:rPr>
              <w:t>High</w:t>
            </w:r>
          </w:p>
        </w:tc>
        <w:tc>
          <w:tcPr>
            <w:tcW w:w="4388" w:type="dxa"/>
          </w:tcPr>
          <w:p w14:paraId="0F49AB8A" w14:textId="77777777" w:rsidR="004D7B8C" w:rsidRPr="003743EA" w:rsidRDefault="004D7B8C" w:rsidP="0073474D">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3743EA">
              <w:rPr>
                <w:rFonts w:asciiTheme="minorHAnsi" w:hAnsiTheme="minorHAnsi" w:cstheme="minorHAnsi"/>
                <w:sz w:val="20"/>
                <w:szCs w:val="20"/>
              </w:rPr>
              <w:t>Jordan CO to work closely with CSS and IRCKHF (and other knowledge uptake and communications specialists as needed) at the end of Phase I to map policy windows so that IMAGES evidence can be appropriately prepared and framed for maximum uptake</w:t>
            </w:r>
          </w:p>
        </w:tc>
      </w:tr>
    </w:tbl>
    <w:p w14:paraId="64C92672" w14:textId="77777777" w:rsidR="006950C4" w:rsidRPr="00246336" w:rsidRDefault="006950C4" w:rsidP="007F6DFD">
      <w:pPr>
        <w:pStyle w:val="ItadH2Numbered"/>
        <w:rPr>
          <w:b w:val="0"/>
          <w:bCs w:val="0"/>
        </w:rPr>
        <w:sectPr w:rsidR="006950C4" w:rsidRPr="00246336" w:rsidSect="00AD5702">
          <w:pgSz w:w="16838" w:h="11906" w:orient="landscape" w:code="9"/>
          <w:pgMar w:top="1191" w:right="1134" w:bottom="1191" w:left="1134" w:header="720" w:footer="680" w:gutter="0"/>
          <w:cols w:space="720"/>
          <w:docGrid w:linePitch="360"/>
        </w:sectPr>
      </w:pPr>
    </w:p>
    <w:p w14:paraId="13D4C14D" w14:textId="77777777" w:rsidR="000760D5" w:rsidRPr="00917CBB" w:rsidRDefault="00917CBB" w:rsidP="00917CBB">
      <w:pPr>
        <w:pStyle w:val="ItadNormalText"/>
        <w:rPr>
          <w:rFonts w:ascii="CubeOT" w:hAnsi="CubeOT" w:cs="CubeOT"/>
          <w:color w:val="E37230" w:themeColor="accent2"/>
          <w:sz w:val="36"/>
          <w:szCs w:val="36"/>
        </w:rPr>
      </w:pPr>
      <w:r w:rsidRPr="00917CBB">
        <w:rPr>
          <w:rFonts w:ascii="CubeOT" w:hAnsi="CubeOT" w:cs="CubeOT"/>
          <w:color w:val="E37230" w:themeColor="accent2"/>
          <w:sz w:val="36"/>
          <w:szCs w:val="36"/>
        </w:rPr>
        <w:lastRenderedPageBreak/>
        <w:t>Lebanon</w:t>
      </w:r>
    </w:p>
    <w:tbl>
      <w:tblPr>
        <w:tblStyle w:val="PlainTable11"/>
        <w:tblW w:w="14596" w:type="dxa"/>
        <w:tblLayout w:type="fixed"/>
        <w:tblLook w:val="04A0" w:firstRow="1" w:lastRow="0" w:firstColumn="1" w:lastColumn="0" w:noHBand="0" w:noVBand="1"/>
      </w:tblPr>
      <w:tblGrid>
        <w:gridCol w:w="421"/>
        <w:gridCol w:w="3969"/>
        <w:gridCol w:w="1559"/>
        <w:gridCol w:w="1134"/>
        <w:gridCol w:w="1559"/>
        <w:gridCol w:w="992"/>
        <w:gridCol w:w="4962"/>
      </w:tblGrid>
      <w:tr w:rsidR="00D36EE8" w:rsidRPr="003743EA" w14:paraId="34B61B63" w14:textId="77777777" w:rsidTr="001C6D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gridSpan w:val="2"/>
          </w:tcPr>
          <w:p w14:paraId="6408714D" w14:textId="77777777" w:rsidR="002A2F3B" w:rsidRPr="003743EA" w:rsidRDefault="002A2F3B" w:rsidP="002A2F3B">
            <w:pPr>
              <w:tabs>
                <w:tab w:val="left" w:pos="1418"/>
              </w:tabs>
              <w:spacing w:before="120" w:after="120"/>
              <w:rPr>
                <w:color w:val="000000"/>
                <w:sz w:val="20"/>
                <w:szCs w:val="20"/>
              </w:rPr>
            </w:pPr>
            <w:r w:rsidRPr="003743EA">
              <w:rPr>
                <w:color w:val="000000"/>
                <w:sz w:val="20"/>
                <w:szCs w:val="20"/>
              </w:rPr>
              <w:t xml:space="preserve">Recommendation </w:t>
            </w:r>
          </w:p>
          <w:p w14:paraId="32EF7802" w14:textId="77777777" w:rsidR="002A2F3B" w:rsidRPr="003743EA" w:rsidRDefault="002A2F3B" w:rsidP="002A2F3B">
            <w:pPr>
              <w:tabs>
                <w:tab w:val="left" w:pos="1418"/>
              </w:tabs>
              <w:spacing w:before="120" w:after="120"/>
              <w:rPr>
                <w:color w:val="000000"/>
                <w:sz w:val="20"/>
                <w:szCs w:val="20"/>
              </w:rPr>
            </w:pPr>
          </w:p>
        </w:tc>
        <w:tc>
          <w:tcPr>
            <w:tcW w:w="1559" w:type="dxa"/>
            <w:hideMark/>
          </w:tcPr>
          <w:p w14:paraId="27DBA0D2" w14:textId="77777777" w:rsidR="002A2F3B" w:rsidRPr="003743EA" w:rsidRDefault="002A2F3B" w:rsidP="002A2F3B">
            <w:pPr>
              <w:tabs>
                <w:tab w:val="left" w:pos="1418"/>
              </w:tabs>
              <w:spacing w:before="120" w:after="120"/>
              <w:cnfStyle w:val="100000000000" w:firstRow="1" w:lastRow="0" w:firstColumn="0" w:lastColumn="0" w:oddVBand="0" w:evenVBand="0" w:oddHBand="0" w:evenHBand="0" w:firstRowFirstColumn="0" w:firstRowLastColumn="0" w:lastRowFirstColumn="0" w:lastRowLastColumn="0"/>
              <w:rPr>
                <w:color w:val="000000"/>
                <w:sz w:val="20"/>
                <w:szCs w:val="20"/>
              </w:rPr>
            </w:pPr>
            <w:r w:rsidRPr="003743EA">
              <w:rPr>
                <w:color w:val="000000"/>
                <w:sz w:val="20"/>
                <w:szCs w:val="20"/>
              </w:rPr>
              <w:t>Level</w:t>
            </w:r>
          </w:p>
        </w:tc>
        <w:tc>
          <w:tcPr>
            <w:tcW w:w="1134" w:type="dxa"/>
            <w:hideMark/>
          </w:tcPr>
          <w:p w14:paraId="2FB565B1" w14:textId="77777777" w:rsidR="002A2F3B" w:rsidRPr="003743EA" w:rsidRDefault="002A2F3B" w:rsidP="002A2F3B">
            <w:pPr>
              <w:tabs>
                <w:tab w:val="left" w:pos="1418"/>
              </w:tabs>
              <w:spacing w:before="120" w:after="120"/>
              <w:cnfStyle w:val="100000000000" w:firstRow="1" w:lastRow="0" w:firstColumn="0" w:lastColumn="0" w:oddVBand="0" w:evenVBand="0" w:oddHBand="0" w:evenHBand="0" w:firstRowFirstColumn="0" w:firstRowLastColumn="0" w:lastRowFirstColumn="0" w:lastRowLastColumn="0"/>
              <w:rPr>
                <w:color w:val="000000"/>
                <w:sz w:val="20"/>
                <w:szCs w:val="20"/>
              </w:rPr>
            </w:pPr>
            <w:r w:rsidRPr="003743EA">
              <w:rPr>
                <w:color w:val="000000"/>
                <w:sz w:val="20"/>
                <w:szCs w:val="20"/>
              </w:rPr>
              <w:t>Linked conclusions</w:t>
            </w:r>
          </w:p>
        </w:tc>
        <w:tc>
          <w:tcPr>
            <w:tcW w:w="1559" w:type="dxa"/>
            <w:hideMark/>
          </w:tcPr>
          <w:p w14:paraId="5D0B0320" w14:textId="77777777" w:rsidR="002A2F3B" w:rsidRPr="003743EA" w:rsidRDefault="002A2F3B" w:rsidP="002A2F3B">
            <w:pPr>
              <w:tabs>
                <w:tab w:val="left" w:pos="1418"/>
              </w:tabs>
              <w:spacing w:before="120" w:after="120"/>
              <w:cnfStyle w:val="100000000000" w:firstRow="1" w:lastRow="0" w:firstColumn="0" w:lastColumn="0" w:oddVBand="0" w:evenVBand="0" w:oddHBand="0" w:evenHBand="0" w:firstRowFirstColumn="0" w:firstRowLastColumn="0" w:lastRowFirstColumn="0" w:lastRowLastColumn="0"/>
              <w:rPr>
                <w:color w:val="000000"/>
                <w:sz w:val="20"/>
                <w:szCs w:val="20"/>
              </w:rPr>
            </w:pPr>
            <w:r w:rsidRPr="003743EA">
              <w:rPr>
                <w:color w:val="000000"/>
                <w:sz w:val="20"/>
                <w:szCs w:val="20"/>
              </w:rPr>
              <w:t>Directed</w:t>
            </w:r>
          </w:p>
        </w:tc>
        <w:tc>
          <w:tcPr>
            <w:tcW w:w="992" w:type="dxa"/>
            <w:hideMark/>
          </w:tcPr>
          <w:p w14:paraId="0A83DBF0" w14:textId="77777777" w:rsidR="002A2F3B" w:rsidRPr="003743EA" w:rsidRDefault="002A2F3B" w:rsidP="00C80D78">
            <w:pPr>
              <w:tabs>
                <w:tab w:val="left" w:pos="1418"/>
              </w:tabs>
              <w:spacing w:before="120" w:after="120"/>
              <w:ind w:left="-106"/>
              <w:cnfStyle w:val="100000000000" w:firstRow="1" w:lastRow="0" w:firstColumn="0" w:lastColumn="0" w:oddVBand="0" w:evenVBand="0" w:oddHBand="0" w:evenHBand="0" w:firstRowFirstColumn="0" w:firstRowLastColumn="0" w:lastRowFirstColumn="0" w:lastRowLastColumn="0"/>
              <w:rPr>
                <w:color w:val="000000"/>
                <w:sz w:val="20"/>
                <w:szCs w:val="20"/>
              </w:rPr>
            </w:pPr>
            <w:r w:rsidRPr="003743EA">
              <w:rPr>
                <w:color w:val="000000"/>
                <w:sz w:val="20"/>
                <w:szCs w:val="20"/>
              </w:rPr>
              <w:t>Ranking</w:t>
            </w:r>
            <w:r w:rsidR="001C39AB" w:rsidRPr="003743EA">
              <w:rPr>
                <w:color w:val="000000"/>
                <w:sz w:val="20"/>
                <w:szCs w:val="20"/>
              </w:rPr>
              <w:t xml:space="preserve"> </w:t>
            </w:r>
            <w:r w:rsidR="00A15BB4" w:rsidRPr="003743EA">
              <w:rPr>
                <w:sz w:val="20"/>
                <w:szCs w:val="20"/>
              </w:rPr>
              <w:t>(urgency of action)</w:t>
            </w:r>
          </w:p>
        </w:tc>
        <w:tc>
          <w:tcPr>
            <w:tcW w:w="4962" w:type="dxa"/>
            <w:hideMark/>
          </w:tcPr>
          <w:p w14:paraId="7F993C95" w14:textId="77777777" w:rsidR="002A2F3B" w:rsidRPr="003743EA" w:rsidRDefault="002A2F3B" w:rsidP="002A2F3B">
            <w:pPr>
              <w:tabs>
                <w:tab w:val="left" w:pos="1418"/>
              </w:tabs>
              <w:spacing w:before="120" w:after="120"/>
              <w:cnfStyle w:val="100000000000" w:firstRow="1" w:lastRow="0" w:firstColumn="0" w:lastColumn="0" w:oddVBand="0" w:evenVBand="0" w:oddHBand="0" w:evenHBand="0" w:firstRowFirstColumn="0" w:firstRowLastColumn="0" w:lastRowFirstColumn="0" w:lastRowLastColumn="0"/>
              <w:rPr>
                <w:color w:val="000000"/>
                <w:sz w:val="20"/>
                <w:szCs w:val="20"/>
              </w:rPr>
            </w:pPr>
            <w:r w:rsidRPr="003743EA">
              <w:rPr>
                <w:color w:val="000000"/>
                <w:sz w:val="20"/>
                <w:szCs w:val="20"/>
              </w:rPr>
              <w:t>How Action Can be Supported</w:t>
            </w:r>
          </w:p>
        </w:tc>
      </w:tr>
      <w:tr w:rsidR="00B157B7" w:rsidRPr="003743EA" w14:paraId="39CCAA0A" w14:textId="77777777" w:rsidTr="001C6D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hideMark/>
          </w:tcPr>
          <w:p w14:paraId="49457729" w14:textId="77777777" w:rsidR="002A2F3B" w:rsidRPr="003743EA" w:rsidRDefault="002A2F3B" w:rsidP="002A2F3B">
            <w:pPr>
              <w:tabs>
                <w:tab w:val="left" w:pos="1418"/>
              </w:tabs>
              <w:spacing w:before="120" w:after="120"/>
              <w:rPr>
                <w:color w:val="000000"/>
                <w:sz w:val="20"/>
                <w:szCs w:val="20"/>
              </w:rPr>
            </w:pPr>
            <w:r w:rsidRPr="003743EA">
              <w:rPr>
                <w:color w:val="000000"/>
                <w:sz w:val="20"/>
                <w:szCs w:val="20"/>
              </w:rPr>
              <w:t>1</w:t>
            </w:r>
          </w:p>
        </w:tc>
        <w:tc>
          <w:tcPr>
            <w:tcW w:w="3969" w:type="dxa"/>
            <w:hideMark/>
          </w:tcPr>
          <w:p w14:paraId="08F943B4" w14:textId="77777777" w:rsidR="002A2F3B" w:rsidRPr="003743EA" w:rsidRDefault="002A2F3B" w:rsidP="001B2F4C">
            <w:pPr>
              <w:tabs>
                <w:tab w:val="left" w:pos="1418"/>
              </w:tabs>
              <w:spacing w:before="120" w:after="120"/>
              <w:jc w:val="both"/>
              <w:cnfStyle w:val="000000100000" w:firstRow="0" w:lastRow="0" w:firstColumn="0" w:lastColumn="0" w:oddVBand="0" w:evenVBand="0" w:oddHBand="1" w:evenHBand="0" w:firstRowFirstColumn="0" w:firstRowLastColumn="0" w:lastRowFirstColumn="0" w:lastRowLastColumn="0"/>
              <w:rPr>
                <w:color w:val="000000"/>
                <w:sz w:val="20"/>
                <w:szCs w:val="20"/>
              </w:rPr>
            </w:pPr>
            <w:r w:rsidRPr="003743EA">
              <w:rPr>
                <w:color w:val="000000"/>
                <w:sz w:val="20"/>
                <w:szCs w:val="20"/>
              </w:rPr>
              <w:t xml:space="preserve">The regional and country-level implementers, </w:t>
            </w:r>
            <w:proofErr w:type="gramStart"/>
            <w:r w:rsidRPr="003743EA">
              <w:rPr>
                <w:color w:val="000000"/>
                <w:sz w:val="20"/>
                <w:szCs w:val="20"/>
              </w:rPr>
              <w:t>in particular the</w:t>
            </w:r>
            <w:proofErr w:type="gramEnd"/>
            <w:r w:rsidRPr="003743EA">
              <w:rPr>
                <w:color w:val="000000"/>
                <w:sz w:val="20"/>
                <w:szCs w:val="20"/>
              </w:rPr>
              <w:t xml:space="preserve"> regional and country offices, need at the outset of the </w:t>
            </w:r>
            <w:proofErr w:type="spellStart"/>
            <w:r w:rsidRPr="003743EA">
              <w:rPr>
                <w:color w:val="000000"/>
                <w:sz w:val="20"/>
                <w:szCs w:val="20"/>
              </w:rPr>
              <w:t>programme</w:t>
            </w:r>
            <w:proofErr w:type="spellEnd"/>
            <w:r w:rsidRPr="003743EA">
              <w:rPr>
                <w:color w:val="000000"/>
                <w:sz w:val="20"/>
                <w:szCs w:val="20"/>
              </w:rPr>
              <w:t xml:space="preserve"> to decide on clear rules on how far national implementation can deviate within the overall parameters of the regional </w:t>
            </w:r>
            <w:proofErr w:type="spellStart"/>
            <w:r w:rsidRPr="003743EA">
              <w:rPr>
                <w:color w:val="000000"/>
                <w:sz w:val="20"/>
                <w:szCs w:val="20"/>
              </w:rPr>
              <w:t>programme</w:t>
            </w:r>
            <w:proofErr w:type="spellEnd"/>
            <w:r w:rsidRPr="003743EA">
              <w:rPr>
                <w:color w:val="000000"/>
                <w:sz w:val="20"/>
                <w:szCs w:val="20"/>
              </w:rPr>
              <w:t>, what the process is, and agree these with the donor</w:t>
            </w:r>
            <w:r w:rsidR="001B2F4C" w:rsidRPr="003743EA">
              <w:rPr>
                <w:color w:val="000000"/>
                <w:sz w:val="20"/>
                <w:szCs w:val="20"/>
              </w:rPr>
              <w:t>.</w:t>
            </w:r>
            <w:r w:rsidRPr="003743EA">
              <w:rPr>
                <w:color w:val="000000"/>
                <w:sz w:val="20"/>
                <w:szCs w:val="20"/>
              </w:rPr>
              <w:t xml:space="preserve">  </w:t>
            </w:r>
          </w:p>
        </w:tc>
        <w:tc>
          <w:tcPr>
            <w:tcW w:w="1559" w:type="dxa"/>
            <w:hideMark/>
          </w:tcPr>
          <w:p w14:paraId="5DA701C4" w14:textId="77777777" w:rsidR="002A2F3B" w:rsidRPr="003743EA" w:rsidRDefault="002A2F3B" w:rsidP="002A2F3B">
            <w:pPr>
              <w:tabs>
                <w:tab w:val="left" w:pos="1418"/>
              </w:tabs>
              <w:spacing w:before="120" w:after="120"/>
              <w:cnfStyle w:val="000000100000" w:firstRow="0" w:lastRow="0" w:firstColumn="0" w:lastColumn="0" w:oddVBand="0" w:evenVBand="0" w:oddHBand="1" w:evenHBand="0" w:firstRowFirstColumn="0" w:firstRowLastColumn="0" w:lastRowFirstColumn="0" w:lastRowLastColumn="0"/>
              <w:rPr>
                <w:color w:val="000000"/>
                <w:sz w:val="20"/>
                <w:szCs w:val="20"/>
              </w:rPr>
            </w:pPr>
            <w:r w:rsidRPr="003743EA">
              <w:rPr>
                <w:color w:val="000000"/>
                <w:sz w:val="20"/>
                <w:szCs w:val="20"/>
              </w:rPr>
              <w:t>Strategic</w:t>
            </w:r>
          </w:p>
        </w:tc>
        <w:tc>
          <w:tcPr>
            <w:tcW w:w="1134" w:type="dxa"/>
            <w:hideMark/>
          </w:tcPr>
          <w:p w14:paraId="6AFBB0F0" w14:textId="77777777" w:rsidR="002A2F3B" w:rsidRPr="003743EA" w:rsidRDefault="002A2F3B" w:rsidP="002A2F3B">
            <w:pPr>
              <w:tabs>
                <w:tab w:val="left" w:pos="1418"/>
              </w:tabs>
              <w:spacing w:before="120" w:after="120"/>
              <w:cnfStyle w:val="000000100000" w:firstRow="0" w:lastRow="0" w:firstColumn="0" w:lastColumn="0" w:oddVBand="0" w:evenVBand="0" w:oddHBand="1" w:evenHBand="0" w:firstRowFirstColumn="0" w:firstRowLastColumn="0" w:lastRowFirstColumn="0" w:lastRowLastColumn="0"/>
              <w:rPr>
                <w:color w:val="000000"/>
                <w:sz w:val="20"/>
                <w:szCs w:val="20"/>
              </w:rPr>
            </w:pPr>
            <w:r w:rsidRPr="003743EA">
              <w:rPr>
                <w:color w:val="000000"/>
                <w:sz w:val="20"/>
                <w:szCs w:val="20"/>
              </w:rPr>
              <w:t>1, 2</w:t>
            </w:r>
          </w:p>
        </w:tc>
        <w:tc>
          <w:tcPr>
            <w:tcW w:w="1559" w:type="dxa"/>
            <w:hideMark/>
          </w:tcPr>
          <w:p w14:paraId="54BFE73D" w14:textId="77777777" w:rsidR="002A2F3B" w:rsidRPr="003743EA" w:rsidRDefault="002A2F3B" w:rsidP="002A2F3B">
            <w:pPr>
              <w:tabs>
                <w:tab w:val="left" w:pos="1418"/>
              </w:tabs>
              <w:spacing w:before="120" w:after="120"/>
              <w:cnfStyle w:val="000000100000" w:firstRow="0" w:lastRow="0" w:firstColumn="0" w:lastColumn="0" w:oddVBand="0" w:evenVBand="0" w:oddHBand="1" w:evenHBand="0" w:firstRowFirstColumn="0" w:firstRowLastColumn="0" w:lastRowFirstColumn="0" w:lastRowLastColumn="0"/>
              <w:rPr>
                <w:color w:val="000000"/>
                <w:sz w:val="20"/>
                <w:szCs w:val="20"/>
              </w:rPr>
            </w:pPr>
            <w:r w:rsidRPr="003743EA">
              <w:rPr>
                <w:rFonts w:cs="Calibri"/>
                <w:color w:val="262626"/>
                <w:sz w:val="20"/>
                <w:szCs w:val="20"/>
              </w:rPr>
              <w:t>UN Women (regional/CO)</w:t>
            </w:r>
            <w:r w:rsidRPr="003743EA">
              <w:rPr>
                <w:color w:val="000000"/>
                <w:sz w:val="20"/>
                <w:szCs w:val="20"/>
              </w:rPr>
              <w:t xml:space="preserve">, </w:t>
            </w:r>
            <w:r w:rsidRPr="003743EA">
              <w:rPr>
                <w:rFonts w:cs="Calibri"/>
                <w:color w:val="262626"/>
                <w:sz w:val="20"/>
                <w:szCs w:val="20"/>
                <w:lang w:val="es-ES"/>
              </w:rPr>
              <w:t>SIDA</w:t>
            </w:r>
            <w:r w:rsidRPr="003743EA">
              <w:rPr>
                <w:color w:val="000000"/>
                <w:sz w:val="20"/>
                <w:szCs w:val="20"/>
              </w:rPr>
              <w:t>/other donors</w:t>
            </w:r>
          </w:p>
        </w:tc>
        <w:tc>
          <w:tcPr>
            <w:tcW w:w="992" w:type="dxa"/>
          </w:tcPr>
          <w:p w14:paraId="6116F955" w14:textId="77777777" w:rsidR="002A2F3B" w:rsidRPr="003743EA" w:rsidRDefault="002A2F3B" w:rsidP="002A2F3B">
            <w:pPr>
              <w:tabs>
                <w:tab w:val="left" w:pos="1418"/>
              </w:tabs>
              <w:spacing w:before="120" w:after="120"/>
              <w:cnfStyle w:val="000000100000" w:firstRow="0" w:lastRow="0" w:firstColumn="0" w:lastColumn="0" w:oddVBand="0" w:evenVBand="0" w:oddHBand="1" w:evenHBand="0" w:firstRowFirstColumn="0" w:firstRowLastColumn="0" w:lastRowFirstColumn="0" w:lastRowLastColumn="0"/>
              <w:rPr>
                <w:b/>
                <w:bCs/>
                <w:color w:val="000000"/>
                <w:sz w:val="20"/>
                <w:szCs w:val="20"/>
              </w:rPr>
            </w:pPr>
            <w:r w:rsidRPr="003743EA">
              <w:rPr>
                <w:b/>
                <w:bCs/>
                <w:color w:val="000000"/>
                <w:sz w:val="20"/>
                <w:szCs w:val="20"/>
              </w:rPr>
              <w:t>High</w:t>
            </w:r>
          </w:p>
        </w:tc>
        <w:tc>
          <w:tcPr>
            <w:tcW w:w="4962" w:type="dxa"/>
            <w:hideMark/>
          </w:tcPr>
          <w:p w14:paraId="49681A7B" w14:textId="77777777" w:rsidR="002A2F3B" w:rsidRPr="003743EA" w:rsidRDefault="002A2F3B" w:rsidP="001B2F4C">
            <w:pPr>
              <w:tabs>
                <w:tab w:val="left" w:pos="1418"/>
              </w:tabs>
              <w:spacing w:before="120" w:after="120"/>
              <w:jc w:val="both"/>
              <w:cnfStyle w:val="000000100000" w:firstRow="0" w:lastRow="0" w:firstColumn="0" w:lastColumn="0" w:oddVBand="0" w:evenVBand="0" w:oddHBand="1" w:evenHBand="0" w:firstRowFirstColumn="0" w:firstRowLastColumn="0" w:lastRowFirstColumn="0" w:lastRowLastColumn="0"/>
              <w:rPr>
                <w:color w:val="000000"/>
                <w:sz w:val="20"/>
                <w:szCs w:val="20"/>
              </w:rPr>
            </w:pPr>
            <w:r w:rsidRPr="003743EA">
              <w:rPr>
                <w:color w:val="000000"/>
                <w:sz w:val="20"/>
                <w:szCs w:val="20"/>
              </w:rPr>
              <w:t xml:space="preserve">Go through scenarios of possible needs for national-level deviation, drawing on experiences in especially Phase II, and accompany this with a </w:t>
            </w:r>
            <w:r w:rsidRPr="003743EA">
              <w:rPr>
                <w:b/>
                <w:bCs/>
                <w:color w:val="000000"/>
                <w:sz w:val="20"/>
                <w:szCs w:val="20"/>
              </w:rPr>
              <w:t>costing exercise (including human resources)</w:t>
            </w:r>
            <w:r w:rsidRPr="003743EA">
              <w:rPr>
                <w:color w:val="000000"/>
                <w:sz w:val="20"/>
                <w:szCs w:val="20"/>
              </w:rPr>
              <w:t>, to the degree possible</w:t>
            </w:r>
            <w:r w:rsidR="001B2F4C" w:rsidRPr="003743EA">
              <w:rPr>
                <w:color w:val="000000"/>
                <w:sz w:val="20"/>
                <w:szCs w:val="20"/>
              </w:rPr>
              <w:t>.</w:t>
            </w:r>
          </w:p>
        </w:tc>
      </w:tr>
      <w:tr w:rsidR="00316B24" w:rsidRPr="003743EA" w14:paraId="7053EA14" w14:textId="77777777" w:rsidTr="001C6DAB">
        <w:tc>
          <w:tcPr>
            <w:cnfStyle w:val="001000000000" w:firstRow="0" w:lastRow="0" w:firstColumn="1" w:lastColumn="0" w:oddVBand="0" w:evenVBand="0" w:oddHBand="0" w:evenHBand="0" w:firstRowFirstColumn="0" w:firstRowLastColumn="0" w:lastRowFirstColumn="0" w:lastRowLastColumn="0"/>
            <w:tcW w:w="421" w:type="dxa"/>
            <w:hideMark/>
          </w:tcPr>
          <w:p w14:paraId="7BA414CD" w14:textId="77777777" w:rsidR="002A2F3B" w:rsidRPr="003743EA" w:rsidRDefault="002A2F3B" w:rsidP="002A2F3B">
            <w:pPr>
              <w:tabs>
                <w:tab w:val="left" w:pos="1418"/>
              </w:tabs>
              <w:spacing w:before="120" w:after="120"/>
              <w:rPr>
                <w:color w:val="000000"/>
                <w:sz w:val="20"/>
                <w:szCs w:val="20"/>
              </w:rPr>
            </w:pPr>
            <w:r w:rsidRPr="003743EA">
              <w:rPr>
                <w:color w:val="000000"/>
                <w:sz w:val="20"/>
                <w:szCs w:val="20"/>
              </w:rPr>
              <w:t>2</w:t>
            </w:r>
          </w:p>
        </w:tc>
        <w:tc>
          <w:tcPr>
            <w:tcW w:w="3969" w:type="dxa"/>
            <w:hideMark/>
          </w:tcPr>
          <w:p w14:paraId="60BEEE23" w14:textId="77777777" w:rsidR="002A2F3B" w:rsidRPr="003743EA" w:rsidRDefault="002A2F3B" w:rsidP="001B2F4C">
            <w:pPr>
              <w:tabs>
                <w:tab w:val="left" w:pos="1418"/>
              </w:tabs>
              <w:spacing w:before="120" w:after="120"/>
              <w:jc w:val="both"/>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743EA">
              <w:rPr>
                <w:color w:val="000000"/>
                <w:sz w:val="20"/>
                <w:szCs w:val="20"/>
              </w:rPr>
              <w:t xml:space="preserve">Enhance institutional uptake, in particular at national and local levels of government, work with implementing partners and other allies on developing joint and </w:t>
            </w:r>
            <w:proofErr w:type="spellStart"/>
            <w:r w:rsidRPr="003743EA">
              <w:rPr>
                <w:color w:val="000000"/>
                <w:sz w:val="20"/>
                <w:szCs w:val="20"/>
              </w:rPr>
              <w:t>co-ordinated</w:t>
            </w:r>
            <w:proofErr w:type="spellEnd"/>
            <w:r w:rsidRPr="003743EA">
              <w:rPr>
                <w:color w:val="000000"/>
                <w:sz w:val="20"/>
                <w:szCs w:val="20"/>
              </w:rPr>
              <w:t xml:space="preserve"> advocacy </w:t>
            </w:r>
            <w:proofErr w:type="gramStart"/>
            <w:r w:rsidRPr="003743EA">
              <w:rPr>
                <w:color w:val="000000"/>
                <w:sz w:val="20"/>
                <w:szCs w:val="20"/>
              </w:rPr>
              <w:t>efforts, and</w:t>
            </w:r>
            <w:proofErr w:type="gramEnd"/>
            <w:r w:rsidRPr="003743EA">
              <w:rPr>
                <w:color w:val="000000"/>
                <w:sz w:val="20"/>
                <w:szCs w:val="20"/>
              </w:rPr>
              <w:t xml:space="preserve"> ensure that these link with other </w:t>
            </w:r>
            <w:proofErr w:type="spellStart"/>
            <w:r w:rsidRPr="003743EA">
              <w:rPr>
                <w:color w:val="000000"/>
                <w:sz w:val="20"/>
                <w:szCs w:val="20"/>
              </w:rPr>
              <w:t>programme</w:t>
            </w:r>
            <w:proofErr w:type="spellEnd"/>
            <w:r w:rsidRPr="003743EA">
              <w:rPr>
                <w:color w:val="000000"/>
                <w:sz w:val="20"/>
                <w:szCs w:val="20"/>
              </w:rPr>
              <w:t xml:space="preserve"> activities as well as the regional level.   </w:t>
            </w:r>
          </w:p>
        </w:tc>
        <w:tc>
          <w:tcPr>
            <w:tcW w:w="1559" w:type="dxa"/>
            <w:hideMark/>
          </w:tcPr>
          <w:p w14:paraId="17C2A3B0" w14:textId="77777777" w:rsidR="002A2F3B" w:rsidRPr="003743EA" w:rsidRDefault="002A2F3B" w:rsidP="002A2F3B">
            <w:pPr>
              <w:tabs>
                <w:tab w:val="left" w:pos="1418"/>
              </w:tabs>
              <w:spacing w:before="120" w:after="120"/>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743EA">
              <w:rPr>
                <w:color w:val="000000"/>
                <w:sz w:val="20"/>
                <w:szCs w:val="20"/>
              </w:rPr>
              <w:t>Strategic/ Programmatic</w:t>
            </w:r>
          </w:p>
        </w:tc>
        <w:tc>
          <w:tcPr>
            <w:tcW w:w="1134" w:type="dxa"/>
            <w:hideMark/>
          </w:tcPr>
          <w:p w14:paraId="210E4ACA" w14:textId="77777777" w:rsidR="002A2F3B" w:rsidRPr="003743EA" w:rsidRDefault="002A2F3B" w:rsidP="002A2F3B">
            <w:pPr>
              <w:tabs>
                <w:tab w:val="left" w:pos="1418"/>
              </w:tabs>
              <w:spacing w:before="120" w:after="120"/>
              <w:cnfStyle w:val="000000000000" w:firstRow="0" w:lastRow="0" w:firstColumn="0" w:lastColumn="0" w:oddVBand="0" w:evenVBand="0" w:oddHBand="0" w:evenHBand="0" w:firstRowFirstColumn="0" w:firstRowLastColumn="0" w:lastRowFirstColumn="0" w:lastRowLastColumn="0"/>
              <w:rPr>
                <w:color w:val="000000"/>
                <w:sz w:val="20"/>
                <w:szCs w:val="20"/>
              </w:rPr>
            </w:pPr>
            <w:r w:rsidRPr="003743EA">
              <w:rPr>
                <w:color w:val="000000"/>
                <w:sz w:val="20"/>
                <w:szCs w:val="20"/>
              </w:rPr>
              <w:t>1, 3, 4, 5</w:t>
            </w:r>
          </w:p>
        </w:tc>
        <w:tc>
          <w:tcPr>
            <w:tcW w:w="1559" w:type="dxa"/>
            <w:hideMark/>
          </w:tcPr>
          <w:p w14:paraId="3C57F589" w14:textId="77777777" w:rsidR="002A2F3B" w:rsidRPr="003743EA" w:rsidRDefault="002A2F3B" w:rsidP="002A2F3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262626"/>
                <w:sz w:val="20"/>
                <w:szCs w:val="20"/>
              </w:rPr>
            </w:pPr>
            <w:r w:rsidRPr="003743EA">
              <w:rPr>
                <w:rFonts w:cs="Calibri"/>
                <w:color w:val="262626"/>
                <w:sz w:val="20"/>
                <w:szCs w:val="20"/>
              </w:rPr>
              <w:t>UN Women (regional/ CO)/ Implementing partners, third parties</w:t>
            </w:r>
          </w:p>
        </w:tc>
        <w:tc>
          <w:tcPr>
            <w:tcW w:w="992" w:type="dxa"/>
          </w:tcPr>
          <w:p w14:paraId="15734D8E" w14:textId="77777777" w:rsidR="002A2F3B" w:rsidRPr="003743EA" w:rsidRDefault="002A2F3B" w:rsidP="002A2F3B">
            <w:pPr>
              <w:tabs>
                <w:tab w:val="left" w:pos="1418"/>
              </w:tabs>
              <w:spacing w:before="120" w:after="120"/>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743EA">
              <w:rPr>
                <w:b/>
                <w:bCs/>
                <w:color w:val="000000"/>
                <w:sz w:val="20"/>
                <w:szCs w:val="20"/>
              </w:rPr>
              <w:t>Med</w:t>
            </w:r>
          </w:p>
        </w:tc>
        <w:tc>
          <w:tcPr>
            <w:tcW w:w="4962" w:type="dxa"/>
            <w:hideMark/>
          </w:tcPr>
          <w:p w14:paraId="037310B0" w14:textId="77777777" w:rsidR="002A2F3B" w:rsidRPr="003743EA" w:rsidRDefault="002A2F3B" w:rsidP="001B2F4C">
            <w:pPr>
              <w:tabs>
                <w:tab w:val="left" w:pos="1418"/>
              </w:tabs>
              <w:spacing w:before="120" w:after="120"/>
              <w:jc w:val="both"/>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743EA">
              <w:rPr>
                <w:color w:val="000000"/>
                <w:sz w:val="20"/>
                <w:szCs w:val="20"/>
              </w:rPr>
              <w:t>Identify key entry points, including with ‘unusual suspects,’ and ensure there is coherence in messaging and a joining up of different levels of activities, backed up with regional expertise, quality assurance and possibilities of amplifying the message</w:t>
            </w:r>
            <w:r w:rsidR="001B2F4C" w:rsidRPr="003743EA">
              <w:rPr>
                <w:color w:val="000000"/>
                <w:sz w:val="20"/>
                <w:szCs w:val="20"/>
              </w:rPr>
              <w:t>.</w:t>
            </w:r>
          </w:p>
        </w:tc>
      </w:tr>
      <w:tr w:rsidR="00B157B7" w:rsidRPr="003743EA" w14:paraId="07A312AC" w14:textId="77777777" w:rsidTr="001C6D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hideMark/>
          </w:tcPr>
          <w:p w14:paraId="5E47FFAB" w14:textId="77777777" w:rsidR="002A2F3B" w:rsidRPr="003743EA" w:rsidRDefault="002A2F3B" w:rsidP="002A2F3B">
            <w:pPr>
              <w:tabs>
                <w:tab w:val="left" w:pos="1418"/>
              </w:tabs>
              <w:spacing w:before="120" w:after="120"/>
              <w:rPr>
                <w:color w:val="000000"/>
                <w:sz w:val="20"/>
                <w:szCs w:val="20"/>
              </w:rPr>
            </w:pPr>
            <w:r w:rsidRPr="003743EA">
              <w:rPr>
                <w:color w:val="000000"/>
                <w:sz w:val="20"/>
                <w:szCs w:val="20"/>
              </w:rPr>
              <w:t>3</w:t>
            </w:r>
          </w:p>
        </w:tc>
        <w:tc>
          <w:tcPr>
            <w:tcW w:w="3969" w:type="dxa"/>
            <w:hideMark/>
          </w:tcPr>
          <w:p w14:paraId="0B282D73" w14:textId="77777777" w:rsidR="002A2F3B" w:rsidRPr="003743EA" w:rsidRDefault="002A2F3B" w:rsidP="001B2F4C">
            <w:pPr>
              <w:tabs>
                <w:tab w:val="left" w:pos="1418"/>
              </w:tabs>
              <w:spacing w:before="120" w:after="120"/>
              <w:jc w:val="both"/>
              <w:cnfStyle w:val="000000100000" w:firstRow="0" w:lastRow="0" w:firstColumn="0" w:lastColumn="0" w:oddVBand="0" w:evenVBand="0" w:oddHBand="1" w:evenHBand="0" w:firstRowFirstColumn="0" w:firstRowLastColumn="0" w:lastRowFirstColumn="0" w:lastRowLastColumn="0"/>
              <w:rPr>
                <w:b/>
                <w:bCs/>
                <w:color w:val="000000"/>
                <w:sz w:val="20"/>
                <w:szCs w:val="20"/>
              </w:rPr>
            </w:pPr>
            <w:r w:rsidRPr="003743EA">
              <w:rPr>
                <w:color w:val="000000"/>
                <w:sz w:val="20"/>
                <w:szCs w:val="20"/>
              </w:rPr>
              <w:t xml:space="preserve">Further work towards integrating different levels of programming to ensure a more comprehensive socioecological approach involving men and women </w:t>
            </w:r>
            <w:proofErr w:type="gramStart"/>
            <w:r w:rsidRPr="003743EA">
              <w:rPr>
                <w:color w:val="000000"/>
                <w:sz w:val="20"/>
                <w:szCs w:val="20"/>
              </w:rPr>
              <w:t>together, and</w:t>
            </w:r>
            <w:proofErr w:type="gramEnd"/>
            <w:r w:rsidRPr="003743EA">
              <w:rPr>
                <w:color w:val="000000"/>
                <w:sz w:val="20"/>
                <w:szCs w:val="20"/>
              </w:rPr>
              <w:t xml:space="preserve"> supporting individual-level change at the community level and vice-versa, and linking these to regional efforts</w:t>
            </w:r>
            <w:r w:rsidR="001B2F4C" w:rsidRPr="003743EA">
              <w:rPr>
                <w:color w:val="000000"/>
                <w:sz w:val="20"/>
                <w:szCs w:val="20"/>
              </w:rPr>
              <w:t>.</w:t>
            </w:r>
          </w:p>
        </w:tc>
        <w:tc>
          <w:tcPr>
            <w:tcW w:w="1559" w:type="dxa"/>
            <w:hideMark/>
          </w:tcPr>
          <w:p w14:paraId="1F643E97" w14:textId="77777777" w:rsidR="002A2F3B" w:rsidRPr="003743EA" w:rsidRDefault="002A2F3B" w:rsidP="002A2F3B">
            <w:pPr>
              <w:tabs>
                <w:tab w:val="left" w:pos="1418"/>
              </w:tabs>
              <w:spacing w:before="120" w:after="120"/>
              <w:cnfStyle w:val="000000100000" w:firstRow="0" w:lastRow="0" w:firstColumn="0" w:lastColumn="0" w:oddVBand="0" w:evenVBand="0" w:oddHBand="1" w:evenHBand="0" w:firstRowFirstColumn="0" w:firstRowLastColumn="0" w:lastRowFirstColumn="0" w:lastRowLastColumn="0"/>
              <w:rPr>
                <w:b/>
                <w:bCs/>
                <w:color w:val="000000"/>
                <w:sz w:val="20"/>
                <w:szCs w:val="20"/>
              </w:rPr>
            </w:pPr>
            <w:r w:rsidRPr="003743EA">
              <w:rPr>
                <w:color w:val="000000"/>
                <w:sz w:val="20"/>
                <w:szCs w:val="20"/>
              </w:rPr>
              <w:t>Programmatic</w:t>
            </w:r>
          </w:p>
        </w:tc>
        <w:tc>
          <w:tcPr>
            <w:tcW w:w="1134" w:type="dxa"/>
            <w:hideMark/>
          </w:tcPr>
          <w:p w14:paraId="63C1E7F7" w14:textId="77777777" w:rsidR="002A2F3B" w:rsidRPr="003743EA" w:rsidRDefault="002A2F3B" w:rsidP="002A2F3B">
            <w:pPr>
              <w:tabs>
                <w:tab w:val="left" w:pos="1418"/>
              </w:tabs>
              <w:spacing w:before="120" w:after="120"/>
              <w:cnfStyle w:val="000000100000" w:firstRow="0" w:lastRow="0" w:firstColumn="0" w:lastColumn="0" w:oddVBand="0" w:evenVBand="0" w:oddHBand="1" w:evenHBand="0" w:firstRowFirstColumn="0" w:firstRowLastColumn="0" w:lastRowFirstColumn="0" w:lastRowLastColumn="0"/>
              <w:rPr>
                <w:color w:val="000000"/>
                <w:sz w:val="20"/>
                <w:szCs w:val="20"/>
              </w:rPr>
            </w:pPr>
            <w:r w:rsidRPr="003743EA">
              <w:rPr>
                <w:color w:val="000000"/>
                <w:sz w:val="20"/>
                <w:szCs w:val="20"/>
              </w:rPr>
              <w:t>1, 3, 4, 6, 7</w:t>
            </w:r>
          </w:p>
        </w:tc>
        <w:tc>
          <w:tcPr>
            <w:tcW w:w="1559" w:type="dxa"/>
            <w:hideMark/>
          </w:tcPr>
          <w:p w14:paraId="20ECE904" w14:textId="77777777" w:rsidR="002A2F3B" w:rsidRPr="003743EA" w:rsidRDefault="002A2F3B" w:rsidP="002A2F3B">
            <w:pPr>
              <w:tabs>
                <w:tab w:val="left" w:pos="1418"/>
              </w:tabs>
              <w:spacing w:before="120" w:after="120"/>
              <w:cnfStyle w:val="000000100000" w:firstRow="0" w:lastRow="0" w:firstColumn="0" w:lastColumn="0" w:oddVBand="0" w:evenVBand="0" w:oddHBand="1" w:evenHBand="0" w:firstRowFirstColumn="0" w:firstRowLastColumn="0" w:lastRowFirstColumn="0" w:lastRowLastColumn="0"/>
              <w:rPr>
                <w:color w:val="000000"/>
                <w:sz w:val="20"/>
                <w:szCs w:val="20"/>
              </w:rPr>
            </w:pPr>
            <w:r w:rsidRPr="003743EA">
              <w:rPr>
                <w:rFonts w:cs="Calibri"/>
                <w:color w:val="262626"/>
                <w:sz w:val="20"/>
                <w:szCs w:val="20"/>
              </w:rPr>
              <w:t>UN Women (regional/CO), implementing partners</w:t>
            </w:r>
          </w:p>
        </w:tc>
        <w:tc>
          <w:tcPr>
            <w:tcW w:w="992" w:type="dxa"/>
          </w:tcPr>
          <w:p w14:paraId="3BB402B7" w14:textId="77777777" w:rsidR="002A2F3B" w:rsidRPr="003743EA" w:rsidRDefault="002A2F3B" w:rsidP="002A2F3B">
            <w:pPr>
              <w:tabs>
                <w:tab w:val="left" w:pos="1418"/>
              </w:tabs>
              <w:spacing w:before="120" w:after="120"/>
              <w:cnfStyle w:val="000000100000" w:firstRow="0" w:lastRow="0" w:firstColumn="0" w:lastColumn="0" w:oddVBand="0" w:evenVBand="0" w:oddHBand="1" w:evenHBand="0" w:firstRowFirstColumn="0" w:firstRowLastColumn="0" w:lastRowFirstColumn="0" w:lastRowLastColumn="0"/>
              <w:rPr>
                <w:b/>
                <w:bCs/>
                <w:color w:val="000000"/>
                <w:sz w:val="20"/>
                <w:szCs w:val="20"/>
              </w:rPr>
            </w:pPr>
            <w:r w:rsidRPr="003743EA">
              <w:rPr>
                <w:b/>
                <w:bCs/>
                <w:color w:val="000000"/>
                <w:sz w:val="20"/>
                <w:szCs w:val="20"/>
              </w:rPr>
              <w:t>High/ Med</w:t>
            </w:r>
          </w:p>
        </w:tc>
        <w:tc>
          <w:tcPr>
            <w:tcW w:w="4962" w:type="dxa"/>
            <w:hideMark/>
          </w:tcPr>
          <w:p w14:paraId="03D8EC2B" w14:textId="77777777" w:rsidR="002A2F3B" w:rsidRPr="003743EA" w:rsidRDefault="002A2F3B" w:rsidP="002A2F3B">
            <w:pPr>
              <w:tabs>
                <w:tab w:val="left" w:pos="1418"/>
              </w:tabs>
              <w:spacing w:before="120" w:after="120"/>
              <w:cnfStyle w:val="000000100000" w:firstRow="0" w:lastRow="0" w:firstColumn="0" w:lastColumn="0" w:oddVBand="0" w:evenVBand="0" w:oddHBand="1" w:evenHBand="0" w:firstRowFirstColumn="0" w:firstRowLastColumn="0" w:lastRowFirstColumn="0" w:lastRowLastColumn="0"/>
              <w:rPr>
                <w:color w:val="000000"/>
                <w:sz w:val="20"/>
                <w:szCs w:val="20"/>
              </w:rPr>
            </w:pPr>
            <w:r w:rsidRPr="003743EA">
              <w:rPr>
                <w:color w:val="000000"/>
                <w:sz w:val="20"/>
                <w:szCs w:val="20"/>
              </w:rPr>
              <w:t xml:space="preserve">This will require ensuring better integration of different levels of programming to ensure that these are mutually reinforcing rather than stand-alone. </w:t>
            </w:r>
          </w:p>
          <w:p w14:paraId="33E8DE40" w14:textId="77777777" w:rsidR="002A2F3B" w:rsidRPr="003743EA" w:rsidRDefault="002A2F3B" w:rsidP="002A2F3B">
            <w:pPr>
              <w:tabs>
                <w:tab w:val="left" w:pos="1418"/>
              </w:tabs>
              <w:spacing w:before="120" w:after="120"/>
              <w:cnfStyle w:val="000000100000" w:firstRow="0" w:lastRow="0" w:firstColumn="0" w:lastColumn="0" w:oddVBand="0" w:evenVBand="0" w:oddHBand="1" w:evenHBand="0" w:firstRowFirstColumn="0" w:firstRowLastColumn="0" w:lastRowFirstColumn="0" w:lastRowLastColumn="0"/>
              <w:rPr>
                <w:b/>
                <w:bCs/>
                <w:color w:val="000000"/>
                <w:sz w:val="20"/>
                <w:szCs w:val="20"/>
              </w:rPr>
            </w:pPr>
          </w:p>
        </w:tc>
      </w:tr>
      <w:tr w:rsidR="00316B24" w:rsidRPr="003743EA" w14:paraId="104E9331" w14:textId="77777777" w:rsidTr="001C6DAB">
        <w:tc>
          <w:tcPr>
            <w:cnfStyle w:val="001000000000" w:firstRow="0" w:lastRow="0" w:firstColumn="1" w:lastColumn="0" w:oddVBand="0" w:evenVBand="0" w:oddHBand="0" w:evenHBand="0" w:firstRowFirstColumn="0" w:firstRowLastColumn="0" w:lastRowFirstColumn="0" w:lastRowLastColumn="0"/>
            <w:tcW w:w="421" w:type="dxa"/>
          </w:tcPr>
          <w:p w14:paraId="161006A9" w14:textId="77777777" w:rsidR="002A2F3B" w:rsidRPr="003743EA" w:rsidRDefault="002A2F3B" w:rsidP="002A2F3B">
            <w:pPr>
              <w:tabs>
                <w:tab w:val="left" w:pos="1418"/>
              </w:tabs>
              <w:spacing w:before="120" w:after="120"/>
              <w:rPr>
                <w:color w:val="000000"/>
                <w:sz w:val="20"/>
                <w:szCs w:val="20"/>
              </w:rPr>
            </w:pPr>
            <w:r w:rsidRPr="003743EA">
              <w:rPr>
                <w:color w:val="000000"/>
                <w:sz w:val="20"/>
                <w:szCs w:val="20"/>
              </w:rPr>
              <w:t>4</w:t>
            </w:r>
          </w:p>
        </w:tc>
        <w:tc>
          <w:tcPr>
            <w:tcW w:w="3969" w:type="dxa"/>
          </w:tcPr>
          <w:p w14:paraId="7FDC4161" w14:textId="77777777" w:rsidR="002A2F3B" w:rsidRPr="003743EA" w:rsidRDefault="002A2F3B" w:rsidP="001B2F4C">
            <w:pPr>
              <w:tabs>
                <w:tab w:val="left" w:pos="1418"/>
              </w:tabs>
              <w:spacing w:before="120" w:after="120"/>
              <w:jc w:val="both"/>
              <w:cnfStyle w:val="000000000000" w:firstRow="0" w:lastRow="0" w:firstColumn="0" w:lastColumn="0" w:oddVBand="0" w:evenVBand="0" w:oddHBand="0" w:evenHBand="0" w:firstRowFirstColumn="0" w:firstRowLastColumn="0" w:lastRowFirstColumn="0" w:lastRowLastColumn="0"/>
              <w:rPr>
                <w:color w:val="000000"/>
                <w:sz w:val="20"/>
                <w:szCs w:val="20"/>
              </w:rPr>
            </w:pPr>
            <w:r w:rsidRPr="003743EA">
              <w:rPr>
                <w:color w:val="000000"/>
                <w:sz w:val="20"/>
                <w:szCs w:val="20"/>
              </w:rPr>
              <w:t>Given the challenges of the more strategic level Advisory Committee, consider having a more working-level Technical Committee instead</w:t>
            </w:r>
            <w:r w:rsidR="001B2F4C" w:rsidRPr="003743EA">
              <w:rPr>
                <w:color w:val="000000"/>
                <w:sz w:val="20"/>
                <w:szCs w:val="20"/>
              </w:rPr>
              <w:t>.</w:t>
            </w:r>
          </w:p>
        </w:tc>
        <w:tc>
          <w:tcPr>
            <w:tcW w:w="1559" w:type="dxa"/>
          </w:tcPr>
          <w:p w14:paraId="3FC52B16" w14:textId="77777777" w:rsidR="002A2F3B" w:rsidRPr="003743EA" w:rsidRDefault="002A2F3B" w:rsidP="002A2F3B">
            <w:pPr>
              <w:tabs>
                <w:tab w:val="left" w:pos="1418"/>
              </w:tabs>
              <w:spacing w:before="120" w:after="120"/>
              <w:cnfStyle w:val="000000000000" w:firstRow="0" w:lastRow="0" w:firstColumn="0" w:lastColumn="0" w:oddVBand="0" w:evenVBand="0" w:oddHBand="0" w:evenHBand="0" w:firstRowFirstColumn="0" w:firstRowLastColumn="0" w:lastRowFirstColumn="0" w:lastRowLastColumn="0"/>
              <w:rPr>
                <w:color w:val="000000"/>
                <w:sz w:val="20"/>
                <w:szCs w:val="20"/>
              </w:rPr>
            </w:pPr>
            <w:r w:rsidRPr="003743EA">
              <w:rPr>
                <w:color w:val="000000"/>
                <w:sz w:val="20"/>
                <w:szCs w:val="20"/>
              </w:rPr>
              <w:t>Programmatic</w:t>
            </w:r>
          </w:p>
        </w:tc>
        <w:tc>
          <w:tcPr>
            <w:tcW w:w="1134" w:type="dxa"/>
          </w:tcPr>
          <w:p w14:paraId="0A12C6C8" w14:textId="77777777" w:rsidR="002A2F3B" w:rsidRPr="003743EA" w:rsidRDefault="002A2F3B" w:rsidP="002A2F3B">
            <w:pPr>
              <w:tabs>
                <w:tab w:val="left" w:pos="1418"/>
              </w:tabs>
              <w:spacing w:before="120" w:after="120"/>
              <w:cnfStyle w:val="000000000000" w:firstRow="0" w:lastRow="0" w:firstColumn="0" w:lastColumn="0" w:oddVBand="0" w:evenVBand="0" w:oddHBand="0" w:evenHBand="0" w:firstRowFirstColumn="0" w:firstRowLastColumn="0" w:lastRowFirstColumn="0" w:lastRowLastColumn="0"/>
              <w:rPr>
                <w:color w:val="000000"/>
                <w:sz w:val="20"/>
                <w:szCs w:val="20"/>
              </w:rPr>
            </w:pPr>
            <w:r w:rsidRPr="003743EA">
              <w:rPr>
                <w:color w:val="000000"/>
                <w:sz w:val="20"/>
                <w:szCs w:val="20"/>
              </w:rPr>
              <w:t>3, 4, 7</w:t>
            </w:r>
          </w:p>
        </w:tc>
        <w:tc>
          <w:tcPr>
            <w:tcW w:w="1559" w:type="dxa"/>
          </w:tcPr>
          <w:p w14:paraId="0D60ADB1" w14:textId="77777777" w:rsidR="002A2F3B" w:rsidRPr="003743EA" w:rsidRDefault="002A2F3B" w:rsidP="002A2F3B">
            <w:pPr>
              <w:tabs>
                <w:tab w:val="left" w:pos="1418"/>
              </w:tabs>
              <w:spacing w:before="120" w:after="120"/>
              <w:cnfStyle w:val="000000000000" w:firstRow="0" w:lastRow="0" w:firstColumn="0" w:lastColumn="0" w:oddVBand="0" w:evenVBand="0" w:oddHBand="0" w:evenHBand="0" w:firstRowFirstColumn="0" w:firstRowLastColumn="0" w:lastRowFirstColumn="0" w:lastRowLastColumn="0"/>
              <w:rPr>
                <w:rFonts w:cs="Calibri"/>
                <w:color w:val="262626"/>
                <w:sz w:val="20"/>
                <w:szCs w:val="20"/>
              </w:rPr>
            </w:pPr>
            <w:r w:rsidRPr="003743EA">
              <w:rPr>
                <w:rFonts w:cs="Calibri"/>
                <w:color w:val="262626"/>
                <w:sz w:val="20"/>
                <w:szCs w:val="20"/>
              </w:rPr>
              <w:t>UN Women CO</w:t>
            </w:r>
          </w:p>
        </w:tc>
        <w:tc>
          <w:tcPr>
            <w:tcW w:w="992" w:type="dxa"/>
          </w:tcPr>
          <w:p w14:paraId="50F41A45" w14:textId="77777777" w:rsidR="002A2F3B" w:rsidRPr="003743EA" w:rsidRDefault="002A2F3B" w:rsidP="002A2F3B">
            <w:pPr>
              <w:tabs>
                <w:tab w:val="left" w:pos="1418"/>
              </w:tabs>
              <w:spacing w:before="120" w:after="120"/>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743EA">
              <w:rPr>
                <w:b/>
                <w:bCs/>
                <w:color w:val="000000"/>
                <w:sz w:val="20"/>
                <w:szCs w:val="20"/>
              </w:rPr>
              <w:t>Med</w:t>
            </w:r>
          </w:p>
        </w:tc>
        <w:tc>
          <w:tcPr>
            <w:tcW w:w="4962" w:type="dxa"/>
          </w:tcPr>
          <w:p w14:paraId="3FA0A108" w14:textId="77777777" w:rsidR="002A2F3B" w:rsidRPr="003743EA" w:rsidRDefault="002A2F3B" w:rsidP="002A2F3B">
            <w:pPr>
              <w:tabs>
                <w:tab w:val="left" w:pos="1418"/>
              </w:tabs>
              <w:spacing w:before="120" w:after="120"/>
              <w:cnfStyle w:val="000000000000" w:firstRow="0" w:lastRow="0" w:firstColumn="0" w:lastColumn="0" w:oddVBand="0" w:evenVBand="0" w:oddHBand="0" w:evenHBand="0" w:firstRowFirstColumn="0" w:firstRowLastColumn="0" w:lastRowFirstColumn="0" w:lastRowLastColumn="0"/>
              <w:rPr>
                <w:color w:val="000000"/>
                <w:sz w:val="20"/>
                <w:szCs w:val="20"/>
              </w:rPr>
            </w:pPr>
            <w:r w:rsidRPr="003743EA">
              <w:rPr>
                <w:color w:val="000000"/>
                <w:sz w:val="20"/>
                <w:szCs w:val="20"/>
              </w:rPr>
              <w:t>This should involve government structures but also representatives of the women’s movement</w:t>
            </w:r>
            <w:r w:rsidR="001B2F4C" w:rsidRPr="003743EA">
              <w:rPr>
                <w:color w:val="000000"/>
                <w:sz w:val="20"/>
                <w:szCs w:val="20"/>
              </w:rPr>
              <w:t>.</w:t>
            </w:r>
          </w:p>
        </w:tc>
      </w:tr>
      <w:tr w:rsidR="00B157B7" w:rsidRPr="003743EA" w14:paraId="75C8A838" w14:textId="77777777" w:rsidTr="001C6D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hideMark/>
          </w:tcPr>
          <w:p w14:paraId="317165C4" w14:textId="77777777" w:rsidR="002A2F3B" w:rsidRPr="003743EA" w:rsidRDefault="002A2F3B" w:rsidP="002A2F3B">
            <w:pPr>
              <w:tabs>
                <w:tab w:val="left" w:pos="1418"/>
              </w:tabs>
              <w:spacing w:before="120" w:after="120"/>
              <w:rPr>
                <w:color w:val="000000"/>
                <w:sz w:val="20"/>
                <w:szCs w:val="20"/>
              </w:rPr>
            </w:pPr>
            <w:r w:rsidRPr="003743EA">
              <w:rPr>
                <w:color w:val="000000"/>
                <w:sz w:val="20"/>
                <w:szCs w:val="20"/>
              </w:rPr>
              <w:t>5</w:t>
            </w:r>
          </w:p>
        </w:tc>
        <w:tc>
          <w:tcPr>
            <w:tcW w:w="3969" w:type="dxa"/>
            <w:hideMark/>
          </w:tcPr>
          <w:p w14:paraId="6659D50F" w14:textId="77777777" w:rsidR="002A2F3B" w:rsidRPr="003743EA" w:rsidRDefault="002A2F3B" w:rsidP="001B2F4C">
            <w:pPr>
              <w:tabs>
                <w:tab w:val="left" w:pos="1418"/>
              </w:tabs>
              <w:spacing w:before="120" w:after="120"/>
              <w:jc w:val="both"/>
              <w:cnfStyle w:val="000000100000" w:firstRow="0" w:lastRow="0" w:firstColumn="0" w:lastColumn="0" w:oddVBand="0" w:evenVBand="0" w:oddHBand="1" w:evenHBand="0" w:firstRowFirstColumn="0" w:firstRowLastColumn="0" w:lastRowFirstColumn="0" w:lastRowLastColumn="0"/>
              <w:rPr>
                <w:b/>
                <w:bCs/>
                <w:color w:val="000000"/>
                <w:sz w:val="20"/>
                <w:szCs w:val="20"/>
              </w:rPr>
            </w:pPr>
            <w:r w:rsidRPr="003743EA">
              <w:rPr>
                <w:color w:val="000000"/>
                <w:sz w:val="20"/>
                <w:szCs w:val="20"/>
              </w:rPr>
              <w:t xml:space="preserve">Continue to ensure that all implementing partners understand, </w:t>
            </w:r>
            <w:proofErr w:type="gramStart"/>
            <w:r w:rsidRPr="003743EA">
              <w:rPr>
                <w:color w:val="000000"/>
                <w:sz w:val="20"/>
                <w:szCs w:val="20"/>
              </w:rPr>
              <w:t>incorporate</w:t>
            </w:r>
            <w:proofErr w:type="gramEnd"/>
            <w:r w:rsidRPr="003743EA">
              <w:rPr>
                <w:color w:val="000000"/>
                <w:sz w:val="20"/>
                <w:szCs w:val="20"/>
              </w:rPr>
              <w:t xml:space="preserve"> and live up </w:t>
            </w:r>
            <w:r w:rsidRPr="003743EA">
              <w:rPr>
                <w:color w:val="000000"/>
                <w:sz w:val="20"/>
                <w:szCs w:val="20"/>
              </w:rPr>
              <w:lastRenderedPageBreak/>
              <w:t>to core feminist principles in their work, and are accountable to the women’s rights movement nationally, and are able to link up with these. Ensure however also that approaches engage with men to transform patriarchal masculinities</w:t>
            </w:r>
            <w:r w:rsidR="001B2F4C" w:rsidRPr="003743EA">
              <w:rPr>
                <w:color w:val="000000"/>
                <w:sz w:val="20"/>
                <w:szCs w:val="20"/>
              </w:rPr>
              <w:t>.</w:t>
            </w:r>
          </w:p>
        </w:tc>
        <w:tc>
          <w:tcPr>
            <w:tcW w:w="1559" w:type="dxa"/>
            <w:hideMark/>
          </w:tcPr>
          <w:p w14:paraId="1F4F9DE2" w14:textId="77777777" w:rsidR="002A2F3B" w:rsidRPr="003743EA" w:rsidRDefault="002A2F3B" w:rsidP="002A2F3B">
            <w:pPr>
              <w:tabs>
                <w:tab w:val="left" w:pos="1418"/>
              </w:tabs>
              <w:spacing w:before="120" w:after="120"/>
              <w:cnfStyle w:val="000000100000" w:firstRow="0" w:lastRow="0" w:firstColumn="0" w:lastColumn="0" w:oddVBand="0" w:evenVBand="0" w:oddHBand="1" w:evenHBand="0" w:firstRowFirstColumn="0" w:firstRowLastColumn="0" w:lastRowFirstColumn="0" w:lastRowLastColumn="0"/>
              <w:rPr>
                <w:color w:val="000000"/>
                <w:sz w:val="20"/>
                <w:szCs w:val="20"/>
              </w:rPr>
            </w:pPr>
            <w:r w:rsidRPr="003743EA">
              <w:rPr>
                <w:color w:val="000000"/>
                <w:sz w:val="20"/>
                <w:szCs w:val="20"/>
              </w:rPr>
              <w:lastRenderedPageBreak/>
              <w:t>Programmatic</w:t>
            </w:r>
          </w:p>
        </w:tc>
        <w:tc>
          <w:tcPr>
            <w:tcW w:w="1134" w:type="dxa"/>
            <w:hideMark/>
          </w:tcPr>
          <w:p w14:paraId="4C689D20" w14:textId="77777777" w:rsidR="002A2F3B" w:rsidRPr="003743EA" w:rsidRDefault="002A2F3B" w:rsidP="002A2F3B">
            <w:pPr>
              <w:tabs>
                <w:tab w:val="left" w:pos="1418"/>
              </w:tabs>
              <w:spacing w:before="120" w:after="120"/>
              <w:cnfStyle w:val="000000100000" w:firstRow="0" w:lastRow="0" w:firstColumn="0" w:lastColumn="0" w:oddVBand="0" w:evenVBand="0" w:oddHBand="1" w:evenHBand="0" w:firstRowFirstColumn="0" w:firstRowLastColumn="0" w:lastRowFirstColumn="0" w:lastRowLastColumn="0"/>
              <w:rPr>
                <w:color w:val="000000"/>
                <w:sz w:val="20"/>
                <w:szCs w:val="20"/>
              </w:rPr>
            </w:pPr>
            <w:r w:rsidRPr="003743EA">
              <w:rPr>
                <w:color w:val="000000"/>
                <w:sz w:val="20"/>
                <w:szCs w:val="20"/>
              </w:rPr>
              <w:t>7</w:t>
            </w:r>
          </w:p>
        </w:tc>
        <w:tc>
          <w:tcPr>
            <w:tcW w:w="1559" w:type="dxa"/>
            <w:hideMark/>
          </w:tcPr>
          <w:p w14:paraId="6460AD0A" w14:textId="77777777" w:rsidR="002A2F3B" w:rsidRPr="003743EA" w:rsidRDefault="002A2F3B" w:rsidP="002A2F3B">
            <w:pPr>
              <w:tabs>
                <w:tab w:val="left" w:pos="1418"/>
              </w:tabs>
              <w:spacing w:before="120" w:after="120"/>
              <w:cnfStyle w:val="000000100000" w:firstRow="0" w:lastRow="0" w:firstColumn="0" w:lastColumn="0" w:oddVBand="0" w:evenVBand="0" w:oddHBand="1" w:evenHBand="0" w:firstRowFirstColumn="0" w:firstRowLastColumn="0" w:lastRowFirstColumn="0" w:lastRowLastColumn="0"/>
              <w:rPr>
                <w:color w:val="000000"/>
                <w:sz w:val="20"/>
                <w:szCs w:val="20"/>
              </w:rPr>
            </w:pPr>
            <w:r w:rsidRPr="003743EA">
              <w:rPr>
                <w:rFonts w:cs="Calibri"/>
                <w:color w:val="262626"/>
                <w:sz w:val="20"/>
                <w:szCs w:val="20"/>
              </w:rPr>
              <w:t xml:space="preserve">UN Women CO, umbrella </w:t>
            </w:r>
            <w:proofErr w:type="spellStart"/>
            <w:r w:rsidRPr="003743EA">
              <w:rPr>
                <w:rFonts w:cs="Calibri"/>
                <w:color w:val="262626"/>
                <w:sz w:val="20"/>
                <w:szCs w:val="20"/>
              </w:rPr>
              <w:lastRenderedPageBreak/>
              <w:t>organisations</w:t>
            </w:r>
            <w:proofErr w:type="spellEnd"/>
            <w:r w:rsidRPr="003743EA">
              <w:rPr>
                <w:rFonts w:cs="Calibri"/>
                <w:color w:val="262626"/>
                <w:sz w:val="20"/>
                <w:szCs w:val="20"/>
              </w:rPr>
              <w:t>, CBOs</w:t>
            </w:r>
          </w:p>
        </w:tc>
        <w:tc>
          <w:tcPr>
            <w:tcW w:w="992" w:type="dxa"/>
          </w:tcPr>
          <w:p w14:paraId="6BDB3F5B" w14:textId="77777777" w:rsidR="002A2F3B" w:rsidRPr="003743EA" w:rsidRDefault="002A2F3B" w:rsidP="002A2F3B">
            <w:pPr>
              <w:tabs>
                <w:tab w:val="left" w:pos="1418"/>
              </w:tabs>
              <w:spacing w:before="120" w:after="120"/>
              <w:cnfStyle w:val="000000100000" w:firstRow="0" w:lastRow="0" w:firstColumn="0" w:lastColumn="0" w:oddVBand="0" w:evenVBand="0" w:oddHBand="1" w:evenHBand="0" w:firstRowFirstColumn="0" w:firstRowLastColumn="0" w:lastRowFirstColumn="0" w:lastRowLastColumn="0"/>
              <w:rPr>
                <w:b/>
                <w:bCs/>
                <w:color w:val="000000"/>
                <w:sz w:val="20"/>
                <w:szCs w:val="20"/>
              </w:rPr>
            </w:pPr>
            <w:r w:rsidRPr="003743EA">
              <w:rPr>
                <w:b/>
                <w:bCs/>
                <w:color w:val="000000"/>
                <w:sz w:val="20"/>
                <w:szCs w:val="20"/>
              </w:rPr>
              <w:lastRenderedPageBreak/>
              <w:t>Med</w:t>
            </w:r>
          </w:p>
        </w:tc>
        <w:tc>
          <w:tcPr>
            <w:tcW w:w="4962" w:type="dxa"/>
            <w:hideMark/>
          </w:tcPr>
          <w:p w14:paraId="551A8762" w14:textId="77777777" w:rsidR="002A2F3B" w:rsidRPr="003743EA" w:rsidRDefault="002A2F3B" w:rsidP="002A2F3B">
            <w:pPr>
              <w:tabs>
                <w:tab w:val="left" w:pos="1418"/>
              </w:tabs>
              <w:spacing w:before="120" w:after="120"/>
              <w:cnfStyle w:val="000000100000" w:firstRow="0" w:lastRow="0" w:firstColumn="0" w:lastColumn="0" w:oddVBand="0" w:evenVBand="0" w:oddHBand="1" w:evenHBand="0" w:firstRowFirstColumn="0" w:firstRowLastColumn="0" w:lastRowFirstColumn="0" w:lastRowLastColumn="0"/>
              <w:rPr>
                <w:color w:val="000000"/>
                <w:sz w:val="20"/>
                <w:szCs w:val="20"/>
              </w:rPr>
            </w:pPr>
            <w:r w:rsidRPr="003743EA">
              <w:rPr>
                <w:color w:val="000000"/>
                <w:sz w:val="20"/>
                <w:szCs w:val="20"/>
              </w:rPr>
              <w:t xml:space="preserve">Continue current model of having local feminist umbrella </w:t>
            </w:r>
            <w:proofErr w:type="spellStart"/>
            <w:r w:rsidRPr="003743EA">
              <w:rPr>
                <w:color w:val="000000"/>
                <w:sz w:val="20"/>
                <w:szCs w:val="20"/>
              </w:rPr>
              <w:t>organisation</w:t>
            </w:r>
            <w:proofErr w:type="spellEnd"/>
            <w:r w:rsidR="001E197F" w:rsidRPr="003743EA">
              <w:rPr>
                <w:color w:val="000000"/>
                <w:sz w:val="20"/>
                <w:szCs w:val="20"/>
              </w:rPr>
              <w:t xml:space="preserve"> and cooperate with ROAS and other country </w:t>
            </w:r>
            <w:r w:rsidR="001E197F" w:rsidRPr="003743EA">
              <w:rPr>
                <w:color w:val="000000"/>
                <w:sz w:val="20"/>
                <w:szCs w:val="20"/>
              </w:rPr>
              <w:lastRenderedPageBreak/>
              <w:t xml:space="preserve">offices to </w:t>
            </w:r>
            <w:r w:rsidR="008C77A4" w:rsidRPr="003743EA">
              <w:rPr>
                <w:color w:val="000000"/>
                <w:sz w:val="20"/>
                <w:szCs w:val="20"/>
              </w:rPr>
              <w:t>incorporate</w:t>
            </w:r>
            <w:r w:rsidR="001E197F" w:rsidRPr="003743EA">
              <w:rPr>
                <w:color w:val="000000"/>
                <w:sz w:val="20"/>
                <w:szCs w:val="20"/>
              </w:rPr>
              <w:t xml:space="preserve"> this approach in other countries of the </w:t>
            </w:r>
            <w:proofErr w:type="spellStart"/>
            <w:r w:rsidR="001E197F" w:rsidRPr="003743EA">
              <w:rPr>
                <w:color w:val="000000"/>
                <w:sz w:val="20"/>
                <w:szCs w:val="20"/>
              </w:rPr>
              <w:t>programme</w:t>
            </w:r>
            <w:proofErr w:type="spellEnd"/>
            <w:r w:rsidR="001E197F" w:rsidRPr="003743EA">
              <w:rPr>
                <w:color w:val="000000"/>
                <w:sz w:val="20"/>
                <w:szCs w:val="20"/>
              </w:rPr>
              <w:t xml:space="preserve"> as well.</w:t>
            </w:r>
          </w:p>
        </w:tc>
      </w:tr>
      <w:tr w:rsidR="00316B24" w:rsidRPr="003743EA" w14:paraId="1EB1D24D" w14:textId="77777777" w:rsidTr="001C6DAB">
        <w:tc>
          <w:tcPr>
            <w:cnfStyle w:val="001000000000" w:firstRow="0" w:lastRow="0" w:firstColumn="1" w:lastColumn="0" w:oddVBand="0" w:evenVBand="0" w:oddHBand="0" w:evenHBand="0" w:firstRowFirstColumn="0" w:firstRowLastColumn="0" w:lastRowFirstColumn="0" w:lastRowLastColumn="0"/>
            <w:tcW w:w="421" w:type="dxa"/>
          </w:tcPr>
          <w:p w14:paraId="2DEA6295" w14:textId="77777777" w:rsidR="002A2F3B" w:rsidRPr="003743EA" w:rsidRDefault="002A2F3B" w:rsidP="002A2F3B">
            <w:pPr>
              <w:tabs>
                <w:tab w:val="left" w:pos="1418"/>
              </w:tabs>
              <w:spacing w:before="120" w:after="120"/>
              <w:rPr>
                <w:color w:val="000000"/>
                <w:sz w:val="20"/>
                <w:szCs w:val="20"/>
              </w:rPr>
            </w:pPr>
            <w:r w:rsidRPr="003743EA">
              <w:rPr>
                <w:color w:val="000000"/>
                <w:sz w:val="20"/>
                <w:szCs w:val="20"/>
              </w:rPr>
              <w:lastRenderedPageBreak/>
              <w:t>6</w:t>
            </w:r>
          </w:p>
        </w:tc>
        <w:tc>
          <w:tcPr>
            <w:tcW w:w="3969" w:type="dxa"/>
          </w:tcPr>
          <w:p w14:paraId="13D4B9E2" w14:textId="77777777" w:rsidR="002A2F3B" w:rsidRPr="003743EA" w:rsidRDefault="002A2F3B" w:rsidP="002A2F3B">
            <w:pPr>
              <w:tabs>
                <w:tab w:val="left" w:pos="1418"/>
              </w:tabs>
              <w:spacing w:before="120" w:after="120"/>
              <w:cnfStyle w:val="000000000000" w:firstRow="0" w:lastRow="0" w:firstColumn="0" w:lastColumn="0" w:oddVBand="0" w:evenVBand="0" w:oddHBand="0" w:evenHBand="0" w:firstRowFirstColumn="0" w:firstRowLastColumn="0" w:lastRowFirstColumn="0" w:lastRowLastColumn="0"/>
              <w:rPr>
                <w:color w:val="000000"/>
                <w:sz w:val="20"/>
                <w:szCs w:val="20"/>
              </w:rPr>
            </w:pPr>
            <w:r w:rsidRPr="003743EA">
              <w:rPr>
                <w:color w:val="000000"/>
                <w:sz w:val="20"/>
                <w:szCs w:val="20"/>
              </w:rPr>
              <w:t xml:space="preserve">Improve integration of LNOB principle by further broadening engagement with LGBT persons as well as people living with disabilities. </w:t>
            </w:r>
          </w:p>
        </w:tc>
        <w:tc>
          <w:tcPr>
            <w:tcW w:w="1559" w:type="dxa"/>
          </w:tcPr>
          <w:p w14:paraId="62EBDF14" w14:textId="77777777" w:rsidR="002A2F3B" w:rsidRPr="003743EA" w:rsidRDefault="002A2F3B" w:rsidP="002A2F3B">
            <w:pPr>
              <w:tabs>
                <w:tab w:val="left" w:pos="1418"/>
              </w:tabs>
              <w:spacing w:before="120" w:after="120"/>
              <w:cnfStyle w:val="000000000000" w:firstRow="0" w:lastRow="0" w:firstColumn="0" w:lastColumn="0" w:oddVBand="0" w:evenVBand="0" w:oddHBand="0" w:evenHBand="0" w:firstRowFirstColumn="0" w:firstRowLastColumn="0" w:lastRowFirstColumn="0" w:lastRowLastColumn="0"/>
              <w:rPr>
                <w:color w:val="000000"/>
                <w:sz w:val="20"/>
                <w:szCs w:val="20"/>
              </w:rPr>
            </w:pPr>
            <w:r w:rsidRPr="003743EA">
              <w:rPr>
                <w:color w:val="000000"/>
                <w:sz w:val="20"/>
                <w:szCs w:val="20"/>
              </w:rPr>
              <w:t>Operational</w:t>
            </w:r>
          </w:p>
        </w:tc>
        <w:tc>
          <w:tcPr>
            <w:tcW w:w="1134" w:type="dxa"/>
          </w:tcPr>
          <w:p w14:paraId="0DD9E327" w14:textId="77777777" w:rsidR="002A2F3B" w:rsidRPr="003743EA" w:rsidRDefault="002A2F3B" w:rsidP="002A2F3B">
            <w:pPr>
              <w:tabs>
                <w:tab w:val="left" w:pos="1418"/>
              </w:tabs>
              <w:spacing w:before="120" w:after="120"/>
              <w:cnfStyle w:val="000000000000" w:firstRow="0" w:lastRow="0" w:firstColumn="0" w:lastColumn="0" w:oddVBand="0" w:evenVBand="0" w:oddHBand="0" w:evenHBand="0" w:firstRowFirstColumn="0" w:firstRowLastColumn="0" w:lastRowFirstColumn="0" w:lastRowLastColumn="0"/>
              <w:rPr>
                <w:color w:val="000000"/>
                <w:sz w:val="20"/>
                <w:szCs w:val="20"/>
              </w:rPr>
            </w:pPr>
            <w:r w:rsidRPr="003743EA">
              <w:rPr>
                <w:color w:val="000000"/>
                <w:sz w:val="20"/>
                <w:szCs w:val="20"/>
              </w:rPr>
              <w:t>6</w:t>
            </w:r>
          </w:p>
        </w:tc>
        <w:tc>
          <w:tcPr>
            <w:tcW w:w="1559" w:type="dxa"/>
          </w:tcPr>
          <w:p w14:paraId="7AEBFD52" w14:textId="77777777" w:rsidR="002A2F3B" w:rsidRPr="003743EA" w:rsidRDefault="002A2F3B" w:rsidP="002A2F3B">
            <w:pPr>
              <w:tabs>
                <w:tab w:val="left" w:pos="1418"/>
              </w:tabs>
              <w:spacing w:before="120" w:after="120"/>
              <w:cnfStyle w:val="000000000000" w:firstRow="0" w:lastRow="0" w:firstColumn="0" w:lastColumn="0" w:oddVBand="0" w:evenVBand="0" w:oddHBand="0" w:evenHBand="0" w:firstRowFirstColumn="0" w:firstRowLastColumn="0" w:lastRowFirstColumn="0" w:lastRowLastColumn="0"/>
              <w:rPr>
                <w:rFonts w:cs="Calibri"/>
                <w:color w:val="262626"/>
                <w:sz w:val="20"/>
                <w:szCs w:val="20"/>
              </w:rPr>
            </w:pPr>
            <w:r w:rsidRPr="003743EA">
              <w:rPr>
                <w:rFonts w:cs="Calibri"/>
                <w:color w:val="262626"/>
                <w:sz w:val="20"/>
                <w:szCs w:val="20"/>
              </w:rPr>
              <w:t>UN Women CO, implementing partners, local LGBT rights and disabilities rights NGOs</w:t>
            </w:r>
          </w:p>
        </w:tc>
        <w:tc>
          <w:tcPr>
            <w:tcW w:w="992" w:type="dxa"/>
          </w:tcPr>
          <w:p w14:paraId="4A622ECC" w14:textId="77777777" w:rsidR="002A2F3B" w:rsidRPr="003743EA" w:rsidRDefault="002A2F3B" w:rsidP="002A2F3B">
            <w:pPr>
              <w:tabs>
                <w:tab w:val="left" w:pos="1418"/>
              </w:tabs>
              <w:spacing w:before="120" w:after="120"/>
              <w:cnfStyle w:val="000000000000" w:firstRow="0" w:lastRow="0" w:firstColumn="0" w:lastColumn="0" w:oddVBand="0" w:evenVBand="0" w:oddHBand="0" w:evenHBand="0" w:firstRowFirstColumn="0" w:firstRowLastColumn="0" w:lastRowFirstColumn="0" w:lastRowLastColumn="0"/>
              <w:rPr>
                <w:b/>
                <w:bCs/>
                <w:color w:val="000000"/>
                <w:sz w:val="20"/>
                <w:szCs w:val="20"/>
              </w:rPr>
            </w:pPr>
            <w:r w:rsidRPr="003743EA">
              <w:rPr>
                <w:b/>
                <w:bCs/>
                <w:color w:val="000000"/>
                <w:sz w:val="20"/>
                <w:szCs w:val="20"/>
              </w:rPr>
              <w:t>Med</w:t>
            </w:r>
          </w:p>
        </w:tc>
        <w:tc>
          <w:tcPr>
            <w:tcW w:w="4962" w:type="dxa"/>
          </w:tcPr>
          <w:p w14:paraId="33AA1343" w14:textId="77777777" w:rsidR="002A2F3B" w:rsidRPr="003743EA" w:rsidRDefault="008C77A4" w:rsidP="002A2F3B">
            <w:pPr>
              <w:tabs>
                <w:tab w:val="left" w:pos="1418"/>
              </w:tabs>
              <w:spacing w:before="120" w:after="120"/>
              <w:cnfStyle w:val="000000000000" w:firstRow="0" w:lastRow="0" w:firstColumn="0" w:lastColumn="0" w:oddVBand="0" w:evenVBand="0" w:oddHBand="0" w:evenHBand="0" w:firstRowFirstColumn="0" w:firstRowLastColumn="0" w:lastRowFirstColumn="0" w:lastRowLastColumn="0"/>
              <w:rPr>
                <w:color w:val="000000"/>
                <w:sz w:val="20"/>
                <w:szCs w:val="20"/>
              </w:rPr>
            </w:pPr>
            <w:r w:rsidRPr="003743EA">
              <w:rPr>
                <w:color w:val="000000"/>
                <w:sz w:val="20"/>
                <w:szCs w:val="20"/>
              </w:rPr>
              <w:t xml:space="preserve">Strengthen the </w:t>
            </w:r>
            <w:r w:rsidR="002F02A8" w:rsidRPr="003743EA">
              <w:rPr>
                <w:color w:val="000000"/>
                <w:sz w:val="20"/>
                <w:szCs w:val="20"/>
              </w:rPr>
              <w:t xml:space="preserve">ongoing </w:t>
            </w:r>
            <w:r w:rsidRPr="003743EA">
              <w:rPr>
                <w:color w:val="000000"/>
                <w:sz w:val="20"/>
                <w:szCs w:val="20"/>
              </w:rPr>
              <w:t>w</w:t>
            </w:r>
            <w:r w:rsidR="002A2F3B" w:rsidRPr="003743EA">
              <w:rPr>
                <w:color w:val="000000"/>
                <w:sz w:val="20"/>
                <w:szCs w:val="20"/>
              </w:rPr>
              <w:t xml:space="preserve">ork with local LGBT and disabilities rights </w:t>
            </w:r>
            <w:proofErr w:type="spellStart"/>
            <w:r w:rsidR="002A2F3B" w:rsidRPr="003743EA">
              <w:rPr>
                <w:color w:val="000000"/>
                <w:sz w:val="20"/>
                <w:szCs w:val="20"/>
              </w:rPr>
              <w:t>organisations</w:t>
            </w:r>
            <w:proofErr w:type="spellEnd"/>
            <w:r w:rsidR="002A2F3B" w:rsidRPr="003743EA">
              <w:rPr>
                <w:color w:val="000000"/>
                <w:sz w:val="20"/>
                <w:szCs w:val="20"/>
              </w:rPr>
              <w:t xml:space="preserve"> to build capacity of CBOs to work more with these populations. Test, pilot and adapt some of the approaches developed in Egypt on engaging with men with disabilities.</w:t>
            </w:r>
          </w:p>
        </w:tc>
      </w:tr>
      <w:tr w:rsidR="00B157B7" w:rsidRPr="003743EA" w14:paraId="6D0AECE8" w14:textId="77777777" w:rsidTr="001C6D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hideMark/>
          </w:tcPr>
          <w:p w14:paraId="26DD8919" w14:textId="77777777" w:rsidR="002A2F3B" w:rsidRPr="003743EA" w:rsidRDefault="002A2F3B" w:rsidP="002A2F3B">
            <w:pPr>
              <w:tabs>
                <w:tab w:val="left" w:pos="1418"/>
              </w:tabs>
              <w:spacing w:before="120" w:after="120"/>
              <w:rPr>
                <w:color w:val="000000"/>
                <w:sz w:val="20"/>
                <w:szCs w:val="20"/>
              </w:rPr>
            </w:pPr>
            <w:r w:rsidRPr="003743EA">
              <w:rPr>
                <w:color w:val="000000"/>
                <w:sz w:val="20"/>
                <w:szCs w:val="20"/>
              </w:rPr>
              <w:t>7</w:t>
            </w:r>
          </w:p>
        </w:tc>
        <w:tc>
          <w:tcPr>
            <w:tcW w:w="3969" w:type="dxa"/>
            <w:hideMark/>
          </w:tcPr>
          <w:p w14:paraId="1BE1559B" w14:textId="77777777" w:rsidR="002A2F3B" w:rsidRPr="003743EA" w:rsidRDefault="002A2F3B" w:rsidP="002A2F3B">
            <w:pPr>
              <w:tabs>
                <w:tab w:val="left" w:pos="1418"/>
              </w:tabs>
              <w:spacing w:before="120" w:after="120"/>
              <w:cnfStyle w:val="000000100000" w:firstRow="0" w:lastRow="0" w:firstColumn="0" w:lastColumn="0" w:oddVBand="0" w:evenVBand="0" w:oddHBand="1" w:evenHBand="0" w:firstRowFirstColumn="0" w:firstRowLastColumn="0" w:lastRowFirstColumn="0" w:lastRowLastColumn="0"/>
              <w:rPr>
                <w:b/>
                <w:bCs/>
                <w:color w:val="000000"/>
                <w:sz w:val="20"/>
                <w:szCs w:val="20"/>
              </w:rPr>
            </w:pPr>
            <w:r w:rsidRPr="003743EA">
              <w:rPr>
                <w:color w:val="000000"/>
                <w:sz w:val="20"/>
                <w:szCs w:val="20"/>
              </w:rPr>
              <w:t xml:space="preserve">Systematically apply agreed responsibilities, accountabilities, consultation processes and information updates between ROAS and CO levels. </w:t>
            </w:r>
          </w:p>
        </w:tc>
        <w:tc>
          <w:tcPr>
            <w:tcW w:w="1559" w:type="dxa"/>
            <w:hideMark/>
          </w:tcPr>
          <w:p w14:paraId="2E9DE6C3" w14:textId="77777777" w:rsidR="002A2F3B" w:rsidRPr="003743EA" w:rsidRDefault="002A2F3B" w:rsidP="002A2F3B">
            <w:pPr>
              <w:tabs>
                <w:tab w:val="left" w:pos="1418"/>
              </w:tabs>
              <w:spacing w:before="120" w:after="120"/>
              <w:cnfStyle w:val="000000100000" w:firstRow="0" w:lastRow="0" w:firstColumn="0" w:lastColumn="0" w:oddVBand="0" w:evenVBand="0" w:oddHBand="1" w:evenHBand="0" w:firstRowFirstColumn="0" w:firstRowLastColumn="0" w:lastRowFirstColumn="0" w:lastRowLastColumn="0"/>
              <w:rPr>
                <w:color w:val="000000"/>
                <w:sz w:val="20"/>
                <w:szCs w:val="20"/>
              </w:rPr>
            </w:pPr>
            <w:r w:rsidRPr="003743EA">
              <w:rPr>
                <w:color w:val="000000"/>
                <w:sz w:val="20"/>
                <w:szCs w:val="20"/>
              </w:rPr>
              <w:t>Operational</w:t>
            </w:r>
          </w:p>
        </w:tc>
        <w:tc>
          <w:tcPr>
            <w:tcW w:w="1134" w:type="dxa"/>
            <w:hideMark/>
          </w:tcPr>
          <w:p w14:paraId="7AAA9D4E" w14:textId="77777777" w:rsidR="002A2F3B" w:rsidRPr="003743EA" w:rsidRDefault="002A2F3B" w:rsidP="002A2F3B">
            <w:pPr>
              <w:tabs>
                <w:tab w:val="left" w:pos="1418"/>
              </w:tabs>
              <w:spacing w:before="120" w:after="120"/>
              <w:cnfStyle w:val="000000100000" w:firstRow="0" w:lastRow="0" w:firstColumn="0" w:lastColumn="0" w:oddVBand="0" w:evenVBand="0" w:oddHBand="1" w:evenHBand="0" w:firstRowFirstColumn="0" w:firstRowLastColumn="0" w:lastRowFirstColumn="0" w:lastRowLastColumn="0"/>
              <w:rPr>
                <w:color w:val="000000"/>
                <w:sz w:val="20"/>
                <w:szCs w:val="20"/>
              </w:rPr>
            </w:pPr>
            <w:r w:rsidRPr="003743EA">
              <w:rPr>
                <w:color w:val="000000"/>
                <w:sz w:val="20"/>
                <w:szCs w:val="20"/>
              </w:rPr>
              <w:t>1, 2, 3, 4</w:t>
            </w:r>
          </w:p>
        </w:tc>
        <w:tc>
          <w:tcPr>
            <w:tcW w:w="1559" w:type="dxa"/>
            <w:hideMark/>
          </w:tcPr>
          <w:p w14:paraId="7E61AAB3" w14:textId="77777777" w:rsidR="002A2F3B" w:rsidRPr="003743EA" w:rsidRDefault="002A2F3B" w:rsidP="002A2F3B">
            <w:pPr>
              <w:tabs>
                <w:tab w:val="left" w:pos="1418"/>
              </w:tabs>
              <w:spacing w:before="120" w:after="120"/>
              <w:cnfStyle w:val="000000100000" w:firstRow="0" w:lastRow="0" w:firstColumn="0" w:lastColumn="0" w:oddVBand="0" w:evenVBand="0" w:oddHBand="1" w:evenHBand="0" w:firstRowFirstColumn="0" w:firstRowLastColumn="0" w:lastRowFirstColumn="0" w:lastRowLastColumn="0"/>
              <w:rPr>
                <w:color w:val="000000"/>
                <w:sz w:val="20"/>
                <w:szCs w:val="20"/>
              </w:rPr>
            </w:pPr>
            <w:r w:rsidRPr="003743EA">
              <w:rPr>
                <w:rFonts w:cs="Calibri"/>
                <w:color w:val="262626"/>
                <w:sz w:val="20"/>
                <w:szCs w:val="20"/>
              </w:rPr>
              <w:t>UN Women (ROAS/ country offices)</w:t>
            </w:r>
          </w:p>
        </w:tc>
        <w:tc>
          <w:tcPr>
            <w:tcW w:w="992" w:type="dxa"/>
          </w:tcPr>
          <w:p w14:paraId="03DE8E7D" w14:textId="77777777" w:rsidR="002A2F3B" w:rsidRPr="003743EA" w:rsidRDefault="002A2F3B" w:rsidP="002A2F3B">
            <w:pPr>
              <w:tabs>
                <w:tab w:val="left" w:pos="1418"/>
              </w:tabs>
              <w:spacing w:before="120" w:after="120"/>
              <w:cnfStyle w:val="000000100000" w:firstRow="0" w:lastRow="0" w:firstColumn="0" w:lastColumn="0" w:oddVBand="0" w:evenVBand="0" w:oddHBand="1" w:evenHBand="0" w:firstRowFirstColumn="0" w:firstRowLastColumn="0" w:lastRowFirstColumn="0" w:lastRowLastColumn="0"/>
              <w:rPr>
                <w:b/>
                <w:bCs/>
                <w:color w:val="000000"/>
                <w:sz w:val="20"/>
                <w:szCs w:val="20"/>
              </w:rPr>
            </w:pPr>
            <w:r w:rsidRPr="003743EA">
              <w:rPr>
                <w:b/>
                <w:bCs/>
                <w:color w:val="000000"/>
                <w:sz w:val="20"/>
                <w:szCs w:val="20"/>
              </w:rPr>
              <w:t>High</w:t>
            </w:r>
          </w:p>
        </w:tc>
        <w:tc>
          <w:tcPr>
            <w:tcW w:w="4962" w:type="dxa"/>
            <w:hideMark/>
          </w:tcPr>
          <w:p w14:paraId="0C0D15D3" w14:textId="77777777" w:rsidR="002A2F3B" w:rsidRPr="003743EA" w:rsidRDefault="002A2F3B" w:rsidP="00D41792">
            <w:pPr>
              <w:tabs>
                <w:tab w:val="left" w:pos="1418"/>
              </w:tabs>
              <w:spacing w:before="120" w:after="120"/>
              <w:jc w:val="both"/>
              <w:cnfStyle w:val="000000100000" w:firstRow="0" w:lastRow="0" w:firstColumn="0" w:lastColumn="0" w:oddVBand="0" w:evenVBand="0" w:oddHBand="1" w:evenHBand="0" w:firstRowFirstColumn="0" w:firstRowLastColumn="0" w:lastRowFirstColumn="0" w:lastRowLastColumn="0"/>
              <w:rPr>
                <w:b/>
                <w:bCs/>
                <w:color w:val="000000"/>
                <w:sz w:val="20"/>
                <w:szCs w:val="20"/>
              </w:rPr>
            </w:pPr>
            <w:r w:rsidRPr="003743EA">
              <w:rPr>
                <w:color w:val="000000"/>
                <w:sz w:val="20"/>
                <w:szCs w:val="20"/>
              </w:rPr>
              <w:t>C</w:t>
            </w:r>
            <w:r w:rsidR="002E3AC3" w:rsidRPr="003743EA">
              <w:rPr>
                <w:color w:val="000000"/>
                <w:sz w:val="20"/>
                <w:szCs w:val="20"/>
              </w:rPr>
              <w:t>o</w:t>
            </w:r>
            <w:r w:rsidRPr="003743EA">
              <w:rPr>
                <w:color w:val="000000"/>
                <w:sz w:val="20"/>
                <w:szCs w:val="20"/>
              </w:rPr>
              <w:t xml:space="preserve">s </w:t>
            </w:r>
            <w:proofErr w:type="gramStart"/>
            <w:r w:rsidRPr="003743EA">
              <w:rPr>
                <w:color w:val="000000"/>
                <w:sz w:val="20"/>
                <w:szCs w:val="20"/>
              </w:rPr>
              <w:t>need</w:t>
            </w:r>
            <w:proofErr w:type="gramEnd"/>
            <w:r w:rsidRPr="003743EA">
              <w:rPr>
                <w:color w:val="000000"/>
                <w:sz w:val="20"/>
                <w:szCs w:val="20"/>
              </w:rPr>
              <w:t xml:space="preserve"> to ensure that ROAS is systematically brought in for quality assurance and consistency of all external outreach products and that these reinforce messaging informed by best practice.</w:t>
            </w:r>
          </w:p>
        </w:tc>
      </w:tr>
    </w:tbl>
    <w:p w14:paraId="572F7565" w14:textId="77777777" w:rsidR="006950C4" w:rsidRPr="00246336" w:rsidRDefault="006950C4" w:rsidP="007F6DFD">
      <w:pPr>
        <w:pStyle w:val="ItadH2Numbered"/>
        <w:rPr>
          <w:b w:val="0"/>
          <w:bCs w:val="0"/>
        </w:rPr>
        <w:sectPr w:rsidR="006950C4" w:rsidRPr="00246336" w:rsidSect="00AD5702">
          <w:pgSz w:w="16838" w:h="11906" w:orient="landscape" w:code="9"/>
          <w:pgMar w:top="1191" w:right="1134" w:bottom="1191" w:left="1134" w:header="720" w:footer="680" w:gutter="0"/>
          <w:cols w:space="720"/>
          <w:docGrid w:linePitch="360"/>
        </w:sectPr>
      </w:pPr>
    </w:p>
    <w:p w14:paraId="52B779EF" w14:textId="77777777" w:rsidR="000760D5" w:rsidRDefault="00917CBB" w:rsidP="000760D5">
      <w:pPr>
        <w:pStyle w:val="Sectionsubheading"/>
        <w:rPr>
          <w:rStyle w:val="ItadNormalTextChar"/>
        </w:rPr>
      </w:pPr>
      <w:r w:rsidRPr="001C6DAB">
        <w:rPr>
          <w:rStyle w:val="ItadNormalTextChar"/>
          <w:rFonts w:ascii="CubeOT" w:hAnsi="CubeOT" w:cs="CubeOT"/>
          <w:color w:val="E37230" w:themeColor="accent2"/>
          <w:sz w:val="36"/>
          <w:szCs w:val="36"/>
        </w:rPr>
        <w:lastRenderedPageBreak/>
        <w:t>Morocco</w:t>
      </w:r>
      <w:r w:rsidRPr="00917CBB">
        <w:rPr>
          <w:rFonts w:ascii="CubeOT" w:hAnsi="CubeOT"/>
          <w:bCs/>
          <w:color w:val="E37230" w:themeColor="accent2"/>
          <w:sz w:val="52"/>
          <w:szCs w:val="28"/>
        </w:rPr>
        <w:t xml:space="preserve"> </w:t>
      </w:r>
    </w:p>
    <w:tbl>
      <w:tblPr>
        <w:tblW w:w="1419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40"/>
        <w:gridCol w:w="3496"/>
        <w:gridCol w:w="1588"/>
        <w:gridCol w:w="1134"/>
        <w:gridCol w:w="1842"/>
        <w:gridCol w:w="993"/>
        <w:gridCol w:w="4706"/>
      </w:tblGrid>
      <w:tr w:rsidR="00CC4987" w:rsidRPr="003743EA" w14:paraId="2CC81450" w14:textId="77777777" w:rsidTr="00B93110">
        <w:tc>
          <w:tcPr>
            <w:tcW w:w="3936" w:type="dxa"/>
            <w:gridSpan w:val="2"/>
            <w:shd w:val="clear" w:color="auto" w:fill="auto"/>
          </w:tcPr>
          <w:p w14:paraId="62D7A9E7" w14:textId="0904006E" w:rsidR="00CC4987" w:rsidRPr="003743EA" w:rsidRDefault="00CC4987" w:rsidP="00B93110">
            <w:pPr>
              <w:pStyle w:val="ItadH2Numbered"/>
              <w:numPr>
                <w:ilvl w:val="0"/>
                <w:numId w:val="0"/>
              </w:numPr>
              <w:ind w:left="644" w:hanging="360"/>
              <w:rPr>
                <w:sz w:val="20"/>
                <w:szCs w:val="20"/>
              </w:rPr>
            </w:pPr>
            <w:r w:rsidRPr="003743EA">
              <w:rPr>
                <w:sz w:val="20"/>
                <w:szCs w:val="20"/>
              </w:rPr>
              <w:t xml:space="preserve">Recommendation </w:t>
            </w:r>
          </w:p>
        </w:tc>
        <w:tc>
          <w:tcPr>
            <w:tcW w:w="1588" w:type="dxa"/>
            <w:shd w:val="clear" w:color="auto" w:fill="auto"/>
          </w:tcPr>
          <w:p w14:paraId="069DE587" w14:textId="77777777" w:rsidR="00CC4987" w:rsidRPr="003743EA" w:rsidRDefault="00CC4987" w:rsidP="00DD2324">
            <w:pPr>
              <w:pStyle w:val="ItadNormalText"/>
              <w:rPr>
                <w:b/>
                <w:bCs/>
                <w:sz w:val="20"/>
                <w:szCs w:val="20"/>
              </w:rPr>
            </w:pPr>
            <w:r w:rsidRPr="003743EA">
              <w:rPr>
                <w:b/>
                <w:bCs/>
                <w:sz w:val="20"/>
                <w:szCs w:val="20"/>
              </w:rPr>
              <w:t>Level</w:t>
            </w:r>
          </w:p>
        </w:tc>
        <w:tc>
          <w:tcPr>
            <w:tcW w:w="1134" w:type="dxa"/>
            <w:shd w:val="clear" w:color="auto" w:fill="auto"/>
          </w:tcPr>
          <w:p w14:paraId="1EFDF7EF" w14:textId="77777777" w:rsidR="00F33612" w:rsidRPr="003743EA" w:rsidRDefault="00CC4987" w:rsidP="00DD2324">
            <w:pPr>
              <w:pStyle w:val="ItadNormalText"/>
              <w:rPr>
                <w:b/>
                <w:bCs/>
                <w:sz w:val="20"/>
                <w:szCs w:val="20"/>
              </w:rPr>
            </w:pPr>
            <w:r w:rsidRPr="003743EA">
              <w:rPr>
                <w:b/>
                <w:bCs/>
                <w:sz w:val="20"/>
                <w:szCs w:val="20"/>
              </w:rPr>
              <w:t xml:space="preserve">Linked </w:t>
            </w:r>
          </w:p>
          <w:p w14:paraId="727B2104" w14:textId="101D461F" w:rsidR="00CC4987" w:rsidRPr="003743EA" w:rsidRDefault="00CC4987" w:rsidP="00DD2324">
            <w:pPr>
              <w:pStyle w:val="ItadNormalText"/>
              <w:rPr>
                <w:b/>
                <w:bCs/>
                <w:sz w:val="20"/>
                <w:szCs w:val="20"/>
              </w:rPr>
            </w:pPr>
            <w:r w:rsidRPr="003743EA">
              <w:rPr>
                <w:b/>
                <w:bCs/>
                <w:sz w:val="20"/>
                <w:szCs w:val="20"/>
              </w:rPr>
              <w:t>conclusions</w:t>
            </w:r>
          </w:p>
        </w:tc>
        <w:tc>
          <w:tcPr>
            <w:tcW w:w="1842" w:type="dxa"/>
            <w:shd w:val="clear" w:color="auto" w:fill="auto"/>
          </w:tcPr>
          <w:p w14:paraId="78AE8066" w14:textId="77777777" w:rsidR="00CC4987" w:rsidRPr="003743EA" w:rsidRDefault="00CC4987" w:rsidP="00DD2324">
            <w:pPr>
              <w:pStyle w:val="ItadNormalText"/>
              <w:rPr>
                <w:b/>
                <w:bCs/>
                <w:sz w:val="20"/>
                <w:szCs w:val="20"/>
              </w:rPr>
            </w:pPr>
            <w:r w:rsidRPr="003743EA">
              <w:rPr>
                <w:b/>
                <w:bCs/>
                <w:sz w:val="20"/>
                <w:szCs w:val="20"/>
              </w:rPr>
              <w:t>Directed</w:t>
            </w:r>
          </w:p>
        </w:tc>
        <w:tc>
          <w:tcPr>
            <w:tcW w:w="993" w:type="dxa"/>
            <w:shd w:val="clear" w:color="auto" w:fill="auto"/>
          </w:tcPr>
          <w:p w14:paraId="5980C343" w14:textId="77777777" w:rsidR="00CC4987" w:rsidRPr="003743EA" w:rsidRDefault="00CC4987" w:rsidP="00DD2324">
            <w:pPr>
              <w:pStyle w:val="ItadNormalText"/>
              <w:rPr>
                <w:b/>
                <w:bCs/>
                <w:sz w:val="20"/>
                <w:szCs w:val="20"/>
              </w:rPr>
            </w:pPr>
            <w:r w:rsidRPr="003743EA">
              <w:rPr>
                <w:b/>
                <w:bCs/>
                <w:sz w:val="20"/>
                <w:szCs w:val="20"/>
              </w:rPr>
              <w:t>Ranking</w:t>
            </w:r>
          </w:p>
        </w:tc>
        <w:tc>
          <w:tcPr>
            <w:tcW w:w="4706" w:type="dxa"/>
            <w:shd w:val="clear" w:color="auto" w:fill="auto"/>
          </w:tcPr>
          <w:p w14:paraId="3BCFC512" w14:textId="77777777" w:rsidR="00CC4987" w:rsidRPr="003743EA" w:rsidRDefault="00CC4987" w:rsidP="00DD2324">
            <w:pPr>
              <w:pStyle w:val="ItadNormalText"/>
              <w:rPr>
                <w:b/>
                <w:bCs/>
                <w:sz w:val="20"/>
                <w:szCs w:val="20"/>
              </w:rPr>
            </w:pPr>
            <w:r w:rsidRPr="003743EA">
              <w:rPr>
                <w:b/>
                <w:bCs/>
                <w:sz w:val="20"/>
                <w:szCs w:val="20"/>
              </w:rPr>
              <w:t>How action can be supported</w:t>
            </w:r>
          </w:p>
        </w:tc>
      </w:tr>
      <w:tr w:rsidR="00CC4987" w:rsidRPr="003743EA" w14:paraId="69205042" w14:textId="77777777" w:rsidTr="00B93110">
        <w:tc>
          <w:tcPr>
            <w:tcW w:w="440" w:type="dxa"/>
            <w:shd w:val="clear" w:color="auto" w:fill="F2F2F2" w:themeFill="background1" w:themeFillShade="F2"/>
          </w:tcPr>
          <w:p w14:paraId="12C01390" w14:textId="77777777" w:rsidR="00CC4987" w:rsidRPr="003743EA" w:rsidRDefault="00CC4987" w:rsidP="00DD2324">
            <w:pPr>
              <w:pStyle w:val="ItadNormalText"/>
              <w:rPr>
                <w:sz w:val="20"/>
                <w:szCs w:val="20"/>
              </w:rPr>
            </w:pPr>
            <w:r w:rsidRPr="003743EA">
              <w:rPr>
                <w:sz w:val="20"/>
                <w:szCs w:val="20"/>
              </w:rPr>
              <w:t>1</w:t>
            </w:r>
          </w:p>
        </w:tc>
        <w:tc>
          <w:tcPr>
            <w:tcW w:w="3496" w:type="dxa"/>
            <w:shd w:val="clear" w:color="auto" w:fill="F2F2F2" w:themeFill="background1" w:themeFillShade="F2"/>
          </w:tcPr>
          <w:p w14:paraId="6DBB2E43" w14:textId="25B478AE" w:rsidR="00CC4987" w:rsidRPr="003743EA" w:rsidRDefault="00CC4987" w:rsidP="00F33612">
            <w:pPr>
              <w:pStyle w:val="ItadNormalText"/>
              <w:jc w:val="both"/>
              <w:rPr>
                <w:sz w:val="20"/>
                <w:szCs w:val="20"/>
              </w:rPr>
            </w:pPr>
            <w:r w:rsidRPr="003743EA">
              <w:rPr>
                <w:sz w:val="20"/>
                <w:szCs w:val="20"/>
              </w:rPr>
              <w:t xml:space="preserve">Expand engagement and partnership activities with governmental entities </w:t>
            </w:r>
            <w:proofErr w:type="gramStart"/>
            <w:r w:rsidRPr="003743EA">
              <w:rPr>
                <w:sz w:val="20"/>
                <w:szCs w:val="20"/>
              </w:rPr>
              <w:t>in order to</w:t>
            </w:r>
            <w:proofErr w:type="gramEnd"/>
            <w:r w:rsidR="001C6DAB" w:rsidRPr="003743EA">
              <w:rPr>
                <w:sz w:val="20"/>
                <w:szCs w:val="20"/>
              </w:rPr>
              <w:t>:</w:t>
            </w:r>
            <w:r w:rsidRPr="003743EA">
              <w:rPr>
                <w:sz w:val="20"/>
                <w:szCs w:val="20"/>
              </w:rPr>
              <w:t xml:space="preserve"> </w:t>
            </w:r>
            <w:r w:rsidR="001C6DAB" w:rsidRPr="003743EA">
              <w:rPr>
                <w:sz w:val="20"/>
                <w:szCs w:val="20"/>
              </w:rPr>
              <w:t>a)</w:t>
            </w:r>
            <w:r w:rsidRPr="003743EA">
              <w:rPr>
                <w:sz w:val="20"/>
                <w:szCs w:val="20"/>
              </w:rPr>
              <w:t xml:space="preserve"> mainstream MWGE approaches and use of knowledge products within similar programmes, and to </w:t>
            </w:r>
            <w:r w:rsidR="00B93110" w:rsidRPr="003743EA">
              <w:rPr>
                <w:sz w:val="20"/>
                <w:szCs w:val="20"/>
              </w:rPr>
              <w:t>b)</w:t>
            </w:r>
            <w:r w:rsidRPr="003743EA">
              <w:rPr>
                <w:sz w:val="20"/>
                <w:szCs w:val="20"/>
              </w:rPr>
              <w:t xml:space="preserve"> Facilitate greater buy-in and leverage from government institutions when policy windows arise</w:t>
            </w:r>
          </w:p>
        </w:tc>
        <w:tc>
          <w:tcPr>
            <w:tcW w:w="1588" w:type="dxa"/>
            <w:shd w:val="clear" w:color="auto" w:fill="F2F2F2" w:themeFill="background1" w:themeFillShade="F2"/>
          </w:tcPr>
          <w:p w14:paraId="40EAADF6" w14:textId="77777777" w:rsidR="00CC4987" w:rsidRPr="003743EA" w:rsidRDefault="00CC4987" w:rsidP="00DD2324">
            <w:pPr>
              <w:pStyle w:val="ItadNormalText"/>
              <w:rPr>
                <w:sz w:val="20"/>
                <w:szCs w:val="20"/>
              </w:rPr>
            </w:pPr>
            <w:r w:rsidRPr="003743EA">
              <w:rPr>
                <w:sz w:val="20"/>
                <w:szCs w:val="20"/>
              </w:rPr>
              <w:t>Strategic</w:t>
            </w:r>
          </w:p>
        </w:tc>
        <w:tc>
          <w:tcPr>
            <w:tcW w:w="1134" w:type="dxa"/>
            <w:shd w:val="clear" w:color="auto" w:fill="F2F2F2" w:themeFill="background1" w:themeFillShade="F2"/>
          </w:tcPr>
          <w:p w14:paraId="06208652" w14:textId="77777777" w:rsidR="00CC4987" w:rsidRPr="003743EA" w:rsidRDefault="00CC4987" w:rsidP="00DD2324">
            <w:pPr>
              <w:pStyle w:val="ItadNormalText"/>
              <w:rPr>
                <w:sz w:val="20"/>
                <w:szCs w:val="20"/>
              </w:rPr>
            </w:pPr>
            <w:r w:rsidRPr="003743EA">
              <w:rPr>
                <w:sz w:val="20"/>
                <w:szCs w:val="20"/>
              </w:rPr>
              <w:t>1</w:t>
            </w:r>
          </w:p>
        </w:tc>
        <w:tc>
          <w:tcPr>
            <w:tcW w:w="1842" w:type="dxa"/>
            <w:shd w:val="clear" w:color="auto" w:fill="F2F2F2" w:themeFill="background1" w:themeFillShade="F2"/>
          </w:tcPr>
          <w:p w14:paraId="28CDA400" w14:textId="77777777" w:rsidR="00CC4987" w:rsidRPr="003743EA" w:rsidRDefault="00CC4987" w:rsidP="00DD2324">
            <w:pPr>
              <w:pStyle w:val="ItadNormalText"/>
              <w:rPr>
                <w:sz w:val="20"/>
                <w:szCs w:val="20"/>
              </w:rPr>
            </w:pPr>
            <w:r w:rsidRPr="003743EA">
              <w:rPr>
                <w:color w:val="262626"/>
                <w:sz w:val="20"/>
                <w:szCs w:val="20"/>
              </w:rPr>
              <w:t>UN Women (regional/CO)</w:t>
            </w:r>
            <w:r w:rsidRPr="003743EA">
              <w:rPr>
                <w:sz w:val="20"/>
                <w:szCs w:val="20"/>
              </w:rPr>
              <w:t xml:space="preserve">, </w:t>
            </w:r>
            <w:r w:rsidRPr="003743EA">
              <w:rPr>
                <w:color w:val="262626"/>
                <w:sz w:val="20"/>
                <w:szCs w:val="20"/>
              </w:rPr>
              <w:t>SIDA</w:t>
            </w:r>
            <w:r w:rsidRPr="003743EA">
              <w:rPr>
                <w:sz w:val="20"/>
                <w:szCs w:val="20"/>
              </w:rPr>
              <w:t>/other donors</w:t>
            </w:r>
          </w:p>
        </w:tc>
        <w:tc>
          <w:tcPr>
            <w:tcW w:w="993" w:type="dxa"/>
            <w:shd w:val="clear" w:color="auto" w:fill="F2F2F2" w:themeFill="background1" w:themeFillShade="F2"/>
          </w:tcPr>
          <w:p w14:paraId="74194DEB" w14:textId="77777777" w:rsidR="00CC4987" w:rsidRPr="003743EA" w:rsidRDefault="00CC4987" w:rsidP="00DD2324">
            <w:pPr>
              <w:pStyle w:val="ItadNormalText"/>
              <w:rPr>
                <w:b/>
                <w:bCs/>
                <w:sz w:val="20"/>
                <w:szCs w:val="20"/>
              </w:rPr>
            </w:pPr>
            <w:r w:rsidRPr="003743EA">
              <w:rPr>
                <w:b/>
                <w:bCs/>
                <w:sz w:val="20"/>
                <w:szCs w:val="20"/>
              </w:rPr>
              <w:t>High</w:t>
            </w:r>
          </w:p>
        </w:tc>
        <w:tc>
          <w:tcPr>
            <w:tcW w:w="4706" w:type="dxa"/>
            <w:shd w:val="clear" w:color="auto" w:fill="F2F2F2" w:themeFill="background1" w:themeFillShade="F2"/>
          </w:tcPr>
          <w:p w14:paraId="09CF19E0" w14:textId="713E95C1" w:rsidR="00CC4987" w:rsidRPr="003743EA" w:rsidRDefault="00CC4987" w:rsidP="00DD2324">
            <w:pPr>
              <w:pStyle w:val="ItadNormalText"/>
              <w:rPr>
                <w:sz w:val="20"/>
                <w:szCs w:val="20"/>
              </w:rPr>
            </w:pPr>
            <w:r w:rsidRPr="003743EA">
              <w:rPr>
                <w:sz w:val="20"/>
                <w:szCs w:val="20"/>
              </w:rPr>
              <w:t xml:space="preserve">Use different pathways into government institutions. Options include the development of a cross-cutting (technical and managerial) advisory </w:t>
            </w:r>
            <w:r w:rsidR="00B93110" w:rsidRPr="003743EA">
              <w:rPr>
                <w:sz w:val="20"/>
                <w:szCs w:val="20"/>
              </w:rPr>
              <w:t>committee; utilize</w:t>
            </w:r>
            <w:r w:rsidRPr="003743EA">
              <w:rPr>
                <w:sz w:val="20"/>
                <w:szCs w:val="20"/>
              </w:rPr>
              <w:t xml:space="preserve"> pre-existing entry points from other UN agencies to facilitate introductions to governmental entities.</w:t>
            </w:r>
          </w:p>
        </w:tc>
      </w:tr>
      <w:tr w:rsidR="00CC4987" w:rsidRPr="003743EA" w14:paraId="143B6746" w14:textId="77777777" w:rsidTr="00B93110">
        <w:tc>
          <w:tcPr>
            <w:tcW w:w="440" w:type="dxa"/>
            <w:shd w:val="clear" w:color="auto" w:fill="auto"/>
          </w:tcPr>
          <w:p w14:paraId="17B3E26C" w14:textId="77777777" w:rsidR="00CC4987" w:rsidRPr="003743EA" w:rsidRDefault="00CC4987" w:rsidP="00DD2324">
            <w:pPr>
              <w:pStyle w:val="ItadNormalText"/>
              <w:rPr>
                <w:sz w:val="20"/>
                <w:szCs w:val="20"/>
              </w:rPr>
            </w:pPr>
            <w:r w:rsidRPr="003743EA">
              <w:rPr>
                <w:sz w:val="20"/>
                <w:szCs w:val="20"/>
              </w:rPr>
              <w:t>2</w:t>
            </w:r>
          </w:p>
        </w:tc>
        <w:tc>
          <w:tcPr>
            <w:tcW w:w="3496" w:type="dxa"/>
            <w:shd w:val="clear" w:color="auto" w:fill="auto"/>
          </w:tcPr>
          <w:p w14:paraId="6B021908" w14:textId="77777777" w:rsidR="00CC4987" w:rsidRPr="003743EA" w:rsidRDefault="00CC4987" w:rsidP="00DD2324">
            <w:pPr>
              <w:pStyle w:val="ItadNormalText"/>
              <w:rPr>
                <w:b/>
                <w:bCs/>
                <w:sz w:val="20"/>
                <w:szCs w:val="20"/>
              </w:rPr>
            </w:pPr>
            <w:r w:rsidRPr="003743EA">
              <w:rPr>
                <w:sz w:val="20"/>
                <w:szCs w:val="20"/>
              </w:rPr>
              <w:t>Enhance institutional uptake by often overlooked stakeholders such as religious institutions, universities, Ministry of Employment, and the Ministry of Youth, as well as other UN agencies such as the ILO</w:t>
            </w:r>
          </w:p>
        </w:tc>
        <w:tc>
          <w:tcPr>
            <w:tcW w:w="1588" w:type="dxa"/>
            <w:shd w:val="clear" w:color="auto" w:fill="auto"/>
          </w:tcPr>
          <w:p w14:paraId="4A8732E7" w14:textId="77777777" w:rsidR="00CC4987" w:rsidRPr="003743EA" w:rsidRDefault="00CC4987" w:rsidP="00DD2324">
            <w:pPr>
              <w:pStyle w:val="ItadNormalText"/>
              <w:rPr>
                <w:b/>
                <w:sz w:val="20"/>
                <w:szCs w:val="20"/>
              </w:rPr>
            </w:pPr>
            <w:r w:rsidRPr="003743EA">
              <w:rPr>
                <w:sz w:val="20"/>
                <w:szCs w:val="20"/>
              </w:rPr>
              <w:t>Strategic/ Programmatic</w:t>
            </w:r>
          </w:p>
        </w:tc>
        <w:tc>
          <w:tcPr>
            <w:tcW w:w="1134" w:type="dxa"/>
            <w:shd w:val="clear" w:color="auto" w:fill="auto"/>
          </w:tcPr>
          <w:p w14:paraId="3FB8B071" w14:textId="77777777" w:rsidR="00CC4987" w:rsidRPr="003743EA" w:rsidRDefault="00CC4987" w:rsidP="00DD2324">
            <w:pPr>
              <w:pStyle w:val="ItadNormalText"/>
              <w:rPr>
                <w:sz w:val="20"/>
                <w:szCs w:val="20"/>
              </w:rPr>
            </w:pPr>
            <w:r w:rsidRPr="003743EA">
              <w:rPr>
                <w:sz w:val="20"/>
                <w:szCs w:val="20"/>
              </w:rPr>
              <w:t>1, 2</w:t>
            </w:r>
          </w:p>
        </w:tc>
        <w:tc>
          <w:tcPr>
            <w:tcW w:w="1842" w:type="dxa"/>
            <w:shd w:val="clear" w:color="auto" w:fill="auto"/>
          </w:tcPr>
          <w:p w14:paraId="2B55C7CD" w14:textId="77777777" w:rsidR="00CC4987" w:rsidRPr="003743EA" w:rsidRDefault="00CC4987" w:rsidP="00DD2324">
            <w:pPr>
              <w:pStyle w:val="ItadNormalText"/>
              <w:rPr>
                <w:sz w:val="20"/>
                <w:szCs w:val="20"/>
              </w:rPr>
            </w:pPr>
            <w:r w:rsidRPr="003743EA">
              <w:rPr>
                <w:sz w:val="20"/>
                <w:szCs w:val="20"/>
              </w:rPr>
              <w:t>UN Women (regional/CO)/ implementing partners, third parties</w:t>
            </w:r>
          </w:p>
        </w:tc>
        <w:tc>
          <w:tcPr>
            <w:tcW w:w="993" w:type="dxa"/>
            <w:shd w:val="clear" w:color="auto" w:fill="auto"/>
          </w:tcPr>
          <w:p w14:paraId="14DEDAC4" w14:textId="77777777" w:rsidR="00CC4987" w:rsidRPr="003743EA" w:rsidRDefault="00CC4987" w:rsidP="00DD2324">
            <w:pPr>
              <w:pStyle w:val="ItadNormalText"/>
              <w:rPr>
                <w:b/>
                <w:bCs/>
                <w:sz w:val="20"/>
                <w:szCs w:val="20"/>
              </w:rPr>
            </w:pPr>
            <w:r w:rsidRPr="003743EA">
              <w:rPr>
                <w:b/>
                <w:bCs/>
                <w:sz w:val="20"/>
                <w:szCs w:val="20"/>
              </w:rPr>
              <w:t>High</w:t>
            </w:r>
          </w:p>
        </w:tc>
        <w:tc>
          <w:tcPr>
            <w:tcW w:w="4706" w:type="dxa"/>
            <w:shd w:val="clear" w:color="auto" w:fill="auto"/>
          </w:tcPr>
          <w:p w14:paraId="447B5C22" w14:textId="77777777" w:rsidR="00CC4987" w:rsidRPr="003743EA" w:rsidRDefault="00CC4987" w:rsidP="00DD2324">
            <w:pPr>
              <w:pStyle w:val="ItadNormalText"/>
              <w:rPr>
                <w:sz w:val="20"/>
                <w:szCs w:val="20"/>
              </w:rPr>
            </w:pPr>
            <w:r w:rsidRPr="003743EA">
              <w:rPr>
                <w:sz w:val="20"/>
                <w:szCs w:val="20"/>
              </w:rPr>
              <w:t>Through identifying entry points amongst newly identified stakeholders (via a feminist political economy analysis) and extensive engagements in dialogue and specific interventions that meet their priorities.</w:t>
            </w:r>
          </w:p>
          <w:p w14:paraId="4B8A5067" w14:textId="77777777" w:rsidR="00CC4987" w:rsidRPr="003743EA" w:rsidRDefault="00CC4987" w:rsidP="00DD2324">
            <w:pPr>
              <w:pStyle w:val="ItadNormalText"/>
              <w:rPr>
                <w:b/>
                <w:sz w:val="20"/>
                <w:szCs w:val="20"/>
              </w:rPr>
            </w:pPr>
            <w:r w:rsidRPr="003743EA">
              <w:rPr>
                <w:sz w:val="20"/>
                <w:szCs w:val="20"/>
              </w:rPr>
              <w:t>Incorporate feminist principles and social norms as cross-cutting areas in all future uptake.</w:t>
            </w:r>
          </w:p>
        </w:tc>
      </w:tr>
      <w:tr w:rsidR="00CC4987" w:rsidRPr="003743EA" w14:paraId="131F2A5E" w14:textId="77777777" w:rsidTr="00B93110">
        <w:tc>
          <w:tcPr>
            <w:tcW w:w="440" w:type="dxa"/>
            <w:shd w:val="clear" w:color="auto" w:fill="F2F2F2" w:themeFill="background1" w:themeFillShade="F2"/>
          </w:tcPr>
          <w:p w14:paraId="45F59277" w14:textId="77777777" w:rsidR="00CC4987" w:rsidRPr="003743EA" w:rsidRDefault="00CC4987" w:rsidP="00DD2324">
            <w:pPr>
              <w:pStyle w:val="ItadNormalText"/>
              <w:rPr>
                <w:sz w:val="20"/>
                <w:szCs w:val="20"/>
              </w:rPr>
            </w:pPr>
            <w:r w:rsidRPr="003743EA">
              <w:rPr>
                <w:sz w:val="20"/>
                <w:szCs w:val="20"/>
              </w:rPr>
              <w:t>3</w:t>
            </w:r>
          </w:p>
        </w:tc>
        <w:tc>
          <w:tcPr>
            <w:tcW w:w="3496" w:type="dxa"/>
            <w:shd w:val="clear" w:color="auto" w:fill="F2F2F2" w:themeFill="background1" w:themeFillShade="F2"/>
          </w:tcPr>
          <w:p w14:paraId="7900B53F" w14:textId="77777777" w:rsidR="00CC4987" w:rsidRPr="003743EA" w:rsidRDefault="00CC4987" w:rsidP="00DD2324">
            <w:pPr>
              <w:pStyle w:val="ItadNormalText"/>
              <w:rPr>
                <w:sz w:val="20"/>
                <w:szCs w:val="20"/>
              </w:rPr>
            </w:pPr>
            <w:r w:rsidRPr="003743EA">
              <w:rPr>
                <w:sz w:val="20"/>
                <w:szCs w:val="20"/>
              </w:rPr>
              <w:t>Update and initiate a national-level survey of IMAGES to ensure national representativeness and facilitate operational and strategic learning from previous phases of MWGE.</w:t>
            </w:r>
          </w:p>
        </w:tc>
        <w:tc>
          <w:tcPr>
            <w:tcW w:w="1588" w:type="dxa"/>
            <w:shd w:val="clear" w:color="auto" w:fill="F2F2F2" w:themeFill="background1" w:themeFillShade="F2"/>
          </w:tcPr>
          <w:p w14:paraId="2B361FCF" w14:textId="77777777" w:rsidR="00CC4987" w:rsidRPr="003743EA" w:rsidRDefault="00CC4987" w:rsidP="00DD2324">
            <w:pPr>
              <w:pStyle w:val="ItadNormalText"/>
              <w:rPr>
                <w:b/>
                <w:sz w:val="20"/>
                <w:szCs w:val="20"/>
              </w:rPr>
            </w:pPr>
            <w:r w:rsidRPr="003743EA">
              <w:rPr>
                <w:sz w:val="20"/>
                <w:szCs w:val="20"/>
              </w:rPr>
              <w:t>Programmatic</w:t>
            </w:r>
          </w:p>
        </w:tc>
        <w:tc>
          <w:tcPr>
            <w:tcW w:w="1134" w:type="dxa"/>
            <w:shd w:val="clear" w:color="auto" w:fill="F2F2F2" w:themeFill="background1" w:themeFillShade="F2"/>
          </w:tcPr>
          <w:p w14:paraId="566F0DA8" w14:textId="77777777" w:rsidR="00CC4987" w:rsidRPr="003743EA" w:rsidRDefault="00CC4987" w:rsidP="00DD2324">
            <w:pPr>
              <w:pStyle w:val="ItadNormalText"/>
              <w:rPr>
                <w:sz w:val="20"/>
                <w:szCs w:val="20"/>
              </w:rPr>
            </w:pPr>
            <w:r w:rsidRPr="003743EA">
              <w:rPr>
                <w:sz w:val="20"/>
                <w:szCs w:val="20"/>
              </w:rPr>
              <w:t>1, 3, 4, 6, 7</w:t>
            </w:r>
          </w:p>
        </w:tc>
        <w:tc>
          <w:tcPr>
            <w:tcW w:w="1842" w:type="dxa"/>
            <w:shd w:val="clear" w:color="auto" w:fill="F2F2F2" w:themeFill="background1" w:themeFillShade="F2"/>
          </w:tcPr>
          <w:p w14:paraId="7D6BCE7A" w14:textId="77777777" w:rsidR="00CC4987" w:rsidRPr="003743EA" w:rsidRDefault="00CC4987" w:rsidP="00DD2324">
            <w:pPr>
              <w:pStyle w:val="ItadNormalText"/>
              <w:rPr>
                <w:color w:val="000000"/>
                <w:sz w:val="20"/>
                <w:szCs w:val="20"/>
              </w:rPr>
            </w:pPr>
            <w:r w:rsidRPr="003743EA">
              <w:rPr>
                <w:sz w:val="20"/>
                <w:szCs w:val="20"/>
              </w:rPr>
              <w:t>UN Women (regional/CO), national and CSO partners</w:t>
            </w:r>
          </w:p>
        </w:tc>
        <w:tc>
          <w:tcPr>
            <w:tcW w:w="993" w:type="dxa"/>
            <w:shd w:val="clear" w:color="auto" w:fill="F2F2F2" w:themeFill="background1" w:themeFillShade="F2"/>
          </w:tcPr>
          <w:p w14:paraId="2BDD2677" w14:textId="77777777" w:rsidR="00CC4987" w:rsidRPr="003743EA" w:rsidRDefault="00CC4987" w:rsidP="00DD2324">
            <w:pPr>
              <w:pStyle w:val="ItadNormalText"/>
              <w:rPr>
                <w:b/>
                <w:bCs/>
                <w:sz w:val="20"/>
                <w:szCs w:val="20"/>
              </w:rPr>
            </w:pPr>
            <w:r w:rsidRPr="003743EA">
              <w:rPr>
                <w:b/>
                <w:bCs/>
                <w:sz w:val="20"/>
                <w:szCs w:val="20"/>
              </w:rPr>
              <w:t>Medium</w:t>
            </w:r>
          </w:p>
        </w:tc>
        <w:tc>
          <w:tcPr>
            <w:tcW w:w="4706" w:type="dxa"/>
            <w:shd w:val="clear" w:color="auto" w:fill="F2F2F2" w:themeFill="background1" w:themeFillShade="F2"/>
          </w:tcPr>
          <w:p w14:paraId="5E197EB7" w14:textId="77777777" w:rsidR="00CC4987" w:rsidRPr="003743EA" w:rsidRDefault="00CC4987" w:rsidP="00DD2324">
            <w:pPr>
              <w:pStyle w:val="ItadNormalText"/>
              <w:rPr>
                <w:sz w:val="20"/>
                <w:szCs w:val="20"/>
              </w:rPr>
            </w:pPr>
            <w:r w:rsidRPr="003743EA">
              <w:rPr>
                <w:sz w:val="20"/>
                <w:szCs w:val="20"/>
              </w:rPr>
              <w:t>Using IMAGES survey tools and process, initiate a wide scope of dialogue among all national and CSO key players to present progress of previous phases of MWGE. This may take the form of a national conference that will be followed by forming an ongoing consultation through national advisory group, not only for IMAGES but also for the new phase of MWGE.</w:t>
            </w:r>
          </w:p>
        </w:tc>
      </w:tr>
      <w:tr w:rsidR="00CC4987" w:rsidRPr="003743EA" w14:paraId="7545F2AF" w14:textId="77777777" w:rsidTr="00B93110">
        <w:tc>
          <w:tcPr>
            <w:tcW w:w="440" w:type="dxa"/>
            <w:shd w:val="clear" w:color="auto" w:fill="auto"/>
          </w:tcPr>
          <w:p w14:paraId="2DA9239A" w14:textId="77777777" w:rsidR="00CC4987" w:rsidRPr="003743EA" w:rsidRDefault="00CC4987" w:rsidP="00DD2324">
            <w:pPr>
              <w:pStyle w:val="ItadNormalText"/>
              <w:rPr>
                <w:sz w:val="20"/>
                <w:szCs w:val="20"/>
              </w:rPr>
            </w:pPr>
            <w:r w:rsidRPr="003743EA">
              <w:rPr>
                <w:sz w:val="20"/>
                <w:szCs w:val="20"/>
              </w:rPr>
              <w:lastRenderedPageBreak/>
              <w:t>4</w:t>
            </w:r>
          </w:p>
        </w:tc>
        <w:tc>
          <w:tcPr>
            <w:tcW w:w="3496" w:type="dxa"/>
            <w:shd w:val="clear" w:color="auto" w:fill="auto"/>
          </w:tcPr>
          <w:p w14:paraId="4CC7A169" w14:textId="77777777" w:rsidR="00CC4987" w:rsidRPr="003743EA" w:rsidRDefault="00CC4987" w:rsidP="00DD2324">
            <w:pPr>
              <w:pStyle w:val="ItadNormalText"/>
              <w:rPr>
                <w:sz w:val="20"/>
                <w:szCs w:val="20"/>
              </w:rPr>
            </w:pPr>
            <w:r w:rsidRPr="003743EA">
              <w:rPr>
                <w:sz w:val="20"/>
                <w:szCs w:val="20"/>
              </w:rPr>
              <w:t>Enhance the inclusion and participation of people living with disabilities as well as LGBT persons</w:t>
            </w:r>
          </w:p>
        </w:tc>
        <w:tc>
          <w:tcPr>
            <w:tcW w:w="1588" w:type="dxa"/>
            <w:shd w:val="clear" w:color="auto" w:fill="auto"/>
          </w:tcPr>
          <w:p w14:paraId="21882A83" w14:textId="77777777" w:rsidR="00CC4987" w:rsidRPr="003743EA" w:rsidRDefault="00CC4987" w:rsidP="00DD2324">
            <w:pPr>
              <w:pStyle w:val="ItadNormalText"/>
              <w:rPr>
                <w:sz w:val="20"/>
                <w:szCs w:val="20"/>
              </w:rPr>
            </w:pPr>
            <w:r w:rsidRPr="003743EA">
              <w:rPr>
                <w:sz w:val="20"/>
                <w:szCs w:val="20"/>
              </w:rPr>
              <w:t>Programmatic and operational</w:t>
            </w:r>
          </w:p>
        </w:tc>
        <w:tc>
          <w:tcPr>
            <w:tcW w:w="1134" w:type="dxa"/>
            <w:shd w:val="clear" w:color="auto" w:fill="auto"/>
          </w:tcPr>
          <w:p w14:paraId="7FD3B69B" w14:textId="77777777" w:rsidR="00CC4987" w:rsidRPr="003743EA" w:rsidRDefault="00CC4987" w:rsidP="00DD2324">
            <w:pPr>
              <w:pStyle w:val="ItadNormalText"/>
              <w:rPr>
                <w:sz w:val="20"/>
                <w:szCs w:val="20"/>
              </w:rPr>
            </w:pPr>
            <w:r w:rsidRPr="003743EA">
              <w:rPr>
                <w:sz w:val="20"/>
                <w:szCs w:val="20"/>
              </w:rPr>
              <w:t>3, 4, 7</w:t>
            </w:r>
          </w:p>
        </w:tc>
        <w:tc>
          <w:tcPr>
            <w:tcW w:w="1842" w:type="dxa"/>
            <w:shd w:val="clear" w:color="auto" w:fill="auto"/>
          </w:tcPr>
          <w:p w14:paraId="78116266" w14:textId="77777777" w:rsidR="00CC4987" w:rsidRPr="003743EA" w:rsidRDefault="00CC4987" w:rsidP="00DD2324">
            <w:pPr>
              <w:pStyle w:val="ItadNormalText"/>
              <w:rPr>
                <w:sz w:val="20"/>
                <w:szCs w:val="20"/>
              </w:rPr>
            </w:pPr>
            <w:r w:rsidRPr="003743EA">
              <w:rPr>
                <w:sz w:val="20"/>
                <w:szCs w:val="20"/>
              </w:rPr>
              <w:t>UN Women CO</w:t>
            </w:r>
          </w:p>
        </w:tc>
        <w:tc>
          <w:tcPr>
            <w:tcW w:w="993" w:type="dxa"/>
            <w:shd w:val="clear" w:color="auto" w:fill="auto"/>
          </w:tcPr>
          <w:p w14:paraId="4DF8DA44" w14:textId="77777777" w:rsidR="00CC4987" w:rsidRPr="003743EA" w:rsidRDefault="00CC4987" w:rsidP="00DD2324">
            <w:pPr>
              <w:pStyle w:val="ItadNormalText"/>
              <w:rPr>
                <w:b/>
                <w:bCs/>
                <w:sz w:val="20"/>
                <w:szCs w:val="20"/>
              </w:rPr>
            </w:pPr>
            <w:r w:rsidRPr="003743EA">
              <w:rPr>
                <w:b/>
                <w:bCs/>
                <w:sz w:val="20"/>
                <w:szCs w:val="20"/>
              </w:rPr>
              <w:t>High</w:t>
            </w:r>
          </w:p>
        </w:tc>
        <w:tc>
          <w:tcPr>
            <w:tcW w:w="4706" w:type="dxa"/>
            <w:shd w:val="clear" w:color="auto" w:fill="auto"/>
          </w:tcPr>
          <w:p w14:paraId="5EDA3C3E" w14:textId="77777777" w:rsidR="00CC4987" w:rsidRPr="003743EA" w:rsidRDefault="00CC4987" w:rsidP="00DD2324">
            <w:pPr>
              <w:pStyle w:val="ItadNormalText"/>
              <w:rPr>
                <w:sz w:val="20"/>
                <w:szCs w:val="20"/>
              </w:rPr>
            </w:pPr>
            <w:r w:rsidRPr="003743EA">
              <w:rPr>
                <w:sz w:val="20"/>
                <w:szCs w:val="20"/>
              </w:rPr>
              <w:t xml:space="preserve">Integrate mandatory detail on approaches to include persons with disabilities and LGBT persons in the call of proposals as eligibility </w:t>
            </w:r>
            <w:proofErr w:type="gramStart"/>
            <w:r w:rsidRPr="003743EA">
              <w:rPr>
                <w:sz w:val="20"/>
                <w:szCs w:val="20"/>
              </w:rPr>
              <w:t>criteria, and</w:t>
            </w:r>
            <w:proofErr w:type="gramEnd"/>
            <w:r w:rsidRPr="003743EA">
              <w:rPr>
                <w:sz w:val="20"/>
                <w:szCs w:val="20"/>
              </w:rPr>
              <w:t xml:space="preserve"> facilitate capacity building on this subject matter by undertaking rapid reviews of organizational experience.  </w:t>
            </w:r>
          </w:p>
        </w:tc>
      </w:tr>
      <w:tr w:rsidR="00CC4987" w:rsidRPr="003743EA" w14:paraId="737EFACC" w14:textId="77777777" w:rsidTr="00B93110">
        <w:tc>
          <w:tcPr>
            <w:tcW w:w="440" w:type="dxa"/>
            <w:shd w:val="clear" w:color="auto" w:fill="F2F2F2" w:themeFill="background1" w:themeFillShade="F2"/>
          </w:tcPr>
          <w:p w14:paraId="177C0D73" w14:textId="77777777" w:rsidR="00CC4987" w:rsidRPr="003743EA" w:rsidRDefault="00CC4987" w:rsidP="00DD2324">
            <w:pPr>
              <w:pStyle w:val="ItadNormalText"/>
              <w:rPr>
                <w:sz w:val="20"/>
                <w:szCs w:val="20"/>
              </w:rPr>
            </w:pPr>
            <w:r w:rsidRPr="003743EA">
              <w:rPr>
                <w:sz w:val="20"/>
                <w:szCs w:val="20"/>
              </w:rPr>
              <w:t>5</w:t>
            </w:r>
          </w:p>
        </w:tc>
        <w:tc>
          <w:tcPr>
            <w:tcW w:w="3496" w:type="dxa"/>
            <w:shd w:val="clear" w:color="auto" w:fill="F2F2F2" w:themeFill="background1" w:themeFillShade="F2"/>
          </w:tcPr>
          <w:p w14:paraId="0D1CC195" w14:textId="77777777" w:rsidR="00CC4987" w:rsidRPr="003743EA" w:rsidRDefault="00CC4987" w:rsidP="00DD2324">
            <w:pPr>
              <w:pStyle w:val="ItadNormalText"/>
              <w:rPr>
                <w:b/>
                <w:sz w:val="20"/>
                <w:szCs w:val="20"/>
              </w:rPr>
            </w:pPr>
            <w:r w:rsidRPr="003743EA">
              <w:rPr>
                <w:sz w:val="20"/>
                <w:szCs w:val="20"/>
              </w:rPr>
              <w:t>Continue working on community initiatives with a longer time frame to ensure outreach and wider social norms change.</w:t>
            </w:r>
          </w:p>
        </w:tc>
        <w:tc>
          <w:tcPr>
            <w:tcW w:w="1588" w:type="dxa"/>
            <w:shd w:val="clear" w:color="auto" w:fill="F2F2F2" w:themeFill="background1" w:themeFillShade="F2"/>
          </w:tcPr>
          <w:p w14:paraId="233B2B93" w14:textId="77777777" w:rsidR="00CC4987" w:rsidRPr="003743EA" w:rsidRDefault="00CC4987" w:rsidP="00DD2324">
            <w:pPr>
              <w:pStyle w:val="ItadNormalText"/>
              <w:rPr>
                <w:sz w:val="20"/>
                <w:szCs w:val="20"/>
              </w:rPr>
            </w:pPr>
            <w:r w:rsidRPr="003743EA">
              <w:rPr>
                <w:sz w:val="20"/>
                <w:szCs w:val="20"/>
              </w:rPr>
              <w:t>Programmatic</w:t>
            </w:r>
          </w:p>
        </w:tc>
        <w:tc>
          <w:tcPr>
            <w:tcW w:w="1134" w:type="dxa"/>
            <w:shd w:val="clear" w:color="auto" w:fill="F2F2F2" w:themeFill="background1" w:themeFillShade="F2"/>
          </w:tcPr>
          <w:p w14:paraId="300373F4" w14:textId="77777777" w:rsidR="00CC4987" w:rsidRPr="003743EA" w:rsidRDefault="00CC4987" w:rsidP="00DD2324">
            <w:pPr>
              <w:pStyle w:val="ItadNormalText"/>
              <w:rPr>
                <w:sz w:val="20"/>
                <w:szCs w:val="20"/>
              </w:rPr>
            </w:pPr>
            <w:r w:rsidRPr="003743EA">
              <w:rPr>
                <w:sz w:val="20"/>
                <w:szCs w:val="20"/>
              </w:rPr>
              <w:t>7</w:t>
            </w:r>
          </w:p>
        </w:tc>
        <w:tc>
          <w:tcPr>
            <w:tcW w:w="1842" w:type="dxa"/>
            <w:shd w:val="clear" w:color="auto" w:fill="F2F2F2" w:themeFill="background1" w:themeFillShade="F2"/>
          </w:tcPr>
          <w:p w14:paraId="0F843168" w14:textId="77777777" w:rsidR="00CC4987" w:rsidRPr="003743EA" w:rsidRDefault="00CC4987" w:rsidP="00DD2324">
            <w:pPr>
              <w:pStyle w:val="ItadNormalText"/>
              <w:rPr>
                <w:color w:val="000000"/>
                <w:sz w:val="20"/>
                <w:szCs w:val="20"/>
              </w:rPr>
            </w:pPr>
            <w:r w:rsidRPr="003743EA">
              <w:rPr>
                <w:sz w:val="20"/>
                <w:szCs w:val="20"/>
              </w:rPr>
              <w:t>UN Women CO, umbrella organisations, CBOs</w:t>
            </w:r>
          </w:p>
        </w:tc>
        <w:tc>
          <w:tcPr>
            <w:tcW w:w="993" w:type="dxa"/>
            <w:shd w:val="clear" w:color="auto" w:fill="F2F2F2" w:themeFill="background1" w:themeFillShade="F2"/>
          </w:tcPr>
          <w:p w14:paraId="5D682D7C" w14:textId="77777777" w:rsidR="00CC4987" w:rsidRPr="003743EA" w:rsidRDefault="00CC4987" w:rsidP="00DD2324">
            <w:pPr>
              <w:pStyle w:val="ItadNormalText"/>
              <w:rPr>
                <w:b/>
                <w:bCs/>
                <w:sz w:val="20"/>
                <w:szCs w:val="20"/>
              </w:rPr>
            </w:pPr>
            <w:r w:rsidRPr="003743EA">
              <w:rPr>
                <w:b/>
                <w:bCs/>
                <w:sz w:val="20"/>
                <w:szCs w:val="20"/>
              </w:rPr>
              <w:t>Medium</w:t>
            </w:r>
          </w:p>
        </w:tc>
        <w:tc>
          <w:tcPr>
            <w:tcW w:w="4706" w:type="dxa"/>
            <w:shd w:val="clear" w:color="auto" w:fill="F2F2F2" w:themeFill="background1" w:themeFillShade="F2"/>
          </w:tcPr>
          <w:p w14:paraId="00A5CB90" w14:textId="77777777" w:rsidR="00CC4987" w:rsidRPr="003743EA" w:rsidRDefault="00CC4987" w:rsidP="00DD2324">
            <w:pPr>
              <w:pStyle w:val="ItadNormalText"/>
              <w:rPr>
                <w:sz w:val="20"/>
                <w:szCs w:val="20"/>
              </w:rPr>
            </w:pPr>
            <w:r w:rsidRPr="003743EA">
              <w:rPr>
                <w:sz w:val="20"/>
                <w:szCs w:val="20"/>
              </w:rPr>
              <w:t>Differentiate between the contractual time frame (amount of time a CBO is engaged) and the duration of the community interventions (in terms of face time with beneficiaries). This distinction is important in gender and social norms programming because interaction time is a critical indicator of changes in knowledge, behaviour, practices, and wider norms change.</w:t>
            </w:r>
          </w:p>
        </w:tc>
      </w:tr>
      <w:tr w:rsidR="00CC4987" w:rsidRPr="003743EA" w14:paraId="1968CF67" w14:textId="77777777" w:rsidTr="00B93110">
        <w:tc>
          <w:tcPr>
            <w:tcW w:w="440" w:type="dxa"/>
            <w:shd w:val="clear" w:color="auto" w:fill="FFFFFF" w:themeFill="background1"/>
          </w:tcPr>
          <w:p w14:paraId="696859BF" w14:textId="77777777" w:rsidR="00CC4987" w:rsidRPr="003743EA" w:rsidRDefault="00CC4987" w:rsidP="00DD2324">
            <w:pPr>
              <w:pStyle w:val="ItadNormalText"/>
              <w:rPr>
                <w:sz w:val="20"/>
                <w:szCs w:val="20"/>
              </w:rPr>
            </w:pPr>
            <w:r w:rsidRPr="003743EA">
              <w:rPr>
                <w:sz w:val="20"/>
                <w:szCs w:val="20"/>
              </w:rPr>
              <w:t>6</w:t>
            </w:r>
          </w:p>
        </w:tc>
        <w:tc>
          <w:tcPr>
            <w:tcW w:w="3496" w:type="dxa"/>
            <w:shd w:val="clear" w:color="auto" w:fill="FFFFFF" w:themeFill="background1"/>
          </w:tcPr>
          <w:p w14:paraId="6347E082" w14:textId="77777777" w:rsidR="00CC4987" w:rsidRPr="003743EA" w:rsidRDefault="00CC4987" w:rsidP="00DD2324">
            <w:pPr>
              <w:pStyle w:val="ItadNormalText"/>
              <w:rPr>
                <w:sz w:val="20"/>
                <w:szCs w:val="20"/>
              </w:rPr>
            </w:pPr>
            <w:r w:rsidRPr="003743EA">
              <w:rPr>
                <w:sz w:val="20"/>
                <w:szCs w:val="20"/>
              </w:rPr>
              <w:t>Ensure a fully resourced MWGE coordinator role, with appropriate assistance, to avoid bottlenecks</w:t>
            </w:r>
          </w:p>
          <w:p w14:paraId="577CB92F" w14:textId="77777777" w:rsidR="00CC4987" w:rsidRPr="003743EA" w:rsidRDefault="00CC4987" w:rsidP="00DD2324">
            <w:pPr>
              <w:pStyle w:val="ItadNormalText"/>
              <w:rPr>
                <w:sz w:val="20"/>
                <w:szCs w:val="20"/>
              </w:rPr>
            </w:pPr>
          </w:p>
        </w:tc>
        <w:tc>
          <w:tcPr>
            <w:tcW w:w="1588" w:type="dxa"/>
            <w:shd w:val="clear" w:color="auto" w:fill="FFFFFF" w:themeFill="background1"/>
          </w:tcPr>
          <w:p w14:paraId="66D937BC" w14:textId="77777777" w:rsidR="00CC4987" w:rsidRPr="003743EA" w:rsidRDefault="00CC4987" w:rsidP="00DD2324">
            <w:pPr>
              <w:pStyle w:val="ItadNormalText"/>
              <w:rPr>
                <w:sz w:val="20"/>
                <w:szCs w:val="20"/>
              </w:rPr>
            </w:pPr>
            <w:r w:rsidRPr="003743EA">
              <w:rPr>
                <w:sz w:val="20"/>
                <w:szCs w:val="20"/>
              </w:rPr>
              <w:t xml:space="preserve">Operational </w:t>
            </w:r>
          </w:p>
        </w:tc>
        <w:tc>
          <w:tcPr>
            <w:tcW w:w="1134" w:type="dxa"/>
            <w:shd w:val="clear" w:color="auto" w:fill="FFFFFF" w:themeFill="background1"/>
          </w:tcPr>
          <w:p w14:paraId="363C0435" w14:textId="77777777" w:rsidR="00CC4987" w:rsidRPr="003743EA" w:rsidRDefault="00CC4987" w:rsidP="00DD2324">
            <w:pPr>
              <w:pStyle w:val="ItadNormalText"/>
              <w:rPr>
                <w:sz w:val="20"/>
                <w:szCs w:val="20"/>
              </w:rPr>
            </w:pPr>
            <w:r w:rsidRPr="003743EA">
              <w:rPr>
                <w:sz w:val="20"/>
                <w:szCs w:val="20"/>
              </w:rPr>
              <w:t>2</w:t>
            </w:r>
          </w:p>
        </w:tc>
        <w:tc>
          <w:tcPr>
            <w:tcW w:w="1842" w:type="dxa"/>
            <w:shd w:val="clear" w:color="auto" w:fill="FFFFFF" w:themeFill="background1"/>
          </w:tcPr>
          <w:p w14:paraId="377A4816" w14:textId="77777777" w:rsidR="00CC4987" w:rsidRPr="003743EA" w:rsidRDefault="00CC4987" w:rsidP="00DD2324">
            <w:pPr>
              <w:pStyle w:val="ItadNormalText"/>
              <w:rPr>
                <w:sz w:val="20"/>
                <w:szCs w:val="20"/>
              </w:rPr>
            </w:pPr>
            <w:r w:rsidRPr="003743EA">
              <w:rPr>
                <w:sz w:val="20"/>
                <w:szCs w:val="20"/>
              </w:rPr>
              <w:t>UN Women CO, ROAS</w:t>
            </w:r>
          </w:p>
        </w:tc>
        <w:tc>
          <w:tcPr>
            <w:tcW w:w="993" w:type="dxa"/>
            <w:shd w:val="clear" w:color="auto" w:fill="FFFFFF" w:themeFill="background1"/>
          </w:tcPr>
          <w:p w14:paraId="692C3DDF" w14:textId="77777777" w:rsidR="00CC4987" w:rsidRPr="003743EA" w:rsidRDefault="00CC4987" w:rsidP="00DD2324">
            <w:pPr>
              <w:pStyle w:val="ItadNormalText"/>
              <w:rPr>
                <w:b/>
                <w:bCs/>
                <w:sz w:val="20"/>
                <w:szCs w:val="20"/>
              </w:rPr>
            </w:pPr>
            <w:r w:rsidRPr="003743EA">
              <w:rPr>
                <w:b/>
                <w:bCs/>
                <w:sz w:val="20"/>
                <w:szCs w:val="20"/>
              </w:rPr>
              <w:t>High</w:t>
            </w:r>
          </w:p>
        </w:tc>
        <w:tc>
          <w:tcPr>
            <w:tcW w:w="4706" w:type="dxa"/>
            <w:shd w:val="clear" w:color="auto" w:fill="FFFFFF" w:themeFill="background1"/>
          </w:tcPr>
          <w:p w14:paraId="614E7198" w14:textId="77777777" w:rsidR="00CC4987" w:rsidRPr="003743EA" w:rsidRDefault="00CC4987" w:rsidP="00DD2324">
            <w:pPr>
              <w:pStyle w:val="ItadNormalText"/>
              <w:rPr>
                <w:sz w:val="20"/>
                <w:szCs w:val="20"/>
              </w:rPr>
            </w:pPr>
            <w:r w:rsidRPr="003743EA">
              <w:rPr>
                <w:sz w:val="20"/>
                <w:szCs w:val="20"/>
              </w:rPr>
              <w:t xml:space="preserve">Ensure the remit of the national coordinator is protected to avoid multiple and/or competing role priorities by providing additional resources at junior level. </w:t>
            </w:r>
          </w:p>
        </w:tc>
      </w:tr>
      <w:tr w:rsidR="00CC4987" w:rsidRPr="003743EA" w14:paraId="27E05454" w14:textId="77777777" w:rsidTr="00B93110">
        <w:tc>
          <w:tcPr>
            <w:tcW w:w="440" w:type="dxa"/>
            <w:shd w:val="clear" w:color="auto" w:fill="FFFFFF" w:themeFill="background1"/>
          </w:tcPr>
          <w:p w14:paraId="64E96D92" w14:textId="77777777" w:rsidR="00CC4987" w:rsidRPr="003743EA" w:rsidRDefault="00CC4987" w:rsidP="00DD2324">
            <w:pPr>
              <w:pStyle w:val="ItadNormalText"/>
              <w:rPr>
                <w:sz w:val="20"/>
                <w:szCs w:val="20"/>
              </w:rPr>
            </w:pPr>
            <w:r w:rsidRPr="003743EA">
              <w:rPr>
                <w:sz w:val="20"/>
                <w:szCs w:val="20"/>
              </w:rPr>
              <w:t>7</w:t>
            </w:r>
          </w:p>
        </w:tc>
        <w:tc>
          <w:tcPr>
            <w:tcW w:w="3496" w:type="dxa"/>
            <w:shd w:val="clear" w:color="auto" w:fill="FFFFFF" w:themeFill="background1"/>
          </w:tcPr>
          <w:p w14:paraId="6A1D5AFE" w14:textId="77777777" w:rsidR="00CC4987" w:rsidRPr="003743EA" w:rsidRDefault="00CC4987" w:rsidP="00DD2324">
            <w:pPr>
              <w:pStyle w:val="ItadNormalText"/>
              <w:rPr>
                <w:sz w:val="20"/>
                <w:szCs w:val="20"/>
              </w:rPr>
            </w:pPr>
            <w:r w:rsidRPr="003743EA">
              <w:rPr>
                <w:sz w:val="20"/>
                <w:szCs w:val="20"/>
              </w:rPr>
              <w:t>Design and implement a resource mobilization plan to complement pre-existing programme allocations</w:t>
            </w:r>
          </w:p>
        </w:tc>
        <w:tc>
          <w:tcPr>
            <w:tcW w:w="1588" w:type="dxa"/>
            <w:shd w:val="clear" w:color="auto" w:fill="FFFFFF" w:themeFill="background1"/>
          </w:tcPr>
          <w:p w14:paraId="0338C421" w14:textId="77777777" w:rsidR="00CC4987" w:rsidRPr="003743EA" w:rsidRDefault="00CC4987" w:rsidP="00DD2324">
            <w:pPr>
              <w:pStyle w:val="ItadNormalText"/>
              <w:rPr>
                <w:sz w:val="20"/>
                <w:szCs w:val="20"/>
              </w:rPr>
            </w:pPr>
            <w:r w:rsidRPr="003743EA">
              <w:rPr>
                <w:sz w:val="20"/>
                <w:szCs w:val="20"/>
              </w:rPr>
              <w:t>Operational</w:t>
            </w:r>
          </w:p>
        </w:tc>
        <w:tc>
          <w:tcPr>
            <w:tcW w:w="1134" w:type="dxa"/>
            <w:shd w:val="clear" w:color="auto" w:fill="FFFFFF" w:themeFill="background1"/>
          </w:tcPr>
          <w:p w14:paraId="33C8D126" w14:textId="77777777" w:rsidR="00CC4987" w:rsidRPr="003743EA" w:rsidRDefault="00CC4987" w:rsidP="00DD2324">
            <w:pPr>
              <w:pStyle w:val="ItadNormalText"/>
              <w:rPr>
                <w:sz w:val="20"/>
                <w:szCs w:val="20"/>
              </w:rPr>
            </w:pPr>
            <w:r w:rsidRPr="003743EA">
              <w:rPr>
                <w:sz w:val="20"/>
                <w:szCs w:val="20"/>
              </w:rPr>
              <w:t>2</w:t>
            </w:r>
          </w:p>
        </w:tc>
        <w:tc>
          <w:tcPr>
            <w:tcW w:w="1842" w:type="dxa"/>
            <w:shd w:val="clear" w:color="auto" w:fill="FFFFFF" w:themeFill="background1"/>
          </w:tcPr>
          <w:p w14:paraId="3A0C6A43" w14:textId="77777777" w:rsidR="00CC4987" w:rsidRPr="003743EA" w:rsidRDefault="00CC4987" w:rsidP="00DD2324">
            <w:pPr>
              <w:pStyle w:val="ItadNormalText"/>
              <w:rPr>
                <w:sz w:val="20"/>
                <w:szCs w:val="20"/>
              </w:rPr>
            </w:pPr>
            <w:r w:rsidRPr="003743EA">
              <w:rPr>
                <w:sz w:val="20"/>
                <w:szCs w:val="20"/>
              </w:rPr>
              <w:t>UN Women CO, ROAS</w:t>
            </w:r>
          </w:p>
        </w:tc>
        <w:tc>
          <w:tcPr>
            <w:tcW w:w="993" w:type="dxa"/>
            <w:shd w:val="clear" w:color="auto" w:fill="FFFFFF" w:themeFill="background1"/>
          </w:tcPr>
          <w:p w14:paraId="09555373" w14:textId="77777777" w:rsidR="00CC4987" w:rsidRPr="003743EA" w:rsidRDefault="00CC4987" w:rsidP="00DD2324">
            <w:pPr>
              <w:pStyle w:val="ItadNormalText"/>
              <w:rPr>
                <w:b/>
                <w:bCs/>
                <w:sz w:val="20"/>
                <w:szCs w:val="20"/>
              </w:rPr>
            </w:pPr>
            <w:r w:rsidRPr="003743EA">
              <w:rPr>
                <w:b/>
                <w:bCs/>
                <w:sz w:val="20"/>
                <w:szCs w:val="20"/>
              </w:rPr>
              <w:t>Med</w:t>
            </w:r>
          </w:p>
        </w:tc>
        <w:tc>
          <w:tcPr>
            <w:tcW w:w="4706" w:type="dxa"/>
            <w:shd w:val="clear" w:color="auto" w:fill="FFFFFF" w:themeFill="background1"/>
          </w:tcPr>
          <w:p w14:paraId="296F24B7" w14:textId="77777777" w:rsidR="00CC4987" w:rsidRPr="003743EA" w:rsidRDefault="00CC4987" w:rsidP="00DD2324">
            <w:pPr>
              <w:pStyle w:val="ItadNormalText"/>
              <w:rPr>
                <w:sz w:val="20"/>
                <w:szCs w:val="20"/>
              </w:rPr>
            </w:pPr>
            <w:r w:rsidRPr="003743EA">
              <w:rPr>
                <w:sz w:val="20"/>
                <w:szCs w:val="20"/>
              </w:rPr>
              <w:t xml:space="preserve">Work with ROAS (in reference to a centralized resource mobilization plan) to identify potential MWGE programme resource gaps at national level, and to liaise with national and international donors to address these. Personal networks can be tapped for this, but proactive engagement in national level for a (attended by </w:t>
            </w:r>
            <w:proofErr w:type="spellStart"/>
            <w:r w:rsidRPr="003743EA">
              <w:rPr>
                <w:sz w:val="20"/>
                <w:szCs w:val="20"/>
              </w:rPr>
              <w:t>bilaterals</w:t>
            </w:r>
            <w:proofErr w:type="spellEnd"/>
            <w:r w:rsidRPr="003743EA">
              <w:rPr>
                <w:sz w:val="20"/>
                <w:szCs w:val="20"/>
              </w:rPr>
              <w:t xml:space="preserve"> and multilaterals) will also facilitate dialogue on emerging resourcing opportunities.</w:t>
            </w:r>
          </w:p>
        </w:tc>
      </w:tr>
    </w:tbl>
    <w:p w14:paraId="640FD7CE" w14:textId="77777777" w:rsidR="00CC4987" w:rsidRDefault="00CC4987" w:rsidP="00CC4987">
      <w:pPr>
        <w:rPr>
          <w:b/>
          <w:bCs/>
          <w:color w:val="000000"/>
        </w:rPr>
        <w:sectPr w:rsidR="00CC4987">
          <w:pgSz w:w="16838" w:h="11906" w:orient="landscape"/>
          <w:pgMar w:top="1191" w:right="1134" w:bottom="1191" w:left="1134" w:header="720" w:footer="680" w:gutter="0"/>
          <w:cols w:space="720"/>
        </w:sectPr>
      </w:pPr>
      <w:r w:rsidRPr="5735E0F3">
        <w:rPr>
          <w:b/>
          <w:bCs/>
          <w:color w:val="3B3B3C" w:themeColor="text1"/>
        </w:rPr>
        <w:t xml:space="preserve"> </w:t>
      </w:r>
    </w:p>
    <w:p w14:paraId="4ED6EA01" w14:textId="77777777" w:rsidR="00CC4987" w:rsidRDefault="00CC4987" w:rsidP="00CC4987"/>
    <w:p w14:paraId="25DBFEFB" w14:textId="77777777" w:rsidR="00917CBB" w:rsidRPr="00917CBB" w:rsidRDefault="00917CBB" w:rsidP="00917CBB">
      <w:pPr>
        <w:pStyle w:val="ItadNormalText"/>
        <w:rPr>
          <w:rFonts w:ascii="CubeOT" w:hAnsi="CubeOT" w:cs="CubeOT"/>
          <w:color w:val="E37230" w:themeColor="accent2"/>
          <w:sz w:val="40"/>
          <w:szCs w:val="40"/>
          <w:highlight w:val="yellow"/>
        </w:rPr>
      </w:pPr>
      <w:r>
        <w:rPr>
          <w:rFonts w:ascii="CubeOT" w:hAnsi="CubeOT" w:cs="CubeOT"/>
          <w:color w:val="E37230" w:themeColor="accent2"/>
          <w:sz w:val="40"/>
          <w:szCs w:val="40"/>
        </w:rPr>
        <w:t>Palestine</w:t>
      </w:r>
    </w:p>
    <w:tbl>
      <w:tblPr>
        <w:tblStyle w:val="Itadplaingridgrey"/>
        <w:tblW w:w="14589" w:type="dxa"/>
        <w:tblLayout w:type="fixed"/>
        <w:tblLook w:val="04A0" w:firstRow="1" w:lastRow="0" w:firstColumn="1" w:lastColumn="0" w:noHBand="0" w:noVBand="1"/>
      </w:tblPr>
      <w:tblGrid>
        <w:gridCol w:w="329"/>
        <w:gridCol w:w="5145"/>
        <w:gridCol w:w="1483"/>
        <w:gridCol w:w="863"/>
        <w:gridCol w:w="2098"/>
        <w:gridCol w:w="1111"/>
        <w:gridCol w:w="3560"/>
      </w:tblGrid>
      <w:tr w:rsidR="00027F57" w:rsidRPr="003743EA" w14:paraId="57BD6DD2" w14:textId="77777777" w:rsidTr="4977AA67">
        <w:tc>
          <w:tcPr>
            <w:tcW w:w="5474" w:type="dxa"/>
            <w:gridSpan w:val="2"/>
          </w:tcPr>
          <w:p w14:paraId="03D1BC21" w14:textId="77777777" w:rsidR="00027F57" w:rsidRPr="003743EA" w:rsidRDefault="00027F57" w:rsidP="0073474D">
            <w:pPr>
              <w:tabs>
                <w:tab w:val="left" w:pos="1418"/>
              </w:tabs>
              <w:spacing w:before="120" w:after="120"/>
              <w:rPr>
                <w:b/>
                <w:bCs/>
                <w:sz w:val="20"/>
                <w:szCs w:val="20"/>
              </w:rPr>
            </w:pPr>
            <w:r w:rsidRPr="003743EA">
              <w:rPr>
                <w:b/>
                <w:bCs/>
                <w:sz w:val="20"/>
                <w:szCs w:val="20"/>
              </w:rPr>
              <w:t xml:space="preserve">Recommendation </w:t>
            </w:r>
          </w:p>
          <w:p w14:paraId="202AE268" w14:textId="77777777" w:rsidR="00027F57" w:rsidRPr="003743EA" w:rsidRDefault="00027F57" w:rsidP="0073474D">
            <w:pPr>
              <w:tabs>
                <w:tab w:val="left" w:pos="1418"/>
              </w:tabs>
              <w:spacing w:before="120" w:after="120"/>
              <w:rPr>
                <w:b/>
                <w:bCs/>
                <w:sz w:val="20"/>
                <w:szCs w:val="20"/>
              </w:rPr>
            </w:pPr>
          </w:p>
        </w:tc>
        <w:tc>
          <w:tcPr>
            <w:tcW w:w="1483" w:type="dxa"/>
          </w:tcPr>
          <w:p w14:paraId="283C6DE6" w14:textId="77777777" w:rsidR="00027F57" w:rsidRPr="003743EA" w:rsidRDefault="00027F57" w:rsidP="0073474D">
            <w:pPr>
              <w:tabs>
                <w:tab w:val="left" w:pos="1418"/>
              </w:tabs>
              <w:spacing w:before="120" w:after="120"/>
              <w:rPr>
                <w:b/>
                <w:bCs/>
                <w:sz w:val="20"/>
                <w:szCs w:val="20"/>
              </w:rPr>
            </w:pPr>
            <w:r w:rsidRPr="003743EA">
              <w:rPr>
                <w:b/>
                <w:bCs/>
                <w:sz w:val="20"/>
                <w:szCs w:val="20"/>
              </w:rPr>
              <w:t>Level</w:t>
            </w:r>
          </w:p>
        </w:tc>
        <w:tc>
          <w:tcPr>
            <w:tcW w:w="863" w:type="dxa"/>
          </w:tcPr>
          <w:p w14:paraId="3150DA49" w14:textId="77777777" w:rsidR="00027F57" w:rsidRPr="003743EA" w:rsidRDefault="00027F57" w:rsidP="0073474D">
            <w:pPr>
              <w:tabs>
                <w:tab w:val="left" w:pos="1418"/>
              </w:tabs>
              <w:spacing w:before="120" w:after="120"/>
              <w:rPr>
                <w:b/>
                <w:bCs/>
                <w:sz w:val="20"/>
                <w:szCs w:val="20"/>
              </w:rPr>
            </w:pPr>
            <w:r w:rsidRPr="003743EA">
              <w:rPr>
                <w:b/>
                <w:bCs/>
                <w:sz w:val="20"/>
                <w:szCs w:val="20"/>
              </w:rPr>
              <w:t>Linked conclusions</w:t>
            </w:r>
          </w:p>
        </w:tc>
        <w:tc>
          <w:tcPr>
            <w:tcW w:w="2098" w:type="dxa"/>
          </w:tcPr>
          <w:p w14:paraId="05D2F22C" w14:textId="77777777" w:rsidR="00027F57" w:rsidRPr="003743EA" w:rsidRDefault="00027F57" w:rsidP="0073474D">
            <w:pPr>
              <w:tabs>
                <w:tab w:val="left" w:pos="1418"/>
              </w:tabs>
              <w:spacing w:before="120" w:after="120"/>
              <w:rPr>
                <w:b/>
                <w:bCs/>
                <w:sz w:val="20"/>
                <w:szCs w:val="20"/>
              </w:rPr>
            </w:pPr>
            <w:r w:rsidRPr="003743EA">
              <w:rPr>
                <w:b/>
                <w:bCs/>
                <w:sz w:val="20"/>
                <w:szCs w:val="20"/>
              </w:rPr>
              <w:t>Directed</w:t>
            </w:r>
          </w:p>
        </w:tc>
        <w:tc>
          <w:tcPr>
            <w:tcW w:w="1111" w:type="dxa"/>
          </w:tcPr>
          <w:p w14:paraId="08A138B0" w14:textId="77777777" w:rsidR="00027F57" w:rsidRPr="003743EA" w:rsidRDefault="00027F57" w:rsidP="0073474D">
            <w:pPr>
              <w:tabs>
                <w:tab w:val="left" w:pos="1418"/>
              </w:tabs>
              <w:spacing w:before="120" w:after="120"/>
              <w:rPr>
                <w:b/>
                <w:bCs/>
                <w:sz w:val="20"/>
                <w:szCs w:val="20"/>
              </w:rPr>
            </w:pPr>
            <w:r w:rsidRPr="003743EA">
              <w:rPr>
                <w:b/>
                <w:bCs/>
                <w:sz w:val="20"/>
                <w:szCs w:val="20"/>
              </w:rPr>
              <w:t>Ranking</w:t>
            </w:r>
            <w:r w:rsidR="00A15BB4" w:rsidRPr="003743EA">
              <w:rPr>
                <w:b/>
                <w:bCs/>
                <w:sz w:val="20"/>
                <w:szCs w:val="20"/>
              </w:rPr>
              <w:t xml:space="preserve"> </w:t>
            </w:r>
            <w:r w:rsidR="00A15BB4" w:rsidRPr="003743EA">
              <w:rPr>
                <w:sz w:val="20"/>
                <w:szCs w:val="20"/>
              </w:rPr>
              <w:t>(urgency of action)</w:t>
            </w:r>
          </w:p>
        </w:tc>
        <w:tc>
          <w:tcPr>
            <w:tcW w:w="3560" w:type="dxa"/>
          </w:tcPr>
          <w:p w14:paraId="2C085BFB" w14:textId="77777777" w:rsidR="00027F57" w:rsidRPr="003743EA" w:rsidRDefault="00027F57" w:rsidP="0073474D">
            <w:pPr>
              <w:tabs>
                <w:tab w:val="left" w:pos="1418"/>
              </w:tabs>
              <w:spacing w:before="120" w:after="120"/>
              <w:rPr>
                <w:b/>
                <w:bCs/>
                <w:sz w:val="20"/>
                <w:szCs w:val="20"/>
              </w:rPr>
            </w:pPr>
            <w:r w:rsidRPr="003743EA">
              <w:rPr>
                <w:b/>
                <w:bCs/>
                <w:sz w:val="20"/>
                <w:szCs w:val="20"/>
              </w:rPr>
              <w:t>How Action Can be Supported</w:t>
            </w:r>
          </w:p>
        </w:tc>
      </w:tr>
      <w:tr w:rsidR="00027F57" w:rsidRPr="003743EA" w14:paraId="30C3C427" w14:textId="77777777" w:rsidTr="4977AA67">
        <w:tc>
          <w:tcPr>
            <w:tcW w:w="329" w:type="dxa"/>
          </w:tcPr>
          <w:p w14:paraId="192AEFA0" w14:textId="77777777" w:rsidR="00027F57" w:rsidRPr="003743EA" w:rsidRDefault="00027F57" w:rsidP="0073474D">
            <w:pPr>
              <w:tabs>
                <w:tab w:val="left" w:pos="1418"/>
              </w:tabs>
              <w:spacing w:before="120" w:after="120"/>
              <w:rPr>
                <w:b/>
                <w:bCs/>
                <w:sz w:val="20"/>
                <w:szCs w:val="20"/>
              </w:rPr>
            </w:pPr>
            <w:r w:rsidRPr="003743EA">
              <w:rPr>
                <w:b/>
                <w:bCs/>
                <w:sz w:val="20"/>
                <w:szCs w:val="20"/>
              </w:rPr>
              <w:t>1</w:t>
            </w:r>
          </w:p>
          <w:p w14:paraId="1F379AE7" w14:textId="77777777" w:rsidR="00027F57" w:rsidRPr="003743EA" w:rsidRDefault="00027F57" w:rsidP="0073474D">
            <w:pPr>
              <w:tabs>
                <w:tab w:val="left" w:pos="1418"/>
              </w:tabs>
              <w:spacing w:before="120" w:after="120"/>
              <w:rPr>
                <w:b/>
                <w:bCs/>
                <w:sz w:val="20"/>
                <w:szCs w:val="20"/>
              </w:rPr>
            </w:pPr>
          </w:p>
          <w:p w14:paraId="333E583A" w14:textId="77777777" w:rsidR="00027F57" w:rsidRPr="003743EA" w:rsidRDefault="00027F57" w:rsidP="0073474D">
            <w:pPr>
              <w:tabs>
                <w:tab w:val="left" w:pos="1418"/>
              </w:tabs>
              <w:spacing w:before="120" w:after="120"/>
              <w:rPr>
                <w:b/>
                <w:bCs/>
                <w:sz w:val="20"/>
                <w:szCs w:val="20"/>
              </w:rPr>
            </w:pPr>
          </w:p>
          <w:p w14:paraId="79CB6768" w14:textId="77777777" w:rsidR="00027F57" w:rsidRPr="003743EA" w:rsidRDefault="00027F57" w:rsidP="0073474D">
            <w:pPr>
              <w:tabs>
                <w:tab w:val="left" w:pos="1418"/>
              </w:tabs>
              <w:spacing w:before="120" w:after="120"/>
              <w:rPr>
                <w:b/>
                <w:bCs/>
                <w:sz w:val="20"/>
                <w:szCs w:val="20"/>
              </w:rPr>
            </w:pPr>
          </w:p>
          <w:p w14:paraId="0B4B05C8" w14:textId="77777777" w:rsidR="00027F57" w:rsidRPr="003743EA" w:rsidRDefault="00027F57" w:rsidP="0073474D">
            <w:pPr>
              <w:tabs>
                <w:tab w:val="left" w:pos="1418"/>
              </w:tabs>
              <w:spacing w:before="120" w:after="120"/>
              <w:rPr>
                <w:b/>
                <w:bCs/>
                <w:sz w:val="20"/>
                <w:szCs w:val="20"/>
              </w:rPr>
            </w:pPr>
          </w:p>
        </w:tc>
        <w:tc>
          <w:tcPr>
            <w:tcW w:w="5145" w:type="dxa"/>
          </w:tcPr>
          <w:p w14:paraId="58298D04" w14:textId="77777777" w:rsidR="00027F57" w:rsidRPr="003743EA" w:rsidRDefault="00027F57" w:rsidP="00D41792">
            <w:pPr>
              <w:pStyle w:val="ItadNormalText"/>
              <w:ind w:left="360"/>
              <w:jc w:val="both"/>
              <w:rPr>
                <w:sz w:val="20"/>
                <w:szCs w:val="20"/>
              </w:rPr>
            </w:pPr>
            <w:r w:rsidRPr="003743EA">
              <w:rPr>
                <w:sz w:val="20"/>
                <w:szCs w:val="20"/>
              </w:rPr>
              <w:t xml:space="preserve">Update assumptions and pathways in the Theory of Change </w:t>
            </w:r>
            <w:proofErr w:type="gramStart"/>
            <w:r w:rsidRPr="003743EA">
              <w:rPr>
                <w:sz w:val="20"/>
                <w:szCs w:val="20"/>
              </w:rPr>
              <w:t>TOC, and</w:t>
            </w:r>
            <w:proofErr w:type="gramEnd"/>
            <w:r w:rsidRPr="003743EA">
              <w:rPr>
                <w:sz w:val="20"/>
                <w:szCs w:val="20"/>
              </w:rPr>
              <w:t xml:space="preserve"> reflect on the ongoing utility and reporting of deviations in relation to the regional TOC. This process enhances ownership of the TOC at CO </w:t>
            </w:r>
            <w:proofErr w:type="gramStart"/>
            <w:r w:rsidRPr="003743EA">
              <w:rPr>
                <w:sz w:val="20"/>
                <w:szCs w:val="20"/>
              </w:rPr>
              <w:t>level, and</w:t>
            </w:r>
            <w:proofErr w:type="gramEnd"/>
            <w:r w:rsidRPr="003743EA">
              <w:rPr>
                <w:sz w:val="20"/>
                <w:szCs w:val="20"/>
              </w:rPr>
              <w:t xml:space="preserve"> facilitates feedback and accountability to ROAS</w:t>
            </w:r>
            <w:r w:rsidR="00D41792" w:rsidRPr="003743EA">
              <w:rPr>
                <w:sz w:val="20"/>
                <w:szCs w:val="20"/>
              </w:rPr>
              <w:t>.</w:t>
            </w:r>
          </w:p>
          <w:p w14:paraId="4D13B79B" w14:textId="77777777" w:rsidR="00027F57" w:rsidRPr="003743EA" w:rsidRDefault="00027F57" w:rsidP="0073474D">
            <w:pPr>
              <w:pStyle w:val="ItadNormalText"/>
              <w:ind w:left="360"/>
              <w:rPr>
                <w:sz w:val="20"/>
                <w:szCs w:val="20"/>
              </w:rPr>
            </w:pPr>
          </w:p>
        </w:tc>
        <w:tc>
          <w:tcPr>
            <w:tcW w:w="1483" w:type="dxa"/>
          </w:tcPr>
          <w:p w14:paraId="08779765" w14:textId="77777777" w:rsidR="00027F57" w:rsidRPr="003743EA" w:rsidRDefault="00027F57" w:rsidP="0073474D">
            <w:pPr>
              <w:tabs>
                <w:tab w:val="left" w:pos="1418"/>
              </w:tabs>
              <w:spacing w:before="120" w:after="120"/>
              <w:rPr>
                <w:sz w:val="20"/>
                <w:szCs w:val="20"/>
              </w:rPr>
            </w:pPr>
            <w:r w:rsidRPr="003743EA">
              <w:rPr>
                <w:sz w:val="20"/>
                <w:szCs w:val="20"/>
              </w:rPr>
              <w:t>Strategic</w:t>
            </w:r>
          </w:p>
          <w:p w14:paraId="6EF7A840" w14:textId="77777777" w:rsidR="00027F57" w:rsidRPr="003743EA" w:rsidRDefault="00027F57" w:rsidP="0073474D">
            <w:pPr>
              <w:tabs>
                <w:tab w:val="left" w:pos="1418"/>
              </w:tabs>
              <w:spacing w:before="120" w:after="120"/>
              <w:rPr>
                <w:sz w:val="20"/>
                <w:szCs w:val="20"/>
              </w:rPr>
            </w:pPr>
          </w:p>
        </w:tc>
        <w:tc>
          <w:tcPr>
            <w:tcW w:w="863" w:type="dxa"/>
          </w:tcPr>
          <w:p w14:paraId="2DFE7FAF" w14:textId="77777777" w:rsidR="00027F57" w:rsidRPr="003743EA" w:rsidRDefault="00027F57" w:rsidP="0073474D">
            <w:pPr>
              <w:tabs>
                <w:tab w:val="left" w:pos="1418"/>
              </w:tabs>
              <w:spacing w:before="120" w:after="120"/>
              <w:rPr>
                <w:sz w:val="20"/>
                <w:szCs w:val="20"/>
              </w:rPr>
            </w:pPr>
            <w:r w:rsidRPr="003743EA">
              <w:rPr>
                <w:sz w:val="20"/>
                <w:szCs w:val="20"/>
              </w:rPr>
              <w:t>1, 2</w:t>
            </w:r>
          </w:p>
        </w:tc>
        <w:tc>
          <w:tcPr>
            <w:tcW w:w="2098" w:type="dxa"/>
          </w:tcPr>
          <w:p w14:paraId="17752DB9" w14:textId="77777777" w:rsidR="00027F57" w:rsidRPr="003743EA" w:rsidRDefault="00027F57" w:rsidP="0073474D">
            <w:pPr>
              <w:tabs>
                <w:tab w:val="left" w:pos="1418"/>
              </w:tabs>
              <w:spacing w:before="120" w:after="120"/>
              <w:rPr>
                <w:sz w:val="20"/>
                <w:szCs w:val="20"/>
              </w:rPr>
            </w:pPr>
            <w:r w:rsidRPr="003743EA">
              <w:rPr>
                <w:rFonts w:cs="Calibri"/>
                <w:color w:val="262626"/>
                <w:sz w:val="20"/>
                <w:szCs w:val="20"/>
              </w:rPr>
              <w:t>UN Women Office and ROAS</w:t>
            </w:r>
            <w:r w:rsidRPr="003743EA">
              <w:rPr>
                <w:sz w:val="20"/>
                <w:szCs w:val="20"/>
              </w:rPr>
              <w:t xml:space="preserve"> </w:t>
            </w:r>
          </w:p>
        </w:tc>
        <w:tc>
          <w:tcPr>
            <w:tcW w:w="1111" w:type="dxa"/>
          </w:tcPr>
          <w:p w14:paraId="0567E12F" w14:textId="77777777" w:rsidR="00027F57" w:rsidRPr="003743EA" w:rsidRDefault="00027F57" w:rsidP="0073474D">
            <w:pPr>
              <w:tabs>
                <w:tab w:val="left" w:pos="1418"/>
              </w:tabs>
              <w:spacing w:before="120" w:after="120"/>
              <w:rPr>
                <w:b/>
                <w:bCs/>
                <w:sz w:val="20"/>
                <w:szCs w:val="20"/>
              </w:rPr>
            </w:pPr>
            <w:r w:rsidRPr="003743EA">
              <w:rPr>
                <w:b/>
                <w:bCs/>
                <w:sz w:val="20"/>
                <w:szCs w:val="20"/>
              </w:rPr>
              <w:t>Med</w:t>
            </w:r>
          </w:p>
        </w:tc>
        <w:tc>
          <w:tcPr>
            <w:tcW w:w="3560" w:type="dxa"/>
          </w:tcPr>
          <w:p w14:paraId="7D368CC8" w14:textId="77777777" w:rsidR="00027F57" w:rsidRPr="003743EA" w:rsidRDefault="00027F57" w:rsidP="00D41792">
            <w:pPr>
              <w:tabs>
                <w:tab w:val="left" w:pos="1418"/>
              </w:tabs>
              <w:spacing w:before="120" w:after="120"/>
              <w:jc w:val="both"/>
              <w:rPr>
                <w:b/>
                <w:bCs/>
                <w:sz w:val="20"/>
                <w:szCs w:val="20"/>
              </w:rPr>
            </w:pPr>
            <w:r w:rsidRPr="003743EA">
              <w:rPr>
                <w:sz w:val="20"/>
                <w:szCs w:val="20"/>
              </w:rPr>
              <w:t>Discuss in technical coordination meetings, and planning for potential phase III activities – inc. overarching ‘ways of working’ guidance documents outlining shared responsibilities</w:t>
            </w:r>
            <w:r w:rsidR="00D41792" w:rsidRPr="003743EA">
              <w:rPr>
                <w:sz w:val="20"/>
                <w:szCs w:val="20"/>
              </w:rPr>
              <w:t>.</w:t>
            </w:r>
          </w:p>
        </w:tc>
      </w:tr>
      <w:tr w:rsidR="00027F57" w:rsidRPr="003743EA" w14:paraId="4E1CC615" w14:textId="77777777" w:rsidTr="4977AA67">
        <w:tc>
          <w:tcPr>
            <w:tcW w:w="329" w:type="dxa"/>
          </w:tcPr>
          <w:p w14:paraId="6148CA6F" w14:textId="77777777" w:rsidR="00027F57" w:rsidRPr="003743EA" w:rsidRDefault="00027F57" w:rsidP="0073474D">
            <w:pPr>
              <w:tabs>
                <w:tab w:val="left" w:pos="1418"/>
              </w:tabs>
              <w:spacing w:before="120" w:after="120"/>
              <w:rPr>
                <w:b/>
                <w:bCs/>
                <w:sz w:val="20"/>
                <w:szCs w:val="20"/>
              </w:rPr>
            </w:pPr>
            <w:r w:rsidRPr="003743EA">
              <w:rPr>
                <w:b/>
                <w:bCs/>
                <w:sz w:val="20"/>
                <w:szCs w:val="20"/>
              </w:rPr>
              <w:t>2</w:t>
            </w:r>
          </w:p>
        </w:tc>
        <w:tc>
          <w:tcPr>
            <w:tcW w:w="5145" w:type="dxa"/>
          </w:tcPr>
          <w:p w14:paraId="408ADBFE" w14:textId="77777777" w:rsidR="00027F57" w:rsidRPr="003743EA" w:rsidRDefault="00027F57" w:rsidP="0073474D">
            <w:pPr>
              <w:pStyle w:val="ItadNormalText"/>
              <w:ind w:left="360"/>
              <w:rPr>
                <w:sz w:val="20"/>
                <w:szCs w:val="20"/>
              </w:rPr>
            </w:pPr>
            <w:r w:rsidRPr="003743EA">
              <w:rPr>
                <w:sz w:val="20"/>
                <w:szCs w:val="20"/>
              </w:rPr>
              <w:t xml:space="preserve">Capitalise on the capacities that had been built among the implementing partners by shifting from an ‘Umbrella’ model to direct engagements for the purposes of efficiency and tailored approaches – especially in relation to real-time advocacy. </w:t>
            </w:r>
          </w:p>
          <w:p w14:paraId="2A2666AF" w14:textId="77777777" w:rsidR="00027F57" w:rsidRPr="003743EA" w:rsidRDefault="00027F57" w:rsidP="0073474D">
            <w:pPr>
              <w:pStyle w:val="ItadNormalText"/>
              <w:ind w:left="360"/>
              <w:rPr>
                <w:sz w:val="20"/>
                <w:szCs w:val="20"/>
              </w:rPr>
            </w:pPr>
          </w:p>
        </w:tc>
        <w:tc>
          <w:tcPr>
            <w:tcW w:w="1483" w:type="dxa"/>
          </w:tcPr>
          <w:p w14:paraId="1E3DFF06" w14:textId="77777777" w:rsidR="00027F57" w:rsidRPr="003743EA" w:rsidRDefault="00027F57" w:rsidP="0073474D">
            <w:pPr>
              <w:tabs>
                <w:tab w:val="left" w:pos="1418"/>
              </w:tabs>
              <w:spacing w:before="120" w:after="120"/>
              <w:rPr>
                <w:sz w:val="20"/>
                <w:szCs w:val="20"/>
              </w:rPr>
            </w:pPr>
            <w:r w:rsidRPr="003743EA">
              <w:rPr>
                <w:sz w:val="20"/>
                <w:szCs w:val="20"/>
              </w:rPr>
              <w:t>Programmatic</w:t>
            </w:r>
          </w:p>
        </w:tc>
        <w:tc>
          <w:tcPr>
            <w:tcW w:w="863" w:type="dxa"/>
          </w:tcPr>
          <w:p w14:paraId="4B6D4C8A" w14:textId="77777777" w:rsidR="00027F57" w:rsidRPr="003743EA" w:rsidRDefault="00027F57" w:rsidP="0073474D">
            <w:pPr>
              <w:tabs>
                <w:tab w:val="left" w:pos="1418"/>
              </w:tabs>
              <w:spacing w:before="120" w:after="120"/>
              <w:rPr>
                <w:sz w:val="20"/>
                <w:szCs w:val="20"/>
              </w:rPr>
            </w:pPr>
            <w:r w:rsidRPr="003743EA">
              <w:rPr>
                <w:sz w:val="20"/>
                <w:szCs w:val="20"/>
              </w:rPr>
              <w:t>2, 7</w:t>
            </w:r>
          </w:p>
        </w:tc>
        <w:tc>
          <w:tcPr>
            <w:tcW w:w="2098" w:type="dxa"/>
          </w:tcPr>
          <w:p w14:paraId="3B1E2F49" w14:textId="77777777" w:rsidR="00027F57" w:rsidRPr="003743EA" w:rsidRDefault="00027F57" w:rsidP="0073474D">
            <w:pPr>
              <w:tabs>
                <w:tab w:val="left" w:pos="1418"/>
              </w:tabs>
              <w:spacing w:before="120" w:after="120"/>
              <w:rPr>
                <w:rFonts w:cs="Calibri"/>
                <w:color w:val="262626"/>
                <w:sz w:val="20"/>
                <w:szCs w:val="20"/>
              </w:rPr>
            </w:pPr>
            <w:r w:rsidRPr="003743EA">
              <w:rPr>
                <w:rFonts w:cs="Calibri"/>
                <w:color w:val="262626"/>
                <w:sz w:val="20"/>
                <w:szCs w:val="20"/>
              </w:rPr>
              <w:t>UN Women office and implementing partners</w:t>
            </w:r>
          </w:p>
        </w:tc>
        <w:tc>
          <w:tcPr>
            <w:tcW w:w="1111" w:type="dxa"/>
          </w:tcPr>
          <w:p w14:paraId="1008E59B" w14:textId="77777777" w:rsidR="00027F57" w:rsidRPr="003743EA" w:rsidRDefault="00027F57" w:rsidP="0073474D">
            <w:pPr>
              <w:tabs>
                <w:tab w:val="left" w:pos="1418"/>
              </w:tabs>
              <w:spacing w:before="120" w:after="120"/>
              <w:rPr>
                <w:b/>
                <w:bCs/>
                <w:sz w:val="20"/>
                <w:szCs w:val="20"/>
              </w:rPr>
            </w:pPr>
            <w:r w:rsidRPr="003743EA">
              <w:rPr>
                <w:b/>
                <w:bCs/>
                <w:sz w:val="20"/>
                <w:szCs w:val="20"/>
              </w:rPr>
              <w:t>High</w:t>
            </w:r>
          </w:p>
        </w:tc>
        <w:tc>
          <w:tcPr>
            <w:tcW w:w="3560" w:type="dxa"/>
          </w:tcPr>
          <w:p w14:paraId="405D15DE" w14:textId="77777777" w:rsidR="00027F57" w:rsidRPr="003743EA" w:rsidRDefault="00027F57" w:rsidP="0073474D">
            <w:pPr>
              <w:tabs>
                <w:tab w:val="left" w:pos="1418"/>
              </w:tabs>
              <w:spacing w:before="120" w:after="120"/>
              <w:rPr>
                <w:sz w:val="20"/>
                <w:szCs w:val="20"/>
              </w:rPr>
            </w:pPr>
            <w:r w:rsidRPr="003743EA">
              <w:rPr>
                <w:sz w:val="20"/>
                <w:szCs w:val="20"/>
              </w:rPr>
              <w:t>Engage with implementing partners in phase III planning to develop memoranda of understanding, especially in relation to policy change goals</w:t>
            </w:r>
            <w:r w:rsidR="00D41792" w:rsidRPr="003743EA">
              <w:rPr>
                <w:sz w:val="20"/>
                <w:szCs w:val="20"/>
              </w:rPr>
              <w:t>.</w:t>
            </w:r>
          </w:p>
        </w:tc>
      </w:tr>
      <w:tr w:rsidR="00027F57" w:rsidRPr="003743EA" w14:paraId="6487568C" w14:textId="77777777" w:rsidTr="4977AA67">
        <w:tc>
          <w:tcPr>
            <w:tcW w:w="329" w:type="dxa"/>
          </w:tcPr>
          <w:p w14:paraId="40E7E4B4" w14:textId="77777777" w:rsidR="00027F57" w:rsidRPr="003743EA" w:rsidRDefault="00027F57" w:rsidP="0073474D">
            <w:pPr>
              <w:tabs>
                <w:tab w:val="left" w:pos="1418"/>
              </w:tabs>
              <w:spacing w:before="120" w:after="120"/>
              <w:rPr>
                <w:b/>
                <w:bCs/>
                <w:sz w:val="20"/>
                <w:szCs w:val="20"/>
              </w:rPr>
            </w:pPr>
            <w:r w:rsidRPr="003743EA">
              <w:rPr>
                <w:b/>
                <w:bCs/>
                <w:sz w:val="20"/>
                <w:szCs w:val="20"/>
              </w:rPr>
              <w:t>3</w:t>
            </w:r>
          </w:p>
        </w:tc>
        <w:tc>
          <w:tcPr>
            <w:tcW w:w="5145" w:type="dxa"/>
          </w:tcPr>
          <w:p w14:paraId="1B3D9566" w14:textId="77777777" w:rsidR="00027F57" w:rsidRPr="003743EA" w:rsidRDefault="00027F57" w:rsidP="00D41792">
            <w:pPr>
              <w:pStyle w:val="ItadNormalText"/>
              <w:ind w:left="360"/>
              <w:jc w:val="both"/>
              <w:rPr>
                <w:sz w:val="20"/>
                <w:szCs w:val="20"/>
              </w:rPr>
            </w:pPr>
            <w:r w:rsidRPr="003743EA">
              <w:rPr>
                <w:sz w:val="20"/>
                <w:szCs w:val="20"/>
              </w:rPr>
              <w:t xml:space="preserve">Maximise the utility of the IMAGES study with pre-existing stakeholders by inputting into demographic studies, situation analysis, and other context assessments to ensure knowledge, attitude and practice evidence concerning men and boys are mainstreamed into organisational and governmental planning (as recommended by </w:t>
            </w:r>
            <w:proofErr w:type="spellStart"/>
            <w:r w:rsidR="00EC6EB0" w:rsidRPr="003743EA">
              <w:rPr>
                <w:rFonts w:cs="Calibri"/>
                <w:color w:val="262626"/>
                <w:sz w:val="20"/>
                <w:szCs w:val="20"/>
              </w:rPr>
              <w:t>Birzeit</w:t>
            </w:r>
            <w:proofErr w:type="spellEnd"/>
            <w:r w:rsidR="00EC6EB0" w:rsidRPr="003743EA">
              <w:rPr>
                <w:rFonts w:cs="Calibri"/>
                <w:color w:val="262626"/>
                <w:sz w:val="20"/>
                <w:szCs w:val="20"/>
              </w:rPr>
              <w:t xml:space="preserve"> University, Institute of Women’s Studies</w:t>
            </w:r>
            <w:r w:rsidRPr="003743EA">
              <w:rPr>
                <w:sz w:val="20"/>
                <w:szCs w:val="20"/>
              </w:rPr>
              <w:t>)</w:t>
            </w:r>
            <w:r w:rsidR="00D41792" w:rsidRPr="003743EA">
              <w:rPr>
                <w:sz w:val="20"/>
                <w:szCs w:val="20"/>
              </w:rPr>
              <w:t>.</w:t>
            </w:r>
          </w:p>
          <w:p w14:paraId="249932E3" w14:textId="77777777" w:rsidR="00027F57" w:rsidRPr="003743EA" w:rsidRDefault="00027F57" w:rsidP="0073474D">
            <w:pPr>
              <w:pStyle w:val="ItadNormalText"/>
              <w:ind w:left="360"/>
              <w:rPr>
                <w:sz w:val="20"/>
                <w:szCs w:val="20"/>
              </w:rPr>
            </w:pPr>
          </w:p>
        </w:tc>
        <w:tc>
          <w:tcPr>
            <w:tcW w:w="1483" w:type="dxa"/>
          </w:tcPr>
          <w:p w14:paraId="2441F739" w14:textId="77777777" w:rsidR="00027F57" w:rsidRPr="003743EA" w:rsidRDefault="00027F57" w:rsidP="0073474D">
            <w:pPr>
              <w:tabs>
                <w:tab w:val="left" w:pos="1418"/>
              </w:tabs>
              <w:spacing w:before="120" w:after="120"/>
              <w:rPr>
                <w:sz w:val="20"/>
                <w:szCs w:val="20"/>
              </w:rPr>
            </w:pPr>
            <w:r w:rsidRPr="003743EA">
              <w:rPr>
                <w:sz w:val="20"/>
                <w:szCs w:val="20"/>
              </w:rPr>
              <w:t>Programmatic</w:t>
            </w:r>
          </w:p>
        </w:tc>
        <w:tc>
          <w:tcPr>
            <w:tcW w:w="863" w:type="dxa"/>
          </w:tcPr>
          <w:p w14:paraId="11B6077F" w14:textId="77777777" w:rsidR="00027F57" w:rsidRPr="003743EA" w:rsidRDefault="00027F57" w:rsidP="0073474D">
            <w:pPr>
              <w:tabs>
                <w:tab w:val="left" w:pos="1418"/>
              </w:tabs>
              <w:spacing w:before="120" w:after="120"/>
              <w:rPr>
                <w:sz w:val="20"/>
                <w:szCs w:val="20"/>
              </w:rPr>
            </w:pPr>
            <w:r w:rsidRPr="003743EA">
              <w:rPr>
                <w:sz w:val="20"/>
                <w:szCs w:val="20"/>
              </w:rPr>
              <w:t>4</w:t>
            </w:r>
          </w:p>
        </w:tc>
        <w:tc>
          <w:tcPr>
            <w:tcW w:w="2098" w:type="dxa"/>
          </w:tcPr>
          <w:p w14:paraId="44E246EC" w14:textId="77777777" w:rsidR="00B93110" w:rsidRPr="003743EA" w:rsidRDefault="00027F57" w:rsidP="00D41792">
            <w:pPr>
              <w:tabs>
                <w:tab w:val="left" w:pos="1418"/>
              </w:tabs>
              <w:spacing w:before="120" w:after="120"/>
              <w:jc w:val="both"/>
              <w:rPr>
                <w:rFonts w:cs="Calibri"/>
                <w:color w:val="262626"/>
                <w:sz w:val="20"/>
                <w:szCs w:val="20"/>
              </w:rPr>
            </w:pPr>
            <w:r w:rsidRPr="003743EA">
              <w:rPr>
                <w:rFonts w:cs="Calibri"/>
                <w:color w:val="262626"/>
                <w:sz w:val="20"/>
                <w:szCs w:val="20"/>
              </w:rPr>
              <w:t xml:space="preserve">Institute of Women’s Studies (IWS) at </w:t>
            </w:r>
            <w:proofErr w:type="spellStart"/>
            <w:r w:rsidRPr="003743EA">
              <w:rPr>
                <w:rFonts w:cs="Calibri"/>
                <w:color w:val="262626"/>
                <w:sz w:val="20"/>
                <w:szCs w:val="20"/>
              </w:rPr>
              <w:t>Birzeit</w:t>
            </w:r>
            <w:proofErr w:type="spellEnd"/>
            <w:r w:rsidRPr="003743EA">
              <w:rPr>
                <w:rFonts w:cs="Calibri"/>
                <w:color w:val="262626"/>
                <w:sz w:val="20"/>
                <w:szCs w:val="20"/>
              </w:rPr>
              <w:t xml:space="preserve"> University (BZU), </w:t>
            </w:r>
          </w:p>
          <w:p w14:paraId="0F4A590C" w14:textId="48998724" w:rsidR="00027F57" w:rsidRPr="003743EA" w:rsidRDefault="00027F57" w:rsidP="00D41792">
            <w:pPr>
              <w:tabs>
                <w:tab w:val="left" w:pos="1418"/>
              </w:tabs>
              <w:spacing w:before="120" w:after="120"/>
              <w:jc w:val="both"/>
              <w:rPr>
                <w:rFonts w:cs="Calibri"/>
                <w:color w:val="262626"/>
                <w:sz w:val="20"/>
                <w:szCs w:val="20"/>
              </w:rPr>
            </w:pPr>
            <w:r w:rsidRPr="003743EA">
              <w:rPr>
                <w:rFonts w:cs="Calibri"/>
                <w:color w:val="262626"/>
                <w:sz w:val="20"/>
                <w:szCs w:val="20"/>
              </w:rPr>
              <w:t xml:space="preserve">The NGO Development </w:t>
            </w:r>
            <w:proofErr w:type="spellStart"/>
            <w:r w:rsidRPr="003743EA">
              <w:rPr>
                <w:rFonts w:cs="Calibri"/>
                <w:color w:val="262626"/>
                <w:sz w:val="20"/>
                <w:szCs w:val="20"/>
              </w:rPr>
              <w:t>Center</w:t>
            </w:r>
            <w:proofErr w:type="spellEnd"/>
            <w:r w:rsidRPr="003743EA">
              <w:rPr>
                <w:rFonts w:cs="Calibri"/>
                <w:color w:val="262626"/>
                <w:sz w:val="20"/>
                <w:szCs w:val="20"/>
              </w:rPr>
              <w:t xml:space="preserve"> (NDC) and the Women’s Affairs Technical Committee (WATC)</w:t>
            </w:r>
          </w:p>
        </w:tc>
        <w:tc>
          <w:tcPr>
            <w:tcW w:w="1111" w:type="dxa"/>
          </w:tcPr>
          <w:p w14:paraId="3246E6E5" w14:textId="77777777" w:rsidR="00027F57" w:rsidRPr="003743EA" w:rsidRDefault="00027F57" w:rsidP="0073474D">
            <w:pPr>
              <w:tabs>
                <w:tab w:val="left" w:pos="1418"/>
              </w:tabs>
              <w:spacing w:before="120" w:after="120"/>
              <w:rPr>
                <w:b/>
                <w:bCs/>
                <w:sz w:val="20"/>
                <w:szCs w:val="20"/>
              </w:rPr>
            </w:pPr>
            <w:r w:rsidRPr="003743EA">
              <w:rPr>
                <w:b/>
                <w:bCs/>
                <w:sz w:val="20"/>
                <w:szCs w:val="20"/>
              </w:rPr>
              <w:t>Med</w:t>
            </w:r>
          </w:p>
        </w:tc>
        <w:tc>
          <w:tcPr>
            <w:tcW w:w="3560" w:type="dxa"/>
          </w:tcPr>
          <w:p w14:paraId="6514A83F" w14:textId="77777777" w:rsidR="00027F57" w:rsidRPr="003743EA" w:rsidRDefault="00027F57" w:rsidP="00D41792">
            <w:pPr>
              <w:tabs>
                <w:tab w:val="left" w:pos="1418"/>
              </w:tabs>
              <w:spacing w:before="120" w:after="120"/>
              <w:jc w:val="both"/>
              <w:rPr>
                <w:sz w:val="20"/>
                <w:szCs w:val="20"/>
              </w:rPr>
            </w:pPr>
            <w:r w:rsidRPr="003743EA">
              <w:rPr>
                <w:sz w:val="20"/>
                <w:szCs w:val="20"/>
              </w:rPr>
              <w:t>Conduct detailed feminist political economy analysis with organisation such as IWS or NDC to map where IMAGES evidence (and corresponding evidence) can be utilised to affect change in alignment with strategic goals</w:t>
            </w:r>
            <w:r w:rsidR="00D41792" w:rsidRPr="003743EA">
              <w:rPr>
                <w:sz w:val="20"/>
                <w:szCs w:val="20"/>
              </w:rPr>
              <w:t>.</w:t>
            </w:r>
          </w:p>
        </w:tc>
      </w:tr>
      <w:tr w:rsidR="00027F57" w:rsidRPr="003743EA" w14:paraId="6FEC025C" w14:textId="77777777" w:rsidTr="4977AA67">
        <w:tc>
          <w:tcPr>
            <w:tcW w:w="329" w:type="dxa"/>
          </w:tcPr>
          <w:p w14:paraId="371014A6" w14:textId="77777777" w:rsidR="00027F57" w:rsidRPr="003743EA" w:rsidRDefault="00027F57" w:rsidP="0073474D">
            <w:pPr>
              <w:tabs>
                <w:tab w:val="left" w:pos="1418"/>
              </w:tabs>
              <w:spacing w:before="120" w:after="120"/>
              <w:rPr>
                <w:b/>
                <w:bCs/>
                <w:sz w:val="20"/>
                <w:szCs w:val="20"/>
              </w:rPr>
            </w:pPr>
            <w:r w:rsidRPr="003743EA">
              <w:rPr>
                <w:b/>
                <w:bCs/>
                <w:sz w:val="20"/>
                <w:szCs w:val="20"/>
              </w:rPr>
              <w:t>4</w:t>
            </w:r>
          </w:p>
        </w:tc>
        <w:tc>
          <w:tcPr>
            <w:tcW w:w="5145" w:type="dxa"/>
          </w:tcPr>
          <w:p w14:paraId="7EF4EB55" w14:textId="77777777" w:rsidR="00027F57" w:rsidRPr="003743EA" w:rsidRDefault="00027F57" w:rsidP="0073474D">
            <w:pPr>
              <w:pStyle w:val="ItadNormalText"/>
              <w:ind w:left="360"/>
              <w:rPr>
                <w:sz w:val="20"/>
                <w:szCs w:val="20"/>
              </w:rPr>
            </w:pPr>
            <w:r w:rsidRPr="003743EA">
              <w:rPr>
                <w:sz w:val="20"/>
                <w:szCs w:val="20"/>
              </w:rPr>
              <w:t xml:space="preserve">Reinvigorate consultations with government line ministries and create room for enhanced dialogue in </w:t>
            </w:r>
            <w:r w:rsidRPr="003743EA">
              <w:rPr>
                <w:sz w:val="20"/>
                <w:szCs w:val="20"/>
              </w:rPr>
              <w:lastRenderedPageBreak/>
              <w:t xml:space="preserve">terms of design and engagement around interventions for </w:t>
            </w:r>
            <w:r w:rsidR="00795144" w:rsidRPr="003743EA">
              <w:rPr>
                <w:sz w:val="20"/>
                <w:szCs w:val="20"/>
              </w:rPr>
              <w:t>new programme/</w:t>
            </w:r>
            <w:r w:rsidRPr="003743EA">
              <w:rPr>
                <w:sz w:val="20"/>
                <w:szCs w:val="20"/>
              </w:rPr>
              <w:t>Phase III</w:t>
            </w:r>
            <w:r w:rsidR="00D41792" w:rsidRPr="003743EA">
              <w:rPr>
                <w:sz w:val="20"/>
                <w:szCs w:val="20"/>
              </w:rPr>
              <w:t>.</w:t>
            </w:r>
          </w:p>
          <w:p w14:paraId="14F52394" w14:textId="77777777" w:rsidR="00027F57" w:rsidRPr="003743EA" w:rsidRDefault="00027F57" w:rsidP="0073474D">
            <w:pPr>
              <w:pStyle w:val="ItadNormalText"/>
              <w:ind w:left="360"/>
              <w:rPr>
                <w:sz w:val="20"/>
                <w:szCs w:val="20"/>
              </w:rPr>
            </w:pPr>
          </w:p>
        </w:tc>
        <w:tc>
          <w:tcPr>
            <w:tcW w:w="1483" w:type="dxa"/>
          </w:tcPr>
          <w:p w14:paraId="1B629672" w14:textId="77777777" w:rsidR="00027F57" w:rsidRPr="003743EA" w:rsidRDefault="00027F57" w:rsidP="0073474D">
            <w:pPr>
              <w:tabs>
                <w:tab w:val="left" w:pos="1418"/>
              </w:tabs>
              <w:spacing w:before="120" w:after="120"/>
              <w:rPr>
                <w:sz w:val="20"/>
                <w:szCs w:val="20"/>
              </w:rPr>
            </w:pPr>
            <w:r w:rsidRPr="003743EA">
              <w:rPr>
                <w:sz w:val="20"/>
                <w:szCs w:val="20"/>
              </w:rPr>
              <w:lastRenderedPageBreak/>
              <w:t>Strategic</w:t>
            </w:r>
          </w:p>
        </w:tc>
        <w:tc>
          <w:tcPr>
            <w:tcW w:w="863" w:type="dxa"/>
          </w:tcPr>
          <w:p w14:paraId="3032574D" w14:textId="77777777" w:rsidR="00027F57" w:rsidRPr="003743EA" w:rsidRDefault="00027F57" w:rsidP="0073474D">
            <w:pPr>
              <w:tabs>
                <w:tab w:val="left" w:pos="1418"/>
              </w:tabs>
              <w:spacing w:before="120" w:after="120"/>
              <w:rPr>
                <w:sz w:val="20"/>
                <w:szCs w:val="20"/>
              </w:rPr>
            </w:pPr>
            <w:r w:rsidRPr="003743EA">
              <w:rPr>
                <w:sz w:val="20"/>
                <w:szCs w:val="20"/>
              </w:rPr>
              <w:t>1, 3</w:t>
            </w:r>
          </w:p>
        </w:tc>
        <w:tc>
          <w:tcPr>
            <w:tcW w:w="2098" w:type="dxa"/>
          </w:tcPr>
          <w:p w14:paraId="164BEE2E" w14:textId="77777777" w:rsidR="00027F57" w:rsidRPr="003743EA" w:rsidRDefault="00027F57" w:rsidP="0073474D">
            <w:pPr>
              <w:pStyle w:val="ItadNormalText"/>
              <w:rPr>
                <w:sz w:val="20"/>
                <w:szCs w:val="20"/>
              </w:rPr>
            </w:pPr>
            <w:r w:rsidRPr="003743EA">
              <w:rPr>
                <w:sz w:val="20"/>
                <w:szCs w:val="20"/>
              </w:rPr>
              <w:t>Ministry of Women’s Affairs</w:t>
            </w:r>
          </w:p>
          <w:p w14:paraId="79FD1FF1" w14:textId="77777777" w:rsidR="00027F57" w:rsidRPr="003743EA" w:rsidRDefault="00027F57" w:rsidP="0073474D">
            <w:pPr>
              <w:pStyle w:val="ItadNormalText"/>
              <w:rPr>
                <w:sz w:val="20"/>
                <w:szCs w:val="20"/>
              </w:rPr>
            </w:pPr>
            <w:r w:rsidRPr="003743EA">
              <w:rPr>
                <w:sz w:val="20"/>
                <w:szCs w:val="20"/>
              </w:rPr>
              <w:t>Ministry of Labour</w:t>
            </w:r>
          </w:p>
          <w:p w14:paraId="7EBF5A75" w14:textId="77777777" w:rsidR="00027F57" w:rsidRPr="003743EA" w:rsidRDefault="00027F57" w:rsidP="0073474D">
            <w:pPr>
              <w:pStyle w:val="ItadNormalText"/>
              <w:rPr>
                <w:sz w:val="20"/>
                <w:szCs w:val="20"/>
              </w:rPr>
            </w:pPr>
            <w:r w:rsidRPr="003743EA">
              <w:rPr>
                <w:sz w:val="20"/>
                <w:szCs w:val="20"/>
              </w:rPr>
              <w:lastRenderedPageBreak/>
              <w:t>Ministry of Planning and Administrative Development</w:t>
            </w:r>
          </w:p>
          <w:p w14:paraId="0DFE28BA" w14:textId="77777777" w:rsidR="00027F57" w:rsidRPr="003743EA" w:rsidRDefault="00027F57" w:rsidP="0073474D">
            <w:pPr>
              <w:pStyle w:val="ItadNormalText"/>
              <w:rPr>
                <w:sz w:val="20"/>
                <w:szCs w:val="20"/>
              </w:rPr>
            </w:pPr>
            <w:r w:rsidRPr="003743EA">
              <w:rPr>
                <w:sz w:val="20"/>
                <w:szCs w:val="20"/>
              </w:rPr>
              <w:t>Ministry of Finance and the Palestinian Central Bureau of Statistics (PCBS)</w:t>
            </w:r>
            <w:r w:rsidR="00D41792" w:rsidRPr="003743EA">
              <w:rPr>
                <w:sz w:val="20"/>
                <w:szCs w:val="20"/>
              </w:rPr>
              <w:t>.</w:t>
            </w:r>
          </w:p>
        </w:tc>
        <w:tc>
          <w:tcPr>
            <w:tcW w:w="1111" w:type="dxa"/>
          </w:tcPr>
          <w:p w14:paraId="6A6D2289" w14:textId="77777777" w:rsidR="00027F57" w:rsidRPr="003743EA" w:rsidRDefault="00027F57" w:rsidP="0073474D">
            <w:pPr>
              <w:tabs>
                <w:tab w:val="left" w:pos="1418"/>
              </w:tabs>
              <w:spacing w:before="120" w:after="120"/>
              <w:rPr>
                <w:b/>
                <w:bCs/>
                <w:sz w:val="20"/>
                <w:szCs w:val="20"/>
              </w:rPr>
            </w:pPr>
            <w:r w:rsidRPr="003743EA">
              <w:rPr>
                <w:b/>
                <w:bCs/>
                <w:sz w:val="20"/>
                <w:szCs w:val="20"/>
              </w:rPr>
              <w:lastRenderedPageBreak/>
              <w:t>High</w:t>
            </w:r>
          </w:p>
        </w:tc>
        <w:tc>
          <w:tcPr>
            <w:tcW w:w="3560" w:type="dxa"/>
          </w:tcPr>
          <w:p w14:paraId="77D2E018" w14:textId="77777777" w:rsidR="00027F57" w:rsidRPr="003743EA" w:rsidRDefault="00027F57" w:rsidP="00D41792">
            <w:pPr>
              <w:tabs>
                <w:tab w:val="left" w:pos="1418"/>
              </w:tabs>
              <w:spacing w:before="120" w:after="120"/>
              <w:jc w:val="both"/>
              <w:rPr>
                <w:sz w:val="20"/>
                <w:szCs w:val="20"/>
              </w:rPr>
            </w:pPr>
            <w:r w:rsidRPr="003743EA">
              <w:rPr>
                <w:sz w:val="20"/>
                <w:szCs w:val="20"/>
              </w:rPr>
              <w:t xml:space="preserve">Engage with other </w:t>
            </w:r>
            <w:r w:rsidR="004D095B" w:rsidRPr="003743EA">
              <w:rPr>
                <w:sz w:val="20"/>
                <w:szCs w:val="20"/>
              </w:rPr>
              <w:t xml:space="preserve">UN </w:t>
            </w:r>
            <w:proofErr w:type="gramStart"/>
            <w:r w:rsidR="004D095B" w:rsidRPr="003743EA">
              <w:rPr>
                <w:sz w:val="20"/>
                <w:szCs w:val="20"/>
              </w:rPr>
              <w:t xml:space="preserve">Women  </w:t>
            </w:r>
            <w:r w:rsidRPr="003743EA">
              <w:rPr>
                <w:sz w:val="20"/>
                <w:szCs w:val="20"/>
              </w:rPr>
              <w:t>CO</w:t>
            </w:r>
            <w:proofErr w:type="gramEnd"/>
            <w:r w:rsidRPr="003743EA">
              <w:rPr>
                <w:sz w:val="20"/>
                <w:szCs w:val="20"/>
              </w:rPr>
              <w:t xml:space="preserve"> teams working on WPS or WEE to determine appropriate entry points to relevant government ministries. UN Women could </w:t>
            </w:r>
            <w:r w:rsidRPr="003743EA">
              <w:rPr>
                <w:sz w:val="20"/>
                <w:szCs w:val="20"/>
              </w:rPr>
              <w:lastRenderedPageBreak/>
              <w:t xml:space="preserve">also facilitate access through engagements with other UN agencies, country coordinator, or </w:t>
            </w:r>
            <w:proofErr w:type="spellStart"/>
            <w:r w:rsidRPr="003743EA">
              <w:rPr>
                <w:sz w:val="20"/>
                <w:szCs w:val="20"/>
              </w:rPr>
              <w:t>Sida</w:t>
            </w:r>
            <w:proofErr w:type="spellEnd"/>
            <w:r w:rsidRPr="003743EA">
              <w:rPr>
                <w:sz w:val="20"/>
                <w:szCs w:val="20"/>
              </w:rPr>
              <w:t xml:space="preserve"> networks</w:t>
            </w:r>
            <w:r w:rsidR="00D41792" w:rsidRPr="003743EA">
              <w:rPr>
                <w:sz w:val="20"/>
                <w:szCs w:val="20"/>
              </w:rPr>
              <w:t>.</w:t>
            </w:r>
          </w:p>
        </w:tc>
      </w:tr>
      <w:tr w:rsidR="00027F57" w:rsidRPr="003743EA" w14:paraId="68E23688" w14:textId="77777777" w:rsidTr="4977AA67">
        <w:tc>
          <w:tcPr>
            <w:tcW w:w="329" w:type="dxa"/>
          </w:tcPr>
          <w:p w14:paraId="4C237730" w14:textId="77777777" w:rsidR="00027F57" w:rsidRPr="003743EA" w:rsidRDefault="00027F57" w:rsidP="0073474D">
            <w:pPr>
              <w:tabs>
                <w:tab w:val="left" w:pos="1418"/>
              </w:tabs>
              <w:spacing w:before="120" w:after="120"/>
              <w:rPr>
                <w:b/>
                <w:bCs/>
                <w:sz w:val="20"/>
                <w:szCs w:val="20"/>
              </w:rPr>
            </w:pPr>
            <w:r w:rsidRPr="003743EA">
              <w:rPr>
                <w:b/>
                <w:bCs/>
                <w:sz w:val="20"/>
                <w:szCs w:val="20"/>
              </w:rPr>
              <w:lastRenderedPageBreak/>
              <w:t>5</w:t>
            </w:r>
          </w:p>
        </w:tc>
        <w:tc>
          <w:tcPr>
            <w:tcW w:w="5145" w:type="dxa"/>
          </w:tcPr>
          <w:p w14:paraId="07A03858" w14:textId="69E2834E" w:rsidR="00027F57" w:rsidRPr="003743EA" w:rsidRDefault="00027F57" w:rsidP="00D41792">
            <w:pPr>
              <w:pStyle w:val="ItadNormalText"/>
              <w:ind w:left="360"/>
              <w:jc w:val="both"/>
              <w:rPr>
                <w:sz w:val="20"/>
                <w:szCs w:val="20"/>
              </w:rPr>
            </w:pPr>
            <w:r w:rsidRPr="003743EA">
              <w:rPr>
                <w:sz w:val="20"/>
                <w:szCs w:val="20"/>
              </w:rPr>
              <w:t xml:space="preserve">Build on experimental and innovative approaches to advance gender equality </w:t>
            </w:r>
            <w:r w:rsidR="00B93110" w:rsidRPr="003743EA">
              <w:rPr>
                <w:sz w:val="20"/>
                <w:szCs w:val="20"/>
              </w:rPr>
              <w:t>(e.g.,</w:t>
            </w:r>
            <w:r w:rsidRPr="003743EA">
              <w:rPr>
                <w:sz w:val="20"/>
                <w:szCs w:val="20"/>
              </w:rPr>
              <w:t xml:space="preserve"> the positive deviants and peer-to-peer methods) and mainstream within partners and CO operations</w:t>
            </w:r>
            <w:r w:rsidR="00D41792" w:rsidRPr="003743EA">
              <w:rPr>
                <w:sz w:val="20"/>
                <w:szCs w:val="20"/>
              </w:rPr>
              <w:t>.</w:t>
            </w:r>
          </w:p>
          <w:p w14:paraId="289E3B85" w14:textId="77777777" w:rsidR="00027F57" w:rsidRPr="003743EA" w:rsidRDefault="00027F57" w:rsidP="0073474D">
            <w:pPr>
              <w:pStyle w:val="ItadNormalText"/>
              <w:ind w:left="360"/>
              <w:rPr>
                <w:sz w:val="20"/>
                <w:szCs w:val="20"/>
              </w:rPr>
            </w:pPr>
          </w:p>
        </w:tc>
        <w:tc>
          <w:tcPr>
            <w:tcW w:w="1483" w:type="dxa"/>
          </w:tcPr>
          <w:p w14:paraId="595E35F5" w14:textId="77777777" w:rsidR="00027F57" w:rsidRPr="003743EA" w:rsidRDefault="00027F57" w:rsidP="0073474D">
            <w:pPr>
              <w:tabs>
                <w:tab w:val="left" w:pos="1418"/>
              </w:tabs>
              <w:spacing w:before="120" w:after="120"/>
              <w:rPr>
                <w:sz w:val="20"/>
                <w:szCs w:val="20"/>
              </w:rPr>
            </w:pPr>
            <w:r w:rsidRPr="003743EA">
              <w:rPr>
                <w:sz w:val="20"/>
                <w:szCs w:val="20"/>
              </w:rPr>
              <w:t>Operational</w:t>
            </w:r>
          </w:p>
        </w:tc>
        <w:tc>
          <w:tcPr>
            <w:tcW w:w="863" w:type="dxa"/>
          </w:tcPr>
          <w:p w14:paraId="0E48CD47" w14:textId="77777777" w:rsidR="00027F57" w:rsidRPr="003743EA" w:rsidRDefault="00027F57" w:rsidP="0073474D">
            <w:pPr>
              <w:tabs>
                <w:tab w:val="left" w:pos="1418"/>
              </w:tabs>
              <w:spacing w:before="120" w:after="120"/>
              <w:rPr>
                <w:sz w:val="20"/>
                <w:szCs w:val="20"/>
              </w:rPr>
            </w:pPr>
            <w:r w:rsidRPr="003743EA">
              <w:rPr>
                <w:sz w:val="20"/>
                <w:szCs w:val="20"/>
              </w:rPr>
              <w:t>3</w:t>
            </w:r>
          </w:p>
        </w:tc>
        <w:tc>
          <w:tcPr>
            <w:tcW w:w="2098" w:type="dxa"/>
          </w:tcPr>
          <w:p w14:paraId="19F7C508" w14:textId="77777777" w:rsidR="00027F57" w:rsidRPr="003743EA" w:rsidRDefault="00027F57" w:rsidP="0073474D">
            <w:pPr>
              <w:tabs>
                <w:tab w:val="left" w:pos="1418"/>
              </w:tabs>
              <w:spacing w:before="120" w:after="120"/>
              <w:rPr>
                <w:rFonts w:cs="Calibri"/>
                <w:color w:val="262626"/>
                <w:sz w:val="20"/>
                <w:szCs w:val="20"/>
              </w:rPr>
            </w:pPr>
            <w:r w:rsidRPr="003743EA">
              <w:rPr>
                <w:rFonts w:cs="Calibri"/>
                <w:color w:val="262626"/>
                <w:sz w:val="20"/>
                <w:szCs w:val="20"/>
              </w:rPr>
              <w:t>UN Women country office, ROAS, and implementing partners</w:t>
            </w:r>
          </w:p>
        </w:tc>
        <w:tc>
          <w:tcPr>
            <w:tcW w:w="1111" w:type="dxa"/>
          </w:tcPr>
          <w:p w14:paraId="514E8C23" w14:textId="77777777" w:rsidR="00027F57" w:rsidRPr="003743EA" w:rsidRDefault="00027F57" w:rsidP="0073474D">
            <w:pPr>
              <w:tabs>
                <w:tab w:val="left" w:pos="1418"/>
              </w:tabs>
              <w:spacing w:before="120" w:after="120"/>
              <w:rPr>
                <w:b/>
                <w:bCs/>
                <w:sz w:val="20"/>
                <w:szCs w:val="20"/>
              </w:rPr>
            </w:pPr>
            <w:r w:rsidRPr="003743EA">
              <w:rPr>
                <w:b/>
                <w:bCs/>
                <w:sz w:val="20"/>
                <w:szCs w:val="20"/>
              </w:rPr>
              <w:t>Low</w:t>
            </w:r>
          </w:p>
        </w:tc>
        <w:tc>
          <w:tcPr>
            <w:tcW w:w="3560" w:type="dxa"/>
          </w:tcPr>
          <w:p w14:paraId="4D62F873" w14:textId="77777777" w:rsidR="00027F57" w:rsidRPr="003743EA" w:rsidRDefault="00027F57" w:rsidP="00D41792">
            <w:pPr>
              <w:tabs>
                <w:tab w:val="left" w:pos="1418"/>
              </w:tabs>
              <w:spacing w:before="120" w:after="120"/>
              <w:jc w:val="both"/>
              <w:rPr>
                <w:sz w:val="20"/>
                <w:szCs w:val="20"/>
              </w:rPr>
            </w:pPr>
            <w:r w:rsidRPr="003743EA">
              <w:rPr>
                <w:sz w:val="20"/>
                <w:szCs w:val="20"/>
              </w:rPr>
              <w:t xml:space="preserve">Draw on the evaluation ‘comparator study’ to determine areas of promising practice that can be </w:t>
            </w:r>
            <w:proofErr w:type="gramStart"/>
            <w:r w:rsidRPr="003743EA">
              <w:rPr>
                <w:sz w:val="20"/>
                <w:szCs w:val="20"/>
              </w:rPr>
              <w:t>harnessed, and</w:t>
            </w:r>
            <w:proofErr w:type="gramEnd"/>
            <w:r w:rsidRPr="003743EA">
              <w:rPr>
                <w:sz w:val="20"/>
                <w:szCs w:val="20"/>
              </w:rPr>
              <w:t xml:space="preserve"> facilitate follow-up on prospects via learning exchanges</w:t>
            </w:r>
            <w:r w:rsidR="00667259" w:rsidRPr="003743EA">
              <w:rPr>
                <w:sz w:val="20"/>
                <w:szCs w:val="20"/>
              </w:rPr>
              <w:t>. Cooperate with ROAS and other country offices for the utilization of positive deviants and peer-to-peer approaches in other countries of programme implementation.</w:t>
            </w:r>
          </w:p>
        </w:tc>
      </w:tr>
      <w:tr w:rsidR="00027F57" w:rsidRPr="003743EA" w14:paraId="351A82DD" w14:textId="77777777" w:rsidTr="4977AA67">
        <w:tc>
          <w:tcPr>
            <w:tcW w:w="329" w:type="dxa"/>
          </w:tcPr>
          <w:p w14:paraId="4952E8AE" w14:textId="77777777" w:rsidR="00027F57" w:rsidRPr="003743EA" w:rsidRDefault="00027F57" w:rsidP="0073474D">
            <w:pPr>
              <w:tabs>
                <w:tab w:val="left" w:pos="1418"/>
              </w:tabs>
              <w:spacing w:before="120" w:after="120"/>
              <w:rPr>
                <w:b/>
                <w:bCs/>
                <w:sz w:val="20"/>
                <w:szCs w:val="20"/>
              </w:rPr>
            </w:pPr>
            <w:r w:rsidRPr="003743EA">
              <w:rPr>
                <w:b/>
                <w:bCs/>
                <w:sz w:val="20"/>
                <w:szCs w:val="20"/>
              </w:rPr>
              <w:t>6</w:t>
            </w:r>
          </w:p>
        </w:tc>
        <w:tc>
          <w:tcPr>
            <w:tcW w:w="5145" w:type="dxa"/>
          </w:tcPr>
          <w:p w14:paraId="0CB53CEC" w14:textId="77777777" w:rsidR="00027F57" w:rsidRPr="003743EA" w:rsidRDefault="00027F57" w:rsidP="00D41792">
            <w:pPr>
              <w:pStyle w:val="ItadNormalText"/>
              <w:ind w:left="360"/>
              <w:jc w:val="both"/>
              <w:rPr>
                <w:sz w:val="20"/>
                <w:szCs w:val="20"/>
              </w:rPr>
            </w:pPr>
            <w:r w:rsidRPr="003743EA">
              <w:rPr>
                <w:sz w:val="20"/>
                <w:szCs w:val="20"/>
              </w:rPr>
              <w:t xml:space="preserve">Expand on the alignment to the LNOB agenda by Improving use and understanding of the terminology of human rights-based and gender transformative approaches </w:t>
            </w:r>
            <w:r w:rsidR="002E3AC3" w:rsidRPr="003743EA">
              <w:rPr>
                <w:sz w:val="20"/>
                <w:szCs w:val="20"/>
              </w:rPr>
              <w:t>–</w:t>
            </w:r>
            <w:r w:rsidRPr="003743EA">
              <w:rPr>
                <w:sz w:val="20"/>
                <w:szCs w:val="20"/>
              </w:rPr>
              <w:t xml:space="preserve"> and the links between them – as well improving engagements with persons with disabilities and finding creative ways to address the needs and interests of the LGBT community</w:t>
            </w:r>
            <w:r w:rsidR="00D41792" w:rsidRPr="003743EA">
              <w:rPr>
                <w:sz w:val="20"/>
                <w:szCs w:val="20"/>
              </w:rPr>
              <w:t>.</w:t>
            </w:r>
          </w:p>
          <w:p w14:paraId="1FEED7D1" w14:textId="77777777" w:rsidR="00027F57" w:rsidRPr="003743EA" w:rsidRDefault="00027F57" w:rsidP="0073474D">
            <w:pPr>
              <w:pStyle w:val="ItadNormalText"/>
              <w:ind w:left="360"/>
              <w:rPr>
                <w:sz w:val="20"/>
                <w:szCs w:val="20"/>
              </w:rPr>
            </w:pPr>
          </w:p>
        </w:tc>
        <w:tc>
          <w:tcPr>
            <w:tcW w:w="1483" w:type="dxa"/>
          </w:tcPr>
          <w:p w14:paraId="28DA3B9A" w14:textId="77777777" w:rsidR="00027F57" w:rsidRPr="003743EA" w:rsidRDefault="00027F57" w:rsidP="0073474D">
            <w:pPr>
              <w:tabs>
                <w:tab w:val="left" w:pos="1418"/>
              </w:tabs>
              <w:spacing w:before="120" w:after="120"/>
              <w:rPr>
                <w:sz w:val="20"/>
                <w:szCs w:val="20"/>
              </w:rPr>
            </w:pPr>
            <w:r w:rsidRPr="003743EA">
              <w:rPr>
                <w:sz w:val="20"/>
                <w:szCs w:val="20"/>
              </w:rPr>
              <w:t>Operational</w:t>
            </w:r>
          </w:p>
        </w:tc>
        <w:tc>
          <w:tcPr>
            <w:tcW w:w="863" w:type="dxa"/>
          </w:tcPr>
          <w:p w14:paraId="572D5225" w14:textId="77777777" w:rsidR="00027F57" w:rsidRPr="003743EA" w:rsidRDefault="00027F57" w:rsidP="0073474D">
            <w:pPr>
              <w:tabs>
                <w:tab w:val="left" w:pos="1418"/>
              </w:tabs>
              <w:spacing w:before="120" w:after="120"/>
              <w:rPr>
                <w:sz w:val="20"/>
                <w:szCs w:val="20"/>
              </w:rPr>
            </w:pPr>
            <w:r w:rsidRPr="003743EA">
              <w:rPr>
                <w:sz w:val="20"/>
                <w:szCs w:val="20"/>
              </w:rPr>
              <w:t>1, 3, 6</w:t>
            </w:r>
          </w:p>
        </w:tc>
        <w:tc>
          <w:tcPr>
            <w:tcW w:w="2098" w:type="dxa"/>
          </w:tcPr>
          <w:p w14:paraId="00B52F0F" w14:textId="77777777" w:rsidR="00027F57" w:rsidRPr="003743EA" w:rsidRDefault="00027F57" w:rsidP="0073474D">
            <w:pPr>
              <w:tabs>
                <w:tab w:val="left" w:pos="1418"/>
              </w:tabs>
              <w:spacing w:before="120" w:after="120"/>
              <w:rPr>
                <w:rFonts w:cs="Calibri"/>
                <w:color w:val="262626"/>
                <w:sz w:val="20"/>
                <w:szCs w:val="20"/>
              </w:rPr>
            </w:pPr>
            <w:r w:rsidRPr="003743EA">
              <w:rPr>
                <w:rFonts w:cs="Calibri"/>
                <w:color w:val="262626"/>
                <w:sz w:val="20"/>
                <w:szCs w:val="20"/>
              </w:rPr>
              <w:t>UN Women country office, ROAS, and implementing partners</w:t>
            </w:r>
          </w:p>
        </w:tc>
        <w:tc>
          <w:tcPr>
            <w:tcW w:w="1111" w:type="dxa"/>
          </w:tcPr>
          <w:p w14:paraId="41DB0F37" w14:textId="77777777" w:rsidR="00027F57" w:rsidRPr="003743EA" w:rsidRDefault="002F02A8" w:rsidP="0073474D">
            <w:pPr>
              <w:tabs>
                <w:tab w:val="left" w:pos="1418"/>
              </w:tabs>
              <w:spacing w:before="120" w:after="120"/>
              <w:rPr>
                <w:b/>
                <w:bCs/>
                <w:sz w:val="20"/>
                <w:szCs w:val="20"/>
              </w:rPr>
            </w:pPr>
            <w:r w:rsidRPr="003743EA">
              <w:rPr>
                <w:b/>
                <w:bCs/>
                <w:sz w:val="20"/>
                <w:szCs w:val="20"/>
              </w:rPr>
              <w:t>Med</w:t>
            </w:r>
          </w:p>
        </w:tc>
        <w:tc>
          <w:tcPr>
            <w:tcW w:w="3560" w:type="dxa"/>
          </w:tcPr>
          <w:p w14:paraId="0BE396BD" w14:textId="77777777" w:rsidR="00027F57" w:rsidRPr="003743EA" w:rsidRDefault="00027F57" w:rsidP="00D41792">
            <w:pPr>
              <w:tabs>
                <w:tab w:val="left" w:pos="1418"/>
              </w:tabs>
              <w:spacing w:before="120" w:after="120"/>
              <w:jc w:val="both"/>
              <w:rPr>
                <w:sz w:val="20"/>
                <w:szCs w:val="20"/>
              </w:rPr>
            </w:pPr>
            <w:r w:rsidRPr="003743EA">
              <w:rPr>
                <w:sz w:val="20"/>
                <w:szCs w:val="20"/>
              </w:rPr>
              <w:t xml:space="preserve">Draw on existing HRBA toolkits and UNEG guidance and ensure staff and partners continue to reduce ‘mainstreaming fatigue’ by highlighting utility of HRBA in operational guidelines and training. Engage with disabled persons </w:t>
            </w:r>
            <w:proofErr w:type="gramStart"/>
            <w:r w:rsidRPr="003743EA">
              <w:rPr>
                <w:sz w:val="20"/>
                <w:szCs w:val="20"/>
              </w:rPr>
              <w:t>platforms, and</w:t>
            </w:r>
            <w:proofErr w:type="gramEnd"/>
            <w:r w:rsidRPr="003743EA">
              <w:rPr>
                <w:sz w:val="20"/>
                <w:szCs w:val="20"/>
              </w:rPr>
              <w:t xml:space="preserve"> examine promising practice concerning the engagement of LGBT communities while ensuring a ’do no harm’ approach</w:t>
            </w:r>
            <w:r w:rsidR="00D41792" w:rsidRPr="003743EA">
              <w:rPr>
                <w:sz w:val="20"/>
                <w:szCs w:val="20"/>
              </w:rPr>
              <w:t>.</w:t>
            </w:r>
          </w:p>
        </w:tc>
      </w:tr>
      <w:tr w:rsidR="00027F57" w:rsidRPr="003743EA" w14:paraId="18EFBC6D" w14:textId="77777777" w:rsidTr="4977AA67">
        <w:tc>
          <w:tcPr>
            <w:tcW w:w="329" w:type="dxa"/>
          </w:tcPr>
          <w:p w14:paraId="551B2696" w14:textId="77777777" w:rsidR="00027F57" w:rsidRPr="003743EA" w:rsidRDefault="00027F57" w:rsidP="0073474D">
            <w:pPr>
              <w:tabs>
                <w:tab w:val="left" w:pos="1418"/>
              </w:tabs>
              <w:spacing w:before="120" w:after="120"/>
              <w:rPr>
                <w:b/>
                <w:bCs/>
                <w:sz w:val="20"/>
                <w:szCs w:val="20"/>
              </w:rPr>
            </w:pPr>
            <w:r w:rsidRPr="003743EA">
              <w:rPr>
                <w:b/>
                <w:bCs/>
                <w:sz w:val="20"/>
                <w:szCs w:val="20"/>
              </w:rPr>
              <w:t>7</w:t>
            </w:r>
          </w:p>
        </w:tc>
        <w:tc>
          <w:tcPr>
            <w:tcW w:w="5145" w:type="dxa"/>
          </w:tcPr>
          <w:p w14:paraId="0DA41B37" w14:textId="77777777" w:rsidR="00027F57" w:rsidRPr="003743EA" w:rsidRDefault="00027F57" w:rsidP="00D41792">
            <w:pPr>
              <w:pStyle w:val="ItadNormalText"/>
              <w:ind w:left="360"/>
              <w:jc w:val="both"/>
              <w:rPr>
                <w:sz w:val="20"/>
                <w:szCs w:val="20"/>
              </w:rPr>
            </w:pPr>
            <w:r w:rsidRPr="003743EA">
              <w:rPr>
                <w:sz w:val="20"/>
                <w:szCs w:val="20"/>
              </w:rPr>
              <w:t xml:space="preserve">Review instances of ‘backlash’, and remaining pockets of resistance at community level to determine operational lessons relating to messaging and moving beyond knowledge, </w:t>
            </w:r>
            <w:proofErr w:type="gramStart"/>
            <w:r w:rsidRPr="003743EA">
              <w:rPr>
                <w:sz w:val="20"/>
                <w:szCs w:val="20"/>
              </w:rPr>
              <w:t>attitudes</w:t>
            </w:r>
            <w:proofErr w:type="gramEnd"/>
            <w:r w:rsidRPr="003743EA">
              <w:rPr>
                <w:sz w:val="20"/>
                <w:szCs w:val="20"/>
              </w:rPr>
              <w:t xml:space="preserve"> and practice-centred interventions in order to add broader gender and social norm change interventions</w:t>
            </w:r>
            <w:r w:rsidR="00D41792" w:rsidRPr="003743EA">
              <w:rPr>
                <w:sz w:val="20"/>
                <w:szCs w:val="20"/>
              </w:rPr>
              <w:t>.</w:t>
            </w:r>
          </w:p>
          <w:p w14:paraId="6BB4D4D6" w14:textId="77777777" w:rsidR="00027F57" w:rsidRPr="003743EA" w:rsidRDefault="00027F57" w:rsidP="0073474D">
            <w:pPr>
              <w:pStyle w:val="ItadNormalText"/>
              <w:ind w:left="360"/>
              <w:rPr>
                <w:sz w:val="20"/>
                <w:szCs w:val="20"/>
              </w:rPr>
            </w:pPr>
          </w:p>
        </w:tc>
        <w:tc>
          <w:tcPr>
            <w:tcW w:w="1483" w:type="dxa"/>
          </w:tcPr>
          <w:p w14:paraId="1355F701" w14:textId="77777777" w:rsidR="00027F57" w:rsidRPr="003743EA" w:rsidRDefault="00027F57" w:rsidP="0073474D">
            <w:pPr>
              <w:tabs>
                <w:tab w:val="left" w:pos="1418"/>
              </w:tabs>
              <w:spacing w:before="120" w:after="120"/>
              <w:rPr>
                <w:sz w:val="20"/>
                <w:szCs w:val="20"/>
              </w:rPr>
            </w:pPr>
            <w:r w:rsidRPr="003743EA">
              <w:rPr>
                <w:sz w:val="20"/>
                <w:szCs w:val="20"/>
              </w:rPr>
              <w:t>Programmatic/ operational</w:t>
            </w:r>
          </w:p>
        </w:tc>
        <w:tc>
          <w:tcPr>
            <w:tcW w:w="863" w:type="dxa"/>
          </w:tcPr>
          <w:p w14:paraId="63F18C25" w14:textId="77777777" w:rsidR="00027F57" w:rsidRPr="003743EA" w:rsidRDefault="00027F57" w:rsidP="0073474D">
            <w:pPr>
              <w:tabs>
                <w:tab w:val="left" w:pos="1418"/>
              </w:tabs>
              <w:spacing w:before="120" w:after="120"/>
              <w:rPr>
                <w:sz w:val="20"/>
                <w:szCs w:val="20"/>
              </w:rPr>
            </w:pPr>
            <w:r w:rsidRPr="003743EA">
              <w:rPr>
                <w:sz w:val="20"/>
                <w:szCs w:val="20"/>
              </w:rPr>
              <w:t>1, 3</w:t>
            </w:r>
          </w:p>
        </w:tc>
        <w:tc>
          <w:tcPr>
            <w:tcW w:w="2098" w:type="dxa"/>
          </w:tcPr>
          <w:p w14:paraId="449A5CC7" w14:textId="77777777" w:rsidR="00027F57" w:rsidRPr="003743EA" w:rsidRDefault="00027F57" w:rsidP="0073474D">
            <w:pPr>
              <w:tabs>
                <w:tab w:val="left" w:pos="1418"/>
              </w:tabs>
              <w:spacing w:before="120" w:after="120"/>
              <w:rPr>
                <w:rFonts w:cs="Calibri"/>
                <w:color w:val="262626"/>
                <w:sz w:val="20"/>
                <w:szCs w:val="20"/>
              </w:rPr>
            </w:pPr>
            <w:r w:rsidRPr="003743EA">
              <w:rPr>
                <w:rFonts w:cs="Calibri"/>
                <w:color w:val="262626"/>
                <w:sz w:val="20"/>
                <w:szCs w:val="20"/>
              </w:rPr>
              <w:t>UN Women country office, ROAS, and implementing partners</w:t>
            </w:r>
          </w:p>
        </w:tc>
        <w:tc>
          <w:tcPr>
            <w:tcW w:w="1111" w:type="dxa"/>
          </w:tcPr>
          <w:p w14:paraId="70E6295D" w14:textId="77777777" w:rsidR="00027F57" w:rsidRPr="003743EA" w:rsidRDefault="00027F57" w:rsidP="0073474D">
            <w:pPr>
              <w:tabs>
                <w:tab w:val="left" w:pos="1418"/>
              </w:tabs>
              <w:spacing w:before="120" w:after="120"/>
              <w:rPr>
                <w:b/>
                <w:bCs/>
                <w:sz w:val="20"/>
                <w:szCs w:val="20"/>
              </w:rPr>
            </w:pPr>
            <w:r w:rsidRPr="003743EA">
              <w:rPr>
                <w:b/>
                <w:bCs/>
                <w:sz w:val="20"/>
                <w:szCs w:val="20"/>
              </w:rPr>
              <w:t>High</w:t>
            </w:r>
          </w:p>
        </w:tc>
        <w:tc>
          <w:tcPr>
            <w:tcW w:w="3560" w:type="dxa"/>
          </w:tcPr>
          <w:p w14:paraId="48CDC447" w14:textId="77777777" w:rsidR="00027F57" w:rsidRPr="003743EA" w:rsidRDefault="00027F57" w:rsidP="00D41792">
            <w:pPr>
              <w:tabs>
                <w:tab w:val="left" w:pos="1418"/>
              </w:tabs>
              <w:spacing w:before="120" w:after="120"/>
              <w:jc w:val="both"/>
              <w:rPr>
                <w:sz w:val="20"/>
                <w:szCs w:val="20"/>
              </w:rPr>
            </w:pPr>
            <w:r w:rsidRPr="003743EA">
              <w:rPr>
                <w:sz w:val="20"/>
                <w:szCs w:val="20"/>
              </w:rPr>
              <w:t>Reflect with partners on the foundations and fallout of ‘backlash’ and build pre-emptive considerations into programmatic risk matrix, while drawing on both the evaluation comparator and social norms Thematic Studies for guidance</w:t>
            </w:r>
            <w:r w:rsidR="00D41792" w:rsidRPr="003743EA">
              <w:rPr>
                <w:sz w:val="20"/>
                <w:szCs w:val="20"/>
              </w:rPr>
              <w:t>.</w:t>
            </w:r>
          </w:p>
        </w:tc>
      </w:tr>
      <w:tr w:rsidR="00027F57" w:rsidRPr="003743EA" w14:paraId="4C5CFC7A" w14:textId="77777777" w:rsidTr="4977AA67">
        <w:tc>
          <w:tcPr>
            <w:tcW w:w="329" w:type="dxa"/>
          </w:tcPr>
          <w:p w14:paraId="401C52E7" w14:textId="77777777" w:rsidR="00027F57" w:rsidRPr="003743EA" w:rsidRDefault="00027F57" w:rsidP="0073474D">
            <w:pPr>
              <w:tabs>
                <w:tab w:val="left" w:pos="1418"/>
              </w:tabs>
              <w:spacing w:before="120" w:after="120"/>
              <w:rPr>
                <w:b/>
                <w:bCs/>
                <w:sz w:val="20"/>
                <w:szCs w:val="20"/>
              </w:rPr>
            </w:pPr>
            <w:r w:rsidRPr="003743EA">
              <w:rPr>
                <w:b/>
                <w:bCs/>
                <w:sz w:val="20"/>
                <w:szCs w:val="20"/>
              </w:rPr>
              <w:lastRenderedPageBreak/>
              <w:t>8</w:t>
            </w:r>
          </w:p>
        </w:tc>
        <w:tc>
          <w:tcPr>
            <w:tcW w:w="5145" w:type="dxa"/>
          </w:tcPr>
          <w:p w14:paraId="19A52F54" w14:textId="77777777" w:rsidR="00027F57" w:rsidRPr="003743EA" w:rsidRDefault="00027F57" w:rsidP="00D41792">
            <w:pPr>
              <w:pStyle w:val="ItadNormalText"/>
              <w:ind w:left="360"/>
              <w:jc w:val="both"/>
              <w:rPr>
                <w:sz w:val="20"/>
                <w:szCs w:val="20"/>
              </w:rPr>
            </w:pPr>
            <w:r w:rsidRPr="003743EA">
              <w:rPr>
                <w:sz w:val="20"/>
                <w:szCs w:val="20"/>
              </w:rPr>
              <w:t xml:space="preserve">Engage implementing partners with capacity development support on the subject of resource mobilisation and scale-up strategies by brokering introductions to opportunities related to </w:t>
            </w:r>
            <w:proofErr w:type="gramStart"/>
            <w:r w:rsidRPr="003743EA">
              <w:rPr>
                <w:sz w:val="20"/>
                <w:szCs w:val="20"/>
              </w:rPr>
              <w:t>GEWE, and</w:t>
            </w:r>
            <w:proofErr w:type="gramEnd"/>
            <w:r w:rsidRPr="003743EA">
              <w:rPr>
                <w:sz w:val="20"/>
                <w:szCs w:val="20"/>
              </w:rPr>
              <w:t xml:space="preserve"> demonstrating best practice on proposal writing</w:t>
            </w:r>
            <w:r w:rsidR="00D41792" w:rsidRPr="003743EA">
              <w:rPr>
                <w:sz w:val="20"/>
                <w:szCs w:val="20"/>
              </w:rPr>
              <w:t>.</w:t>
            </w:r>
          </w:p>
          <w:p w14:paraId="711560F6" w14:textId="77777777" w:rsidR="00027F57" w:rsidRPr="003743EA" w:rsidRDefault="00027F57" w:rsidP="0073474D">
            <w:pPr>
              <w:pStyle w:val="ItadNormalText"/>
              <w:ind w:left="360"/>
              <w:rPr>
                <w:sz w:val="20"/>
                <w:szCs w:val="20"/>
              </w:rPr>
            </w:pPr>
          </w:p>
        </w:tc>
        <w:tc>
          <w:tcPr>
            <w:tcW w:w="1483" w:type="dxa"/>
          </w:tcPr>
          <w:p w14:paraId="5C35A717" w14:textId="77777777" w:rsidR="00027F57" w:rsidRPr="003743EA" w:rsidRDefault="00027F57" w:rsidP="0073474D">
            <w:pPr>
              <w:tabs>
                <w:tab w:val="left" w:pos="1418"/>
              </w:tabs>
              <w:spacing w:before="120" w:after="120"/>
              <w:rPr>
                <w:sz w:val="20"/>
                <w:szCs w:val="20"/>
              </w:rPr>
            </w:pPr>
            <w:r w:rsidRPr="003743EA">
              <w:rPr>
                <w:sz w:val="20"/>
                <w:szCs w:val="20"/>
              </w:rPr>
              <w:t>Programmatic</w:t>
            </w:r>
          </w:p>
        </w:tc>
        <w:tc>
          <w:tcPr>
            <w:tcW w:w="863" w:type="dxa"/>
          </w:tcPr>
          <w:p w14:paraId="11580296" w14:textId="77777777" w:rsidR="00027F57" w:rsidRPr="003743EA" w:rsidRDefault="00027F57" w:rsidP="0073474D">
            <w:pPr>
              <w:tabs>
                <w:tab w:val="left" w:pos="1418"/>
              </w:tabs>
              <w:spacing w:before="120" w:after="120"/>
              <w:rPr>
                <w:sz w:val="20"/>
                <w:szCs w:val="20"/>
              </w:rPr>
            </w:pPr>
            <w:r w:rsidRPr="003743EA">
              <w:rPr>
                <w:sz w:val="20"/>
                <w:szCs w:val="20"/>
              </w:rPr>
              <w:t>7</w:t>
            </w:r>
          </w:p>
        </w:tc>
        <w:tc>
          <w:tcPr>
            <w:tcW w:w="2098" w:type="dxa"/>
          </w:tcPr>
          <w:p w14:paraId="7867F72D" w14:textId="77777777" w:rsidR="00027F57" w:rsidRPr="003743EA" w:rsidRDefault="00027F57" w:rsidP="0073474D">
            <w:pPr>
              <w:tabs>
                <w:tab w:val="left" w:pos="1418"/>
              </w:tabs>
              <w:spacing w:before="120" w:after="120"/>
              <w:rPr>
                <w:rFonts w:cs="Calibri"/>
                <w:color w:val="262626"/>
                <w:sz w:val="20"/>
                <w:szCs w:val="20"/>
              </w:rPr>
            </w:pPr>
            <w:r w:rsidRPr="003743EA">
              <w:rPr>
                <w:rFonts w:cs="Calibri"/>
                <w:color w:val="262626"/>
                <w:sz w:val="20"/>
                <w:szCs w:val="20"/>
              </w:rPr>
              <w:t xml:space="preserve">UN Women country office, </w:t>
            </w:r>
            <w:proofErr w:type="spellStart"/>
            <w:r w:rsidRPr="003743EA">
              <w:rPr>
                <w:rFonts w:cs="Calibri"/>
                <w:color w:val="262626"/>
                <w:sz w:val="20"/>
                <w:szCs w:val="20"/>
              </w:rPr>
              <w:t>Sida</w:t>
            </w:r>
            <w:proofErr w:type="spellEnd"/>
            <w:r w:rsidRPr="003743EA">
              <w:rPr>
                <w:rFonts w:cs="Calibri"/>
                <w:color w:val="262626"/>
                <w:sz w:val="20"/>
                <w:szCs w:val="20"/>
              </w:rPr>
              <w:t>, ROAS, and implementing partners</w:t>
            </w:r>
          </w:p>
        </w:tc>
        <w:tc>
          <w:tcPr>
            <w:tcW w:w="1111" w:type="dxa"/>
          </w:tcPr>
          <w:p w14:paraId="47826C83" w14:textId="77777777" w:rsidR="00027F57" w:rsidRPr="003743EA" w:rsidRDefault="00027F57" w:rsidP="0073474D">
            <w:pPr>
              <w:tabs>
                <w:tab w:val="left" w:pos="1418"/>
              </w:tabs>
              <w:spacing w:before="120" w:after="120"/>
              <w:rPr>
                <w:b/>
                <w:bCs/>
                <w:sz w:val="20"/>
                <w:szCs w:val="20"/>
              </w:rPr>
            </w:pPr>
            <w:r w:rsidRPr="003743EA">
              <w:rPr>
                <w:b/>
                <w:bCs/>
                <w:sz w:val="20"/>
                <w:szCs w:val="20"/>
              </w:rPr>
              <w:t>Med</w:t>
            </w:r>
          </w:p>
        </w:tc>
        <w:tc>
          <w:tcPr>
            <w:tcW w:w="3560" w:type="dxa"/>
          </w:tcPr>
          <w:p w14:paraId="7189BE78" w14:textId="77777777" w:rsidR="00027F57" w:rsidRPr="003743EA" w:rsidRDefault="00027F57" w:rsidP="00D41792">
            <w:pPr>
              <w:tabs>
                <w:tab w:val="left" w:pos="1418"/>
              </w:tabs>
              <w:spacing w:before="120" w:after="120"/>
              <w:jc w:val="both"/>
              <w:rPr>
                <w:sz w:val="20"/>
                <w:szCs w:val="20"/>
              </w:rPr>
            </w:pPr>
            <w:r w:rsidRPr="003743EA">
              <w:rPr>
                <w:sz w:val="20"/>
                <w:szCs w:val="20"/>
              </w:rPr>
              <w:t>Draw on ROAS and wider UN Women</w:t>
            </w:r>
            <w:r w:rsidR="002E3AC3" w:rsidRPr="003743EA">
              <w:rPr>
                <w:sz w:val="20"/>
                <w:szCs w:val="20"/>
              </w:rPr>
              <w:t>’s</w:t>
            </w:r>
            <w:r w:rsidRPr="003743EA">
              <w:rPr>
                <w:sz w:val="20"/>
                <w:szCs w:val="20"/>
              </w:rPr>
              <w:t xml:space="preserve"> knowledge catalogue to develop a suite of guidance materials to support implementing partners in proposal writing. This initiative could be supported by </w:t>
            </w:r>
            <w:proofErr w:type="spellStart"/>
            <w:r w:rsidRPr="003743EA">
              <w:rPr>
                <w:sz w:val="20"/>
                <w:szCs w:val="20"/>
              </w:rPr>
              <w:t>S</w:t>
            </w:r>
            <w:r w:rsidR="00E4509B" w:rsidRPr="003743EA">
              <w:rPr>
                <w:sz w:val="20"/>
                <w:szCs w:val="20"/>
              </w:rPr>
              <w:t>ida</w:t>
            </w:r>
            <w:proofErr w:type="spellEnd"/>
            <w:r w:rsidRPr="003743EA">
              <w:rPr>
                <w:sz w:val="20"/>
                <w:szCs w:val="20"/>
              </w:rPr>
              <w:t xml:space="preserve"> in terms of facilitating introductions to donor community at national level and beyond</w:t>
            </w:r>
            <w:r w:rsidR="00D41792" w:rsidRPr="003743EA">
              <w:rPr>
                <w:sz w:val="20"/>
                <w:szCs w:val="20"/>
              </w:rPr>
              <w:t>.</w:t>
            </w:r>
          </w:p>
        </w:tc>
      </w:tr>
      <w:tr w:rsidR="00AE40C6" w:rsidRPr="003743EA" w14:paraId="00354A14" w14:textId="77777777" w:rsidTr="4977AA67">
        <w:tc>
          <w:tcPr>
            <w:tcW w:w="329" w:type="dxa"/>
            <w:vAlign w:val="top"/>
          </w:tcPr>
          <w:p w14:paraId="264EA9F7" w14:textId="77777777" w:rsidR="00AE40C6" w:rsidRPr="003743EA" w:rsidRDefault="00AE40C6" w:rsidP="00AE40C6">
            <w:pPr>
              <w:tabs>
                <w:tab w:val="left" w:pos="1418"/>
              </w:tabs>
              <w:spacing w:before="120" w:after="120"/>
              <w:rPr>
                <w:b/>
                <w:bCs/>
                <w:sz w:val="20"/>
                <w:szCs w:val="20"/>
              </w:rPr>
            </w:pPr>
            <w:r w:rsidRPr="003743EA">
              <w:rPr>
                <w:rFonts w:asciiTheme="minorHAnsi" w:hAnsiTheme="minorHAnsi" w:cstheme="minorHAnsi"/>
                <w:sz w:val="20"/>
                <w:szCs w:val="20"/>
              </w:rPr>
              <w:t xml:space="preserve">9 </w:t>
            </w:r>
          </w:p>
        </w:tc>
        <w:tc>
          <w:tcPr>
            <w:tcW w:w="5145" w:type="dxa"/>
            <w:vAlign w:val="top"/>
          </w:tcPr>
          <w:p w14:paraId="32DB33CF" w14:textId="77777777" w:rsidR="00AE40C6" w:rsidRPr="003743EA" w:rsidRDefault="00AE40C6" w:rsidP="00D41792">
            <w:pPr>
              <w:pStyle w:val="ItadNormalText"/>
              <w:ind w:left="360"/>
              <w:jc w:val="both"/>
              <w:rPr>
                <w:sz w:val="20"/>
                <w:szCs w:val="20"/>
              </w:rPr>
            </w:pPr>
            <w:r w:rsidRPr="003743EA">
              <w:rPr>
                <w:rFonts w:asciiTheme="minorHAnsi" w:hAnsiTheme="minorHAnsi" w:cstheme="minorHAnsi"/>
                <w:sz w:val="20"/>
                <w:szCs w:val="20"/>
              </w:rPr>
              <w:t xml:space="preserve">Work with ROAS to clarify and confirm lines of accountability and feedback vis-à-vis ROAS and CO programme staff. </w:t>
            </w:r>
          </w:p>
        </w:tc>
        <w:tc>
          <w:tcPr>
            <w:tcW w:w="1483" w:type="dxa"/>
            <w:vAlign w:val="top"/>
          </w:tcPr>
          <w:p w14:paraId="1E5F6631" w14:textId="77777777" w:rsidR="00AE40C6" w:rsidRPr="003743EA" w:rsidRDefault="00AE40C6" w:rsidP="00AE40C6">
            <w:pPr>
              <w:tabs>
                <w:tab w:val="left" w:pos="1418"/>
              </w:tabs>
              <w:spacing w:before="120" w:after="120"/>
              <w:rPr>
                <w:sz w:val="20"/>
                <w:szCs w:val="20"/>
              </w:rPr>
            </w:pPr>
            <w:r w:rsidRPr="003743EA">
              <w:rPr>
                <w:rFonts w:asciiTheme="minorHAnsi" w:hAnsiTheme="minorHAnsi" w:cstheme="minorHAnsi"/>
                <w:sz w:val="20"/>
                <w:szCs w:val="20"/>
              </w:rPr>
              <w:t>Programmatic</w:t>
            </w:r>
          </w:p>
        </w:tc>
        <w:tc>
          <w:tcPr>
            <w:tcW w:w="863" w:type="dxa"/>
            <w:vAlign w:val="top"/>
          </w:tcPr>
          <w:p w14:paraId="4CE01F0C" w14:textId="77777777" w:rsidR="00AE40C6" w:rsidRPr="003743EA" w:rsidRDefault="00AE40C6" w:rsidP="00AE40C6">
            <w:pPr>
              <w:tabs>
                <w:tab w:val="left" w:pos="1418"/>
              </w:tabs>
              <w:spacing w:before="120" w:after="120"/>
              <w:rPr>
                <w:sz w:val="20"/>
                <w:szCs w:val="20"/>
              </w:rPr>
            </w:pPr>
            <w:r w:rsidRPr="003743EA">
              <w:rPr>
                <w:rFonts w:asciiTheme="minorHAnsi" w:hAnsiTheme="minorHAnsi" w:cstheme="minorHAnsi"/>
                <w:sz w:val="20"/>
                <w:szCs w:val="20"/>
              </w:rPr>
              <w:t>1</w:t>
            </w:r>
          </w:p>
        </w:tc>
        <w:tc>
          <w:tcPr>
            <w:tcW w:w="2098" w:type="dxa"/>
            <w:vAlign w:val="top"/>
          </w:tcPr>
          <w:p w14:paraId="4D13E082" w14:textId="77777777" w:rsidR="00AE40C6" w:rsidRPr="003743EA" w:rsidRDefault="00AE40C6" w:rsidP="00AE40C6">
            <w:pPr>
              <w:tabs>
                <w:tab w:val="left" w:pos="1418"/>
              </w:tabs>
              <w:spacing w:before="120" w:after="120"/>
              <w:rPr>
                <w:rFonts w:cs="Calibri"/>
                <w:color w:val="262626"/>
                <w:sz w:val="20"/>
                <w:szCs w:val="20"/>
              </w:rPr>
            </w:pPr>
            <w:r w:rsidRPr="003743EA">
              <w:rPr>
                <w:rFonts w:asciiTheme="minorHAnsi" w:hAnsiTheme="minorHAnsi" w:cstheme="minorHAnsi"/>
                <w:sz w:val="20"/>
                <w:szCs w:val="20"/>
              </w:rPr>
              <w:t>ROAS, all COs</w:t>
            </w:r>
          </w:p>
        </w:tc>
        <w:tc>
          <w:tcPr>
            <w:tcW w:w="1111" w:type="dxa"/>
            <w:vAlign w:val="top"/>
          </w:tcPr>
          <w:p w14:paraId="0E98AA34" w14:textId="77777777" w:rsidR="00AE40C6" w:rsidRPr="003743EA" w:rsidRDefault="00AE40C6" w:rsidP="00AE40C6">
            <w:pPr>
              <w:tabs>
                <w:tab w:val="left" w:pos="1418"/>
              </w:tabs>
              <w:spacing w:before="120" w:after="120"/>
              <w:rPr>
                <w:b/>
                <w:bCs/>
                <w:sz w:val="20"/>
                <w:szCs w:val="20"/>
              </w:rPr>
            </w:pPr>
            <w:r w:rsidRPr="003743EA">
              <w:rPr>
                <w:rFonts w:asciiTheme="minorHAnsi" w:hAnsiTheme="minorHAnsi" w:cstheme="minorHAnsi"/>
                <w:b/>
                <w:bCs/>
                <w:sz w:val="20"/>
                <w:szCs w:val="20"/>
              </w:rPr>
              <w:t>High</w:t>
            </w:r>
          </w:p>
        </w:tc>
        <w:tc>
          <w:tcPr>
            <w:tcW w:w="3560" w:type="dxa"/>
            <w:vAlign w:val="top"/>
          </w:tcPr>
          <w:p w14:paraId="11C6519A" w14:textId="77777777" w:rsidR="00AE40C6" w:rsidRPr="003743EA" w:rsidRDefault="1E2DF3E8" w:rsidP="00D41792">
            <w:pPr>
              <w:tabs>
                <w:tab w:val="left" w:pos="1418"/>
              </w:tabs>
              <w:spacing w:before="120" w:after="120"/>
              <w:jc w:val="both"/>
              <w:rPr>
                <w:sz w:val="20"/>
                <w:szCs w:val="20"/>
              </w:rPr>
            </w:pPr>
            <w:r w:rsidRPr="003743EA">
              <w:rPr>
                <w:rFonts w:asciiTheme="minorHAnsi" w:hAnsiTheme="minorHAnsi" w:cstheme="minorBidi"/>
                <w:sz w:val="20"/>
                <w:szCs w:val="20"/>
              </w:rPr>
              <w:t xml:space="preserve">ROAS can lead in developing a ‘ways of working’ document – </w:t>
            </w:r>
            <w:proofErr w:type="gramStart"/>
            <w:r w:rsidRPr="003743EA">
              <w:rPr>
                <w:rFonts w:asciiTheme="minorHAnsi" w:hAnsiTheme="minorHAnsi" w:cstheme="minorBidi"/>
                <w:sz w:val="20"/>
                <w:szCs w:val="20"/>
              </w:rPr>
              <w:t>similar to</w:t>
            </w:r>
            <w:proofErr w:type="gramEnd"/>
            <w:r w:rsidRPr="003743EA">
              <w:rPr>
                <w:rFonts w:asciiTheme="minorHAnsi" w:hAnsiTheme="minorHAnsi" w:cstheme="minorBidi"/>
                <w:sz w:val="20"/>
                <w:szCs w:val="20"/>
              </w:rPr>
              <w:t xml:space="preserve"> a RACI</w:t>
            </w:r>
            <w:r w:rsidR="00AE40C6" w:rsidRPr="003743EA">
              <w:rPr>
                <w:rStyle w:val="FootnoteReference"/>
                <w:rFonts w:cstheme="minorBidi"/>
              </w:rPr>
              <w:footnoteReference w:id="328"/>
            </w:r>
            <w:r w:rsidRPr="003743EA">
              <w:rPr>
                <w:rFonts w:asciiTheme="minorHAnsi" w:hAnsiTheme="minorHAnsi" w:cstheme="minorBidi"/>
                <w:sz w:val="20"/>
                <w:szCs w:val="20"/>
              </w:rPr>
              <w:t xml:space="preserve"> chart – which serves to clarify opportunities for engaging in performance management reviews</w:t>
            </w:r>
            <w:r w:rsidR="1918B96A" w:rsidRPr="003743EA">
              <w:rPr>
                <w:rFonts w:asciiTheme="minorHAnsi" w:hAnsiTheme="minorHAnsi" w:cstheme="minorBidi"/>
                <w:sz w:val="20"/>
                <w:szCs w:val="20"/>
              </w:rPr>
              <w:t>.</w:t>
            </w:r>
          </w:p>
        </w:tc>
      </w:tr>
    </w:tbl>
    <w:p w14:paraId="17679F89" w14:textId="77777777" w:rsidR="006950C4" w:rsidRPr="00246336" w:rsidRDefault="006950C4" w:rsidP="007F6DFD">
      <w:pPr>
        <w:pStyle w:val="ItadH2Numbered"/>
        <w:numPr>
          <w:ilvl w:val="0"/>
          <w:numId w:val="0"/>
        </w:numPr>
        <w:ind w:left="644"/>
        <w:rPr>
          <w:b w:val="0"/>
          <w:bCs w:val="0"/>
        </w:rPr>
        <w:sectPr w:rsidR="006950C4" w:rsidRPr="00246336" w:rsidSect="00AD5702">
          <w:pgSz w:w="16838" w:h="11906" w:orient="landscape" w:code="9"/>
          <w:pgMar w:top="1191" w:right="1134" w:bottom="1191" w:left="1134" w:header="720" w:footer="680" w:gutter="0"/>
          <w:cols w:space="720"/>
          <w:docGrid w:linePitch="360"/>
        </w:sectPr>
      </w:pPr>
    </w:p>
    <w:p w14:paraId="7D5FFC12" w14:textId="77777777" w:rsidR="000760D5" w:rsidRDefault="000760D5" w:rsidP="00917CBB">
      <w:pPr>
        <w:pStyle w:val="ItadNormalText"/>
      </w:pPr>
      <w:r w:rsidRPr="00917CBB">
        <w:rPr>
          <w:rFonts w:ascii="CubeOT" w:hAnsi="CubeOT" w:cs="CubeOT"/>
          <w:color w:val="E37230" w:themeColor="accent2"/>
          <w:sz w:val="36"/>
          <w:szCs w:val="36"/>
        </w:rPr>
        <w:lastRenderedPageBreak/>
        <w:t>Tunisia</w:t>
      </w:r>
      <w:r w:rsidR="00917CBB">
        <w:rPr>
          <w:rFonts w:ascii="CubeOT" w:hAnsi="CubeOT" w:cs="CubeOT"/>
          <w:color w:val="E37230" w:themeColor="accent2"/>
          <w:sz w:val="36"/>
          <w:szCs w:val="36"/>
        </w:rPr>
        <w:t xml:space="preserve"> </w:t>
      </w:r>
    </w:p>
    <w:tbl>
      <w:tblPr>
        <w:tblW w:w="14589" w:type="dxa"/>
        <w:tblLayout w:type="fixed"/>
        <w:tblCellMar>
          <w:left w:w="10" w:type="dxa"/>
          <w:right w:w="10" w:type="dxa"/>
        </w:tblCellMar>
        <w:tblLook w:val="0000" w:firstRow="0" w:lastRow="0" w:firstColumn="0" w:lastColumn="0" w:noHBand="0" w:noVBand="0"/>
      </w:tblPr>
      <w:tblGrid>
        <w:gridCol w:w="329"/>
        <w:gridCol w:w="5903"/>
        <w:gridCol w:w="1701"/>
        <w:gridCol w:w="993"/>
        <w:gridCol w:w="1134"/>
        <w:gridCol w:w="992"/>
        <w:gridCol w:w="3537"/>
      </w:tblGrid>
      <w:tr w:rsidR="00722AA3" w:rsidRPr="003743EA" w14:paraId="3E83BC76" w14:textId="77777777" w:rsidTr="00981C91">
        <w:tc>
          <w:tcPr>
            <w:tcW w:w="623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66563AAD" w14:textId="77777777" w:rsidR="00722AA3" w:rsidRPr="003743EA" w:rsidRDefault="00722AA3" w:rsidP="00DD2324">
            <w:pPr>
              <w:pStyle w:val="ItadNormalText"/>
              <w:rPr>
                <w:b/>
                <w:bCs/>
                <w:sz w:val="20"/>
                <w:szCs w:val="20"/>
              </w:rPr>
            </w:pPr>
            <w:r w:rsidRPr="003743EA">
              <w:rPr>
                <w:b/>
                <w:bCs/>
                <w:sz w:val="20"/>
                <w:szCs w:val="20"/>
              </w:rPr>
              <w:t>Recommendation</w:t>
            </w:r>
          </w:p>
          <w:p w14:paraId="1515DFBC" w14:textId="77777777" w:rsidR="00722AA3" w:rsidRPr="003743EA" w:rsidRDefault="00722AA3" w:rsidP="00DD2324">
            <w:pPr>
              <w:pStyle w:val="ItadNormalText"/>
              <w:rPr>
                <w:b/>
                <w:bCs/>
                <w:sz w:val="20"/>
                <w:szCs w:val="20"/>
              </w:rPr>
            </w:pPr>
          </w:p>
        </w:tc>
        <w:tc>
          <w:tcPr>
            <w:tcW w:w="17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0334DD75" w14:textId="77777777" w:rsidR="00722AA3" w:rsidRPr="003743EA" w:rsidRDefault="00722AA3" w:rsidP="00DD2324">
            <w:pPr>
              <w:pStyle w:val="ItadNormalText"/>
              <w:rPr>
                <w:b/>
                <w:bCs/>
                <w:sz w:val="20"/>
                <w:szCs w:val="20"/>
              </w:rPr>
            </w:pPr>
            <w:r w:rsidRPr="003743EA">
              <w:rPr>
                <w:b/>
                <w:bCs/>
                <w:sz w:val="20"/>
                <w:szCs w:val="20"/>
              </w:rPr>
              <w:t>Level</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1E2080C9" w14:textId="77777777" w:rsidR="00722AA3" w:rsidRPr="003743EA" w:rsidRDefault="00722AA3" w:rsidP="00DD2324">
            <w:pPr>
              <w:pStyle w:val="ItadNormalText"/>
              <w:rPr>
                <w:b/>
                <w:bCs/>
                <w:sz w:val="20"/>
                <w:szCs w:val="20"/>
              </w:rPr>
            </w:pPr>
            <w:r w:rsidRPr="003743EA">
              <w:rPr>
                <w:b/>
                <w:bCs/>
                <w:sz w:val="20"/>
                <w:szCs w:val="20"/>
              </w:rPr>
              <w:t>Linked conclusions</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5FF96A19" w14:textId="77777777" w:rsidR="00722AA3" w:rsidRPr="003743EA" w:rsidRDefault="00722AA3" w:rsidP="00DD2324">
            <w:pPr>
              <w:pStyle w:val="ItadNormalText"/>
              <w:rPr>
                <w:b/>
                <w:bCs/>
                <w:sz w:val="20"/>
                <w:szCs w:val="20"/>
              </w:rPr>
            </w:pPr>
            <w:r w:rsidRPr="003743EA">
              <w:rPr>
                <w:b/>
                <w:bCs/>
                <w:sz w:val="20"/>
                <w:szCs w:val="20"/>
              </w:rPr>
              <w:t>Directed</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7E683212" w14:textId="77777777" w:rsidR="00722AA3" w:rsidRPr="003743EA" w:rsidRDefault="00722AA3" w:rsidP="00DD2324">
            <w:pPr>
              <w:pStyle w:val="ItadNormalText"/>
              <w:rPr>
                <w:b/>
                <w:bCs/>
                <w:sz w:val="20"/>
                <w:szCs w:val="20"/>
              </w:rPr>
            </w:pPr>
            <w:r w:rsidRPr="003743EA">
              <w:rPr>
                <w:b/>
                <w:bCs/>
                <w:sz w:val="20"/>
                <w:szCs w:val="20"/>
              </w:rPr>
              <w:t>Ranking</w:t>
            </w:r>
          </w:p>
        </w:tc>
        <w:tc>
          <w:tcPr>
            <w:tcW w:w="35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7E55D971" w14:textId="77777777" w:rsidR="00722AA3" w:rsidRPr="003743EA" w:rsidRDefault="00722AA3" w:rsidP="00DD2324">
            <w:pPr>
              <w:pStyle w:val="ItadNormalText"/>
              <w:rPr>
                <w:b/>
                <w:bCs/>
                <w:sz w:val="20"/>
                <w:szCs w:val="20"/>
              </w:rPr>
            </w:pPr>
            <w:r w:rsidRPr="003743EA">
              <w:rPr>
                <w:b/>
                <w:bCs/>
                <w:sz w:val="20"/>
                <w:szCs w:val="20"/>
              </w:rPr>
              <w:t>How action can be supported</w:t>
            </w:r>
          </w:p>
        </w:tc>
      </w:tr>
      <w:tr w:rsidR="00722AA3" w:rsidRPr="003743EA" w14:paraId="70BB95E7" w14:textId="77777777" w:rsidTr="00981C91">
        <w:tc>
          <w:tcPr>
            <w:tcW w:w="3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5EE1D0CF" w14:textId="77777777" w:rsidR="00722AA3" w:rsidRPr="003743EA" w:rsidRDefault="00722AA3" w:rsidP="00DD2324">
            <w:pPr>
              <w:pStyle w:val="Standard"/>
              <w:rPr>
                <w:sz w:val="20"/>
                <w:szCs w:val="20"/>
                <w:lang w:val="en-GB"/>
              </w:rPr>
            </w:pPr>
            <w:r w:rsidRPr="003743EA">
              <w:rPr>
                <w:sz w:val="20"/>
                <w:szCs w:val="20"/>
                <w:lang w:val="en-GB"/>
              </w:rPr>
              <w:t>1</w:t>
            </w:r>
          </w:p>
          <w:p w14:paraId="18147C27" w14:textId="77777777" w:rsidR="00722AA3" w:rsidRPr="003743EA" w:rsidRDefault="00722AA3" w:rsidP="00DD2324">
            <w:pPr>
              <w:pStyle w:val="Standard"/>
              <w:rPr>
                <w:sz w:val="20"/>
                <w:szCs w:val="20"/>
                <w:lang w:val="en-GB"/>
              </w:rPr>
            </w:pPr>
          </w:p>
          <w:p w14:paraId="64EBADAC" w14:textId="77777777" w:rsidR="00722AA3" w:rsidRPr="003743EA" w:rsidRDefault="00722AA3" w:rsidP="00DD2324">
            <w:pPr>
              <w:pStyle w:val="Standard"/>
              <w:rPr>
                <w:sz w:val="20"/>
                <w:szCs w:val="20"/>
                <w:lang w:val="en-GB"/>
              </w:rPr>
            </w:pPr>
          </w:p>
          <w:p w14:paraId="40728097" w14:textId="77777777" w:rsidR="00722AA3" w:rsidRPr="003743EA" w:rsidRDefault="00722AA3" w:rsidP="00DD2324">
            <w:pPr>
              <w:pStyle w:val="Standard"/>
              <w:rPr>
                <w:sz w:val="20"/>
                <w:szCs w:val="20"/>
                <w:lang w:val="en-GB"/>
              </w:rPr>
            </w:pPr>
          </w:p>
          <w:p w14:paraId="03BC0A49" w14:textId="77777777" w:rsidR="00722AA3" w:rsidRPr="003743EA" w:rsidRDefault="00722AA3" w:rsidP="00DD2324">
            <w:pPr>
              <w:pStyle w:val="Standard"/>
              <w:rPr>
                <w:sz w:val="20"/>
                <w:szCs w:val="20"/>
                <w:lang w:val="en-GB"/>
              </w:rPr>
            </w:pPr>
          </w:p>
        </w:tc>
        <w:tc>
          <w:tcPr>
            <w:tcW w:w="5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5FE3356F" w14:textId="77777777" w:rsidR="00722AA3" w:rsidRPr="003743EA" w:rsidRDefault="00722AA3" w:rsidP="00B93110">
            <w:pPr>
              <w:pStyle w:val="Standard"/>
              <w:ind w:left="360"/>
              <w:jc w:val="both"/>
              <w:rPr>
                <w:sz w:val="20"/>
                <w:szCs w:val="20"/>
                <w:lang w:val="en-GB"/>
              </w:rPr>
            </w:pPr>
            <w:r w:rsidRPr="003743EA">
              <w:rPr>
                <w:sz w:val="20"/>
                <w:szCs w:val="20"/>
                <w:lang w:val="en-GB"/>
              </w:rPr>
              <w:t>Consolidate networks and partnership with government entities and CSOs to create a pathway for ownership of the findings and recommendations of the IMAGES study as well as a niche to influence policies such as integrating the approach of men and boys in the work of Ministry of Women, Family, Children and Seniors.</w:t>
            </w:r>
          </w:p>
        </w:tc>
        <w:tc>
          <w:tcPr>
            <w:tcW w:w="17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2A85D5E4" w14:textId="77777777" w:rsidR="00722AA3" w:rsidRPr="003743EA" w:rsidRDefault="00722AA3" w:rsidP="00DD2324">
            <w:pPr>
              <w:pStyle w:val="Standard"/>
              <w:rPr>
                <w:sz w:val="20"/>
                <w:szCs w:val="20"/>
                <w:lang w:val="en-GB"/>
              </w:rPr>
            </w:pPr>
            <w:r w:rsidRPr="003743EA">
              <w:rPr>
                <w:sz w:val="20"/>
                <w:szCs w:val="20"/>
                <w:lang w:val="en-GB"/>
              </w:rPr>
              <w:t>Strategic and Programmatic</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6B6B5B40" w14:textId="77777777" w:rsidR="00722AA3" w:rsidRPr="003743EA" w:rsidRDefault="00722AA3" w:rsidP="00DD2324">
            <w:pPr>
              <w:pStyle w:val="Standard"/>
              <w:rPr>
                <w:sz w:val="20"/>
                <w:szCs w:val="20"/>
                <w:lang w:val="en-GB"/>
              </w:rPr>
            </w:pPr>
            <w:r w:rsidRPr="003743EA">
              <w:rPr>
                <w:sz w:val="20"/>
                <w:szCs w:val="20"/>
                <w:lang w:val="en-GB"/>
              </w:rPr>
              <w:t>1,2, 4</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109894C6" w14:textId="77777777" w:rsidR="00722AA3" w:rsidRPr="003743EA" w:rsidRDefault="00722AA3" w:rsidP="00DD2324">
            <w:pPr>
              <w:pStyle w:val="Standard"/>
              <w:rPr>
                <w:sz w:val="20"/>
                <w:szCs w:val="20"/>
                <w:lang w:val="en-GB"/>
              </w:rPr>
            </w:pPr>
            <w:r w:rsidRPr="003743EA">
              <w:rPr>
                <w:sz w:val="20"/>
                <w:szCs w:val="20"/>
                <w:lang w:val="en-GB"/>
              </w:rPr>
              <w:t>ROAS, CO Tunisia</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48902068" w14:textId="77777777" w:rsidR="00722AA3" w:rsidRPr="003743EA" w:rsidRDefault="00722AA3" w:rsidP="00DD2324">
            <w:pPr>
              <w:pStyle w:val="Standard"/>
              <w:rPr>
                <w:sz w:val="20"/>
                <w:szCs w:val="20"/>
              </w:rPr>
            </w:pPr>
            <w:r w:rsidRPr="003743EA">
              <w:rPr>
                <w:b/>
                <w:sz w:val="20"/>
                <w:szCs w:val="20"/>
                <w:lang w:val="en-GB"/>
              </w:rPr>
              <w:t>High</w:t>
            </w:r>
          </w:p>
        </w:tc>
        <w:tc>
          <w:tcPr>
            <w:tcW w:w="35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5C3823A0" w14:textId="77777777" w:rsidR="00722AA3" w:rsidRPr="003743EA" w:rsidRDefault="00722AA3" w:rsidP="00DD2324">
            <w:pPr>
              <w:pStyle w:val="Standard"/>
              <w:rPr>
                <w:sz w:val="20"/>
                <w:szCs w:val="20"/>
                <w:lang w:val="en-GB"/>
              </w:rPr>
            </w:pPr>
            <w:r w:rsidRPr="003743EA">
              <w:rPr>
                <w:sz w:val="20"/>
                <w:szCs w:val="20"/>
                <w:lang w:val="en-GB"/>
              </w:rPr>
              <w:t>Continue the dialogue around the programme with government entities through the release of the findings and relevant round tables.</w:t>
            </w:r>
          </w:p>
        </w:tc>
      </w:tr>
      <w:tr w:rsidR="00722AA3" w:rsidRPr="003743EA" w14:paraId="0D68820C" w14:textId="77777777" w:rsidTr="00981C91">
        <w:tc>
          <w:tcPr>
            <w:tcW w:w="3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6772A485" w14:textId="77777777" w:rsidR="00722AA3" w:rsidRPr="003743EA" w:rsidRDefault="00722AA3" w:rsidP="00DD2324">
            <w:pPr>
              <w:pStyle w:val="Standard"/>
              <w:rPr>
                <w:sz w:val="20"/>
                <w:szCs w:val="20"/>
                <w:lang w:val="en-GB"/>
              </w:rPr>
            </w:pPr>
            <w:r w:rsidRPr="003743EA">
              <w:rPr>
                <w:sz w:val="20"/>
                <w:szCs w:val="20"/>
                <w:lang w:val="en-GB"/>
              </w:rPr>
              <w:t>2</w:t>
            </w:r>
          </w:p>
        </w:tc>
        <w:tc>
          <w:tcPr>
            <w:tcW w:w="5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341E67D8" w14:textId="77777777" w:rsidR="00722AA3" w:rsidRPr="003743EA" w:rsidRDefault="00722AA3" w:rsidP="00B93110">
            <w:pPr>
              <w:pStyle w:val="Standard"/>
              <w:ind w:left="360"/>
              <w:jc w:val="both"/>
              <w:rPr>
                <w:sz w:val="20"/>
                <w:szCs w:val="20"/>
                <w:lang w:val="en-GB"/>
              </w:rPr>
            </w:pPr>
            <w:r w:rsidRPr="003743EA">
              <w:rPr>
                <w:sz w:val="20"/>
                <w:szCs w:val="20"/>
                <w:lang w:val="en-GB"/>
              </w:rPr>
              <w:t>Take advantage of researchers and partner organisations trained on tools and subject matter for future use in formative research that precedes interventions, such as Program P.</w:t>
            </w:r>
          </w:p>
          <w:p w14:paraId="0D82A808" w14:textId="77777777" w:rsidR="00722AA3" w:rsidRPr="003743EA" w:rsidRDefault="00722AA3" w:rsidP="00DD2324">
            <w:pPr>
              <w:pStyle w:val="Standard"/>
              <w:ind w:left="360"/>
              <w:rPr>
                <w:sz w:val="20"/>
                <w:szCs w:val="20"/>
                <w:lang w:val="en-GB"/>
              </w:rPr>
            </w:pPr>
          </w:p>
        </w:tc>
        <w:tc>
          <w:tcPr>
            <w:tcW w:w="17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6874F739" w14:textId="77777777" w:rsidR="00722AA3" w:rsidRPr="003743EA" w:rsidRDefault="00722AA3" w:rsidP="00DD2324">
            <w:pPr>
              <w:pStyle w:val="Standard"/>
              <w:rPr>
                <w:sz w:val="20"/>
                <w:szCs w:val="20"/>
                <w:lang w:val="en-GB"/>
              </w:rPr>
            </w:pPr>
            <w:r w:rsidRPr="003743EA">
              <w:rPr>
                <w:sz w:val="20"/>
                <w:szCs w:val="20"/>
                <w:lang w:val="en-GB"/>
              </w:rPr>
              <w:t>Operational and</w:t>
            </w:r>
          </w:p>
          <w:p w14:paraId="6A3D2803" w14:textId="77777777" w:rsidR="00722AA3" w:rsidRPr="003743EA" w:rsidRDefault="00722AA3" w:rsidP="00DD2324">
            <w:pPr>
              <w:pStyle w:val="Standard"/>
              <w:rPr>
                <w:sz w:val="20"/>
                <w:szCs w:val="20"/>
                <w:lang w:val="en-GB"/>
              </w:rPr>
            </w:pPr>
            <w:r w:rsidRPr="003743EA">
              <w:rPr>
                <w:sz w:val="20"/>
                <w:szCs w:val="20"/>
                <w:lang w:val="en-GB"/>
              </w:rPr>
              <w:t>Programmatic</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4734E0EB" w14:textId="77777777" w:rsidR="00722AA3" w:rsidRPr="003743EA" w:rsidRDefault="00722AA3" w:rsidP="00DD2324">
            <w:pPr>
              <w:pStyle w:val="Standard"/>
              <w:rPr>
                <w:sz w:val="20"/>
                <w:szCs w:val="20"/>
                <w:lang w:val="en-GB"/>
              </w:rPr>
            </w:pPr>
            <w:r w:rsidRPr="003743EA">
              <w:rPr>
                <w:sz w:val="20"/>
                <w:szCs w:val="20"/>
                <w:lang w:val="en-GB"/>
              </w:rPr>
              <w:t>4</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52A56B71" w14:textId="77777777" w:rsidR="00722AA3" w:rsidRPr="003743EA" w:rsidRDefault="00722AA3" w:rsidP="00DD2324">
            <w:pPr>
              <w:pStyle w:val="Standard"/>
              <w:rPr>
                <w:sz w:val="20"/>
                <w:szCs w:val="20"/>
                <w:lang w:val="en-GB"/>
              </w:rPr>
            </w:pPr>
            <w:r w:rsidRPr="003743EA">
              <w:rPr>
                <w:sz w:val="20"/>
                <w:szCs w:val="20"/>
                <w:lang w:val="en-GB"/>
              </w:rPr>
              <w:t>CO Tunisia</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2F17A040" w14:textId="77777777" w:rsidR="00722AA3" w:rsidRPr="003743EA" w:rsidRDefault="00722AA3" w:rsidP="00DD2324">
            <w:pPr>
              <w:pStyle w:val="Standard"/>
              <w:rPr>
                <w:sz w:val="20"/>
                <w:szCs w:val="20"/>
              </w:rPr>
            </w:pPr>
            <w:r w:rsidRPr="003743EA">
              <w:rPr>
                <w:b/>
                <w:sz w:val="20"/>
                <w:szCs w:val="20"/>
                <w:lang w:val="en-GB"/>
              </w:rPr>
              <w:t>High</w:t>
            </w:r>
          </w:p>
        </w:tc>
        <w:tc>
          <w:tcPr>
            <w:tcW w:w="35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386B74B1" w14:textId="77777777" w:rsidR="00722AA3" w:rsidRPr="003743EA" w:rsidRDefault="00722AA3" w:rsidP="00DD2324">
            <w:pPr>
              <w:pStyle w:val="Standard"/>
              <w:rPr>
                <w:sz w:val="20"/>
                <w:szCs w:val="20"/>
                <w:lang w:val="en-GB"/>
              </w:rPr>
            </w:pPr>
            <w:r w:rsidRPr="003743EA">
              <w:rPr>
                <w:sz w:val="20"/>
                <w:szCs w:val="20"/>
                <w:lang w:val="en-GB"/>
              </w:rPr>
              <w:t>Establish networks with academia as well as other research organisations to support future advocacy campaign and formative research.</w:t>
            </w:r>
          </w:p>
        </w:tc>
      </w:tr>
      <w:tr w:rsidR="00722AA3" w:rsidRPr="003743EA" w14:paraId="770B1F5F" w14:textId="77777777" w:rsidTr="00981C91">
        <w:tc>
          <w:tcPr>
            <w:tcW w:w="3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7D51AE5E" w14:textId="77777777" w:rsidR="00722AA3" w:rsidRPr="003743EA" w:rsidRDefault="00722AA3" w:rsidP="00DD2324">
            <w:pPr>
              <w:pStyle w:val="Standard"/>
              <w:rPr>
                <w:sz w:val="20"/>
                <w:szCs w:val="20"/>
                <w:lang w:val="en-GB"/>
              </w:rPr>
            </w:pPr>
            <w:r w:rsidRPr="003743EA">
              <w:rPr>
                <w:sz w:val="20"/>
                <w:szCs w:val="20"/>
                <w:lang w:val="en-GB"/>
              </w:rPr>
              <w:t>3</w:t>
            </w:r>
          </w:p>
        </w:tc>
        <w:tc>
          <w:tcPr>
            <w:tcW w:w="5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419B4C33" w14:textId="77777777" w:rsidR="00722AA3" w:rsidRPr="003743EA" w:rsidRDefault="00722AA3" w:rsidP="00B93110">
            <w:pPr>
              <w:pStyle w:val="Standard"/>
              <w:ind w:left="360"/>
              <w:jc w:val="both"/>
              <w:rPr>
                <w:sz w:val="20"/>
                <w:szCs w:val="20"/>
              </w:rPr>
            </w:pPr>
            <w:r w:rsidRPr="003743EA">
              <w:rPr>
                <w:sz w:val="20"/>
                <w:szCs w:val="20"/>
                <w:lang w:val="en-GB"/>
              </w:rPr>
              <w:t>Develop a strategy and plan for disseminating knowledge products of the IMAGES study and BIAM, with a clearly developed advocacy strategy.</w:t>
            </w:r>
          </w:p>
        </w:tc>
        <w:tc>
          <w:tcPr>
            <w:tcW w:w="17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7DC72AB3" w14:textId="77777777" w:rsidR="00722AA3" w:rsidRPr="003743EA" w:rsidRDefault="00722AA3" w:rsidP="00DD2324">
            <w:pPr>
              <w:pStyle w:val="Standard"/>
              <w:rPr>
                <w:sz w:val="20"/>
                <w:szCs w:val="20"/>
                <w:lang w:val="en-GB"/>
              </w:rPr>
            </w:pPr>
            <w:r w:rsidRPr="003743EA">
              <w:rPr>
                <w:sz w:val="20"/>
                <w:szCs w:val="20"/>
                <w:lang w:val="en-GB"/>
              </w:rPr>
              <w:t>Operational and Programmatic</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5CBDFDA0" w14:textId="77777777" w:rsidR="00722AA3" w:rsidRPr="003743EA" w:rsidRDefault="00722AA3" w:rsidP="00DD2324">
            <w:pPr>
              <w:pStyle w:val="Standard"/>
              <w:rPr>
                <w:sz w:val="20"/>
                <w:szCs w:val="20"/>
                <w:lang w:val="en-GB"/>
              </w:rPr>
            </w:pPr>
            <w:r w:rsidRPr="003743EA">
              <w:rPr>
                <w:sz w:val="20"/>
                <w:szCs w:val="20"/>
                <w:lang w:val="en-GB"/>
              </w:rPr>
              <w:t>3</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7FB7D2D7" w14:textId="77777777" w:rsidR="00722AA3" w:rsidRPr="003743EA" w:rsidRDefault="00722AA3" w:rsidP="00DD2324">
            <w:pPr>
              <w:pStyle w:val="Standard"/>
              <w:rPr>
                <w:sz w:val="20"/>
                <w:szCs w:val="20"/>
              </w:rPr>
            </w:pPr>
            <w:r w:rsidRPr="003743EA">
              <w:rPr>
                <w:color w:val="262626"/>
                <w:sz w:val="20"/>
                <w:szCs w:val="20"/>
                <w:lang w:val="en-GB"/>
              </w:rPr>
              <w:t>CO Tunisia and ROAS</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4A207BA4" w14:textId="77777777" w:rsidR="00722AA3" w:rsidRPr="003743EA" w:rsidRDefault="00722AA3" w:rsidP="00DD2324">
            <w:pPr>
              <w:pStyle w:val="Standard"/>
              <w:rPr>
                <w:sz w:val="20"/>
                <w:szCs w:val="20"/>
              </w:rPr>
            </w:pPr>
            <w:r w:rsidRPr="003743EA">
              <w:rPr>
                <w:b/>
                <w:sz w:val="20"/>
                <w:szCs w:val="20"/>
                <w:lang w:val="en-GB"/>
              </w:rPr>
              <w:t>Med</w:t>
            </w:r>
          </w:p>
        </w:tc>
        <w:tc>
          <w:tcPr>
            <w:tcW w:w="35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5B340E08" w14:textId="77777777" w:rsidR="00722AA3" w:rsidRPr="003743EA" w:rsidRDefault="00722AA3" w:rsidP="00DD2324">
            <w:pPr>
              <w:pStyle w:val="Standard"/>
              <w:rPr>
                <w:sz w:val="20"/>
                <w:szCs w:val="20"/>
                <w:lang w:val="en-GB"/>
              </w:rPr>
            </w:pPr>
            <w:r w:rsidRPr="003743EA">
              <w:rPr>
                <w:sz w:val="20"/>
                <w:szCs w:val="20"/>
                <w:lang w:val="en-GB"/>
              </w:rPr>
              <w:t>The plan would include round tables, 16 days of activism, members of SCG and the academia.</w:t>
            </w:r>
          </w:p>
        </w:tc>
      </w:tr>
      <w:tr w:rsidR="00722AA3" w:rsidRPr="003743EA" w14:paraId="0FA4D942" w14:textId="77777777" w:rsidTr="00981C91">
        <w:tc>
          <w:tcPr>
            <w:tcW w:w="3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00BF70E2" w14:textId="77777777" w:rsidR="00722AA3" w:rsidRPr="003743EA" w:rsidRDefault="00722AA3" w:rsidP="00DD2324">
            <w:pPr>
              <w:pStyle w:val="Standard"/>
              <w:rPr>
                <w:sz w:val="20"/>
                <w:szCs w:val="20"/>
                <w:lang w:val="en-GB"/>
              </w:rPr>
            </w:pPr>
            <w:r w:rsidRPr="003743EA">
              <w:rPr>
                <w:sz w:val="20"/>
                <w:szCs w:val="20"/>
                <w:lang w:val="en-GB"/>
              </w:rPr>
              <w:t>4</w:t>
            </w:r>
          </w:p>
        </w:tc>
        <w:tc>
          <w:tcPr>
            <w:tcW w:w="5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4B5A3AD5" w14:textId="23CB6A01" w:rsidR="00722AA3" w:rsidRPr="003743EA" w:rsidRDefault="00722AA3" w:rsidP="00B93110">
            <w:pPr>
              <w:pStyle w:val="Standard"/>
              <w:ind w:left="360"/>
              <w:jc w:val="both"/>
              <w:rPr>
                <w:sz w:val="20"/>
                <w:szCs w:val="20"/>
              </w:rPr>
            </w:pPr>
            <w:r w:rsidRPr="003743EA">
              <w:rPr>
                <w:sz w:val="20"/>
                <w:szCs w:val="20"/>
                <w:lang w:val="en-GB"/>
              </w:rPr>
              <w:t xml:space="preserve">Build upon the good rapport between the CO and ROAS in supporting the programme </w:t>
            </w:r>
            <w:proofErr w:type="gramStart"/>
            <w:r w:rsidRPr="003743EA">
              <w:rPr>
                <w:sz w:val="20"/>
                <w:szCs w:val="20"/>
                <w:lang w:val="en-GB"/>
              </w:rPr>
              <w:t>in order to</w:t>
            </w:r>
            <w:proofErr w:type="gramEnd"/>
            <w:r w:rsidRPr="003743EA">
              <w:rPr>
                <w:sz w:val="20"/>
                <w:szCs w:val="20"/>
                <w:lang w:val="en-GB"/>
              </w:rPr>
              <w:t xml:space="preserve"> establish clear roles and lines of accountability between ROAS and CO for a potential follow-up programme</w:t>
            </w:r>
            <w:r w:rsidR="00B93110" w:rsidRPr="003743EA">
              <w:rPr>
                <w:sz w:val="20"/>
                <w:szCs w:val="20"/>
                <w:lang w:val="en-GB"/>
              </w:rPr>
              <w:t>.</w:t>
            </w:r>
            <w:r w:rsidRPr="003743EA">
              <w:rPr>
                <w:sz w:val="20"/>
                <w:szCs w:val="20"/>
                <w:lang w:val="en-GB"/>
              </w:rPr>
              <w:t xml:space="preserve"> </w:t>
            </w:r>
          </w:p>
        </w:tc>
        <w:tc>
          <w:tcPr>
            <w:tcW w:w="17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5F8FE814" w14:textId="77777777" w:rsidR="00722AA3" w:rsidRPr="003743EA" w:rsidRDefault="00722AA3" w:rsidP="00DD2324">
            <w:pPr>
              <w:pStyle w:val="Standard"/>
              <w:rPr>
                <w:sz w:val="20"/>
                <w:szCs w:val="20"/>
                <w:lang w:val="en-GB"/>
              </w:rPr>
            </w:pPr>
            <w:r w:rsidRPr="003743EA">
              <w:rPr>
                <w:sz w:val="20"/>
                <w:szCs w:val="20"/>
                <w:lang w:val="en-GB"/>
              </w:rPr>
              <w:t>Operational</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2EC71F62" w14:textId="77777777" w:rsidR="00722AA3" w:rsidRPr="003743EA" w:rsidRDefault="00722AA3" w:rsidP="00DD2324">
            <w:pPr>
              <w:pStyle w:val="Standard"/>
              <w:rPr>
                <w:sz w:val="20"/>
                <w:szCs w:val="20"/>
                <w:lang w:val="en-GB"/>
              </w:rPr>
            </w:pPr>
            <w:r w:rsidRPr="003743EA">
              <w:rPr>
                <w:sz w:val="20"/>
                <w:szCs w:val="20"/>
                <w:lang w:val="en-GB"/>
              </w:rPr>
              <w:t>5</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280BBD75" w14:textId="77777777" w:rsidR="00722AA3" w:rsidRPr="003743EA" w:rsidRDefault="00722AA3" w:rsidP="00DD2324">
            <w:pPr>
              <w:pStyle w:val="Standard"/>
              <w:rPr>
                <w:sz w:val="20"/>
                <w:szCs w:val="20"/>
                <w:lang w:val="en-GB"/>
              </w:rPr>
            </w:pPr>
            <w:r w:rsidRPr="003743EA">
              <w:rPr>
                <w:sz w:val="20"/>
                <w:szCs w:val="20"/>
                <w:lang w:val="en-GB"/>
              </w:rPr>
              <w:t>ROAS and CO</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656FF696" w14:textId="77777777" w:rsidR="00722AA3" w:rsidRPr="003743EA" w:rsidRDefault="00722AA3" w:rsidP="00DD2324">
            <w:pPr>
              <w:pStyle w:val="Standard"/>
              <w:rPr>
                <w:sz w:val="20"/>
                <w:szCs w:val="20"/>
              </w:rPr>
            </w:pPr>
            <w:r w:rsidRPr="003743EA">
              <w:rPr>
                <w:b/>
                <w:sz w:val="20"/>
                <w:szCs w:val="20"/>
                <w:lang w:val="en-GB"/>
              </w:rPr>
              <w:t>High</w:t>
            </w:r>
          </w:p>
        </w:tc>
        <w:tc>
          <w:tcPr>
            <w:tcW w:w="35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1353C478" w14:textId="77777777" w:rsidR="00722AA3" w:rsidRPr="003743EA" w:rsidRDefault="00722AA3" w:rsidP="00DD2324">
            <w:pPr>
              <w:pStyle w:val="Standard"/>
              <w:rPr>
                <w:sz w:val="20"/>
                <w:szCs w:val="20"/>
                <w:lang w:val="en-GB"/>
              </w:rPr>
            </w:pPr>
            <w:r w:rsidRPr="003743EA">
              <w:rPr>
                <w:sz w:val="20"/>
                <w:szCs w:val="20"/>
                <w:lang w:val="en-GB"/>
              </w:rPr>
              <w:t>Develop guidelines that are binding for ROAS and COs</w:t>
            </w:r>
          </w:p>
        </w:tc>
      </w:tr>
      <w:tr w:rsidR="00722AA3" w:rsidRPr="003743EA" w14:paraId="7A53951E" w14:textId="77777777" w:rsidTr="00981C91">
        <w:tc>
          <w:tcPr>
            <w:tcW w:w="3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422F6C27" w14:textId="77777777" w:rsidR="00722AA3" w:rsidRPr="003743EA" w:rsidRDefault="00722AA3" w:rsidP="00DD2324">
            <w:pPr>
              <w:pStyle w:val="Standard"/>
              <w:rPr>
                <w:sz w:val="20"/>
                <w:szCs w:val="20"/>
                <w:lang w:val="en-GB"/>
              </w:rPr>
            </w:pPr>
            <w:r w:rsidRPr="003743EA">
              <w:rPr>
                <w:sz w:val="20"/>
                <w:szCs w:val="20"/>
                <w:lang w:val="en-GB"/>
              </w:rPr>
              <w:t>5</w:t>
            </w:r>
          </w:p>
        </w:tc>
        <w:tc>
          <w:tcPr>
            <w:tcW w:w="59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3054F055" w14:textId="77777777" w:rsidR="00722AA3" w:rsidRPr="003743EA" w:rsidRDefault="00722AA3" w:rsidP="00981C91">
            <w:pPr>
              <w:pStyle w:val="Standard"/>
              <w:ind w:left="360"/>
              <w:jc w:val="both"/>
              <w:rPr>
                <w:sz w:val="20"/>
                <w:szCs w:val="20"/>
              </w:rPr>
            </w:pPr>
            <w:r w:rsidRPr="003743EA">
              <w:rPr>
                <w:sz w:val="20"/>
                <w:szCs w:val="20"/>
                <w:lang w:val="en-GB"/>
              </w:rPr>
              <w:t>Make sure that gender equality and rights-based approach, as well as the inclusion of people with disability and LGBT individuals, are incorporated in all knowledge products as well as in tailored community interventions, making use of learning from other countries, especially relating to identifying priority issues for each community, development of messages, the use of knowledge products, capacity building on engagement of men, peer to peer and positive deviance.</w:t>
            </w:r>
          </w:p>
        </w:tc>
        <w:tc>
          <w:tcPr>
            <w:tcW w:w="17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4594B064" w14:textId="77777777" w:rsidR="00722AA3" w:rsidRPr="003743EA" w:rsidRDefault="00722AA3" w:rsidP="00DD2324">
            <w:pPr>
              <w:pStyle w:val="Standard"/>
              <w:rPr>
                <w:sz w:val="20"/>
                <w:szCs w:val="20"/>
                <w:lang w:val="en-GB"/>
              </w:rPr>
            </w:pPr>
            <w:r w:rsidRPr="003743EA">
              <w:rPr>
                <w:sz w:val="20"/>
                <w:szCs w:val="20"/>
                <w:lang w:val="en-GB"/>
              </w:rPr>
              <w:t>Programmatic</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743FB90D" w14:textId="77777777" w:rsidR="00722AA3" w:rsidRPr="003743EA" w:rsidRDefault="00722AA3" w:rsidP="00DD2324">
            <w:pPr>
              <w:pStyle w:val="Standard"/>
              <w:rPr>
                <w:sz w:val="20"/>
                <w:szCs w:val="20"/>
                <w:lang w:val="en-GB"/>
              </w:rPr>
            </w:pPr>
            <w:r w:rsidRPr="003743EA">
              <w:rPr>
                <w:sz w:val="20"/>
                <w:szCs w:val="20"/>
                <w:lang w:val="en-GB"/>
              </w:rPr>
              <w:t>6, 3, 4</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4BAB27ED" w14:textId="77777777" w:rsidR="00722AA3" w:rsidRPr="003743EA" w:rsidRDefault="00722AA3" w:rsidP="00DD2324">
            <w:pPr>
              <w:pStyle w:val="Standard"/>
              <w:rPr>
                <w:sz w:val="20"/>
                <w:szCs w:val="20"/>
              </w:rPr>
            </w:pPr>
            <w:r w:rsidRPr="003743EA">
              <w:rPr>
                <w:color w:val="262626"/>
                <w:sz w:val="20"/>
                <w:szCs w:val="20"/>
                <w:lang w:val="en-GB"/>
              </w:rPr>
              <w:t>CO and ROAS</w:t>
            </w:r>
          </w:p>
        </w:tc>
        <w:tc>
          <w:tcPr>
            <w:tcW w:w="9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002780D9" w14:textId="77777777" w:rsidR="00722AA3" w:rsidRPr="003743EA" w:rsidRDefault="00722AA3" w:rsidP="00DD2324">
            <w:pPr>
              <w:pStyle w:val="Standard"/>
              <w:rPr>
                <w:sz w:val="20"/>
                <w:szCs w:val="20"/>
              </w:rPr>
            </w:pPr>
            <w:r w:rsidRPr="003743EA">
              <w:rPr>
                <w:b/>
                <w:sz w:val="20"/>
                <w:szCs w:val="20"/>
                <w:lang w:val="en-GB"/>
              </w:rPr>
              <w:t>Med</w:t>
            </w:r>
          </w:p>
        </w:tc>
        <w:tc>
          <w:tcPr>
            <w:tcW w:w="35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top w:w="0" w:type="dxa"/>
              <w:left w:w="113" w:type="dxa"/>
              <w:bottom w:w="0" w:type="dxa"/>
              <w:right w:w="108" w:type="dxa"/>
            </w:tcMar>
          </w:tcPr>
          <w:p w14:paraId="0686BED5" w14:textId="77777777" w:rsidR="00722AA3" w:rsidRPr="003743EA" w:rsidRDefault="00722AA3" w:rsidP="00DD2324">
            <w:pPr>
              <w:pStyle w:val="Standard"/>
              <w:rPr>
                <w:sz w:val="20"/>
                <w:szCs w:val="20"/>
                <w:lang w:val="en-GB"/>
              </w:rPr>
            </w:pPr>
            <w:bookmarkStart w:id="63" w:name="_heading=h.17dp8vu"/>
            <w:bookmarkEnd w:id="63"/>
            <w:r w:rsidRPr="003743EA">
              <w:rPr>
                <w:sz w:val="20"/>
                <w:szCs w:val="20"/>
                <w:lang w:val="en-GB"/>
              </w:rPr>
              <w:t>Knowledge products, awareness raising material, capacity building, policy dialogue and community interventions.</w:t>
            </w:r>
          </w:p>
        </w:tc>
      </w:tr>
    </w:tbl>
    <w:p w14:paraId="738CA0C2" w14:textId="77777777" w:rsidR="00722AA3" w:rsidRDefault="00722AA3" w:rsidP="00722AA3">
      <w:pPr>
        <w:rPr>
          <w:rFonts w:cs="Mangal"/>
          <w:szCs w:val="21"/>
        </w:rPr>
      </w:pPr>
    </w:p>
    <w:p w14:paraId="75002C15" w14:textId="77777777" w:rsidR="004D095B" w:rsidRDefault="004D095B" w:rsidP="00722AA3">
      <w:pPr>
        <w:rPr>
          <w:rFonts w:cs="Mangal"/>
          <w:szCs w:val="21"/>
        </w:rPr>
      </w:pPr>
    </w:p>
    <w:p w14:paraId="22A81A57" w14:textId="77777777" w:rsidR="004D095B" w:rsidRDefault="004D095B" w:rsidP="00722AA3">
      <w:pPr>
        <w:rPr>
          <w:rFonts w:cs="Mangal"/>
          <w:szCs w:val="21"/>
        </w:rPr>
        <w:sectPr w:rsidR="004D095B">
          <w:headerReference w:type="default" r:id="rId31"/>
          <w:footerReference w:type="default" r:id="rId32"/>
          <w:pgSz w:w="16838" w:h="11906" w:orient="landscape"/>
          <w:pgMar w:top="1191" w:right="1134" w:bottom="1191" w:left="1134" w:header="720" w:footer="680" w:gutter="0"/>
          <w:cols w:space="720"/>
        </w:sectPr>
      </w:pPr>
    </w:p>
    <w:p w14:paraId="2607470F" w14:textId="77777777" w:rsidR="00722AA3" w:rsidRPr="004B2D93" w:rsidRDefault="00722AA3" w:rsidP="004B2D93">
      <w:pPr>
        <w:pStyle w:val="Standard"/>
      </w:pPr>
      <w:r>
        <w:rPr>
          <w:noProof/>
          <w:sz w:val="22"/>
          <w:szCs w:val="22"/>
          <w:lang w:eastAsia="en-US" w:bidi="ar-SA"/>
        </w:rPr>
        <w:lastRenderedPageBreak/>
        <w:drawing>
          <wp:anchor distT="0" distB="0" distL="114300" distR="114300" simplePos="0" relativeHeight="251660800" behindDoc="1" locked="0" layoutInCell="1" allowOverlap="1" wp14:anchorId="789750A1" wp14:editId="5FFD2E24">
            <wp:simplePos x="0" y="0"/>
            <wp:positionH relativeFrom="page">
              <wp:align>left</wp:align>
            </wp:positionH>
            <wp:positionV relativeFrom="page">
              <wp:posOffset>114300</wp:posOffset>
            </wp:positionV>
            <wp:extent cx="7576169" cy="10716127"/>
            <wp:effectExtent l="0" t="0" r="6350" b="0"/>
            <wp:wrapNone/>
            <wp:docPr id="25" name="image8.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lum/>
                      <a:alphaModFix/>
                    </a:blip>
                    <a:srcRect/>
                    <a:stretch>
                      <a:fillRect/>
                    </a:stretch>
                  </pic:blipFill>
                  <pic:spPr>
                    <a:xfrm>
                      <a:off x="0" y="0"/>
                      <a:ext cx="7576169" cy="10716127"/>
                    </a:xfrm>
                    <a:prstGeom prst="rect">
                      <a:avLst/>
                    </a:prstGeom>
                    <a:noFill/>
                    <a:ln>
                      <a:noFill/>
                      <a:prstDash/>
                    </a:ln>
                  </pic:spPr>
                </pic:pic>
              </a:graphicData>
            </a:graphic>
          </wp:anchor>
        </w:drawing>
      </w:r>
    </w:p>
    <w:p w14:paraId="003DE0EC" w14:textId="77777777" w:rsidR="000E4A90" w:rsidRDefault="000E4A90" w:rsidP="007F6DFD">
      <w:pPr>
        <w:pStyle w:val="ItadH1"/>
        <w:sectPr w:rsidR="000E4A90" w:rsidSect="004D095B">
          <w:pgSz w:w="11906" w:h="16838" w:code="9"/>
          <w:pgMar w:top="1134" w:right="1191" w:bottom="1134" w:left="1191" w:header="720" w:footer="680" w:gutter="0"/>
          <w:cols w:space="720"/>
          <w:docGrid w:linePitch="360"/>
        </w:sectPr>
      </w:pPr>
    </w:p>
    <w:p w14:paraId="60EA625F" w14:textId="77777777" w:rsidR="006F2F6D" w:rsidRPr="006A561F" w:rsidRDefault="0CD162B1" w:rsidP="006F2F6D">
      <w:pPr>
        <w:pStyle w:val="ItadH1"/>
      </w:pPr>
      <w:bookmarkStart w:id="64" w:name="_Toc123126202"/>
      <w:r>
        <w:lastRenderedPageBreak/>
        <w:t>References</w:t>
      </w:r>
      <w:bookmarkEnd w:id="64"/>
    </w:p>
    <w:p w14:paraId="1ACCCFE6" w14:textId="77777777" w:rsidR="00165E1F" w:rsidRPr="006A561F" w:rsidRDefault="00165E1F" w:rsidP="00165E1F">
      <w:pPr>
        <w:pStyle w:val="ItadNormalText"/>
      </w:pPr>
      <w:proofErr w:type="spellStart"/>
      <w:r w:rsidRPr="006A561F">
        <w:t>Abualsameed</w:t>
      </w:r>
      <w:proofErr w:type="spellEnd"/>
      <w:r w:rsidRPr="006A561F">
        <w:t xml:space="preserve"> (2021), </w:t>
      </w:r>
      <w:r w:rsidR="004D095B" w:rsidRPr="004D095B">
        <w:t xml:space="preserve">UN Women </w:t>
      </w:r>
      <w:r w:rsidRPr="006A561F">
        <w:t>Regional review engaging males in Arab states</w:t>
      </w:r>
    </w:p>
    <w:p w14:paraId="3E50764F" w14:textId="77777777" w:rsidR="00165E1F" w:rsidRDefault="00165E1F" w:rsidP="00165E1F">
      <w:pPr>
        <w:pStyle w:val="ItadNormalText"/>
      </w:pPr>
      <w:r w:rsidRPr="006A561F">
        <w:t>Arab Development Portal, Gender. Available at: Gender | Arab Development Portal</w:t>
      </w:r>
    </w:p>
    <w:p w14:paraId="2FD780AE" w14:textId="77777777" w:rsidR="00DB10B8" w:rsidRPr="006A561F" w:rsidRDefault="00DB10B8" w:rsidP="00165E1F">
      <w:pPr>
        <w:pStyle w:val="ItadNormalText"/>
      </w:pPr>
      <w:proofErr w:type="spellStart"/>
      <w:r w:rsidRPr="00DB10B8">
        <w:t>Cislaghi</w:t>
      </w:r>
      <w:proofErr w:type="spellEnd"/>
      <w:r w:rsidRPr="00DB10B8">
        <w:t xml:space="preserve">, B., &amp; </w:t>
      </w:r>
      <w:proofErr w:type="spellStart"/>
      <w:r w:rsidRPr="00DB10B8">
        <w:t>Heise</w:t>
      </w:r>
      <w:proofErr w:type="spellEnd"/>
      <w:r w:rsidRPr="00DB10B8">
        <w:t>, L. (2018). Theory and practice of social norms interventions: eight common pitfalls. Globalization and health, 14(1), 1-10.</w:t>
      </w:r>
    </w:p>
    <w:p w14:paraId="79704DBA" w14:textId="77777777" w:rsidR="00165E1F" w:rsidRPr="006A561F" w:rsidRDefault="00165E1F" w:rsidP="00165E1F">
      <w:pPr>
        <w:pStyle w:val="ItadNormalText"/>
      </w:pPr>
      <w:r w:rsidRPr="006A561F">
        <w:t>Committee on the Elimination of Discrimination Against Women (CEDAW) (2018), Contribution to the 2030 Sustainable Development Goals in response to a call for inputs by the High-Level Political Forum on Sustainable Development (HLPF). Available at: OHCHR | Committee on the Elimination of Discrimination against Women</w:t>
      </w:r>
    </w:p>
    <w:p w14:paraId="6462D373" w14:textId="77777777" w:rsidR="00165E1F" w:rsidRPr="006A561F" w:rsidRDefault="00165E1F" w:rsidP="00165E1F">
      <w:pPr>
        <w:pStyle w:val="ItadNormalText"/>
      </w:pPr>
      <w:r w:rsidRPr="006A561F">
        <w:t>Grieg, A (2021). Beyond Engaging Men: Review and Recommendations for UN Women’s Gender Equality Work with Men and Boys: Briefing Note</w:t>
      </w:r>
    </w:p>
    <w:p w14:paraId="3E56DEC9" w14:textId="77777777" w:rsidR="00165E1F" w:rsidRPr="006A561F" w:rsidRDefault="00165E1F" w:rsidP="00165E1F">
      <w:pPr>
        <w:pStyle w:val="ItadNormalText"/>
      </w:pPr>
      <w:r w:rsidRPr="006A561F">
        <w:t xml:space="preserve">Grieg, A and Flood, M (2020). Work with Men and Boys for Gender Equality: A Review of Field Formulation. The Evidence Base and Future Directions </w:t>
      </w:r>
    </w:p>
    <w:p w14:paraId="25AD901A" w14:textId="77777777" w:rsidR="00165E1F" w:rsidRPr="006A561F" w:rsidRDefault="00165E1F" w:rsidP="00165E1F">
      <w:pPr>
        <w:pStyle w:val="ItadNormalText"/>
      </w:pPr>
      <w:proofErr w:type="spellStart"/>
      <w:r w:rsidRPr="006A561F">
        <w:t>Guskey</w:t>
      </w:r>
      <w:proofErr w:type="spellEnd"/>
      <w:r w:rsidRPr="006A561F">
        <w:t xml:space="preserve"> et al. (2002), Gauge impact with five levels of data. Available at: https://tguskey.com/wp-content/uploads/Professional-Learning-1-Gauge-Impact-with-Five-Levels-of-Data.pdf</w:t>
      </w:r>
    </w:p>
    <w:p w14:paraId="0E7DE913" w14:textId="77777777" w:rsidR="00165E1F" w:rsidRPr="006A561F" w:rsidRDefault="00165E1F" w:rsidP="00165E1F">
      <w:pPr>
        <w:pStyle w:val="ItadNormalText"/>
      </w:pPr>
      <w:r w:rsidRPr="006A561F">
        <w:t>International Labour Organisation (ILO) (2018). Available at: Home - ILOSTAT - The leading source of labour statistics</w:t>
      </w:r>
    </w:p>
    <w:p w14:paraId="0F633727" w14:textId="77777777" w:rsidR="00165E1F" w:rsidRPr="006A561F" w:rsidRDefault="00165E1F" w:rsidP="00165E1F">
      <w:pPr>
        <w:pStyle w:val="ItadNormalText"/>
      </w:pPr>
      <w:proofErr w:type="spellStart"/>
      <w:r w:rsidRPr="006A561F">
        <w:t>Marrar</w:t>
      </w:r>
      <w:proofErr w:type="spellEnd"/>
      <w:r w:rsidRPr="006A561F">
        <w:t>, S (2019), Community Based Solutions and National level Grants for Promoting Gender Equality and Engaging Men and Boys</w:t>
      </w:r>
    </w:p>
    <w:p w14:paraId="6C477DF3" w14:textId="77777777" w:rsidR="00165E1F" w:rsidRPr="006A561F" w:rsidRDefault="00165E1F" w:rsidP="00165E1F">
      <w:pPr>
        <w:pStyle w:val="ItadNormalText"/>
      </w:pPr>
      <w:r w:rsidRPr="006A561F">
        <w:t>National Strategy for Women in Lebanon 2011-2021, National Action Plan (2017-2019). Available at: The National Strategy for Women in Lebanon (2011-2021) | Civil Society Knowledge Centre (civilsociety-centre.org)</w:t>
      </w:r>
    </w:p>
    <w:p w14:paraId="0DB7C89E" w14:textId="77777777" w:rsidR="00165E1F" w:rsidRPr="006A561F" w:rsidRDefault="00165E1F" w:rsidP="00165E1F">
      <w:pPr>
        <w:pStyle w:val="ItadNormalText"/>
      </w:pPr>
      <w:r w:rsidRPr="006A561F">
        <w:t>NCW (2017), Egypt’s National Strategy for the Empowerment of Egyptian Women 2030: Vision and Pillars. Available at: final-version-national-strategy-for-the-empowerment-of-egyptian-women-2030.pdf (ncw.gov.eg)</w:t>
      </w:r>
    </w:p>
    <w:p w14:paraId="5E981A42" w14:textId="77777777" w:rsidR="00165E1F" w:rsidRPr="006A561F" w:rsidRDefault="00165E1F" w:rsidP="00165E1F">
      <w:pPr>
        <w:pStyle w:val="ItadNormalText"/>
      </w:pPr>
      <w:r w:rsidRPr="006A561F">
        <w:t>NCW (2020), Final report engaging men and boys in gender equality programme national grant</w:t>
      </w:r>
    </w:p>
    <w:p w14:paraId="0C342D0C" w14:textId="77777777" w:rsidR="00165E1F" w:rsidRPr="006A561F" w:rsidRDefault="00165E1F" w:rsidP="00165E1F">
      <w:pPr>
        <w:pStyle w:val="ItadNormalText"/>
      </w:pPr>
      <w:r w:rsidRPr="006A561F">
        <w:t>OHCHR (2017), Accelerating efforts to eliminate violence against women: engaging men and boys in preventing and responding to violence against all women and girls. Available at: Human Rights Documents (ohchr.org)</w:t>
      </w:r>
    </w:p>
    <w:p w14:paraId="48B0DB62" w14:textId="77777777" w:rsidR="00165E1F" w:rsidRPr="006A561F" w:rsidRDefault="00165E1F" w:rsidP="00165E1F">
      <w:pPr>
        <w:pStyle w:val="ItadNormalText"/>
      </w:pPr>
      <w:r w:rsidRPr="006A561F">
        <w:t xml:space="preserve">Peace Women (2018), Outside the box a training manual on gender and masculinities and strategy of engaging men and boys in combating gender discrimination and violence. Available at: Outside the Box a training manual on gender &amp; masculinities &amp; strategies of engaging men and boys in combating gender discrimination &amp; violence | </w:t>
      </w:r>
      <w:proofErr w:type="spellStart"/>
      <w:r w:rsidRPr="006A561F">
        <w:t>PeaceWomen</w:t>
      </w:r>
      <w:proofErr w:type="spellEnd"/>
      <w:r w:rsidRPr="006A561F">
        <w:t xml:space="preserve"> </w:t>
      </w:r>
    </w:p>
    <w:p w14:paraId="43DD1704" w14:textId="77777777" w:rsidR="00165E1F" w:rsidRPr="001F7344" w:rsidRDefault="00165E1F" w:rsidP="00165E1F">
      <w:pPr>
        <w:pStyle w:val="ItadNormalText"/>
      </w:pPr>
      <w:r w:rsidRPr="00C80D78">
        <w:rPr>
          <w:lang w:val="fr-FR"/>
        </w:rPr>
        <w:t>Plan Gouvernemental pour l’</w:t>
      </w:r>
      <w:proofErr w:type="spellStart"/>
      <w:r w:rsidRPr="00C80D78">
        <w:rPr>
          <w:lang w:val="fr-FR"/>
        </w:rPr>
        <w:t>égalité</w:t>
      </w:r>
      <w:proofErr w:type="spellEnd"/>
      <w:r w:rsidRPr="00C80D78">
        <w:rPr>
          <w:lang w:val="fr-FR"/>
        </w:rPr>
        <w:t xml:space="preserve">. Initiative Concertée pour le Renforcement des Acquis des Marocaines (ICRAM) 2017–2021. </w:t>
      </w:r>
      <w:r w:rsidRPr="001F7344">
        <w:t xml:space="preserve">Available </w:t>
      </w:r>
      <w:proofErr w:type="gramStart"/>
      <w:r w:rsidRPr="001F7344">
        <w:t>at :</w:t>
      </w:r>
      <w:proofErr w:type="gramEnd"/>
      <w:r w:rsidRPr="001F7344">
        <w:t xml:space="preserve"> icram-2-fr.pdf (social.gov.ma)</w:t>
      </w:r>
    </w:p>
    <w:p w14:paraId="13C8DB2F" w14:textId="77777777" w:rsidR="00165E1F" w:rsidRPr="001F7344" w:rsidRDefault="00165E1F" w:rsidP="00165E1F">
      <w:pPr>
        <w:pStyle w:val="ItadNormalText"/>
      </w:pPr>
      <w:proofErr w:type="spellStart"/>
      <w:r w:rsidRPr="001F7344">
        <w:t>Promundo</w:t>
      </w:r>
      <w:proofErr w:type="spellEnd"/>
      <w:r w:rsidRPr="001F7344">
        <w:t xml:space="preserve">, Program P. Available at: Program P | </w:t>
      </w:r>
      <w:proofErr w:type="spellStart"/>
      <w:r w:rsidRPr="001F7344">
        <w:t>Promundo</w:t>
      </w:r>
      <w:proofErr w:type="spellEnd"/>
      <w:r w:rsidRPr="001F7344">
        <w:t xml:space="preserve"> (promundoglobal.org)</w:t>
      </w:r>
    </w:p>
    <w:p w14:paraId="1B8D4EAD" w14:textId="77777777" w:rsidR="00165E1F" w:rsidRPr="006A561F" w:rsidRDefault="00165E1F" w:rsidP="00165E1F">
      <w:pPr>
        <w:pStyle w:val="ItadNormalText"/>
      </w:pPr>
      <w:proofErr w:type="spellStart"/>
      <w:r w:rsidRPr="006A561F">
        <w:t>Tarazi</w:t>
      </w:r>
      <w:proofErr w:type="spellEnd"/>
      <w:r w:rsidRPr="006A561F">
        <w:t>, R (2017), Men and Women for Gender Equality, Mid-Term Review report</w:t>
      </w:r>
    </w:p>
    <w:p w14:paraId="171009F5" w14:textId="77777777" w:rsidR="00165E1F" w:rsidRPr="006A561F" w:rsidRDefault="00165E1F" w:rsidP="00165E1F">
      <w:pPr>
        <w:pStyle w:val="ItadNormalText"/>
      </w:pPr>
      <w:r w:rsidRPr="006A561F">
        <w:t>The Jordanian National Commission for Women (2020), National Strategy for Women in Jordan 2020-2025. Available at: The National Strategy for Women 2020 - 2025 01122021 (2).pdf</w:t>
      </w:r>
    </w:p>
    <w:p w14:paraId="5D5ABDF0" w14:textId="77777777" w:rsidR="00165E1F" w:rsidRPr="006A561F" w:rsidRDefault="00165E1F" w:rsidP="00165E1F">
      <w:pPr>
        <w:pStyle w:val="ItadNormalText"/>
      </w:pPr>
      <w:r w:rsidRPr="006A561F">
        <w:t xml:space="preserve">The World Bank (2019), Sustainable Development Goals database. Available at: Sustainable Development Goals (SDGs) | </w:t>
      </w:r>
      <w:proofErr w:type="spellStart"/>
      <w:r w:rsidRPr="006A561F">
        <w:t>DataBank</w:t>
      </w:r>
      <w:proofErr w:type="spellEnd"/>
      <w:r w:rsidRPr="006A561F">
        <w:t xml:space="preserve"> (worldbank.org)</w:t>
      </w:r>
    </w:p>
    <w:p w14:paraId="7D359A64" w14:textId="77777777" w:rsidR="00165E1F" w:rsidRPr="006A561F" w:rsidRDefault="00165E1F" w:rsidP="00165E1F">
      <w:pPr>
        <w:pStyle w:val="ItadNormalText"/>
      </w:pPr>
      <w:r w:rsidRPr="006A561F">
        <w:t xml:space="preserve">The World Bank (2019), World Development Indicators. Available at: World Development Indicators | </w:t>
      </w:r>
      <w:proofErr w:type="spellStart"/>
      <w:r w:rsidRPr="006A561F">
        <w:t>DataBank</w:t>
      </w:r>
      <w:proofErr w:type="spellEnd"/>
      <w:r w:rsidRPr="006A561F">
        <w:t xml:space="preserve"> (worldbank.org)</w:t>
      </w:r>
    </w:p>
    <w:p w14:paraId="0C70F859" w14:textId="77777777" w:rsidR="00165E1F" w:rsidRPr="006A561F" w:rsidRDefault="00165E1F" w:rsidP="00165E1F">
      <w:pPr>
        <w:pStyle w:val="ItadNormalText"/>
      </w:pPr>
      <w:r w:rsidRPr="006A561F">
        <w:lastRenderedPageBreak/>
        <w:t>UN (2017), United Nations Development Assistance Framework Morocco 2017-2021. Available at: Morocco, UN System Sign 2017-2021 UNDAF | Maroc.ma</w:t>
      </w:r>
    </w:p>
    <w:p w14:paraId="64F43849" w14:textId="77777777" w:rsidR="00165E1F" w:rsidRPr="006A561F" w:rsidRDefault="00165E1F" w:rsidP="00165E1F">
      <w:pPr>
        <w:pStyle w:val="ItadNormalText"/>
      </w:pPr>
      <w:r w:rsidRPr="006A561F">
        <w:t>UN (2018), United Nations Development Assistance Framework State of Palestine 2019-2022. Available at: UNDP-papp-research-undaf_2018-2022.pdf</w:t>
      </w:r>
    </w:p>
    <w:p w14:paraId="08202D14" w14:textId="77777777" w:rsidR="00165E1F" w:rsidRPr="006A561F" w:rsidRDefault="00165E1F" w:rsidP="00165E1F">
      <w:pPr>
        <w:pStyle w:val="ItadNormalText"/>
      </w:pPr>
      <w:r w:rsidRPr="006A561F">
        <w:t>UN (2018), United Nations Strategic Development Framework Jordan 2018-2022</w:t>
      </w:r>
    </w:p>
    <w:p w14:paraId="556E0299" w14:textId="77777777" w:rsidR="00165E1F" w:rsidRPr="006A561F" w:rsidRDefault="00165E1F" w:rsidP="00165E1F">
      <w:pPr>
        <w:pStyle w:val="ItadNormalText"/>
      </w:pPr>
      <w:r w:rsidRPr="006A561F">
        <w:t>UN (2018), United Nations Strategic Framework Egypt 2018-2022</w:t>
      </w:r>
    </w:p>
    <w:p w14:paraId="78669978" w14:textId="77777777" w:rsidR="00165E1F" w:rsidRPr="006A561F" w:rsidRDefault="00165E1F" w:rsidP="00165E1F">
      <w:pPr>
        <w:pStyle w:val="ItadNormalText"/>
      </w:pPr>
      <w:r w:rsidRPr="006A561F">
        <w:t>UNDP, Gender Development Index. Available at: Gender Development Index (GDI) | Human Development Reports (undp.org)</w:t>
      </w:r>
    </w:p>
    <w:p w14:paraId="131A9465" w14:textId="77777777" w:rsidR="00165E1F" w:rsidRPr="006A561F" w:rsidRDefault="00165E1F" w:rsidP="00165E1F">
      <w:pPr>
        <w:pStyle w:val="ItadNormalText"/>
      </w:pPr>
      <w:r w:rsidRPr="006A561F">
        <w:t>UNDP, Gender Development Index: Indicators. Available at: | Human Development Reports (undp.org)</w:t>
      </w:r>
    </w:p>
    <w:p w14:paraId="7DBBADA5" w14:textId="77777777" w:rsidR="00165E1F" w:rsidRPr="006A561F" w:rsidRDefault="00165E1F" w:rsidP="00165E1F">
      <w:pPr>
        <w:pStyle w:val="ItadNormalText"/>
      </w:pPr>
      <w:r w:rsidRPr="006A561F">
        <w:t>UNDP, The Gender Results Effectiveness Scale (GRES): A Methodology Guidance Note. Available at: GRES_English.pdf (undp.org)</w:t>
      </w:r>
    </w:p>
    <w:p w14:paraId="240193AC" w14:textId="77777777" w:rsidR="00165E1F" w:rsidRPr="006A561F" w:rsidRDefault="00165E1F" w:rsidP="00165E1F">
      <w:pPr>
        <w:pStyle w:val="ItadNormalText"/>
      </w:pPr>
      <w:r w:rsidRPr="006A561F">
        <w:t>UNFPA (2019), Study about Violence against older people in Palestine</w:t>
      </w:r>
    </w:p>
    <w:p w14:paraId="6B8AE35B" w14:textId="77777777" w:rsidR="00165E1F" w:rsidRPr="006A561F" w:rsidRDefault="00165E1F" w:rsidP="00165E1F">
      <w:pPr>
        <w:pStyle w:val="ItadNormalText"/>
      </w:pPr>
      <w:r w:rsidRPr="00C80D78">
        <w:rPr>
          <w:lang w:val="fr-FR"/>
        </w:rPr>
        <w:t xml:space="preserve">UNSDG (2021), Plan-Cadre de </w:t>
      </w:r>
      <w:proofErr w:type="spellStart"/>
      <w:r w:rsidRPr="00C80D78">
        <w:rPr>
          <w:lang w:val="fr-FR"/>
        </w:rPr>
        <w:t>Cooperation</w:t>
      </w:r>
      <w:proofErr w:type="spellEnd"/>
      <w:r w:rsidRPr="00C80D78">
        <w:rPr>
          <w:lang w:val="fr-FR"/>
        </w:rPr>
        <w:t xml:space="preserve"> Des Nations Unies Pour Le Développement Durable 2021-2025. </w:t>
      </w:r>
      <w:r w:rsidRPr="006A561F">
        <w:t xml:space="preserve">Available </w:t>
      </w:r>
      <w:proofErr w:type="gramStart"/>
      <w:r w:rsidRPr="006A561F">
        <w:t>at :</w:t>
      </w:r>
      <w:proofErr w:type="gramEnd"/>
      <w:r w:rsidRPr="006A561F">
        <w:t xml:space="preserve"> FR_UN Sustainable Development Cooperation Framework Guidance.pdf</w:t>
      </w:r>
    </w:p>
    <w:p w14:paraId="4A410AE6" w14:textId="77777777" w:rsidR="00165E1F" w:rsidRPr="006A561F" w:rsidRDefault="00165E1F" w:rsidP="00165E1F">
      <w:pPr>
        <w:pStyle w:val="ItadNormalText"/>
      </w:pPr>
      <w:r w:rsidRPr="006A561F">
        <w:t>UNSF (2017), United Nations Strategic Framework Lebanon 2017-2020. Available at: United Nations Strategic Framework (UNSF) LEBANON (2017-2020) | United Nations in Lebanon</w:t>
      </w:r>
    </w:p>
    <w:p w14:paraId="3C4C08AD" w14:textId="77777777" w:rsidR="00165E1F" w:rsidRPr="006A561F" w:rsidRDefault="004D095B" w:rsidP="00165E1F">
      <w:pPr>
        <w:pStyle w:val="ItadNormalText"/>
      </w:pPr>
      <w:r w:rsidRPr="004D095B">
        <w:t xml:space="preserve">UN Women </w:t>
      </w:r>
      <w:r w:rsidR="00165E1F" w:rsidRPr="006A561F">
        <w:t>(2008), Convention on Elimination of All forms of Discrimination Against Women (CEDAW). Available at: Convention on the Elimination of All Forms of Discrimination against Women (un.org)</w:t>
      </w:r>
    </w:p>
    <w:p w14:paraId="4BF596A2" w14:textId="77777777" w:rsidR="00165E1F" w:rsidRPr="006A561F" w:rsidRDefault="004D095B" w:rsidP="00165E1F">
      <w:pPr>
        <w:pStyle w:val="ItadNormalText"/>
      </w:pPr>
      <w:r w:rsidRPr="004D095B">
        <w:t xml:space="preserve">UN Women </w:t>
      </w:r>
      <w:r w:rsidR="00165E1F" w:rsidRPr="006A561F">
        <w:t>(2015), Development results framework 2015-2017. Available at: Annex II - Revised Results Framework.pdf (unwomen.org)</w:t>
      </w:r>
    </w:p>
    <w:p w14:paraId="27A0B120" w14:textId="77777777" w:rsidR="00165E1F" w:rsidRPr="006A561F" w:rsidRDefault="004D095B" w:rsidP="00165E1F">
      <w:pPr>
        <w:pStyle w:val="ItadNormalText"/>
      </w:pPr>
      <w:r w:rsidRPr="004D095B">
        <w:t xml:space="preserve">UN Women </w:t>
      </w:r>
      <w:r w:rsidR="00165E1F" w:rsidRPr="006A561F">
        <w:t>(2015), The Beijing Declaration and Platform for Action. Available at: Beijing Declaration and Platform for Action, Beijing +5 Political Declaration and Outcome | UN Women – Headquarters</w:t>
      </w:r>
    </w:p>
    <w:p w14:paraId="5AB7DE28" w14:textId="77777777" w:rsidR="00165E1F" w:rsidRPr="006A561F" w:rsidRDefault="004D095B" w:rsidP="00165E1F">
      <w:pPr>
        <w:pStyle w:val="ItadNormalText"/>
      </w:pPr>
      <w:r w:rsidRPr="004D095B">
        <w:t xml:space="preserve">UN Women </w:t>
      </w:r>
      <w:r w:rsidR="00165E1F" w:rsidRPr="006A561F">
        <w:t>(2017), MWGE Annual Report 2017</w:t>
      </w:r>
    </w:p>
    <w:p w14:paraId="5AD293F3" w14:textId="77777777" w:rsidR="00165E1F" w:rsidRPr="006A561F" w:rsidRDefault="004D095B" w:rsidP="00165E1F">
      <w:pPr>
        <w:pStyle w:val="ItadNormalText"/>
      </w:pPr>
      <w:r w:rsidRPr="004D095B">
        <w:t xml:space="preserve">UN Women </w:t>
      </w:r>
      <w:r w:rsidR="00165E1F" w:rsidRPr="006A561F">
        <w:t>(2018), UN Women Strategic Plan 2018-2021. Available at: UN Women Strategic Plan 2018–2021 | UN Women – Headquarters</w:t>
      </w:r>
    </w:p>
    <w:p w14:paraId="5B82AEF0" w14:textId="77777777" w:rsidR="00165E1F" w:rsidRPr="006A561F" w:rsidRDefault="004D095B" w:rsidP="00165E1F">
      <w:pPr>
        <w:pStyle w:val="ItadNormalText"/>
      </w:pPr>
      <w:r w:rsidRPr="004D095B">
        <w:t xml:space="preserve">UN Women </w:t>
      </w:r>
      <w:r w:rsidR="00165E1F" w:rsidRPr="006A561F">
        <w:t>(2018), Understanding how to engage men in gender transformative approaches to end violence against women. Available at: Understanding How to Engage Men in Gender Transformative Approaches to End Violence Against Women | UN Women – Arab States</w:t>
      </w:r>
    </w:p>
    <w:p w14:paraId="3F7E08FA" w14:textId="77777777" w:rsidR="00165E1F" w:rsidRPr="006A561F" w:rsidRDefault="004D095B" w:rsidP="00165E1F">
      <w:pPr>
        <w:pStyle w:val="ItadNormalText"/>
      </w:pPr>
      <w:r w:rsidRPr="004D095B">
        <w:t xml:space="preserve">UN Women </w:t>
      </w:r>
      <w:r w:rsidR="00165E1F" w:rsidRPr="006A561F">
        <w:t xml:space="preserve">(2019), Evaluation of the National Strategy for Women and Situational Analysis of Women’s Rights and Gender Equality in Jordan. Available at: 20190601 UN Women Evaluation Final Report.pdf </w:t>
      </w:r>
    </w:p>
    <w:p w14:paraId="612B25DA" w14:textId="77777777" w:rsidR="00165E1F" w:rsidRPr="006A561F" w:rsidRDefault="004D095B" w:rsidP="00165E1F">
      <w:pPr>
        <w:pStyle w:val="ItadNormalText"/>
      </w:pPr>
      <w:r w:rsidRPr="004D095B">
        <w:t xml:space="preserve">UN Women </w:t>
      </w:r>
      <w:r w:rsidR="00165E1F" w:rsidRPr="006A561F">
        <w:t>(2019), Men and Women for Gender Equality Phase II – First Annual Progress Report</w:t>
      </w:r>
    </w:p>
    <w:p w14:paraId="4F57FD87" w14:textId="77777777" w:rsidR="00165E1F" w:rsidRPr="006A561F" w:rsidRDefault="004D095B" w:rsidP="00165E1F">
      <w:pPr>
        <w:pStyle w:val="ItadNormalText"/>
      </w:pPr>
      <w:r w:rsidRPr="004D095B">
        <w:t xml:space="preserve">UN Women </w:t>
      </w:r>
      <w:r w:rsidR="00165E1F" w:rsidRPr="006A561F">
        <w:t>(2020) Second Annual Progress Report</w:t>
      </w:r>
    </w:p>
    <w:p w14:paraId="7DA5FC01" w14:textId="77777777" w:rsidR="00165E1F" w:rsidRPr="006A561F" w:rsidRDefault="004D095B" w:rsidP="00165E1F">
      <w:pPr>
        <w:pStyle w:val="ItadNormalText"/>
      </w:pPr>
      <w:r w:rsidRPr="004D095B">
        <w:t xml:space="preserve">UN Women </w:t>
      </w:r>
      <w:r w:rsidR="00165E1F" w:rsidRPr="006A561F">
        <w:t>(2020), Lebanon’s Feminist Civil Society Platform calls for ensuring a fair and equitable space for women in the political sphere. Available at: Lebanon’s Feminist Civil Society Platform calls for ensuring a fair and equitable space for women in the political sphere | UN Women – Arab States</w:t>
      </w:r>
    </w:p>
    <w:p w14:paraId="63C1BC01" w14:textId="77777777" w:rsidR="00165E1F" w:rsidRPr="006A561F" w:rsidRDefault="004D095B" w:rsidP="00165E1F">
      <w:pPr>
        <w:pStyle w:val="ItadNormalText"/>
      </w:pPr>
      <w:r w:rsidRPr="004D095B">
        <w:t xml:space="preserve">UN Women </w:t>
      </w:r>
      <w:r w:rsidR="00165E1F" w:rsidRPr="006A561F">
        <w:t>(2020), Morocco MWGE Annual Report</w:t>
      </w:r>
    </w:p>
    <w:p w14:paraId="1A566621" w14:textId="77777777" w:rsidR="00165E1F" w:rsidRPr="006A561F" w:rsidRDefault="004D095B" w:rsidP="00165E1F">
      <w:pPr>
        <w:pStyle w:val="ItadNormalText"/>
      </w:pPr>
      <w:r w:rsidRPr="004D095B">
        <w:t xml:space="preserve">UN Women </w:t>
      </w:r>
      <w:r w:rsidR="00165E1F" w:rsidRPr="006A561F">
        <w:t>(2020), MWGE Annual Report 2020</w:t>
      </w:r>
    </w:p>
    <w:p w14:paraId="7F98CBD0" w14:textId="77777777" w:rsidR="00165E1F" w:rsidRPr="006A561F" w:rsidRDefault="004D095B" w:rsidP="00165E1F">
      <w:pPr>
        <w:pStyle w:val="ItadNormalText"/>
      </w:pPr>
      <w:r w:rsidRPr="004D095B">
        <w:t xml:space="preserve">UN Women </w:t>
      </w:r>
      <w:r w:rsidR="00165E1F" w:rsidRPr="006A561F">
        <w:t>(2020), Rapid Assessment: The effects of COVID-19 on violence against women and gendered social norms. A snapshot from nine countries in the Arab States. Available at: Draft 7_Rapid Assessment of the effects COVID19_EN_11820 (unwomen.org)</w:t>
      </w:r>
    </w:p>
    <w:p w14:paraId="23CFE3E0" w14:textId="77777777" w:rsidR="00165E1F" w:rsidRPr="006A561F" w:rsidRDefault="004D095B" w:rsidP="00165E1F">
      <w:pPr>
        <w:pStyle w:val="ItadNormalText"/>
      </w:pPr>
      <w:r w:rsidRPr="004D095B">
        <w:t xml:space="preserve">UN Women </w:t>
      </w:r>
      <w:r w:rsidR="00165E1F" w:rsidRPr="006A561F">
        <w:t>(2021), Baseline/Endline Summary – Evaluation of Community-Based Interventions in Morocco, “Men and women for Gender Equality” Regional Programme – Phase II (March 2019-February 2022), November 2021.</w:t>
      </w:r>
    </w:p>
    <w:p w14:paraId="7965BED8" w14:textId="77777777" w:rsidR="00165E1F" w:rsidRPr="006A561F" w:rsidRDefault="004D095B" w:rsidP="00165E1F">
      <w:pPr>
        <w:pStyle w:val="ItadNormalText"/>
      </w:pPr>
      <w:r w:rsidRPr="004D095B">
        <w:lastRenderedPageBreak/>
        <w:t xml:space="preserve">UN Women </w:t>
      </w:r>
      <w:r w:rsidR="00165E1F" w:rsidRPr="006A561F">
        <w:t>(2021), Men and Women for Gender Equality. UN Women ROAS. Regional Review Report. Available at: Men and Women for Gender Equality | UN Women – Arab States</w:t>
      </w:r>
    </w:p>
    <w:p w14:paraId="4F5766B2" w14:textId="77777777" w:rsidR="00165E1F" w:rsidRPr="006A561F" w:rsidRDefault="004D095B" w:rsidP="00165E1F">
      <w:pPr>
        <w:pStyle w:val="ItadNormalText"/>
      </w:pPr>
      <w:r w:rsidRPr="004D095B">
        <w:t xml:space="preserve">UN Women </w:t>
      </w:r>
      <w:r w:rsidR="00165E1F" w:rsidRPr="006A561F">
        <w:t>(2021), Virtual Monitoring of Community Grants in Palestine. Report of Findings, Challenges and Recommendations, p3</w:t>
      </w:r>
    </w:p>
    <w:p w14:paraId="670B88D0" w14:textId="77777777" w:rsidR="00165E1F" w:rsidRPr="006A561F" w:rsidRDefault="004D095B" w:rsidP="00165E1F">
      <w:pPr>
        <w:pStyle w:val="ItadNormalText"/>
      </w:pPr>
      <w:r w:rsidRPr="004D095B">
        <w:t xml:space="preserve">UN Women </w:t>
      </w:r>
      <w:r w:rsidR="00165E1F" w:rsidRPr="006A561F">
        <w:t>(2022), Engaging Men and Woman for Gender Equality. Available at: Men and Women for Gender Equality | UN Women – Arab States</w:t>
      </w:r>
    </w:p>
    <w:p w14:paraId="408C7EB6" w14:textId="77777777" w:rsidR="00165E1F" w:rsidRPr="006A561F" w:rsidRDefault="004D095B" w:rsidP="00165E1F">
      <w:pPr>
        <w:pStyle w:val="ItadNormalText"/>
      </w:pPr>
      <w:r w:rsidRPr="004D095B">
        <w:t xml:space="preserve">UN Women </w:t>
      </w:r>
      <w:r w:rsidR="00165E1F" w:rsidRPr="006A561F">
        <w:t xml:space="preserve">(2022), Quantitative Evaluation of Community-based interventions in Egypt, Lebanon, </w:t>
      </w:r>
      <w:proofErr w:type="gramStart"/>
      <w:r w:rsidR="00165E1F" w:rsidRPr="006A561F">
        <w:t>Morocco</w:t>
      </w:r>
      <w:proofErr w:type="gramEnd"/>
      <w:r w:rsidR="00165E1F" w:rsidRPr="006A561F">
        <w:t xml:space="preserve"> and Palestine</w:t>
      </w:r>
    </w:p>
    <w:p w14:paraId="68E5DC37" w14:textId="77777777" w:rsidR="00165E1F" w:rsidRPr="006A561F" w:rsidRDefault="004D095B" w:rsidP="00165E1F">
      <w:pPr>
        <w:pStyle w:val="ItadNormalText"/>
      </w:pPr>
      <w:r w:rsidRPr="004D095B">
        <w:t xml:space="preserve">UN Women </w:t>
      </w:r>
      <w:r w:rsidR="00165E1F" w:rsidRPr="006A561F">
        <w:t xml:space="preserve">(2022), Quantitative Evaluation of Community-Based Interventions in Egypt, Lebanon, </w:t>
      </w:r>
      <w:proofErr w:type="gramStart"/>
      <w:r w:rsidR="00165E1F" w:rsidRPr="006A561F">
        <w:t>Morocco</w:t>
      </w:r>
      <w:proofErr w:type="gramEnd"/>
      <w:r w:rsidR="00165E1F" w:rsidRPr="006A561F">
        <w:t xml:space="preserve"> and Palestine</w:t>
      </w:r>
    </w:p>
    <w:p w14:paraId="553E0A7D" w14:textId="77777777" w:rsidR="00165E1F" w:rsidRPr="006A561F" w:rsidRDefault="004D095B" w:rsidP="00165E1F">
      <w:pPr>
        <w:pStyle w:val="ItadNormalText"/>
      </w:pPr>
      <w:r w:rsidRPr="004D095B">
        <w:t xml:space="preserve">UN Women </w:t>
      </w:r>
      <w:r w:rsidR="00165E1F" w:rsidRPr="006A561F">
        <w:t>(2022), Quantitative Evaluation of Community-Based Interventions in Egypt, Lebanon, Morocco, and Palestine. UN Women’s Regional Programme ‘Men and Women for Gender Equality – Phase II’, February 2022</w:t>
      </w:r>
    </w:p>
    <w:p w14:paraId="48253573" w14:textId="77777777" w:rsidR="00165E1F" w:rsidRPr="006A561F" w:rsidRDefault="004D095B" w:rsidP="00165E1F">
      <w:pPr>
        <w:pStyle w:val="ItadNormalText"/>
      </w:pPr>
      <w:r w:rsidRPr="004D095B">
        <w:t xml:space="preserve">UN Women </w:t>
      </w:r>
      <w:r w:rsidR="00165E1F" w:rsidRPr="006A561F">
        <w:t>(2022), UN Women Strategic Plan 2022-2025. Available at: Publications | UN Women – Headquarters</w:t>
      </w:r>
    </w:p>
    <w:p w14:paraId="56806706" w14:textId="77777777" w:rsidR="00165E1F" w:rsidRPr="006A561F" w:rsidRDefault="004D095B" w:rsidP="00165E1F">
      <w:pPr>
        <w:pStyle w:val="ItadNormalText"/>
      </w:pPr>
      <w:r w:rsidRPr="004D095B">
        <w:t xml:space="preserve">UN Women </w:t>
      </w:r>
      <w:r w:rsidR="00165E1F" w:rsidRPr="006A561F">
        <w:t>and the Palestinian Ministry of Women’s Affairs. Partners in Development: The National Cross-Sectoral Strategy to Promote Gender Equality and Equity and the Empowerment of Women, 2017-2022</w:t>
      </w:r>
    </w:p>
    <w:p w14:paraId="16FD40C0" w14:textId="77777777" w:rsidR="00165E1F" w:rsidRPr="006A561F" w:rsidRDefault="004D095B" w:rsidP="00165E1F">
      <w:pPr>
        <w:pStyle w:val="ItadNormalText"/>
      </w:pPr>
      <w:r w:rsidRPr="004D095B">
        <w:t>UN Women</w:t>
      </w:r>
      <w:r w:rsidR="00165E1F" w:rsidRPr="006A561F">
        <w:t>, Commission on the Status of Women 48th Session. Available at: CSW 48th session, Thematic Issue: "The role of men and boys in gender equality" (un.org)</w:t>
      </w:r>
    </w:p>
    <w:p w14:paraId="0CA9CAFD" w14:textId="77777777" w:rsidR="00165E1F" w:rsidRPr="006A561F" w:rsidRDefault="004D095B" w:rsidP="00165E1F">
      <w:pPr>
        <w:pStyle w:val="ItadNormalText"/>
      </w:pPr>
      <w:r w:rsidRPr="004D095B">
        <w:t>UN Women</w:t>
      </w:r>
      <w:r w:rsidR="00165E1F" w:rsidRPr="006A561F">
        <w:t>, National Strategy to Combat Violence Against Women 2011-2019. Available at: PalestinianAuthorityNationalStrategytoCombatpdf.pdf (unwomen.org)</w:t>
      </w:r>
    </w:p>
    <w:p w14:paraId="68DCF917" w14:textId="77777777" w:rsidR="00165E1F" w:rsidRPr="006A561F" w:rsidRDefault="00165E1F" w:rsidP="00165E1F">
      <w:pPr>
        <w:pStyle w:val="ItadNormalText"/>
      </w:pPr>
      <w:r w:rsidRPr="006A561F">
        <w:t xml:space="preserve">Walker, D., Engle, O. and </w:t>
      </w:r>
      <w:proofErr w:type="spellStart"/>
      <w:r w:rsidRPr="006A561F">
        <w:t>Beckert</w:t>
      </w:r>
      <w:proofErr w:type="spellEnd"/>
      <w:r w:rsidRPr="006A561F">
        <w:t>, S. (2019), Positioning GAGE evidence on masculinities. A mapping of stakeholders and policies relating to the engagement of boys and men for gender equality. London: Gender and Adolescence: Global Evidence</w:t>
      </w:r>
    </w:p>
    <w:p w14:paraId="004CD581" w14:textId="77777777" w:rsidR="006F2F6D" w:rsidRPr="006A561F" w:rsidRDefault="00165E1F" w:rsidP="00165E1F">
      <w:pPr>
        <w:pStyle w:val="ItadNormalText"/>
      </w:pPr>
      <w:r w:rsidRPr="006A561F">
        <w:t>World Economic Forum (2020), Global gender Gap Report 2020. Available at: WEF_GGGR_2020.pdf (weforum.org)</w:t>
      </w:r>
    </w:p>
    <w:p w14:paraId="1EA769CA" w14:textId="77777777" w:rsidR="006F2F6D" w:rsidRPr="006A561F" w:rsidRDefault="006F2F6D" w:rsidP="006F2F6D">
      <w:pPr>
        <w:pStyle w:val="ItadNormalText"/>
      </w:pPr>
    </w:p>
    <w:p w14:paraId="17923F81" w14:textId="77777777" w:rsidR="006F2F6D" w:rsidRPr="006A561F" w:rsidRDefault="006F2F6D" w:rsidP="006F2F6D">
      <w:pPr>
        <w:pStyle w:val="ItadNormalText"/>
      </w:pPr>
    </w:p>
    <w:p w14:paraId="609B06E9" w14:textId="77777777" w:rsidR="006F2F6D" w:rsidRPr="006A561F" w:rsidRDefault="006F2F6D" w:rsidP="006F2F6D">
      <w:pPr>
        <w:pStyle w:val="ItadNormalText"/>
      </w:pPr>
    </w:p>
    <w:p w14:paraId="36650AB0" w14:textId="77777777" w:rsidR="006F2F6D" w:rsidRPr="006A561F" w:rsidRDefault="006F2F6D" w:rsidP="006F2F6D">
      <w:pPr>
        <w:pStyle w:val="ItadNormalText"/>
      </w:pPr>
    </w:p>
    <w:p w14:paraId="5D57C6F2" w14:textId="77777777" w:rsidR="006F2F6D" w:rsidRPr="006A561F" w:rsidRDefault="006F2F6D" w:rsidP="006F2F6D">
      <w:pPr>
        <w:pStyle w:val="ItadNormalText"/>
        <w:sectPr w:rsidR="006F2F6D" w:rsidRPr="006A561F" w:rsidSect="000E4A90">
          <w:footerReference w:type="default" r:id="rId34"/>
          <w:pgSz w:w="11906" w:h="16838" w:code="9"/>
          <w:pgMar w:top="1134" w:right="1191" w:bottom="1134" w:left="1191" w:header="720" w:footer="680" w:gutter="0"/>
          <w:cols w:space="720"/>
          <w:docGrid w:linePitch="360"/>
        </w:sectPr>
      </w:pPr>
    </w:p>
    <w:p w14:paraId="0B7816EC" w14:textId="77777777" w:rsidR="006F2F6D" w:rsidRPr="006A561F" w:rsidRDefault="006F2F6D" w:rsidP="006F2F6D">
      <w:pPr>
        <w:pStyle w:val="Itadtabletext"/>
      </w:pPr>
      <w:r w:rsidRPr="006A561F">
        <w:rPr>
          <w:noProof/>
          <w:color w:val="2B579A"/>
          <w:shd w:val="clear" w:color="auto" w:fill="E6E6E6"/>
        </w:rPr>
        <w:lastRenderedPageBreak/>
        <w:drawing>
          <wp:anchor distT="0" distB="0" distL="114300" distR="114300" simplePos="0" relativeHeight="251658242" behindDoc="1" locked="1" layoutInCell="1" allowOverlap="1" wp14:anchorId="0EE00C73" wp14:editId="444A446F">
            <wp:simplePos x="0" y="0"/>
            <wp:positionH relativeFrom="page">
              <wp:align>right</wp:align>
            </wp:positionH>
            <wp:positionV relativeFrom="page">
              <wp:align>top</wp:align>
            </wp:positionV>
            <wp:extent cx="7576185" cy="10716260"/>
            <wp:effectExtent l="0" t="0" r="5715" b="8890"/>
            <wp:wrapNone/>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7576185" cy="10716636"/>
                    </a:xfrm>
                    <a:prstGeom prst="rect">
                      <a:avLst/>
                    </a:prstGeom>
                  </pic:spPr>
                </pic:pic>
              </a:graphicData>
            </a:graphic>
            <wp14:sizeRelH relativeFrom="margin">
              <wp14:pctWidth>0</wp14:pctWidth>
            </wp14:sizeRelH>
            <wp14:sizeRelV relativeFrom="margin">
              <wp14:pctHeight>0</wp14:pctHeight>
            </wp14:sizeRelV>
          </wp:anchor>
        </w:drawing>
      </w:r>
    </w:p>
    <w:p w14:paraId="19140985" w14:textId="77777777" w:rsidR="006F2F6D" w:rsidRPr="006A561F" w:rsidRDefault="006F2F6D">
      <w:pPr>
        <w:rPr>
          <w:rFonts w:ascii="CubeOT" w:hAnsi="CubeOT" w:cs="CubeOT"/>
          <w:b/>
          <w:bCs/>
          <w:color w:val="588B46" w:themeColor="text2"/>
          <w:sz w:val="28"/>
          <w:szCs w:val="24"/>
        </w:rPr>
      </w:pPr>
    </w:p>
    <w:sectPr w:rsidR="006F2F6D" w:rsidRPr="006A561F" w:rsidSect="006F2F6D">
      <w:headerReference w:type="first" r:id="rId36"/>
      <w:footerReference w:type="first" r:id="rId37"/>
      <w:pgSz w:w="11906" w:h="16838" w:code="9"/>
      <w:pgMar w:top="1134" w:right="1191" w:bottom="1134" w:left="1191" w:header="720" w:footer="680" w:gutter="0"/>
      <w:pgNumType w:fmt="lowerRoman"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AE269" w14:textId="77777777" w:rsidR="00E653FB" w:rsidRDefault="00E653FB" w:rsidP="00967499">
      <w:r>
        <w:separator/>
      </w:r>
    </w:p>
    <w:p w14:paraId="1D9CC9FC" w14:textId="77777777" w:rsidR="00E653FB" w:rsidRDefault="00E653FB"/>
    <w:p w14:paraId="22FD9B58" w14:textId="77777777" w:rsidR="00E653FB" w:rsidRDefault="00E653FB"/>
  </w:endnote>
  <w:endnote w:type="continuationSeparator" w:id="0">
    <w:p w14:paraId="28DE41E2" w14:textId="77777777" w:rsidR="00E653FB" w:rsidRDefault="00E653FB" w:rsidP="00967499">
      <w:r>
        <w:continuationSeparator/>
      </w:r>
    </w:p>
    <w:p w14:paraId="71924C8C" w14:textId="77777777" w:rsidR="00E653FB" w:rsidRDefault="00E653FB"/>
    <w:p w14:paraId="148F81B6" w14:textId="77777777" w:rsidR="00E653FB" w:rsidRDefault="00E653FB"/>
  </w:endnote>
  <w:endnote w:type="continuationNotice" w:id="1">
    <w:p w14:paraId="3DAAD557" w14:textId="77777777" w:rsidR="00E653FB" w:rsidRDefault="00E653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embedRegular r:id="rId1" w:fontKey="{5878A479-4947-FA49-94DD-58A2981ED1CE}"/>
    <w:embedBold r:id="rId2" w:fontKey="{02B7C7E4-79DD-814F-A3B8-25D39446E12E}"/>
    <w:embedItalic r:id="rId3" w:fontKey="{AF093E3D-DCD4-0041-914C-F0A3BE2F375A}"/>
    <w:embedBoldItalic r:id="rId4" w:fontKey="{D8499C5E-1082-F94E-85A2-03D581A65F1B}"/>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embedRegular r:id="rId5" w:subsetted="1" w:fontKey="{63AD23F7-AE94-784D-9D6A-04BE909357B8}"/>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CubeOT">
    <w:altName w:val="Calibri"/>
    <w:panose1 w:val="020B0604020202020204"/>
    <w:charset w:val="00"/>
    <w:family w:val="swiss"/>
    <w:pitch w:val="variable"/>
    <w:sig w:usb0="800000EF" w:usb1="4000A04A" w:usb2="00000008" w:usb3="00000000" w:csb0="00000001" w:csb1="00000000"/>
  </w:font>
  <w:font w:name="MinionPro-Regular">
    <w:altName w:val="Calibri"/>
    <w:panose1 w:val="020B0604020202020204"/>
    <w:charset w:val="4D"/>
    <w:family w:val="auto"/>
    <w:pitch w:val="default"/>
    <w:sig w:usb0="00000003" w:usb1="00000000" w:usb2="00000000" w:usb3="00000000" w:csb0="00000001" w:csb1="00000000"/>
  </w:font>
  <w:font w:name="TheSansSemiLight-Plain">
    <w:altName w:val="Calibri"/>
    <w:panose1 w:val="020B0604020202020204"/>
    <w:charset w:val="4D"/>
    <w:family w:val="auto"/>
    <w:pitch w:val="default"/>
    <w:sig w:usb0="00000003" w:usb1="00000000" w:usb2="00000000" w:usb3="00000000" w:csb0="00000001" w:csb1="00000000"/>
  </w:font>
  <w:font w:name="TheSansSemiBold-Plain">
    <w:altName w:val="Calibri"/>
    <w:panose1 w:val="020B0604020202020204"/>
    <w:charset w:val="4D"/>
    <w:family w:val="auto"/>
    <w:pitch w:val="default"/>
    <w:sig w:usb0="00000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2040503050203030202"/>
    <w:charset w:val="01"/>
    <w:family w:val="roman"/>
    <w:pitch w:val="variable"/>
    <w:sig w:usb0="0000A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9757430"/>
      <w:docPartObj>
        <w:docPartGallery w:val="Page Numbers (Bottom of Page)"/>
        <w:docPartUnique/>
      </w:docPartObj>
    </w:sdtPr>
    <w:sdtEndPr>
      <w:rPr>
        <w:noProof/>
      </w:rPr>
    </w:sdtEndPr>
    <w:sdtContent>
      <w:p w14:paraId="761C7F60" w14:textId="77777777" w:rsidR="006F2F6D" w:rsidRDefault="006F2F6D">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23</w:t>
        </w:r>
        <w:r>
          <w:rPr>
            <w:noProof/>
            <w:color w:val="2B579A"/>
            <w:shd w:val="clear" w:color="auto" w:fill="E6E6E6"/>
          </w:rPr>
          <w:fldChar w:fldCharType="end"/>
        </w:r>
      </w:p>
    </w:sdtContent>
  </w:sdt>
  <w:p w14:paraId="3E4F8A0D" w14:textId="77777777" w:rsidR="006F2F6D" w:rsidRDefault="006F2F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F6796" w14:textId="77777777" w:rsidR="00722AA3" w:rsidRDefault="00722AA3">
    <w:pPr>
      <w:pStyle w:val="Standard"/>
      <w:jc w:val="right"/>
    </w:pPr>
    <w:r>
      <w:fldChar w:fldCharType="begin"/>
    </w:r>
    <w:r>
      <w:instrText xml:space="preserve"> PAGE </w:instrText>
    </w:r>
    <w:r>
      <w:fldChar w:fldCharType="separate"/>
    </w:r>
    <w:r>
      <w:rPr>
        <w:noProof/>
      </w:rPr>
      <w:t>2</w:t>
    </w:r>
    <w:r>
      <w:fldChar w:fldCharType="end"/>
    </w:r>
  </w:p>
  <w:p w14:paraId="26359F90" w14:textId="77777777" w:rsidR="00722AA3" w:rsidRDefault="00722AA3">
    <w:pPr>
      <w:pStyle w:val="Standar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3149022"/>
      <w:docPartObj>
        <w:docPartGallery w:val="Page Numbers (Bottom of Page)"/>
        <w:docPartUnique/>
      </w:docPartObj>
    </w:sdtPr>
    <w:sdtEndPr>
      <w:rPr>
        <w:noProof/>
      </w:rPr>
    </w:sdtEndPr>
    <w:sdtContent>
      <w:p w14:paraId="491525F9" w14:textId="77777777" w:rsidR="00165E1F" w:rsidRDefault="00165E1F">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23</w:t>
        </w:r>
        <w:r>
          <w:rPr>
            <w:noProof/>
            <w:color w:val="2B579A"/>
            <w:shd w:val="clear" w:color="auto" w:fill="E6E6E6"/>
          </w:rPr>
          <w:fldChar w:fldCharType="end"/>
        </w:r>
      </w:p>
    </w:sdtContent>
  </w:sdt>
  <w:p w14:paraId="4B5E8A5D" w14:textId="77777777" w:rsidR="00165E1F" w:rsidRDefault="00165E1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E8A5B" w14:textId="77777777" w:rsidR="00E75FB8" w:rsidRPr="00FF6773" w:rsidRDefault="00E75FB8" w:rsidP="00215994">
    <w:pPr>
      <w:pStyle w:val="Itad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5AA27" w14:textId="77777777" w:rsidR="00E653FB" w:rsidRPr="009A300B" w:rsidRDefault="00E653FB" w:rsidP="009A300B">
      <w:pPr>
        <w:pStyle w:val="Footer"/>
      </w:pPr>
      <w:r>
        <w:separator/>
      </w:r>
    </w:p>
  </w:footnote>
  <w:footnote w:type="continuationSeparator" w:id="0">
    <w:p w14:paraId="4C020C6E" w14:textId="77777777" w:rsidR="00E653FB" w:rsidRPr="00CA1D8F" w:rsidRDefault="00E653FB" w:rsidP="00CA1D8F">
      <w:pPr>
        <w:pStyle w:val="Footer"/>
      </w:pPr>
    </w:p>
  </w:footnote>
  <w:footnote w:type="continuationNotice" w:id="1">
    <w:p w14:paraId="73563DBD" w14:textId="77777777" w:rsidR="00E653FB" w:rsidRDefault="00E653FB"/>
  </w:footnote>
  <w:footnote w:id="2">
    <w:p w14:paraId="2AC66A10" w14:textId="77777777" w:rsidR="008B2F84" w:rsidRPr="00C80D78" w:rsidRDefault="008B2F84">
      <w:pPr>
        <w:pStyle w:val="FootnoteText"/>
        <w:rPr>
          <w:lang w:val="en-US"/>
        </w:rPr>
      </w:pPr>
      <w:r>
        <w:rPr>
          <w:rStyle w:val="FootnoteReference"/>
        </w:rPr>
        <w:footnoteRef/>
      </w:r>
      <w:r>
        <w:t xml:space="preserve"> </w:t>
      </w:r>
      <w:r w:rsidR="009113E4">
        <w:t>Fatherhood/parenting approaches are not included as</w:t>
      </w:r>
      <w:r w:rsidRPr="008B2F84">
        <w:t xml:space="preserve"> </w:t>
      </w:r>
      <w:r>
        <w:t xml:space="preserve">the evaluation team </w:t>
      </w:r>
      <w:r w:rsidR="00E021FE">
        <w:t xml:space="preserve">was not able to obtain </w:t>
      </w:r>
      <w:r w:rsidRPr="008B2F84">
        <w:t xml:space="preserve">final data on </w:t>
      </w:r>
      <w:r w:rsidR="009113E4">
        <w:t>these</w:t>
      </w:r>
      <w:r w:rsidRPr="008B2F84">
        <w:t xml:space="preserve"> approaches</w:t>
      </w:r>
      <w:r w:rsidR="00E021FE">
        <w:t xml:space="preserve"> (data is being processed in Apr/May 2022)</w:t>
      </w:r>
    </w:p>
  </w:footnote>
  <w:footnote w:id="3">
    <w:p w14:paraId="18DFA4F5" w14:textId="77777777" w:rsidR="006F2F6D" w:rsidRDefault="006F2F6D" w:rsidP="00561715">
      <w:pPr>
        <w:pStyle w:val="FootnoteText"/>
        <w:rPr>
          <w:rFonts w:asciiTheme="minorHAnsi" w:hAnsiTheme="minorHAnsi" w:cstheme="minorBidi"/>
          <w:sz w:val="20"/>
          <w:szCs w:val="20"/>
        </w:rPr>
      </w:pPr>
      <w:r w:rsidRPr="0070466C">
        <w:rPr>
          <w:rStyle w:val="FootnoteReference"/>
          <w:sz w:val="16"/>
        </w:rPr>
        <w:footnoteRef/>
      </w:r>
      <w:r>
        <w:t xml:space="preserve"> </w:t>
      </w:r>
      <w:hyperlink r:id="rId1" w:history="1">
        <w:r w:rsidR="00370184" w:rsidRPr="00370184">
          <w:rPr>
            <w:rStyle w:val="Hyperlink"/>
            <w:u w:val="none"/>
          </w:rPr>
          <w:t>https://www.un.org/womenwatch/daw/cedaw/</w:t>
        </w:r>
      </w:hyperlink>
    </w:p>
  </w:footnote>
  <w:footnote w:id="4">
    <w:p w14:paraId="56C806DF" w14:textId="77777777" w:rsidR="006F2F6D" w:rsidRPr="009A1FAE" w:rsidRDefault="006F2F6D" w:rsidP="00561715">
      <w:pPr>
        <w:pStyle w:val="FootnoteText"/>
        <w:rPr>
          <w:lang w:val="en-US"/>
        </w:rPr>
      </w:pPr>
      <w:r w:rsidRPr="0070466C">
        <w:rPr>
          <w:rStyle w:val="FootnoteReference"/>
          <w:sz w:val="16"/>
        </w:rPr>
        <w:footnoteRef/>
      </w:r>
      <w:r>
        <w:t xml:space="preserve"> </w:t>
      </w:r>
      <w:hyperlink r:id="rId2" w:history="1">
        <w:r w:rsidR="00370184" w:rsidRPr="00370184">
          <w:rPr>
            <w:rStyle w:val="Hyperlink"/>
            <w:u w:val="none"/>
          </w:rPr>
          <w:t>https://www.un.org/womenwatch/daw/csw/csw48/Thematic1.html</w:t>
        </w:r>
      </w:hyperlink>
    </w:p>
  </w:footnote>
  <w:footnote w:id="5">
    <w:p w14:paraId="52BC77DF" w14:textId="77777777" w:rsidR="006F2F6D" w:rsidRPr="00370184" w:rsidRDefault="006F2F6D" w:rsidP="00561715">
      <w:pPr>
        <w:pStyle w:val="FootnoteText"/>
        <w:rPr>
          <w:lang w:val="en-US"/>
        </w:rPr>
      </w:pPr>
      <w:r w:rsidRPr="0070466C">
        <w:rPr>
          <w:rStyle w:val="FootnoteReference"/>
          <w:sz w:val="16"/>
        </w:rPr>
        <w:footnoteRef/>
      </w:r>
      <w:r>
        <w:t xml:space="preserve"> </w:t>
      </w:r>
      <w:hyperlink r:id="rId3" w:history="1">
        <w:r w:rsidR="00370184" w:rsidRPr="00370184">
          <w:rPr>
            <w:rStyle w:val="Hyperlink"/>
            <w:u w:val="none"/>
          </w:rPr>
          <w:t>https://www.un.org/en/events/pastevents/pdfs/Beijing_Declaration_and_Platform_for_Action.pdf</w:t>
        </w:r>
      </w:hyperlink>
    </w:p>
  </w:footnote>
  <w:footnote w:id="6">
    <w:p w14:paraId="234F7E34" w14:textId="77777777" w:rsidR="006F2F6D" w:rsidRPr="009A1FAE" w:rsidRDefault="006F2F6D" w:rsidP="00561715">
      <w:pPr>
        <w:pStyle w:val="FootnoteText"/>
        <w:rPr>
          <w:lang w:val="en-US"/>
        </w:rPr>
      </w:pPr>
      <w:r w:rsidRPr="0070466C">
        <w:rPr>
          <w:rStyle w:val="FootnoteReference"/>
          <w:sz w:val="16"/>
        </w:rPr>
        <w:footnoteRef/>
      </w:r>
      <w:r>
        <w:t xml:space="preserve"> </w:t>
      </w:r>
      <w:hyperlink r:id="rId4" w:history="1">
        <w:r w:rsidR="00370184" w:rsidRPr="00370184">
          <w:rPr>
            <w:rStyle w:val="Hyperlink"/>
            <w:u w:val="none"/>
          </w:rPr>
          <w:t>https://ap.ohchr.org/documents/dpage_e.aspx?si=A/HRC/RES/35/10</w:t>
        </w:r>
      </w:hyperlink>
    </w:p>
  </w:footnote>
  <w:footnote w:id="7">
    <w:p w14:paraId="3BA962B7" w14:textId="77777777" w:rsidR="006F2F6D" w:rsidRPr="00047EBD" w:rsidRDefault="006F2F6D" w:rsidP="00561715">
      <w:pPr>
        <w:pStyle w:val="FootnoteText"/>
        <w:rPr>
          <w:sz w:val="15"/>
          <w:szCs w:val="15"/>
        </w:rPr>
      </w:pPr>
      <w:r w:rsidRPr="00047EBD">
        <w:rPr>
          <w:rStyle w:val="FootnoteReference"/>
          <w:sz w:val="15"/>
          <w:szCs w:val="15"/>
        </w:rPr>
        <w:footnoteRef/>
      </w:r>
      <w:r w:rsidRPr="00047EBD">
        <w:rPr>
          <w:sz w:val="15"/>
          <w:szCs w:val="15"/>
        </w:rPr>
        <w:t xml:space="preserve"> Walker, D, Engle, O and </w:t>
      </w:r>
      <w:proofErr w:type="spellStart"/>
      <w:r w:rsidRPr="00047EBD">
        <w:rPr>
          <w:sz w:val="15"/>
          <w:szCs w:val="15"/>
        </w:rPr>
        <w:t>Beckert</w:t>
      </w:r>
      <w:proofErr w:type="spellEnd"/>
      <w:r w:rsidRPr="00047EBD">
        <w:rPr>
          <w:sz w:val="15"/>
          <w:szCs w:val="15"/>
        </w:rPr>
        <w:t>, S (2019) Positioning GAGE evidence on masculinities. A mapping of stakeholders and</w:t>
      </w:r>
    </w:p>
    <w:p w14:paraId="6C3CC771" w14:textId="77777777" w:rsidR="006F2F6D" w:rsidRPr="00047EBD" w:rsidRDefault="006F2F6D" w:rsidP="006F2F6D">
      <w:pPr>
        <w:pStyle w:val="FootnoteText"/>
        <w:rPr>
          <w:sz w:val="15"/>
          <w:szCs w:val="15"/>
          <w:lang w:val="en-US"/>
        </w:rPr>
      </w:pPr>
      <w:r w:rsidRPr="00047EBD">
        <w:rPr>
          <w:sz w:val="15"/>
          <w:szCs w:val="15"/>
        </w:rPr>
        <w:t>policies relating to the engagement of boys and men for gender equality. London: Gender and Adolescence: Global Evidence.</w:t>
      </w:r>
    </w:p>
  </w:footnote>
  <w:footnote w:id="8">
    <w:p w14:paraId="72BC2665" w14:textId="77777777" w:rsidR="006F2F6D" w:rsidRPr="00047EBD" w:rsidRDefault="006F2F6D" w:rsidP="00DD6CEB">
      <w:pPr>
        <w:pStyle w:val="FootnoteText"/>
        <w:rPr>
          <w:sz w:val="15"/>
          <w:szCs w:val="15"/>
        </w:rPr>
      </w:pPr>
      <w:r w:rsidRPr="00047EBD">
        <w:rPr>
          <w:rStyle w:val="FootnoteReference"/>
          <w:rFonts w:asciiTheme="minorBidi" w:hAnsiTheme="minorBidi" w:cstheme="minorBidi"/>
          <w:sz w:val="15"/>
          <w:szCs w:val="15"/>
        </w:rPr>
        <w:footnoteRef/>
      </w:r>
      <w:r w:rsidRPr="00047EBD">
        <w:rPr>
          <w:rFonts w:asciiTheme="minorBidi" w:hAnsiTheme="minorBidi" w:cstheme="minorBidi"/>
          <w:sz w:val="15"/>
          <w:szCs w:val="15"/>
        </w:rPr>
        <w:t xml:space="preserve"> </w:t>
      </w:r>
      <w:r w:rsidRPr="00047EBD">
        <w:rPr>
          <w:sz w:val="15"/>
          <w:szCs w:val="15"/>
        </w:rPr>
        <w:t>Egypt’s National Strategy for the Empowerment of Egyptian Women 2030 (published 2017): Vision and Pillars</w:t>
      </w:r>
      <w:r w:rsidR="00D745ED" w:rsidRPr="00047EBD">
        <w:rPr>
          <w:sz w:val="15"/>
          <w:szCs w:val="15"/>
        </w:rPr>
        <w:t>.</w:t>
      </w:r>
    </w:p>
  </w:footnote>
  <w:footnote w:id="9">
    <w:p w14:paraId="3719E3B5" w14:textId="77777777" w:rsidR="006F2F6D" w:rsidRPr="00047EBD" w:rsidRDefault="006F2F6D" w:rsidP="00DD6CEB">
      <w:pPr>
        <w:pStyle w:val="FootnoteText"/>
        <w:rPr>
          <w:sz w:val="15"/>
          <w:szCs w:val="15"/>
        </w:rPr>
      </w:pPr>
      <w:r w:rsidRPr="00047EBD">
        <w:rPr>
          <w:rStyle w:val="FootnoteReference"/>
          <w:rFonts w:cstheme="minorHAnsi"/>
          <w:sz w:val="15"/>
          <w:szCs w:val="15"/>
        </w:rPr>
        <w:footnoteRef/>
      </w:r>
      <w:r w:rsidRPr="00047EBD">
        <w:rPr>
          <w:sz w:val="15"/>
          <w:szCs w:val="15"/>
        </w:rPr>
        <w:t xml:space="preserve"> Egypt’s National Strategy for the Empowerment of Egyptian Women 2030 (published 2017): Vision and Pillars</w:t>
      </w:r>
      <w:r w:rsidR="00561715" w:rsidRPr="00047EBD">
        <w:rPr>
          <w:sz w:val="15"/>
          <w:szCs w:val="15"/>
        </w:rPr>
        <w:t>.</w:t>
      </w:r>
      <w:r w:rsidRPr="00047EBD">
        <w:rPr>
          <w:sz w:val="15"/>
          <w:szCs w:val="15"/>
        </w:rPr>
        <w:t xml:space="preserve"> p.</w:t>
      </w:r>
      <w:r w:rsidR="00D745ED" w:rsidRPr="00047EBD">
        <w:rPr>
          <w:sz w:val="15"/>
          <w:szCs w:val="15"/>
        </w:rPr>
        <w:t xml:space="preserve"> </w:t>
      </w:r>
      <w:r w:rsidRPr="00047EBD">
        <w:rPr>
          <w:sz w:val="15"/>
          <w:szCs w:val="15"/>
        </w:rPr>
        <w:t>12</w:t>
      </w:r>
      <w:r w:rsidR="00D745ED" w:rsidRPr="00047EBD">
        <w:rPr>
          <w:sz w:val="15"/>
          <w:szCs w:val="15"/>
        </w:rPr>
        <w:t>.</w:t>
      </w:r>
    </w:p>
  </w:footnote>
  <w:footnote w:id="10">
    <w:p w14:paraId="774169B2" w14:textId="77777777" w:rsidR="006F2F6D" w:rsidRPr="00047EBD" w:rsidRDefault="006F2F6D" w:rsidP="00DD6CEB">
      <w:pPr>
        <w:pStyle w:val="FootnoteText"/>
        <w:rPr>
          <w:sz w:val="15"/>
          <w:szCs w:val="15"/>
        </w:rPr>
      </w:pPr>
      <w:r w:rsidRPr="00047EBD">
        <w:rPr>
          <w:rStyle w:val="FootnoteReference"/>
          <w:rFonts w:cstheme="minorHAnsi"/>
          <w:sz w:val="15"/>
          <w:szCs w:val="15"/>
        </w:rPr>
        <w:footnoteRef/>
      </w:r>
      <w:r w:rsidRPr="00047EBD">
        <w:rPr>
          <w:sz w:val="15"/>
          <w:szCs w:val="15"/>
        </w:rPr>
        <w:t xml:space="preserve"> National Strategy for Women in Jordan, 2020-2025</w:t>
      </w:r>
      <w:r w:rsidR="00D745ED" w:rsidRPr="00047EBD">
        <w:rPr>
          <w:sz w:val="15"/>
          <w:szCs w:val="15"/>
        </w:rPr>
        <w:t>.</w:t>
      </w:r>
    </w:p>
  </w:footnote>
  <w:footnote w:id="11">
    <w:p w14:paraId="2380D4CA" w14:textId="77777777" w:rsidR="006F2F6D" w:rsidRPr="00047EBD" w:rsidRDefault="006F2F6D" w:rsidP="00DD6CEB">
      <w:pPr>
        <w:pStyle w:val="FootnoteText"/>
        <w:rPr>
          <w:sz w:val="15"/>
          <w:szCs w:val="15"/>
        </w:rPr>
      </w:pPr>
      <w:r w:rsidRPr="00047EBD">
        <w:rPr>
          <w:rStyle w:val="FootnoteReference"/>
          <w:rFonts w:cstheme="minorHAnsi"/>
          <w:sz w:val="15"/>
          <w:szCs w:val="15"/>
        </w:rPr>
        <w:footnoteRef/>
      </w:r>
      <w:r w:rsidRPr="00047EBD">
        <w:rPr>
          <w:sz w:val="15"/>
          <w:szCs w:val="15"/>
        </w:rPr>
        <w:t xml:space="preserve"> National Strategy for Women in Jordan, 2020-2025</w:t>
      </w:r>
      <w:r w:rsidR="00561715" w:rsidRPr="00047EBD">
        <w:rPr>
          <w:sz w:val="15"/>
          <w:szCs w:val="15"/>
        </w:rPr>
        <w:t>.</w:t>
      </w:r>
      <w:r w:rsidRPr="00047EBD">
        <w:rPr>
          <w:sz w:val="15"/>
          <w:szCs w:val="15"/>
        </w:rPr>
        <w:t xml:space="preserve"> p.</w:t>
      </w:r>
      <w:r w:rsidR="00D745ED" w:rsidRPr="00047EBD">
        <w:rPr>
          <w:sz w:val="15"/>
          <w:szCs w:val="15"/>
        </w:rPr>
        <w:t xml:space="preserve"> </w:t>
      </w:r>
      <w:r w:rsidRPr="00047EBD">
        <w:rPr>
          <w:sz w:val="15"/>
          <w:szCs w:val="15"/>
        </w:rPr>
        <w:t>43</w:t>
      </w:r>
      <w:r w:rsidR="00D745ED" w:rsidRPr="00047EBD">
        <w:rPr>
          <w:sz w:val="15"/>
          <w:szCs w:val="15"/>
        </w:rPr>
        <w:t>.</w:t>
      </w:r>
    </w:p>
  </w:footnote>
  <w:footnote w:id="12">
    <w:p w14:paraId="20701E6E" w14:textId="77777777" w:rsidR="006F2F6D" w:rsidRPr="00047EBD" w:rsidRDefault="006F2F6D" w:rsidP="006F2F6D">
      <w:pPr>
        <w:pStyle w:val="FootnoteText"/>
        <w:rPr>
          <w:sz w:val="15"/>
          <w:szCs w:val="15"/>
          <w:lang w:val="en-US"/>
        </w:rPr>
      </w:pPr>
      <w:r w:rsidRPr="00047EBD">
        <w:rPr>
          <w:rStyle w:val="FootnoteReference"/>
          <w:sz w:val="15"/>
          <w:szCs w:val="15"/>
        </w:rPr>
        <w:footnoteRef/>
      </w:r>
      <w:r w:rsidRPr="00047EBD">
        <w:rPr>
          <w:sz w:val="15"/>
          <w:szCs w:val="15"/>
        </w:rPr>
        <w:t xml:space="preserve"> </w:t>
      </w:r>
      <w:r w:rsidRPr="00047EBD">
        <w:rPr>
          <w:sz w:val="15"/>
          <w:szCs w:val="15"/>
          <w:lang w:val="en-US"/>
        </w:rPr>
        <w:t>UN</w:t>
      </w:r>
      <w:r w:rsidR="00561715" w:rsidRPr="00047EBD">
        <w:rPr>
          <w:sz w:val="15"/>
          <w:szCs w:val="15"/>
          <w:lang w:val="en-US"/>
        </w:rPr>
        <w:t xml:space="preserve"> </w:t>
      </w:r>
      <w:r w:rsidRPr="00047EBD">
        <w:rPr>
          <w:sz w:val="15"/>
          <w:szCs w:val="15"/>
          <w:lang w:val="en-US"/>
        </w:rPr>
        <w:t>W</w:t>
      </w:r>
      <w:r w:rsidR="00561715" w:rsidRPr="00047EBD">
        <w:rPr>
          <w:sz w:val="15"/>
          <w:szCs w:val="15"/>
          <w:lang w:val="en-US"/>
        </w:rPr>
        <w:t>omen</w:t>
      </w:r>
      <w:r w:rsidRPr="00047EBD">
        <w:rPr>
          <w:sz w:val="15"/>
          <w:szCs w:val="15"/>
          <w:lang w:val="en-US"/>
        </w:rPr>
        <w:t xml:space="preserve"> (2019) Evaluation of the National Strategy for Women and Situational Analysis of Women’s Rights and Gender Equality in Jordan</w:t>
      </w:r>
    </w:p>
  </w:footnote>
  <w:footnote w:id="13">
    <w:p w14:paraId="084C1BA9" w14:textId="77777777" w:rsidR="006F2F6D" w:rsidRPr="00047EBD" w:rsidRDefault="006F2F6D" w:rsidP="00DD6CEB">
      <w:pPr>
        <w:pStyle w:val="FootnoteText"/>
        <w:rPr>
          <w:sz w:val="15"/>
          <w:szCs w:val="15"/>
        </w:rPr>
      </w:pPr>
      <w:r w:rsidRPr="00047EBD">
        <w:rPr>
          <w:rStyle w:val="FootnoteReference"/>
          <w:rFonts w:cstheme="minorHAnsi"/>
          <w:sz w:val="15"/>
          <w:szCs w:val="15"/>
        </w:rPr>
        <w:footnoteRef/>
      </w:r>
      <w:r w:rsidRPr="00047EBD">
        <w:rPr>
          <w:sz w:val="15"/>
          <w:szCs w:val="15"/>
        </w:rPr>
        <w:t xml:space="preserve"> National Strategy for Women in Lebanon (2011-2021), and Action Plan 2017-2019</w:t>
      </w:r>
      <w:r w:rsidR="00561715" w:rsidRPr="00047EBD">
        <w:rPr>
          <w:sz w:val="15"/>
          <w:szCs w:val="15"/>
        </w:rPr>
        <w:t>.</w:t>
      </w:r>
    </w:p>
  </w:footnote>
  <w:footnote w:id="14">
    <w:p w14:paraId="6ACDD09F" w14:textId="77777777" w:rsidR="006F2F6D" w:rsidRPr="00020A42" w:rsidRDefault="006F2F6D" w:rsidP="00DD6CEB">
      <w:pPr>
        <w:pStyle w:val="FootnoteText"/>
      </w:pPr>
      <w:r w:rsidRPr="00047EBD">
        <w:rPr>
          <w:rStyle w:val="FootnoteReference"/>
          <w:rFonts w:asciiTheme="minorBidi" w:hAnsiTheme="minorBidi" w:cstheme="minorBidi"/>
          <w:sz w:val="15"/>
          <w:szCs w:val="15"/>
        </w:rPr>
        <w:footnoteRef/>
      </w:r>
      <w:r w:rsidRPr="00047EBD">
        <w:rPr>
          <w:sz w:val="15"/>
          <w:szCs w:val="15"/>
        </w:rPr>
        <w:t xml:space="preserve"> Partners in Development: The National Cross-Sectoral Strategy to Promote Gender Equality and Equity and the Empowerment of Women, 2017–2022. Developed by the Palestinian Ministry of Women’s Affairs with the Support of UN Women.</w:t>
      </w:r>
    </w:p>
  </w:footnote>
  <w:footnote w:id="15">
    <w:p w14:paraId="74C966BC" w14:textId="77777777" w:rsidR="006F2F6D" w:rsidRPr="001F7344" w:rsidRDefault="006F2F6D" w:rsidP="00DD6CEB">
      <w:pPr>
        <w:pStyle w:val="FootnoteText"/>
        <w:rPr>
          <w:lang w:val="fr-FR"/>
        </w:rPr>
      </w:pPr>
      <w:r w:rsidRPr="001F7344">
        <w:rPr>
          <w:rStyle w:val="FootnoteReference"/>
          <w:rFonts w:asciiTheme="minorBidi" w:hAnsiTheme="minorBidi" w:cstheme="minorBidi"/>
          <w:sz w:val="16"/>
          <w:szCs w:val="16"/>
        </w:rPr>
        <w:footnoteRef/>
      </w:r>
      <w:r w:rsidRPr="001F7344">
        <w:rPr>
          <w:lang w:val="fr-FR"/>
        </w:rPr>
        <w:t xml:space="preserve"> Plan Gouvernemental pour l’</w:t>
      </w:r>
      <w:proofErr w:type="spellStart"/>
      <w:r w:rsidRPr="001F7344">
        <w:rPr>
          <w:lang w:val="fr-FR"/>
        </w:rPr>
        <w:t>égalité</w:t>
      </w:r>
      <w:proofErr w:type="spellEnd"/>
      <w:r w:rsidRPr="001F7344">
        <w:rPr>
          <w:lang w:val="fr-FR"/>
        </w:rPr>
        <w:t xml:space="preserve">. </w:t>
      </w:r>
      <w:bookmarkStart w:id="4" w:name="_Hlk98174413"/>
      <w:r w:rsidRPr="001F7344">
        <w:rPr>
          <w:lang w:val="fr-FR"/>
        </w:rPr>
        <w:t xml:space="preserve">Initiative Concertée pour le Renforcement des Acquis des Marocaines </w:t>
      </w:r>
      <w:bookmarkEnd w:id="4"/>
      <w:r w:rsidRPr="001F7344">
        <w:rPr>
          <w:lang w:val="fr-FR"/>
        </w:rPr>
        <w:t>(ICRAM) 2017–2021</w:t>
      </w:r>
      <w:r w:rsidR="0001332F" w:rsidRPr="001F7344">
        <w:rPr>
          <w:lang w:val="fr-FR"/>
        </w:rPr>
        <w:t>.</w:t>
      </w:r>
    </w:p>
  </w:footnote>
  <w:footnote w:id="16">
    <w:p w14:paraId="6D77279D" w14:textId="77777777" w:rsidR="00F46612" w:rsidRPr="001F7344" w:rsidRDefault="00F46612" w:rsidP="00F46612">
      <w:pPr>
        <w:pStyle w:val="Itadfootnotestyle"/>
        <w:rPr>
          <w:lang w:val="fr-FR"/>
        </w:rPr>
      </w:pPr>
      <w:r w:rsidRPr="001F7344">
        <w:rPr>
          <w:rStyle w:val="FootnoteReference"/>
          <w:sz w:val="16"/>
          <w:szCs w:val="16"/>
        </w:rPr>
        <w:footnoteRef/>
      </w:r>
      <w:r w:rsidRPr="001F7344">
        <w:t xml:space="preserve"> </w:t>
      </w:r>
      <w:proofErr w:type="spellStart"/>
      <w:r w:rsidRPr="001F7344">
        <w:t>Musawah</w:t>
      </w:r>
      <w:proofErr w:type="spellEnd"/>
      <w:r w:rsidRPr="001F7344">
        <w:t xml:space="preserve">, Who Provides? Who Cares? </w:t>
      </w:r>
      <w:proofErr w:type="spellStart"/>
      <w:r w:rsidRPr="001F7344">
        <w:rPr>
          <w:lang w:val="fr-FR"/>
        </w:rPr>
        <w:t>Changing</w:t>
      </w:r>
      <w:proofErr w:type="spellEnd"/>
      <w:r w:rsidRPr="001F7344">
        <w:rPr>
          <w:lang w:val="fr-FR"/>
        </w:rPr>
        <w:t xml:space="preserve"> Dynamics in </w:t>
      </w:r>
      <w:proofErr w:type="spellStart"/>
      <w:r w:rsidRPr="001F7344">
        <w:rPr>
          <w:lang w:val="fr-FR"/>
        </w:rPr>
        <w:t>Muslim</w:t>
      </w:r>
      <w:proofErr w:type="spellEnd"/>
      <w:r w:rsidRPr="001F7344">
        <w:rPr>
          <w:lang w:val="fr-FR"/>
        </w:rPr>
        <w:t xml:space="preserve"> </w:t>
      </w:r>
      <w:proofErr w:type="spellStart"/>
      <w:r w:rsidRPr="001F7344">
        <w:rPr>
          <w:lang w:val="fr-FR"/>
        </w:rPr>
        <w:t>Families</w:t>
      </w:r>
      <w:proofErr w:type="spellEnd"/>
      <w:r w:rsidRPr="001F7344">
        <w:rPr>
          <w:lang w:val="fr-FR"/>
        </w:rPr>
        <w:t xml:space="preserve">, and ‘Le concept de la </w:t>
      </w:r>
      <w:proofErr w:type="spellStart"/>
      <w:r w:rsidRPr="001F7344">
        <w:rPr>
          <w:lang w:val="fr-FR"/>
        </w:rPr>
        <w:t>Qiwamah</w:t>
      </w:r>
      <w:proofErr w:type="spellEnd"/>
      <w:r w:rsidRPr="001F7344">
        <w:rPr>
          <w:lang w:val="fr-FR"/>
        </w:rPr>
        <w:t xml:space="preserve"> du point de vue du </w:t>
      </w:r>
      <w:proofErr w:type="spellStart"/>
      <w:r w:rsidRPr="001F7344">
        <w:rPr>
          <w:lang w:val="fr-FR"/>
        </w:rPr>
        <w:t>referentiel</w:t>
      </w:r>
      <w:proofErr w:type="spellEnd"/>
      <w:r w:rsidRPr="001F7344">
        <w:rPr>
          <w:lang w:val="fr-FR"/>
        </w:rPr>
        <w:t xml:space="preserve">. Religieux et des mutations </w:t>
      </w:r>
      <w:proofErr w:type="spellStart"/>
      <w:r w:rsidRPr="001F7344">
        <w:rPr>
          <w:lang w:val="fr-FR"/>
        </w:rPr>
        <w:t>societales</w:t>
      </w:r>
      <w:proofErr w:type="spellEnd"/>
      <w:r w:rsidRPr="001F7344">
        <w:rPr>
          <w:lang w:val="fr-FR"/>
        </w:rPr>
        <w:t xml:space="preserve"> au Maroc. Rapport d’analyse. </w:t>
      </w:r>
      <w:proofErr w:type="gramStart"/>
      <w:r w:rsidRPr="001F7344">
        <w:rPr>
          <w:lang w:val="fr-FR"/>
        </w:rPr>
        <w:t>Coordination:</w:t>
      </w:r>
      <w:proofErr w:type="gramEnd"/>
      <w:r w:rsidRPr="001F7344">
        <w:rPr>
          <w:lang w:val="fr-FR"/>
        </w:rPr>
        <w:t xml:space="preserve"> Aicha el </w:t>
      </w:r>
      <w:proofErr w:type="spellStart"/>
      <w:r w:rsidRPr="001F7344">
        <w:rPr>
          <w:lang w:val="fr-FR"/>
        </w:rPr>
        <w:t>Hajjami</w:t>
      </w:r>
      <w:proofErr w:type="spellEnd"/>
      <w:r w:rsidRPr="001F7344">
        <w:rPr>
          <w:lang w:val="fr-FR"/>
        </w:rPr>
        <w:t xml:space="preserve">, 2018.  </w:t>
      </w:r>
    </w:p>
  </w:footnote>
  <w:footnote w:id="17">
    <w:p w14:paraId="0F37B2D7" w14:textId="77777777" w:rsidR="00F46612" w:rsidRPr="001F7344" w:rsidRDefault="00F46612" w:rsidP="00F46612">
      <w:pPr>
        <w:pStyle w:val="Itadfootnotestyle"/>
      </w:pPr>
      <w:r w:rsidRPr="001F7344">
        <w:rPr>
          <w:rStyle w:val="FootnoteReference"/>
          <w:sz w:val="16"/>
          <w:szCs w:val="16"/>
        </w:rPr>
        <w:footnoteRef/>
      </w:r>
      <w:r w:rsidRPr="001F7344">
        <w:t xml:space="preserve"> </w:t>
      </w:r>
      <w:proofErr w:type="spellStart"/>
      <w:r w:rsidRPr="001F7344">
        <w:t>Promundo</w:t>
      </w:r>
      <w:proofErr w:type="spellEnd"/>
      <w:r w:rsidRPr="001F7344">
        <w:t xml:space="preserve">-UN Women (2017). Understanding Masculinities: Results from the International Men and Gender Equality Survey (IMAGES) – Middle East and North Africa Egypt, Lebanon, Morocco, and Palestine, p. 8. Note that the samples for Morocco and Egypt were not nationally representative and cannot be generalised to the national populations. </w:t>
      </w:r>
    </w:p>
  </w:footnote>
  <w:footnote w:id="18">
    <w:p w14:paraId="66D49EDF" w14:textId="77777777" w:rsidR="00F46612" w:rsidRDefault="00F46612" w:rsidP="00F46612">
      <w:pPr>
        <w:pStyle w:val="Itadfootnotestyle"/>
      </w:pPr>
      <w:r w:rsidRPr="001F7344">
        <w:rPr>
          <w:rStyle w:val="FootnoteReference"/>
          <w:sz w:val="16"/>
          <w:szCs w:val="16"/>
        </w:rPr>
        <w:footnoteRef/>
      </w:r>
      <w:r w:rsidRPr="001F7344">
        <w:t xml:space="preserve"> </w:t>
      </w:r>
      <w:proofErr w:type="spellStart"/>
      <w:r w:rsidRPr="001F7344">
        <w:t>Promundo</w:t>
      </w:r>
      <w:proofErr w:type="spellEnd"/>
      <w:r w:rsidRPr="001F7344">
        <w:t>-UN Women (2017). Understanding Masculinities: Results from the International Men and Gender Equality Survey (IMAGES) – Middle East and North Africa Egypt, Lebanon, Morocco, and Palestine, p. 7</w:t>
      </w:r>
    </w:p>
  </w:footnote>
  <w:footnote w:id="19">
    <w:p w14:paraId="05DFB6C5" w14:textId="77777777" w:rsidR="00F46612" w:rsidRPr="001F7344" w:rsidRDefault="00F46612" w:rsidP="00F46612">
      <w:pPr>
        <w:pStyle w:val="FootnoteText"/>
      </w:pPr>
      <w:r w:rsidRPr="001F7344">
        <w:rPr>
          <w:rStyle w:val="FootnoteReference"/>
          <w:sz w:val="16"/>
          <w:szCs w:val="16"/>
        </w:rPr>
        <w:footnoteRef/>
      </w:r>
      <w:r w:rsidRPr="001F7344">
        <w:t xml:space="preserve"> </w:t>
      </w:r>
      <w:proofErr w:type="spellStart"/>
      <w:r w:rsidRPr="001F7344">
        <w:t>Promundo</w:t>
      </w:r>
      <w:proofErr w:type="spellEnd"/>
      <w:r w:rsidRPr="001F7344">
        <w:t>-UN Women (2017). Understanding Masculinities: Results from the International Men and Gender Equality Survey (IMAGES) – Middle East and North Africa Egypt, Lebanon, Morocco, and Palestine, p. 19</w:t>
      </w:r>
    </w:p>
  </w:footnote>
  <w:footnote w:id="20">
    <w:p w14:paraId="72734A4D" w14:textId="77777777" w:rsidR="00F46612" w:rsidRPr="001F7344" w:rsidRDefault="00F46612" w:rsidP="00F46612">
      <w:pPr>
        <w:pStyle w:val="FootnoteText"/>
      </w:pPr>
      <w:r w:rsidRPr="001F7344">
        <w:rPr>
          <w:rStyle w:val="FootnoteReference"/>
          <w:sz w:val="16"/>
          <w:szCs w:val="16"/>
        </w:rPr>
        <w:footnoteRef/>
      </w:r>
      <w:r w:rsidRPr="001F7344">
        <w:t xml:space="preserve"> ESCWA (2020). The Arab Gender Gap Report 2020 Gender Equality and the Sustainable Development Goals, p. 133</w:t>
      </w:r>
    </w:p>
  </w:footnote>
  <w:footnote w:id="21">
    <w:p w14:paraId="4BF668A7" w14:textId="77777777" w:rsidR="00F46612" w:rsidRPr="001F7344" w:rsidRDefault="00F46612" w:rsidP="00F46612">
      <w:pPr>
        <w:pStyle w:val="FootnoteText"/>
      </w:pPr>
      <w:r w:rsidRPr="001F7344">
        <w:rPr>
          <w:rStyle w:val="FootnoteReference"/>
          <w:sz w:val="16"/>
          <w:szCs w:val="16"/>
        </w:rPr>
        <w:footnoteRef/>
      </w:r>
      <w:r w:rsidRPr="001F7344">
        <w:t xml:space="preserve"> ESCWA (2020). The Arab Gender Gap Report 2020 Gender Equality and the Sustainable Development Goals, p. 139</w:t>
      </w:r>
    </w:p>
  </w:footnote>
  <w:footnote w:id="22">
    <w:p w14:paraId="4719B219" w14:textId="77777777" w:rsidR="00F46612" w:rsidRPr="001F7344" w:rsidRDefault="00F46612" w:rsidP="00F46612">
      <w:pPr>
        <w:pStyle w:val="FootnoteText"/>
      </w:pPr>
      <w:r w:rsidRPr="001F7344">
        <w:rPr>
          <w:rStyle w:val="FootnoteReference"/>
          <w:sz w:val="16"/>
          <w:szCs w:val="16"/>
        </w:rPr>
        <w:footnoteRef/>
      </w:r>
      <w:r w:rsidRPr="001F7344">
        <w:t xml:space="preserve"> United Nations Population Fund (UNFPA), n.d. Violence against Women and Girls and COVID-19 in the Arab Region </w:t>
      </w:r>
      <w:hyperlink r:id="rId5" w:history="1">
        <w:r w:rsidRPr="001F7344">
          <w:rPr>
            <w:rStyle w:val="Hyperlink"/>
            <w:u w:val="none"/>
          </w:rPr>
          <w:t>https://arabstates.unfpa.org/sites/default/files/pub-pdf/violence_against_women_and_covid19_in_the_arab_states_region_-_english_version_2.pdf</w:t>
        </w:r>
      </w:hyperlink>
      <w:r w:rsidRPr="001F7344">
        <w:t xml:space="preserve"> </w:t>
      </w:r>
    </w:p>
  </w:footnote>
  <w:footnote w:id="23">
    <w:p w14:paraId="3FD24458" w14:textId="77777777" w:rsidR="006F2F6D" w:rsidRPr="001F7344" w:rsidRDefault="006F2F6D" w:rsidP="00DD6CEB">
      <w:pPr>
        <w:pStyle w:val="FootnoteText"/>
      </w:pPr>
      <w:r w:rsidRPr="001F7344">
        <w:rPr>
          <w:rStyle w:val="FootnoteReference"/>
          <w:rFonts w:asciiTheme="minorBidi" w:hAnsiTheme="minorBidi" w:cstheme="minorBidi"/>
          <w:sz w:val="16"/>
          <w:szCs w:val="16"/>
        </w:rPr>
        <w:footnoteRef/>
      </w:r>
      <w:r w:rsidRPr="001F7344">
        <w:t xml:space="preserve"> </w:t>
      </w:r>
      <w:hyperlink r:id="rId6" w:history="1">
        <w:r w:rsidR="0001332F" w:rsidRPr="001F7344">
          <w:rPr>
            <w:rStyle w:val="Hyperlink"/>
            <w:u w:val="none"/>
          </w:rPr>
          <w:t>http://www3.weforum.org/docs/WEF_GGGR_2020.pdf</w:t>
        </w:r>
      </w:hyperlink>
    </w:p>
  </w:footnote>
  <w:footnote w:id="24">
    <w:p w14:paraId="0094C6F4" w14:textId="77777777" w:rsidR="006F2F6D" w:rsidRPr="001F7344" w:rsidRDefault="006F2F6D" w:rsidP="00561715">
      <w:pPr>
        <w:pStyle w:val="FootnoteText"/>
      </w:pPr>
      <w:r w:rsidRPr="001F7344">
        <w:rPr>
          <w:rStyle w:val="FootnoteReference"/>
          <w:sz w:val="16"/>
          <w:szCs w:val="16"/>
        </w:rPr>
        <w:footnoteRef/>
      </w:r>
      <w:r w:rsidRPr="001F7344">
        <w:t xml:space="preserve"> </w:t>
      </w:r>
      <w:hyperlink r:id="rId7" w:history="1">
        <w:r w:rsidR="0001332F" w:rsidRPr="001F7344">
          <w:rPr>
            <w:rStyle w:val="Hyperlink"/>
            <w:u w:val="none"/>
          </w:rPr>
          <w:t>https://www3.weforum.org/docs/WEF_GGGR_2021.pdf</w:t>
        </w:r>
      </w:hyperlink>
      <w:r w:rsidR="0001332F" w:rsidRPr="001F7344">
        <w:t xml:space="preserve"> </w:t>
      </w:r>
      <w:r w:rsidRPr="001F7344">
        <w:t>p. 100</w:t>
      </w:r>
      <w:r w:rsidR="0001332F" w:rsidRPr="001F7344">
        <w:t>.</w:t>
      </w:r>
    </w:p>
  </w:footnote>
  <w:footnote w:id="25">
    <w:p w14:paraId="66A13017" w14:textId="77777777" w:rsidR="006F2F6D" w:rsidRPr="001F7344" w:rsidRDefault="006F2F6D" w:rsidP="00DD6CEB">
      <w:pPr>
        <w:pStyle w:val="FootnoteText"/>
      </w:pPr>
      <w:r w:rsidRPr="001F7344">
        <w:rPr>
          <w:rStyle w:val="FootnoteReference"/>
          <w:rFonts w:asciiTheme="minorBidi" w:hAnsiTheme="minorBidi"/>
          <w:sz w:val="16"/>
          <w:szCs w:val="16"/>
        </w:rPr>
        <w:footnoteRef/>
      </w:r>
      <w:r w:rsidRPr="001F7344">
        <w:t xml:space="preserve"> Women still have less access to economic resources, ownership and control over land and other forms of property, inter alia.</w:t>
      </w:r>
    </w:p>
  </w:footnote>
  <w:footnote w:id="26">
    <w:p w14:paraId="50BEDE10" w14:textId="77777777" w:rsidR="006F2F6D" w:rsidRPr="001F7344" w:rsidRDefault="006F2F6D" w:rsidP="00DD6CEB">
      <w:pPr>
        <w:pStyle w:val="FootnoteText"/>
      </w:pPr>
      <w:r w:rsidRPr="001F7344">
        <w:rPr>
          <w:rStyle w:val="FootnoteReference"/>
          <w:rFonts w:asciiTheme="minorBidi" w:hAnsiTheme="minorBidi" w:cstheme="minorBidi"/>
          <w:sz w:val="16"/>
          <w:szCs w:val="16"/>
        </w:rPr>
        <w:footnoteRef/>
      </w:r>
      <w:r w:rsidRPr="001F7344">
        <w:t xml:space="preserve"> </w:t>
      </w:r>
      <w:hyperlink r:id="rId8" w:history="1">
        <w:r w:rsidR="0001332F" w:rsidRPr="001F7344">
          <w:rPr>
            <w:rStyle w:val="Hyperlink"/>
            <w:u w:val="none"/>
          </w:rPr>
          <w:t>http://hdr.undp.org/en/content/gender-development-index-gdi</w:t>
        </w:r>
      </w:hyperlink>
      <w:r w:rsidRPr="001F7344">
        <w:t xml:space="preserve"> </w:t>
      </w:r>
    </w:p>
  </w:footnote>
  <w:footnote w:id="27">
    <w:p w14:paraId="4559ECD8" w14:textId="77777777" w:rsidR="002F671A" w:rsidRPr="001F7344" w:rsidRDefault="002F671A" w:rsidP="002F671A">
      <w:pPr>
        <w:pStyle w:val="FootnoteText"/>
      </w:pPr>
      <w:r w:rsidRPr="001F7344">
        <w:rPr>
          <w:rStyle w:val="FootnoteReference"/>
          <w:sz w:val="16"/>
          <w:szCs w:val="16"/>
        </w:rPr>
        <w:footnoteRef/>
      </w:r>
      <w:r w:rsidRPr="001F7344">
        <w:t xml:space="preserve"> </w:t>
      </w:r>
      <w:hyperlink r:id="rId9" w:history="1">
        <w:r w:rsidRPr="001F7344">
          <w:rPr>
            <w:rStyle w:val="Hyperlink"/>
            <w:u w:val="none"/>
          </w:rPr>
          <w:t>https://www.arabdevelopmentportal.</w:t>
        </w:r>
        <w:r w:rsidRPr="001F7344">
          <w:rPr>
            <w:rStyle w:val="Hyperlink"/>
            <w:color w:val="3B3B3C"/>
            <w:u w:val="none"/>
          </w:rPr>
          <w:t>com</w:t>
        </w:r>
        <w:r w:rsidRPr="001F7344">
          <w:rPr>
            <w:rStyle w:val="Hyperlink"/>
            <w:u w:val="none"/>
          </w:rPr>
          <w:t>/indicator/gender</w:t>
        </w:r>
      </w:hyperlink>
      <w:r w:rsidRPr="001F7344">
        <w:t xml:space="preserve"> </w:t>
      </w:r>
    </w:p>
  </w:footnote>
  <w:footnote w:id="28">
    <w:p w14:paraId="25DFFCED" w14:textId="77777777" w:rsidR="002F671A" w:rsidRPr="002E715C" w:rsidRDefault="002F671A" w:rsidP="002F671A">
      <w:pPr>
        <w:pStyle w:val="FootnoteText"/>
      </w:pPr>
      <w:r w:rsidRPr="001F7344">
        <w:rPr>
          <w:rStyle w:val="FootnoteReference"/>
          <w:sz w:val="16"/>
          <w:szCs w:val="16"/>
        </w:rPr>
        <w:footnoteRef/>
      </w:r>
      <w:r w:rsidRPr="001F7344">
        <w:t xml:space="preserve"> The World Bank (2019) World Development Indicators.</w:t>
      </w:r>
    </w:p>
  </w:footnote>
  <w:footnote w:id="29">
    <w:p w14:paraId="1CF6DD80" w14:textId="77777777" w:rsidR="006F2F6D" w:rsidRPr="001F7344" w:rsidRDefault="006F2F6D" w:rsidP="00DD6CEB">
      <w:pPr>
        <w:pStyle w:val="FootnoteText"/>
        <w:rPr>
          <w:sz w:val="15"/>
          <w:szCs w:val="15"/>
        </w:rPr>
      </w:pPr>
      <w:r w:rsidRPr="001F7344">
        <w:rPr>
          <w:rStyle w:val="FootnoteReference"/>
          <w:rFonts w:asciiTheme="minorBidi" w:hAnsiTheme="minorBidi" w:cstheme="minorBidi"/>
          <w:sz w:val="15"/>
          <w:szCs w:val="15"/>
        </w:rPr>
        <w:footnoteRef/>
      </w:r>
      <w:r w:rsidRPr="001F7344">
        <w:rPr>
          <w:sz w:val="15"/>
          <w:szCs w:val="15"/>
        </w:rPr>
        <w:t xml:space="preserve"> </w:t>
      </w:r>
      <w:hyperlink r:id="rId10" w:history="1">
        <w:r w:rsidR="0001332F" w:rsidRPr="001F7344">
          <w:rPr>
            <w:rStyle w:val="Hyperlink"/>
            <w:sz w:val="15"/>
            <w:szCs w:val="15"/>
            <w:u w:val="none"/>
          </w:rPr>
          <w:t>http://hdr.undp.org/en/indicators/137906</w:t>
        </w:r>
      </w:hyperlink>
    </w:p>
  </w:footnote>
  <w:footnote w:id="30">
    <w:p w14:paraId="459C4354" w14:textId="77777777" w:rsidR="006F2F6D" w:rsidRPr="001F7344" w:rsidRDefault="006F2F6D" w:rsidP="00DD6CEB">
      <w:pPr>
        <w:pStyle w:val="FootnoteText"/>
        <w:rPr>
          <w:sz w:val="15"/>
          <w:szCs w:val="15"/>
        </w:rPr>
      </w:pPr>
      <w:r w:rsidRPr="001F7344">
        <w:rPr>
          <w:rStyle w:val="FootnoteReference"/>
          <w:sz w:val="15"/>
          <w:szCs w:val="15"/>
        </w:rPr>
        <w:footnoteRef/>
      </w:r>
      <w:r w:rsidRPr="001F7344">
        <w:rPr>
          <w:sz w:val="15"/>
          <w:szCs w:val="15"/>
        </w:rPr>
        <w:t xml:space="preserve"> Arab Development Portal calculations based on data extracted from the International Labour Organization (ILO) </w:t>
      </w:r>
      <w:r w:rsidR="00561715" w:rsidRPr="001F7344">
        <w:rPr>
          <w:sz w:val="15"/>
          <w:szCs w:val="15"/>
        </w:rPr>
        <w:t>(</w:t>
      </w:r>
      <w:r w:rsidRPr="001F7344">
        <w:rPr>
          <w:sz w:val="15"/>
          <w:szCs w:val="15"/>
        </w:rPr>
        <w:t>2018</w:t>
      </w:r>
      <w:r w:rsidR="00561715" w:rsidRPr="001F7344">
        <w:rPr>
          <w:sz w:val="15"/>
          <w:szCs w:val="15"/>
        </w:rPr>
        <w:t>)</w:t>
      </w:r>
      <w:r w:rsidRPr="001F7344">
        <w:rPr>
          <w:sz w:val="15"/>
          <w:szCs w:val="15"/>
        </w:rPr>
        <w:t xml:space="preserve"> ILOSTAT</w:t>
      </w:r>
      <w:r w:rsidR="0073654D" w:rsidRPr="001F7344">
        <w:rPr>
          <w:sz w:val="15"/>
          <w:szCs w:val="15"/>
        </w:rPr>
        <w:t>.</w:t>
      </w:r>
    </w:p>
  </w:footnote>
  <w:footnote w:id="31">
    <w:p w14:paraId="16CFC077" w14:textId="77777777" w:rsidR="006F2F6D" w:rsidRPr="001F7344" w:rsidRDefault="006F2F6D" w:rsidP="00DD6CEB">
      <w:pPr>
        <w:pStyle w:val="FootnoteText"/>
        <w:rPr>
          <w:sz w:val="15"/>
          <w:szCs w:val="15"/>
        </w:rPr>
      </w:pPr>
      <w:r w:rsidRPr="001F7344">
        <w:rPr>
          <w:rStyle w:val="FootnoteReference"/>
          <w:sz w:val="15"/>
          <w:szCs w:val="15"/>
        </w:rPr>
        <w:footnoteRef/>
      </w:r>
      <w:r w:rsidRPr="001F7344">
        <w:rPr>
          <w:sz w:val="15"/>
          <w:szCs w:val="15"/>
        </w:rPr>
        <w:t xml:space="preserve"> The World Bank (2019) Sustainable Development Goals database.</w:t>
      </w:r>
    </w:p>
  </w:footnote>
  <w:footnote w:id="32">
    <w:p w14:paraId="3B174BA1" w14:textId="77777777" w:rsidR="006F2F6D" w:rsidRPr="00A20CAB" w:rsidRDefault="006F2F6D" w:rsidP="00DD6CEB">
      <w:pPr>
        <w:pStyle w:val="FootnoteText"/>
      </w:pPr>
      <w:r w:rsidRPr="001F7344">
        <w:rPr>
          <w:rStyle w:val="FootnoteReference"/>
          <w:sz w:val="15"/>
          <w:szCs w:val="15"/>
        </w:rPr>
        <w:footnoteRef/>
      </w:r>
      <w:r w:rsidRPr="001F7344">
        <w:rPr>
          <w:sz w:val="15"/>
          <w:szCs w:val="15"/>
        </w:rPr>
        <w:t xml:space="preserve"> </w:t>
      </w:r>
      <w:r w:rsidR="0073654D" w:rsidRPr="001F7344">
        <w:rPr>
          <w:sz w:val="15"/>
          <w:szCs w:val="15"/>
        </w:rPr>
        <w:t>The</w:t>
      </w:r>
      <w:r w:rsidRPr="001F7344">
        <w:rPr>
          <w:sz w:val="15"/>
          <w:szCs w:val="15"/>
        </w:rPr>
        <w:t xml:space="preserve"> GII is a composite measure, reflecting inequality in achievements between women and men in three dimensions: reproductive health, </w:t>
      </w:r>
      <w:proofErr w:type="gramStart"/>
      <w:r w:rsidRPr="001F7344">
        <w:rPr>
          <w:sz w:val="15"/>
          <w:szCs w:val="15"/>
        </w:rPr>
        <w:t>empowerment</w:t>
      </w:r>
      <w:proofErr w:type="gramEnd"/>
      <w:r w:rsidRPr="001F7344">
        <w:rPr>
          <w:sz w:val="15"/>
          <w:szCs w:val="15"/>
        </w:rPr>
        <w:t xml:space="preserve"> and the labour market.</w:t>
      </w:r>
    </w:p>
  </w:footnote>
  <w:footnote w:id="33">
    <w:p w14:paraId="07BD3463" w14:textId="77777777" w:rsidR="4977AA67" w:rsidRPr="00BA0B27" w:rsidRDefault="4977AA67" w:rsidP="4977AA67">
      <w:pPr>
        <w:pStyle w:val="FootnoteText"/>
        <w:rPr>
          <w:sz w:val="15"/>
          <w:szCs w:val="15"/>
        </w:rPr>
      </w:pPr>
      <w:r w:rsidRPr="00BA0B27">
        <w:rPr>
          <w:rStyle w:val="FootnoteReference"/>
          <w:rFonts w:cstheme="minorBidi"/>
          <w:sz w:val="15"/>
          <w:szCs w:val="15"/>
        </w:rPr>
        <w:footnoteRef/>
      </w:r>
      <w:r w:rsidRPr="00BA0B27">
        <w:rPr>
          <w:sz w:val="15"/>
          <w:szCs w:val="15"/>
        </w:rPr>
        <w:t xml:space="preserve"> Impact statement from UN Women Phase I and Phase II results frameworks.</w:t>
      </w:r>
    </w:p>
  </w:footnote>
  <w:footnote w:id="34">
    <w:p w14:paraId="008F65BA" w14:textId="77777777" w:rsidR="4977AA67" w:rsidRPr="00BA0B27" w:rsidRDefault="4977AA67" w:rsidP="4977AA67">
      <w:pPr>
        <w:pStyle w:val="FootnoteText"/>
        <w:rPr>
          <w:sz w:val="15"/>
          <w:szCs w:val="15"/>
        </w:rPr>
      </w:pPr>
      <w:r w:rsidRPr="00BA0B27">
        <w:rPr>
          <w:rStyle w:val="FootnoteReference"/>
          <w:rFonts w:cstheme="minorBidi"/>
          <w:sz w:val="15"/>
          <w:szCs w:val="15"/>
        </w:rPr>
        <w:footnoteRef/>
      </w:r>
      <w:r w:rsidRPr="00BA0B27">
        <w:rPr>
          <w:sz w:val="15"/>
          <w:szCs w:val="15"/>
        </w:rPr>
        <w:t xml:space="preserve"> A focus on faith-based organisations and media was a key learning and recommendation of the MTR.</w:t>
      </w:r>
    </w:p>
  </w:footnote>
  <w:footnote w:id="35">
    <w:p w14:paraId="183E470C" w14:textId="77777777" w:rsidR="4977AA67" w:rsidRPr="00BA0B27" w:rsidRDefault="4977AA67" w:rsidP="4977AA67">
      <w:pPr>
        <w:pStyle w:val="FootnoteText"/>
        <w:rPr>
          <w:sz w:val="15"/>
          <w:szCs w:val="15"/>
        </w:rPr>
      </w:pPr>
      <w:r w:rsidRPr="00BA0B27">
        <w:rPr>
          <w:rStyle w:val="FootnoteReference"/>
          <w:rFonts w:cstheme="minorBidi"/>
          <w:sz w:val="15"/>
          <w:szCs w:val="15"/>
        </w:rPr>
        <w:footnoteRef/>
      </w:r>
      <w:r w:rsidRPr="00BA0B27">
        <w:rPr>
          <w:sz w:val="15"/>
          <w:szCs w:val="15"/>
        </w:rPr>
        <w:t xml:space="preserve"> The programme is implementing both a regional fatherhood campaign and Program P/GTP initiatives for positive caregiving in Morocco, </w:t>
      </w:r>
      <w:proofErr w:type="gramStart"/>
      <w:r w:rsidRPr="00BA0B27">
        <w:rPr>
          <w:sz w:val="15"/>
          <w:szCs w:val="15"/>
        </w:rPr>
        <w:t>Egypt</w:t>
      </w:r>
      <w:proofErr w:type="gramEnd"/>
      <w:r w:rsidRPr="00BA0B27">
        <w:rPr>
          <w:sz w:val="15"/>
          <w:szCs w:val="15"/>
        </w:rPr>
        <w:t xml:space="preserve"> and Palestine.</w:t>
      </w:r>
    </w:p>
  </w:footnote>
  <w:footnote w:id="36">
    <w:p w14:paraId="28384CDC" w14:textId="77777777" w:rsidR="4977AA67" w:rsidRPr="00BA0B27" w:rsidRDefault="4977AA67" w:rsidP="4977AA67">
      <w:pPr>
        <w:pStyle w:val="FootnoteText"/>
        <w:rPr>
          <w:sz w:val="15"/>
          <w:szCs w:val="15"/>
        </w:rPr>
      </w:pPr>
      <w:r w:rsidRPr="00BA0B27">
        <w:rPr>
          <w:rStyle w:val="FootnoteReference"/>
          <w:rFonts w:cstheme="minorBidi"/>
          <w:sz w:val="15"/>
          <w:szCs w:val="15"/>
        </w:rPr>
        <w:footnoteRef/>
      </w:r>
      <w:r w:rsidRPr="00BA0B27">
        <w:rPr>
          <w:sz w:val="15"/>
          <w:szCs w:val="15"/>
        </w:rPr>
        <w:t xml:space="preserve"> UN Women (2019) Development results framework 2019–2021.</w:t>
      </w:r>
    </w:p>
  </w:footnote>
  <w:footnote w:id="37">
    <w:p w14:paraId="12E96D6D" w14:textId="77777777" w:rsidR="4977AA67" w:rsidRPr="00BA0B27" w:rsidRDefault="4977AA67" w:rsidP="4977AA67">
      <w:pPr>
        <w:pStyle w:val="CommentText"/>
        <w:rPr>
          <w:sz w:val="15"/>
          <w:szCs w:val="15"/>
        </w:rPr>
      </w:pPr>
      <w:r w:rsidRPr="00BA0B27">
        <w:rPr>
          <w:rStyle w:val="FootnoteReference"/>
          <w:sz w:val="15"/>
          <w:szCs w:val="15"/>
        </w:rPr>
        <w:footnoteRef/>
      </w:r>
      <w:r w:rsidRPr="00BA0B27">
        <w:rPr>
          <w:sz w:val="15"/>
          <w:szCs w:val="15"/>
        </w:rPr>
        <w:t xml:space="preserve"> Outcome 3 funds also covered the two regional partnerships with </w:t>
      </w:r>
      <w:proofErr w:type="spellStart"/>
      <w:r w:rsidRPr="00BA0B27">
        <w:rPr>
          <w:sz w:val="15"/>
          <w:szCs w:val="15"/>
        </w:rPr>
        <w:t>Promundo</w:t>
      </w:r>
      <w:proofErr w:type="spellEnd"/>
      <w:r w:rsidRPr="00BA0B27">
        <w:rPr>
          <w:sz w:val="15"/>
          <w:szCs w:val="15"/>
        </w:rPr>
        <w:t xml:space="preserve"> and </w:t>
      </w:r>
      <w:proofErr w:type="spellStart"/>
      <w:r w:rsidRPr="00BA0B27">
        <w:rPr>
          <w:sz w:val="15"/>
          <w:szCs w:val="15"/>
        </w:rPr>
        <w:t>Musawah</w:t>
      </w:r>
      <w:proofErr w:type="spellEnd"/>
      <w:r w:rsidRPr="00BA0B27">
        <w:rPr>
          <w:sz w:val="15"/>
          <w:szCs w:val="15"/>
        </w:rPr>
        <w:t>, as well as the IMAGES budget for Jordan and Tunisia.</w:t>
      </w:r>
    </w:p>
    <w:p w14:paraId="2017B419" w14:textId="77777777" w:rsidR="4977AA67" w:rsidRDefault="4977AA67" w:rsidP="4977AA67">
      <w:pPr>
        <w:pStyle w:val="FootnoteText"/>
        <w:rPr>
          <w:lang w:val="en-US"/>
        </w:rPr>
      </w:pPr>
    </w:p>
  </w:footnote>
  <w:footnote w:id="38">
    <w:p w14:paraId="4864D579" w14:textId="77777777" w:rsidR="4977AA67" w:rsidRPr="00BA0B27" w:rsidRDefault="4977AA67" w:rsidP="4977AA67">
      <w:pPr>
        <w:pStyle w:val="FootnoteText"/>
        <w:rPr>
          <w:sz w:val="15"/>
          <w:szCs w:val="15"/>
        </w:rPr>
      </w:pPr>
      <w:r w:rsidRPr="00BA0B27">
        <w:rPr>
          <w:rStyle w:val="FootnoteReference"/>
          <w:rFonts w:asciiTheme="minorBidi" w:hAnsiTheme="minorBidi" w:cstheme="minorBidi"/>
          <w:sz w:val="15"/>
          <w:szCs w:val="15"/>
        </w:rPr>
        <w:footnoteRef/>
      </w:r>
      <w:r w:rsidRPr="00BA0B27">
        <w:rPr>
          <w:sz w:val="15"/>
          <w:szCs w:val="15"/>
        </w:rPr>
        <w:t>UN Women (2015) Development results framework 2015–2017.</w:t>
      </w:r>
    </w:p>
  </w:footnote>
  <w:footnote w:id="39">
    <w:p w14:paraId="5F5E4F7F" w14:textId="77777777" w:rsidR="4977AA67" w:rsidRPr="00BA0B27" w:rsidRDefault="4977AA67" w:rsidP="4977AA67">
      <w:pPr>
        <w:pStyle w:val="FootnoteText"/>
        <w:rPr>
          <w:sz w:val="15"/>
          <w:szCs w:val="15"/>
        </w:rPr>
      </w:pPr>
      <w:r w:rsidRPr="00BA0B27">
        <w:rPr>
          <w:rStyle w:val="FootnoteReference"/>
          <w:rFonts w:cstheme="minorBidi"/>
          <w:sz w:val="15"/>
          <w:szCs w:val="15"/>
        </w:rPr>
        <w:footnoteRef/>
      </w:r>
      <w:r w:rsidRPr="00BA0B27">
        <w:rPr>
          <w:sz w:val="15"/>
          <w:szCs w:val="15"/>
        </w:rPr>
        <w:t xml:space="preserve"> UN Women (2019) Development results framework 2019–2021.</w:t>
      </w:r>
    </w:p>
  </w:footnote>
  <w:footnote w:id="40">
    <w:p w14:paraId="401C96B3" w14:textId="77777777" w:rsidR="4977AA67" w:rsidRPr="00BA0B27" w:rsidRDefault="4977AA67" w:rsidP="4977AA67">
      <w:pPr>
        <w:pStyle w:val="FootnoteText"/>
        <w:rPr>
          <w:sz w:val="15"/>
          <w:szCs w:val="15"/>
        </w:rPr>
      </w:pPr>
      <w:r w:rsidRPr="00BA0B27">
        <w:rPr>
          <w:rStyle w:val="FootnoteReference"/>
          <w:sz w:val="15"/>
          <w:szCs w:val="15"/>
        </w:rPr>
        <w:footnoteRef/>
      </w:r>
      <w:r w:rsidRPr="00BA0B27">
        <w:rPr>
          <w:sz w:val="15"/>
          <w:szCs w:val="15"/>
        </w:rPr>
        <w:t xml:space="preserve"> Outcome 4 was added in Phase II by request of ROAS; however, no reporting to </w:t>
      </w:r>
      <w:proofErr w:type="spellStart"/>
      <w:r w:rsidRPr="00BA0B27">
        <w:rPr>
          <w:sz w:val="15"/>
          <w:szCs w:val="15"/>
        </w:rPr>
        <w:t>Sida</w:t>
      </w:r>
      <w:proofErr w:type="spellEnd"/>
      <w:r w:rsidRPr="00BA0B27">
        <w:rPr>
          <w:sz w:val="15"/>
          <w:szCs w:val="15"/>
        </w:rPr>
        <w:t xml:space="preserve"> has been done for that outcome, at the request of ROAS management.</w:t>
      </w:r>
    </w:p>
  </w:footnote>
  <w:footnote w:id="41">
    <w:p w14:paraId="23CE2985" w14:textId="77777777" w:rsidR="006F2F6D" w:rsidRPr="00BA0B27" w:rsidRDefault="006F2F6D" w:rsidP="00561715">
      <w:pPr>
        <w:pStyle w:val="FootnoteText"/>
        <w:rPr>
          <w:sz w:val="15"/>
          <w:szCs w:val="15"/>
        </w:rPr>
      </w:pPr>
      <w:r w:rsidRPr="00BA0B27">
        <w:rPr>
          <w:rStyle w:val="FootnoteReference"/>
          <w:sz w:val="15"/>
          <w:szCs w:val="15"/>
        </w:rPr>
        <w:footnoteRef/>
      </w:r>
      <w:r w:rsidRPr="00BA0B27">
        <w:rPr>
          <w:sz w:val="15"/>
          <w:szCs w:val="15"/>
        </w:rPr>
        <w:t xml:space="preserve"> The studies are available at </w:t>
      </w:r>
      <w:hyperlink r:id="rId11" w:history="1">
        <w:r w:rsidRPr="00BA0B27">
          <w:rPr>
            <w:rStyle w:val="Hyperlink"/>
            <w:sz w:val="15"/>
            <w:szCs w:val="15"/>
            <w:u w:val="none"/>
          </w:rPr>
          <w:t>https://imagesmena.org/en/</w:t>
        </w:r>
      </w:hyperlink>
      <w:r w:rsidRPr="00BA0B27">
        <w:rPr>
          <w:sz w:val="15"/>
          <w:szCs w:val="15"/>
        </w:rPr>
        <w:t xml:space="preserve"> </w:t>
      </w:r>
      <w:r w:rsidR="00222B75" w:rsidRPr="00BA0B27">
        <w:rPr>
          <w:sz w:val="15"/>
          <w:szCs w:val="15"/>
        </w:rPr>
        <w:t>– p</w:t>
      </w:r>
      <w:r w:rsidRPr="00BA0B27">
        <w:rPr>
          <w:sz w:val="15"/>
          <w:szCs w:val="15"/>
        </w:rPr>
        <w:t>lease note that the Jordan and Tunisia IMAGES studies have not been published yet at the time of this evaluation and that the Egypt country study was embargoed by the government and not published</w:t>
      </w:r>
      <w:r w:rsidR="00FC7F32" w:rsidRPr="00BA0B27">
        <w:rPr>
          <w:sz w:val="15"/>
          <w:szCs w:val="15"/>
        </w:rPr>
        <w:t>.</w:t>
      </w:r>
    </w:p>
  </w:footnote>
  <w:footnote w:id="42">
    <w:p w14:paraId="371B9AA6" w14:textId="77777777" w:rsidR="0029015E" w:rsidRPr="00BA0B27" w:rsidRDefault="0029015E">
      <w:pPr>
        <w:pStyle w:val="FootnoteText"/>
        <w:rPr>
          <w:sz w:val="15"/>
          <w:szCs w:val="15"/>
        </w:rPr>
      </w:pPr>
      <w:r w:rsidRPr="00BA0B27">
        <w:rPr>
          <w:rStyle w:val="FootnoteReference"/>
          <w:sz w:val="15"/>
          <w:szCs w:val="15"/>
        </w:rPr>
        <w:footnoteRef/>
      </w:r>
      <w:r w:rsidRPr="00BA0B27">
        <w:rPr>
          <w:sz w:val="15"/>
          <w:szCs w:val="15"/>
        </w:rPr>
        <w:t xml:space="preserve"> </w:t>
      </w:r>
      <w:proofErr w:type="spellStart"/>
      <w:r w:rsidRPr="00BA0B27">
        <w:rPr>
          <w:sz w:val="15"/>
          <w:szCs w:val="15"/>
        </w:rPr>
        <w:t>MenCare</w:t>
      </w:r>
      <w:proofErr w:type="spellEnd"/>
      <w:r w:rsidRPr="00BA0B27">
        <w:rPr>
          <w:sz w:val="15"/>
          <w:szCs w:val="15"/>
        </w:rPr>
        <w:t xml:space="preserve"> campaign’s manual for engaging men in fatherhood, in caregiving and in maternal, </w:t>
      </w:r>
      <w:proofErr w:type="spellStart"/>
      <w:r w:rsidRPr="00BA0B27">
        <w:rPr>
          <w:sz w:val="15"/>
          <w:szCs w:val="15"/>
        </w:rPr>
        <w:t>newborn</w:t>
      </w:r>
      <w:proofErr w:type="spellEnd"/>
      <w:r w:rsidRPr="00BA0B27">
        <w:rPr>
          <w:sz w:val="15"/>
          <w:szCs w:val="15"/>
        </w:rPr>
        <w:t>, and child health. Local and regional adaptations of this programme have been implemented around the globe,</w:t>
      </w:r>
    </w:p>
  </w:footnote>
  <w:footnote w:id="43">
    <w:p w14:paraId="3908A926" w14:textId="77777777" w:rsidR="005A2176" w:rsidRPr="000F17D9" w:rsidRDefault="005A2176" w:rsidP="005A2176">
      <w:pPr>
        <w:pStyle w:val="FootnoteText"/>
        <w:rPr>
          <w:lang w:val="en-US"/>
        </w:rPr>
      </w:pPr>
      <w:r w:rsidRPr="00BA0B27">
        <w:rPr>
          <w:rStyle w:val="FootnoteReference"/>
          <w:sz w:val="15"/>
          <w:szCs w:val="15"/>
        </w:rPr>
        <w:footnoteRef/>
      </w:r>
      <w:r w:rsidRPr="00BA0B27">
        <w:rPr>
          <w:sz w:val="15"/>
          <w:szCs w:val="15"/>
        </w:rPr>
        <w:t xml:space="preserve"> </w:t>
      </w:r>
      <w:hyperlink r:id="rId12" w:history="1">
        <w:r w:rsidRPr="00BA0B27">
          <w:rPr>
            <w:rStyle w:val="Hyperlink"/>
            <w:sz w:val="15"/>
            <w:szCs w:val="15"/>
            <w:u w:val="none"/>
          </w:rPr>
          <w:t>https://promundoglobal.org/</w:t>
        </w:r>
        <w:r w:rsidRPr="00BA0B27">
          <w:rPr>
            <w:rStyle w:val="Hyperlink"/>
            <w:color w:val="3B3B3C"/>
            <w:sz w:val="15"/>
            <w:szCs w:val="15"/>
            <w:u w:val="none"/>
          </w:rPr>
          <w:t>programs</w:t>
        </w:r>
        <w:r w:rsidRPr="00BA0B27">
          <w:rPr>
            <w:rStyle w:val="Hyperlink"/>
            <w:sz w:val="15"/>
            <w:szCs w:val="15"/>
            <w:u w:val="none"/>
          </w:rPr>
          <w:t>/program-p/</w:t>
        </w:r>
      </w:hyperlink>
    </w:p>
  </w:footnote>
  <w:footnote w:id="44">
    <w:p w14:paraId="1C4DDE4A" w14:textId="77777777" w:rsidR="00E1754A" w:rsidRPr="00BA0B27" w:rsidRDefault="00E1754A">
      <w:pPr>
        <w:pStyle w:val="FootnoteText"/>
        <w:rPr>
          <w:sz w:val="15"/>
          <w:szCs w:val="15"/>
          <w:lang w:val="en-US"/>
        </w:rPr>
      </w:pPr>
      <w:r w:rsidRPr="00BA0B27">
        <w:rPr>
          <w:rStyle w:val="FootnoteReference"/>
          <w:sz w:val="15"/>
          <w:szCs w:val="15"/>
        </w:rPr>
        <w:footnoteRef/>
      </w:r>
      <w:r w:rsidRPr="00BA0B27">
        <w:rPr>
          <w:sz w:val="15"/>
          <w:szCs w:val="15"/>
        </w:rPr>
        <w:t xml:space="preserve"> UN Women (2021) Virtual Monitoring of Community Grants in Palestine Report of Findings, Challenges, and Recommendations. p. 3; UN Women (2021) Baseline/Endline Summary– Evaluation of Community-Based Interventions in Morocco, ‘Men and Women for Gender Equality’ Regional Programme - Phase II (March 2019 – Feb 2022), November 2021.</w:t>
      </w:r>
    </w:p>
  </w:footnote>
  <w:footnote w:id="45">
    <w:p w14:paraId="72557B4C" w14:textId="77777777" w:rsidR="00643F9C" w:rsidRPr="00BA0B27" w:rsidRDefault="00643F9C">
      <w:pPr>
        <w:pStyle w:val="FootnoteText"/>
        <w:rPr>
          <w:sz w:val="15"/>
          <w:szCs w:val="15"/>
          <w:lang w:val="en-US"/>
        </w:rPr>
      </w:pPr>
      <w:r w:rsidRPr="00BA0B27">
        <w:rPr>
          <w:rStyle w:val="FootnoteReference"/>
          <w:sz w:val="15"/>
          <w:szCs w:val="15"/>
        </w:rPr>
        <w:footnoteRef/>
      </w:r>
      <w:r w:rsidRPr="00BA0B27">
        <w:rPr>
          <w:sz w:val="15"/>
          <w:szCs w:val="15"/>
        </w:rPr>
        <w:t xml:space="preserve"> </w:t>
      </w:r>
      <w:r w:rsidRPr="00BA0B27">
        <w:rPr>
          <w:sz w:val="15"/>
          <w:szCs w:val="15"/>
          <w:lang w:val="en-US"/>
        </w:rPr>
        <w:t xml:space="preserve">UN Women (2019) Men and Women for Gender Equality Phase II - </w:t>
      </w:r>
      <w:r w:rsidRPr="00BA0B27">
        <w:rPr>
          <w:rFonts w:eastAsia="MS Mincho"/>
          <w:bCs/>
          <w:sz w:val="15"/>
          <w:szCs w:val="15"/>
          <w:lang w:eastAsia="ja-JP"/>
        </w:rPr>
        <w:t>First Annual Progress Report.</w:t>
      </w:r>
      <w:r w:rsidRPr="00BA0B27">
        <w:rPr>
          <w:bCs/>
          <w:sz w:val="15"/>
          <w:szCs w:val="15"/>
          <w:lang w:val="en-US"/>
        </w:rPr>
        <w:t xml:space="preserve"> </w:t>
      </w:r>
      <w:r w:rsidRPr="00BA0B27">
        <w:rPr>
          <w:sz w:val="15"/>
          <w:szCs w:val="15"/>
          <w:lang w:val="en-US"/>
        </w:rPr>
        <w:t>p. 12.</w:t>
      </w:r>
    </w:p>
  </w:footnote>
  <w:footnote w:id="46">
    <w:p w14:paraId="5467F836" w14:textId="77777777" w:rsidR="00643F9C" w:rsidRPr="00BA0B27" w:rsidRDefault="00643F9C">
      <w:pPr>
        <w:pStyle w:val="FootnoteText"/>
        <w:rPr>
          <w:sz w:val="15"/>
          <w:szCs w:val="15"/>
          <w:lang w:val="en-US"/>
        </w:rPr>
      </w:pPr>
      <w:r w:rsidRPr="00BA0B27">
        <w:rPr>
          <w:rStyle w:val="FootnoteReference"/>
          <w:sz w:val="15"/>
          <w:szCs w:val="15"/>
        </w:rPr>
        <w:footnoteRef/>
      </w:r>
      <w:r w:rsidRPr="00BA0B27">
        <w:rPr>
          <w:sz w:val="15"/>
          <w:szCs w:val="15"/>
        </w:rPr>
        <w:t xml:space="preserve"> This included </w:t>
      </w:r>
      <w:r w:rsidRPr="00BA0B27">
        <w:rPr>
          <w:sz w:val="15"/>
          <w:szCs w:val="15"/>
          <w:lang w:val="en-CA" w:eastAsia="en-CA"/>
        </w:rPr>
        <w:t>38,275 women, 81,126 men, and 15,241 persons whose sex was not specified in the monitoring data. UN Women (2022) Quantitative Evaluation of Community-Based Interventions in Egypt, Lebanon, Morocco, and Palestine. UN Women’s Regional Programme ‘Men and Women for Gender Equality – Phase II’, February 2022.</w:t>
      </w:r>
    </w:p>
  </w:footnote>
  <w:footnote w:id="47">
    <w:p w14:paraId="33AA1525" w14:textId="77777777" w:rsidR="0071356C" w:rsidRPr="000F17D9" w:rsidRDefault="0071356C" w:rsidP="0071356C">
      <w:pPr>
        <w:pStyle w:val="FootnoteText"/>
        <w:rPr>
          <w:lang w:val="en-US"/>
        </w:rPr>
      </w:pPr>
      <w:r w:rsidRPr="00BA0B27">
        <w:rPr>
          <w:rStyle w:val="FootnoteReference"/>
          <w:sz w:val="15"/>
          <w:szCs w:val="15"/>
        </w:rPr>
        <w:footnoteRef/>
      </w:r>
      <w:r w:rsidRPr="00BA0B27">
        <w:rPr>
          <w:sz w:val="15"/>
          <w:szCs w:val="15"/>
        </w:rPr>
        <w:t xml:space="preserve"> This figure, however, only covers the ‘reach’ – see Limitations section for a discussion.</w:t>
      </w:r>
    </w:p>
  </w:footnote>
  <w:footnote w:id="48">
    <w:p w14:paraId="1EFA0B01" w14:textId="77777777" w:rsidR="00715F35" w:rsidRPr="00BA0B27" w:rsidRDefault="00715F35">
      <w:pPr>
        <w:pStyle w:val="FootnoteText"/>
        <w:rPr>
          <w:sz w:val="15"/>
          <w:szCs w:val="15"/>
          <w:lang w:val="en-US"/>
        </w:rPr>
      </w:pPr>
      <w:r w:rsidRPr="00BA0B27">
        <w:rPr>
          <w:rStyle w:val="FootnoteReference"/>
          <w:sz w:val="15"/>
          <w:szCs w:val="15"/>
        </w:rPr>
        <w:footnoteRef/>
      </w:r>
      <w:r w:rsidRPr="00BA0B27">
        <w:rPr>
          <w:sz w:val="15"/>
          <w:szCs w:val="15"/>
        </w:rPr>
        <w:t xml:space="preserve"> </w:t>
      </w:r>
      <w:r w:rsidRPr="00BA0B27">
        <w:rPr>
          <w:sz w:val="15"/>
          <w:szCs w:val="15"/>
          <w:lang w:val="en-US"/>
        </w:rPr>
        <w:t>It is worth noting that the actual budget</w:t>
      </w:r>
      <w:r w:rsidR="00830BF5" w:rsidRPr="00BA0B27">
        <w:rPr>
          <w:sz w:val="15"/>
          <w:szCs w:val="15"/>
          <w:lang w:val="en-US"/>
        </w:rPr>
        <w:t xml:space="preserve"> amount</w:t>
      </w:r>
      <w:r w:rsidRPr="00BA0B27">
        <w:rPr>
          <w:sz w:val="15"/>
          <w:szCs w:val="15"/>
          <w:lang w:val="en-US"/>
        </w:rPr>
        <w:t xml:space="preserve"> of the </w:t>
      </w:r>
      <w:proofErr w:type="spellStart"/>
      <w:r w:rsidRPr="00BA0B27">
        <w:rPr>
          <w:sz w:val="15"/>
          <w:szCs w:val="15"/>
          <w:lang w:val="en-US"/>
        </w:rPr>
        <w:t>programme</w:t>
      </w:r>
      <w:proofErr w:type="spellEnd"/>
      <w:r w:rsidR="004614F9" w:rsidRPr="00BA0B27">
        <w:rPr>
          <w:sz w:val="15"/>
          <w:szCs w:val="15"/>
          <w:lang w:val="en-US"/>
        </w:rPr>
        <w:t xml:space="preserve"> in USD has been fluctuating </w:t>
      </w:r>
      <w:r w:rsidR="00D066F7" w:rsidRPr="00BA0B27">
        <w:rPr>
          <w:sz w:val="15"/>
          <w:szCs w:val="15"/>
          <w:lang w:val="en-US"/>
        </w:rPr>
        <w:t xml:space="preserve">due to </w:t>
      </w:r>
      <w:r w:rsidR="004614F9" w:rsidRPr="00BA0B27">
        <w:rPr>
          <w:sz w:val="15"/>
          <w:szCs w:val="15"/>
          <w:lang w:val="en-US"/>
        </w:rPr>
        <w:t xml:space="preserve">the different exchange </w:t>
      </w:r>
      <w:r w:rsidR="00D066F7" w:rsidRPr="00BA0B27">
        <w:rPr>
          <w:sz w:val="15"/>
          <w:szCs w:val="15"/>
          <w:lang w:val="en-US"/>
        </w:rPr>
        <w:t xml:space="preserve">rates of </w:t>
      </w:r>
      <w:r w:rsidR="004614F9" w:rsidRPr="00BA0B27">
        <w:rPr>
          <w:sz w:val="15"/>
          <w:szCs w:val="15"/>
          <w:lang w:val="en-US"/>
        </w:rPr>
        <w:t>SEK</w:t>
      </w:r>
      <w:r w:rsidR="00D066F7" w:rsidRPr="00BA0B27">
        <w:rPr>
          <w:sz w:val="15"/>
          <w:szCs w:val="15"/>
          <w:lang w:val="en-US"/>
        </w:rPr>
        <w:t>-</w:t>
      </w:r>
      <w:r w:rsidR="004614F9" w:rsidRPr="00BA0B27">
        <w:rPr>
          <w:sz w:val="15"/>
          <w:szCs w:val="15"/>
          <w:lang w:val="en-US"/>
        </w:rPr>
        <w:t xml:space="preserve">USD </w:t>
      </w:r>
      <w:r w:rsidR="005B5D44" w:rsidRPr="00BA0B27">
        <w:rPr>
          <w:sz w:val="15"/>
          <w:szCs w:val="15"/>
          <w:lang w:val="en-US"/>
        </w:rPr>
        <w:t>at the time</w:t>
      </w:r>
      <w:r w:rsidR="004614F9" w:rsidRPr="00BA0B27">
        <w:rPr>
          <w:sz w:val="15"/>
          <w:szCs w:val="15"/>
          <w:lang w:val="en-US"/>
        </w:rPr>
        <w:t xml:space="preserve"> of each bank transfer</w:t>
      </w:r>
      <w:r w:rsidR="005B5D44" w:rsidRPr="00BA0B27">
        <w:rPr>
          <w:sz w:val="15"/>
          <w:szCs w:val="15"/>
          <w:lang w:val="en-US"/>
        </w:rPr>
        <w:t xml:space="preserve"> </w:t>
      </w:r>
      <w:r w:rsidR="00830BF5" w:rsidRPr="00BA0B27">
        <w:rPr>
          <w:sz w:val="15"/>
          <w:szCs w:val="15"/>
          <w:lang w:val="en-US"/>
        </w:rPr>
        <w:t xml:space="preserve">from Stockholm to New York </w:t>
      </w:r>
      <w:r w:rsidR="005B5D44" w:rsidRPr="00BA0B27">
        <w:rPr>
          <w:sz w:val="15"/>
          <w:szCs w:val="15"/>
          <w:lang w:val="en-US"/>
        </w:rPr>
        <w:t xml:space="preserve">for the </w:t>
      </w:r>
      <w:r w:rsidR="00AE3D2C" w:rsidRPr="00BA0B27">
        <w:rPr>
          <w:sz w:val="15"/>
          <w:szCs w:val="15"/>
          <w:lang w:val="en-US"/>
        </w:rPr>
        <w:t xml:space="preserve">agreed </w:t>
      </w:r>
      <w:r w:rsidR="005B5D44" w:rsidRPr="00BA0B27">
        <w:rPr>
          <w:sz w:val="15"/>
          <w:szCs w:val="15"/>
          <w:lang w:val="en-US"/>
        </w:rPr>
        <w:t>installment</w:t>
      </w:r>
      <w:r w:rsidR="00830BF5" w:rsidRPr="00BA0B27">
        <w:rPr>
          <w:sz w:val="15"/>
          <w:szCs w:val="15"/>
          <w:lang w:val="en-US"/>
        </w:rPr>
        <w:t>s</w:t>
      </w:r>
      <w:r w:rsidR="00AE3D2C" w:rsidRPr="00BA0B27">
        <w:rPr>
          <w:sz w:val="15"/>
          <w:szCs w:val="15"/>
          <w:lang w:val="en-US"/>
        </w:rPr>
        <w:t xml:space="preserve"> in SEK</w:t>
      </w:r>
      <w:r w:rsidR="005B5D44" w:rsidRPr="00BA0B27">
        <w:rPr>
          <w:sz w:val="15"/>
          <w:szCs w:val="15"/>
          <w:lang w:val="en-US"/>
        </w:rPr>
        <w:t>.</w:t>
      </w:r>
      <w:r w:rsidR="004614F9" w:rsidRPr="00BA0B27">
        <w:rPr>
          <w:sz w:val="15"/>
          <w:szCs w:val="15"/>
          <w:lang w:val="en-US"/>
        </w:rPr>
        <w:t xml:space="preserve"> </w:t>
      </w:r>
    </w:p>
  </w:footnote>
  <w:footnote w:id="49">
    <w:p w14:paraId="7984E1AD" w14:textId="77777777" w:rsidR="009F6724" w:rsidRPr="006B3412" w:rsidRDefault="009F6724" w:rsidP="009F6724">
      <w:pPr>
        <w:pStyle w:val="FootnoteText"/>
        <w:rPr>
          <w:lang w:val="en-US"/>
        </w:rPr>
      </w:pPr>
      <w:r w:rsidRPr="00BA0B27">
        <w:rPr>
          <w:rStyle w:val="FootnoteReference"/>
          <w:sz w:val="15"/>
          <w:szCs w:val="15"/>
        </w:rPr>
        <w:footnoteRef/>
      </w:r>
      <w:r w:rsidRPr="00BA0B27">
        <w:rPr>
          <w:sz w:val="15"/>
          <w:szCs w:val="15"/>
        </w:rPr>
        <w:t xml:space="preserve"> </w:t>
      </w:r>
      <w:r w:rsidRPr="00BA0B27">
        <w:rPr>
          <w:sz w:val="15"/>
          <w:szCs w:val="15"/>
          <w:lang w:val="en-US"/>
        </w:rPr>
        <w:t>Strategic Analysis – ROAS Role and Coordination (2021)</w:t>
      </w:r>
    </w:p>
  </w:footnote>
  <w:footnote w:id="50">
    <w:p w14:paraId="79D2B283" w14:textId="77777777" w:rsidR="001B6080" w:rsidRPr="00BA0B27" w:rsidRDefault="001B6080">
      <w:pPr>
        <w:pStyle w:val="FootnoteText"/>
        <w:rPr>
          <w:sz w:val="15"/>
          <w:szCs w:val="15"/>
        </w:rPr>
      </w:pPr>
      <w:r w:rsidRPr="00BA0B27">
        <w:rPr>
          <w:rStyle w:val="FootnoteReference"/>
          <w:sz w:val="15"/>
          <w:szCs w:val="15"/>
        </w:rPr>
        <w:footnoteRef/>
      </w:r>
      <w:r w:rsidRPr="00BA0B27">
        <w:rPr>
          <w:sz w:val="15"/>
          <w:szCs w:val="15"/>
        </w:rPr>
        <w:t xml:space="preserve"> Review stage feedback, Palestine CO</w:t>
      </w:r>
    </w:p>
  </w:footnote>
  <w:footnote w:id="51">
    <w:p w14:paraId="231757C8" w14:textId="77777777" w:rsidR="00B96F97" w:rsidRPr="00BA0B27" w:rsidRDefault="00B96F97">
      <w:pPr>
        <w:pStyle w:val="FootnoteText"/>
        <w:rPr>
          <w:sz w:val="15"/>
          <w:szCs w:val="15"/>
          <w:lang w:val="en-US"/>
        </w:rPr>
      </w:pPr>
      <w:r w:rsidRPr="00BA0B27">
        <w:rPr>
          <w:rStyle w:val="FootnoteReference"/>
          <w:sz w:val="15"/>
          <w:szCs w:val="15"/>
        </w:rPr>
        <w:footnoteRef/>
      </w:r>
      <w:r w:rsidRPr="00BA0B27">
        <w:rPr>
          <w:sz w:val="15"/>
          <w:szCs w:val="15"/>
        </w:rPr>
        <w:t xml:space="preserve"> </w:t>
      </w:r>
      <w:r w:rsidR="00F1355A" w:rsidRPr="00BA0B27">
        <w:rPr>
          <w:sz w:val="15"/>
          <w:szCs w:val="15"/>
        </w:rPr>
        <w:t xml:space="preserve">Based on </w:t>
      </w:r>
      <w:r w:rsidR="004A4563" w:rsidRPr="00BA0B27">
        <w:rPr>
          <w:sz w:val="15"/>
          <w:szCs w:val="15"/>
        </w:rPr>
        <w:t xml:space="preserve">ROAS and CO </w:t>
      </w:r>
      <w:r w:rsidR="00897B04" w:rsidRPr="00BA0B27">
        <w:rPr>
          <w:sz w:val="15"/>
          <w:szCs w:val="15"/>
        </w:rPr>
        <w:t>organigrams and UN Women (201</w:t>
      </w:r>
      <w:r w:rsidR="004D39BB" w:rsidRPr="00BA0B27">
        <w:rPr>
          <w:sz w:val="15"/>
          <w:szCs w:val="15"/>
        </w:rPr>
        <w:t>9</w:t>
      </w:r>
      <w:r w:rsidR="00897B04" w:rsidRPr="00BA0B27">
        <w:rPr>
          <w:sz w:val="15"/>
          <w:szCs w:val="15"/>
        </w:rPr>
        <w:t>) Men and Women for Gender Equality (Phase II) Application Pro Doc 2019-02-12</w:t>
      </w:r>
    </w:p>
  </w:footnote>
  <w:footnote w:id="52">
    <w:p w14:paraId="518F67CD" w14:textId="77777777" w:rsidR="004070A7" w:rsidRPr="007F6DFD" w:rsidRDefault="004070A7">
      <w:pPr>
        <w:pStyle w:val="FootnoteText"/>
        <w:rPr>
          <w:lang w:val="en-US"/>
        </w:rPr>
      </w:pPr>
      <w:r w:rsidRPr="00BA0B27">
        <w:rPr>
          <w:rStyle w:val="FootnoteReference"/>
          <w:sz w:val="15"/>
          <w:szCs w:val="15"/>
        </w:rPr>
        <w:footnoteRef/>
      </w:r>
      <w:r w:rsidR="00897B04" w:rsidRPr="00BA0B27">
        <w:rPr>
          <w:sz w:val="15"/>
          <w:szCs w:val="15"/>
        </w:rPr>
        <w:t xml:space="preserve">Respective job descriptions </w:t>
      </w:r>
      <w:r w:rsidR="0082509F" w:rsidRPr="00BA0B27">
        <w:rPr>
          <w:sz w:val="15"/>
          <w:szCs w:val="15"/>
        </w:rPr>
        <w:t>drawn from UN Women (201</w:t>
      </w:r>
      <w:r w:rsidR="004D39BB" w:rsidRPr="00BA0B27">
        <w:rPr>
          <w:sz w:val="15"/>
          <w:szCs w:val="15"/>
        </w:rPr>
        <w:t>9</w:t>
      </w:r>
      <w:r w:rsidR="0082509F" w:rsidRPr="00BA0B27">
        <w:rPr>
          <w:sz w:val="15"/>
          <w:szCs w:val="15"/>
        </w:rPr>
        <w:t>) Men and Women for Gender Equality (Phase II) Application Pro Doc 2019-02-12</w:t>
      </w:r>
      <w:r w:rsidR="00A77585" w:rsidRPr="00BA0B27">
        <w:rPr>
          <w:sz w:val="15"/>
          <w:szCs w:val="15"/>
        </w:rPr>
        <w:t>, although Regional Programme Manager was changed from P-5 in Phase I, to P-4 in Phase II.</w:t>
      </w:r>
    </w:p>
  </w:footnote>
  <w:footnote w:id="53">
    <w:p w14:paraId="058DFCA4" w14:textId="77777777" w:rsidR="004B693A" w:rsidRPr="00BA0B27" w:rsidRDefault="004B693A">
      <w:pPr>
        <w:pStyle w:val="FootnoteText"/>
        <w:rPr>
          <w:sz w:val="15"/>
          <w:szCs w:val="15"/>
          <w:lang w:val="en-US"/>
        </w:rPr>
      </w:pPr>
      <w:r w:rsidRPr="00BA0B27">
        <w:rPr>
          <w:rStyle w:val="FootnoteReference"/>
          <w:sz w:val="15"/>
          <w:szCs w:val="15"/>
        </w:rPr>
        <w:footnoteRef/>
      </w:r>
      <w:r w:rsidRPr="00BA0B27">
        <w:rPr>
          <w:sz w:val="15"/>
          <w:szCs w:val="15"/>
        </w:rPr>
        <w:t xml:space="preserve"> </w:t>
      </w:r>
      <w:r w:rsidR="00C35B76" w:rsidRPr="00BA0B27">
        <w:rPr>
          <w:sz w:val="15"/>
          <w:szCs w:val="15"/>
        </w:rPr>
        <w:t>P</w:t>
      </w:r>
      <w:r w:rsidRPr="00BA0B27">
        <w:rPr>
          <w:sz w:val="15"/>
          <w:szCs w:val="15"/>
        </w:rPr>
        <w:t>rior to addition of M&amp;E consultant, communications manager consultant and assistant (Phase II), noting that there is a typo in the organigram as the MWGE Regional Programme Manager in Phase II is at P-4 level, while it was at P-5 level in Phase I</w:t>
      </w:r>
    </w:p>
  </w:footnote>
  <w:footnote w:id="54">
    <w:p w14:paraId="3321D8E6" w14:textId="77777777" w:rsidR="0043264D" w:rsidRPr="007F6DFD" w:rsidRDefault="0043264D">
      <w:pPr>
        <w:pStyle w:val="FootnoteText"/>
        <w:rPr>
          <w:lang w:val="en-US"/>
        </w:rPr>
      </w:pPr>
      <w:r w:rsidRPr="00BA0B27">
        <w:rPr>
          <w:rStyle w:val="FootnoteReference"/>
          <w:sz w:val="15"/>
          <w:szCs w:val="15"/>
        </w:rPr>
        <w:footnoteRef/>
      </w:r>
      <w:r w:rsidRPr="00BA0B27">
        <w:rPr>
          <w:sz w:val="15"/>
          <w:szCs w:val="15"/>
        </w:rPr>
        <w:t xml:space="preserve"> </w:t>
      </w:r>
      <w:r w:rsidR="00876722" w:rsidRPr="00BA0B27">
        <w:rPr>
          <w:sz w:val="15"/>
          <w:szCs w:val="15"/>
        </w:rPr>
        <w:t>E-mail c</w:t>
      </w:r>
      <w:r w:rsidRPr="00BA0B27">
        <w:rPr>
          <w:sz w:val="15"/>
          <w:szCs w:val="15"/>
        </w:rPr>
        <w:t>ommunication with ROAS</w:t>
      </w:r>
    </w:p>
  </w:footnote>
  <w:footnote w:id="55">
    <w:p w14:paraId="348AC7AC" w14:textId="77777777" w:rsidR="40E44CAF" w:rsidRPr="00BA0B27" w:rsidRDefault="40E44CAF" w:rsidP="40E44CAF">
      <w:pPr>
        <w:pStyle w:val="FootnoteText"/>
        <w:rPr>
          <w:sz w:val="15"/>
          <w:szCs w:val="15"/>
          <w:lang w:val="en-US"/>
        </w:rPr>
      </w:pPr>
      <w:r w:rsidRPr="00BA0B27">
        <w:rPr>
          <w:rStyle w:val="FootnoteReference"/>
          <w:sz w:val="15"/>
          <w:szCs w:val="15"/>
        </w:rPr>
        <w:footnoteRef/>
      </w:r>
      <w:r w:rsidRPr="00BA0B27">
        <w:rPr>
          <w:sz w:val="15"/>
          <w:szCs w:val="15"/>
        </w:rPr>
        <w:t xml:space="preserve"> https://www.oecd.org/dac/evaluation/daccriteriaforevaluatingdevelopmentassistance.htm</w:t>
      </w:r>
    </w:p>
  </w:footnote>
  <w:footnote w:id="56">
    <w:p w14:paraId="4B1ADC56" w14:textId="77777777" w:rsidR="40E44CAF" w:rsidRPr="00BA0B27" w:rsidRDefault="40E44CAF" w:rsidP="40E44CAF">
      <w:pPr>
        <w:pStyle w:val="FootnoteText"/>
        <w:rPr>
          <w:rStyle w:val="ItadfootnotestyleChar"/>
          <w:sz w:val="15"/>
          <w:szCs w:val="15"/>
        </w:rPr>
      </w:pPr>
      <w:r w:rsidRPr="00BA0B27">
        <w:rPr>
          <w:rStyle w:val="FootnoteReference"/>
          <w:rFonts w:cstheme="minorBidi"/>
          <w:sz w:val="15"/>
          <w:szCs w:val="15"/>
        </w:rPr>
        <w:footnoteRef/>
      </w:r>
      <w:r w:rsidRPr="00BA0B27">
        <w:rPr>
          <w:rFonts w:asciiTheme="minorHAnsi" w:hAnsiTheme="minorHAnsi" w:cstheme="minorBidi"/>
          <w:sz w:val="15"/>
          <w:szCs w:val="15"/>
        </w:rPr>
        <w:t xml:space="preserve"> </w:t>
      </w:r>
      <w:r w:rsidRPr="00BA0B27">
        <w:rPr>
          <w:rStyle w:val="ItadfootnotestyleChar"/>
          <w:sz w:val="15"/>
          <w:szCs w:val="15"/>
        </w:rPr>
        <w:t xml:space="preserve">Phase II of the programme originally had a three-year implementation phase, from March 2019 to February 2022. This was extended to April 2022 during the evaluation. The reason for the greater focus on Phase II in this evaluation was to allow for a more in-depth assessment of the effectiveness of various implementation approaches, especially on social norm change. </w:t>
      </w:r>
    </w:p>
  </w:footnote>
  <w:footnote w:id="57">
    <w:p w14:paraId="6083BAB0" w14:textId="77777777" w:rsidR="40E44CAF" w:rsidRDefault="40E44CAF" w:rsidP="40E44CAF">
      <w:pPr>
        <w:pStyle w:val="FootnoteText"/>
        <w:rPr>
          <w:lang w:val="en-US"/>
        </w:rPr>
      </w:pPr>
      <w:r w:rsidRPr="00BA0B27">
        <w:rPr>
          <w:rStyle w:val="FootnoteReference"/>
          <w:sz w:val="15"/>
          <w:szCs w:val="15"/>
        </w:rPr>
        <w:footnoteRef/>
      </w:r>
      <w:r w:rsidRPr="00BA0B27">
        <w:rPr>
          <w:sz w:val="15"/>
          <w:szCs w:val="15"/>
        </w:rPr>
        <w:t xml:space="preserve"> Although </w:t>
      </w:r>
      <w:r w:rsidRPr="00BA0B27">
        <w:rPr>
          <w:sz w:val="15"/>
          <w:szCs w:val="15"/>
          <w:lang w:val="en-US"/>
        </w:rPr>
        <w:t>Coherence and Impact were compressed into Relevance and Effectiveness respectively.</w:t>
      </w:r>
    </w:p>
  </w:footnote>
  <w:footnote w:id="58">
    <w:p w14:paraId="389DDDE9" w14:textId="77777777" w:rsidR="40E44CAF" w:rsidRPr="00BA0B27" w:rsidRDefault="40E44CAF" w:rsidP="40E44CAF">
      <w:pPr>
        <w:pStyle w:val="FootnoteText"/>
        <w:rPr>
          <w:sz w:val="15"/>
          <w:szCs w:val="15"/>
        </w:rPr>
      </w:pPr>
      <w:r w:rsidRPr="00BA0B27">
        <w:rPr>
          <w:rStyle w:val="FootnoteReference"/>
          <w:sz w:val="15"/>
          <w:szCs w:val="15"/>
        </w:rPr>
        <w:footnoteRef/>
      </w:r>
      <w:r w:rsidRPr="00BA0B27">
        <w:rPr>
          <w:sz w:val="15"/>
          <w:szCs w:val="15"/>
        </w:rPr>
        <w:t xml:space="preserve"> ‘Ideas about and practices of masculinity that emphasize the superiority of masculinity over femininity and the authority of men over women. Ideas about and practices of patriarchal masculinities maintain gender inequalities.’ Understanding Masculinities and Violence Against Women and Girls (Self-Learning Booklet, UN Women (2016:14)</w:t>
      </w:r>
    </w:p>
  </w:footnote>
  <w:footnote w:id="59">
    <w:p w14:paraId="1B5703AC" w14:textId="77777777" w:rsidR="006F2F6D" w:rsidRPr="00BA0B27" w:rsidRDefault="006F2F6D" w:rsidP="009F4F54">
      <w:pPr>
        <w:pStyle w:val="FootnoteText"/>
        <w:rPr>
          <w:sz w:val="15"/>
          <w:szCs w:val="15"/>
        </w:rPr>
      </w:pPr>
      <w:r w:rsidRPr="00BA0B27">
        <w:rPr>
          <w:rStyle w:val="FootnoteReference"/>
          <w:sz w:val="15"/>
          <w:szCs w:val="15"/>
        </w:rPr>
        <w:footnoteRef/>
      </w:r>
      <w:r w:rsidRPr="00BA0B27">
        <w:rPr>
          <w:sz w:val="15"/>
          <w:szCs w:val="15"/>
        </w:rPr>
        <w:t xml:space="preserve"> The </w:t>
      </w:r>
      <w:proofErr w:type="spellStart"/>
      <w:r w:rsidRPr="00BA0B27">
        <w:rPr>
          <w:sz w:val="15"/>
          <w:szCs w:val="15"/>
        </w:rPr>
        <w:t>Guskey</w:t>
      </w:r>
      <w:proofErr w:type="spellEnd"/>
      <w:r w:rsidRPr="00BA0B27">
        <w:rPr>
          <w:sz w:val="15"/>
          <w:szCs w:val="15"/>
        </w:rPr>
        <w:t xml:space="preserve"> model for professional development evaluation builds on the New World Kirkpatrick Model 8 and is broad enough to be applied to any type of engagement and learning activity. </w:t>
      </w:r>
      <w:proofErr w:type="spellStart"/>
      <w:r w:rsidRPr="00BA0B27">
        <w:rPr>
          <w:sz w:val="15"/>
          <w:szCs w:val="15"/>
        </w:rPr>
        <w:t>Guskey</w:t>
      </w:r>
      <w:proofErr w:type="spellEnd"/>
      <w:r w:rsidRPr="00BA0B27">
        <w:rPr>
          <w:sz w:val="15"/>
          <w:szCs w:val="15"/>
        </w:rPr>
        <w:t xml:space="preserve"> outlines an additional organisational component to the New World Kirkpatrick model, which is pertinent to this evaluation. See </w:t>
      </w:r>
      <w:proofErr w:type="spellStart"/>
      <w:r w:rsidRPr="00BA0B27">
        <w:rPr>
          <w:sz w:val="15"/>
          <w:szCs w:val="15"/>
        </w:rPr>
        <w:t>Guskey</w:t>
      </w:r>
      <w:proofErr w:type="spellEnd"/>
      <w:r w:rsidRPr="00BA0B27">
        <w:rPr>
          <w:sz w:val="15"/>
          <w:szCs w:val="15"/>
        </w:rPr>
        <w:t xml:space="preserve"> </w:t>
      </w:r>
      <w:r w:rsidRPr="00BA0B27">
        <w:rPr>
          <w:i/>
          <w:iCs/>
          <w:sz w:val="15"/>
          <w:szCs w:val="15"/>
        </w:rPr>
        <w:t>et al.</w:t>
      </w:r>
      <w:r w:rsidRPr="00BA0B27">
        <w:rPr>
          <w:sz w:val="15"/>
          <w:szCs w:val="15"/>
        </w:rPr>
        <w:t xml:space="preserve"> (2002) Gauge impact with five levels of data. Available at: </w:t>
      </w:r>
      <w:hyperlink r:id="rId13" w:history="1">
        <w:r w:rsidR="00A92ABD" w:rsidRPr="00BA0B27">
          <w:rPr>
            <w:rStyle w:val="Hyperlink"/>
            <w:sz w:val="15"/>
            <w:szCs w:val="15"/>
            <w:u w:val="none"/>
          </w:rPr>
          <w:t>https://tguskey.com/wp-content/uploads/Professional-Learning-1-Gauge-Impact-with-Five-Levels-of-Data.pdf</w:t>
        </w:r>
      </w:hyperlink>
      <w:r w:rsidRPr="00BA0B27">
        <w:rPr>
          <w:sz w:val="15"/>
          <w:szCs w:val="15"/>
        </w:rPr>
        <w:t xml:space="preserve"> </w:t>
      </w:r>
    </w:p>
  </w:footnote>
  <w:footnote w:id="60">
    <w:p w14:paraId="743490A8" w14:textId="77777777" w:rsidR="006F2F6D" w:rsidRPr="00BA0B27" w:rsidRDefault="006F2F6D" w:rsidP="00DD6CEB">
      <w:pPr>
        <w:pStyle w:val="FootnoteText"/>
        <w:rPr>
          <w:sz w:val="15"/>
          <w:szCs w:val="15"/>
        </w:rPr>
      </w:pPr>
      <w:r w:rsidRPr="00BA0B27">
        <w:rPr>
          <w:rStyle w:val="FootnoteReference"/>
          <w:rFonts w:asciiTheme="minorBidi" w:hAnsiTheme="minorBidi"/>
          <w:sz w:val="15"/>
          <w:szCs w:val="15"/>
        </w:rPr>
        <w:footnoteRef/>
      </w:r>
      <w:r w:rsidRPr="00BA0B27">
        <w:rPr>
          <w:sz w:val="15"/>
          <w:szCs w:val="15"/>
        </w:rPr>
        <w:t xml:space="preserve"> For further details of this model, see the UNICEF A</w:t>
      </w:r>
      <w:r w:rsidR="00F46C79" w:rsidRPr="00BA0B27">
        <w:rPr>
          <w:sz w:val="15"/>
          <w:szCs w:val="15"/>
        </w:rPr>
        <w:t>CT</w:t>
      </w:r>
      <w:r w:rsidRPr="00BA0B27">
        <w:rPr>
          <w:sz w:val="15"/>
          <w:szCs w:val="15"/>
        </w:rPr>
        <w:t xml:space="preserve"> Framework for Measuring Social Norm Change</w:t>
      </w:r>
      <w:r w:rsidR="00F46C79" w:rsidRPr="00BA0B27">
        <w:rPr>
          <w:sz w:val="15"/>
          <w:szCs w:val="15"/>
        </w:rPr>
        <w:t>.</w:t>
      </w:r>
      <w:r w:rsidRPr="00BA0B27">
        <w:rPr>
          <w:sz w:val="15"/>
          <w:szCs w:val="15"/>
        </w:rPr>
        <w:t xml:space="preserve"> </w:t>
      </w:r>
      <w:r w:rsidR="00F46C79" w:rsidRPr="00BA0B27">
        <w:rPr>
          <w:sz w:val="15"/>
          <w:szCs w:val="15"/>
        </w:rPr>
        <w:t>Available at:</w:t>
      </w:r>
      <w:r w:rsidRPr="00BA0B27">
        <w:rPr>
          <w:sz w:val="15"/>
          <w:szCs w:val="15"/>
        </w:rPr>
        <w:t xml:space="preserve"> </w:t>
      </w:r>
      <w:hyperlink r:id="rId14" w:history="1">
        <w:r w:rsidRPr="00BA0B27">
          <w:rPr>
            <w:rStyle w:val="Hyperlink"/>
            <w:rFonts w:asciiTheme="minorHAnsi" w:hAnsiTheme="minorHAnsi" w:cstheme="minorHAnsi"/>
            <w:sz w:val="15"/>
            <w:szCs w:val="15"/>
            <w:u w:val="none"/>
          </w:rPr>
          <w:t>https://www.unicef.org/documents/act-framework</w:t>
        </w:r>
      </w:hyperlink>
      <w:r w:rsidRPr="00BA0B27">
        <w:rPr>
          <w:sz w:val="15"/>
          <w:szCs w:val="15"/>
        </w:rPr>
        <w:t xml:space="preserve"> </w:t>
      </w:r>
    </w:p>
  </w:footnote>
  <w:footnote w:id="61">
    <w:p w14:paraId="1F9E7F8F" w14:textId="77777777" w:rsidR="006F2F6D" w:rsidRPr="00BA0B27" w:rsidRDefault="006F2F6D" w:rsidP="00DD6CEB">
      <w:pPr>
        <w:pStyle w:val="FootnoteText"/>
        <w:rPr>
          <w:sz w:val="15"/>
          <w:szCs w:val="15"/>
        </w:rPr>
      </w:pPr>
      <w:r w:rsidRPr="00BA0B27">
        <w:rPr>
          <w:rStyle w:val="FootnoteReference"/>
          <w:rFonts w:cstheme="minorHAnsi"/>
          <w:sz w:val="15"/>
          <w:szCs w:val="15"/>
        </w:rPr>
        <w:footnoteRef/>
      </w:r>
      <w:r w:rsidRPr="00BA0B27">
        <w:rPr>
          <w:sz w:val="15"/>
          <w:szCs w:val="15"/>
        </w:rPr>
        <w:t xml:space="preserve"> See for example </w:t>
      </w:r>
      <w:r w:rsidR="00A93C14" w:rsidRPr="00BA0B27">
        <w:rPr>
          <w:sz w:val="15"/>
          <w:szCs w:val="15"/>
        </w:rPr>
        <w:t>https://www.cdc.gov/violenceprevention/about/social-ecologicalmodel.html</w:t>
      </w:r>
    </w:p>
  </w:footnote>
  <w:footnote w:id="62">
    <w:p w14:paraId="1E90549D" w14:textId="77777777" w:rsidR="006F2F6D" w:rsidRPr="00BA0B27" w:rsidRDefault="006F2F6D" w:rsidP="00DD6CEB">
      <w:pPr>
        <w:pStyle w:val="FootnoteText"/>
        <w:rPr>
          <w:sz w:val="15"/>
          <w:szCs w:val="15"/>
        </w:rPr>
      </w:pPr>
      <w:r w:rsidRPr="00BA0B27">
        <w:rPr>
          <w:rStyle w:val="FootnoteReference"/>
          <w:rFonts w:cstheme="minorHAnsi"/>
          <w:sz w:val="15"/>
          <w:szCs w:val="15"/>
        </w:rPr>
        <w:footnoteRef/>
      </w:r>
      <w:r w:rsidRPr="00BA0B27">
        <w:rPr>
          <w:sz w:val="15"/>
          <w:szCs w:val="15"/>
        </w:rPr>
        <w:t xml:space="preserve"> See Pro-Doc 2019, Phase 2</w:t>
      </w:r>
      <w:r w:rsidR="009F4F54" w:rsidRPr="00BA0B27">
        <w:rPr>
          <w:sz w:val="15"/>
          <w:szCs w:val="15"/>
        </w:rPr>
        <w:t>.</w:t>
      </w:r>
      <w:r w:rsidRPr="00BA0B27">
        <w:rPr>
          <w:sz w:val="15"/>
          <w:szCs w:val="15"/>
        </w:rPr>
        <w:t xml:space="preserve"> p.</w:t>
      </w:r>
      <w:r w:rsidR="00023359" w:rsidRPr="00BA0B27">
        <w:rPr>
          <w:sz w:val="15"/>
          <w:szCs w:val="15"/>
        </w:rPr>
        <w:t xml:space="preserve"> </w:t>
      </w:r>
      <w:r w:rsidRPr="00BA0B27">
        <w:rPr>
          <w:sz w:val="15"/>
          <w:szCs w:val="15"/>
        </w:rPr>
        <w:t>23</w:t>
      </w:r>
      <w:r w:rsidR="00023359" w:rsidRPr="00BA0B27">
        <w:rPr>
          <w:sz w:val="15"/>
          <w:szCs w:val="15"/>
        </w:rPr>
        <w:t>.</w:t>
      </w:r>
    </w:p>
  </w:footnote>
  <w:footnote w:id="63">
    <w:p w14:paraId="220ABF56" w14:textId="77777777" w:rsidR="006F2F6D" w:rsidRPr="00BA0B27" w:rsidRDefault="006F2F6D" w:rsidP="009F4F54">
      <w:pPr>
        <w:pStyle w:val="FootnoteText"/>
        <w:rPr>
          <w:sz w:val="15"/>
          <w:szCs w:val="15"/>
          <w:lang w:val="en-US"/>
        </w:rPr>
      </w:pPr>
      <w:r w:rsidRPr="00BA0B27">
        <w:rPr>
          <w:rStyle w:val="FootnoteReference"/>
          <w:sz w:val="15"/>
          <w:szCs w:val="15"/>
        </w:rPr>
        <w:footnoteRef/>
      </w:r>
      <w:r w:rsidRPr="00BA0B27">
        <w:rPr>
          <w:sz w:val="15"/>
          <w:szCs w:val="15"/>
        </w:rPr>
        <w:t xml:space="preserve"> </w:t>
      </w:r>
      <w:hyperlink r:id="rId15" w:history="1">
        <w:r w:rsidRPr="00BA0B27">
          <w:rPr>
            <w:rStyle w:val="ItadfootnotestyleChar"/>
            <w:sz w:val="15"/>
            <w:szCs w:val="15"/>
          </w:rPr>
          <w:t>http://www.uneval.org/document/detail/980</w:t>
        </w:r>
      </w:hyperlink>
      <w:r w:rsidRPr="00BA0B27">
        <w:rPr>
          <w:sz w:val="15"/>
          <w:szCs w:val="15"/>
        </w:rPr>
        <w:t xml:space="preserve"> </w:t>
      </w:r>
    </w:p>
  </w:footnote>
  <w:footnote w:id="64">
    <w:p w14:paraId="115B17D8" w14:textId="77777777" w:rsidR="006F2F6D" w:rsidRPr="00420955" w:rsidRDefault="006F2F6D" w:rsidP="009F4F54">
      <w:pPr>
        <w:pStyle w:val="FootnoteText"/>
        <w:rPr>
          <w:rStyle w:val="ItadfootnotestyleChar"/>
        </w:rPr>
      </w:pPr>
      <w:r w:rsidRPr="00BA0B27">
        <w:rPr>
          <w:rStyle w:val="FootnoteReference"/>
          <w:rFonts w:cstheme="minorHAnsi"/>
          <w:sz w:val="15"/>
          <w:szCs w:val="15"/>
        </w:rPr>
        <w:footnoteRef/>
      </w:r>
      <w:r w:rsidRPr="00BA0B27">
        <w:rPr>
          <w:rFonts w:asciiTheme="minorHAnsi" w:hAnsiTheme="minorHAnsi" w:cstheme="minorHAnsi"/>
          <w:sz w:val="15"/>
          <w:szCs w:val="15"/>
        </w:rPr>
        <w:t xml:space="preserve"> </w:t>
      </w:r>
      <w:r w:rsidRPr="00BA0B27">
        <w:rPr>
          <w:rStyle w:val="ItadfootnotestyleChar"/>
          <w:sz w:val="15"/>
          <w:szCs w:val="15"/>
        </w:rPr>
        <w:t>For example</w:t>
      </w:r>
      <w:r w:rsidR="00FF6A5B" w:rsidRPr="00BA0B27">
        <w:rPr>
          <w:rStyle w:val="ItadfootnotestyleChar"/>
          <w:sz w:val="15"/>
          <w:szCs w:val="15"/>
        </w:rPr>
        <w:t>,</w:t>
      </w:r>
      <w:r w:rsidRPr="00BA0B27">
        <w:rPr>
          <w:rStyle w:val="ItadfootnotestyleChar"/>
          <w:sz w:val="15"/>
          <w:szCs w:val="15"/>
        </w:rPr>
        <w:t xml:space="preserve"> the questions related to the </w:t>
      </w:r>
      <w:proofErr w:type="spellStart"/>
      <w:r w:rsidRPr="00BA0B27">
        <w:rPr>
          <w:rStyle w:val="ItadfootnotestyleChar"/>
          <w:sz w:val="15"/>
          <w:szCs w:val="15"/>
        </w:rPr>
        <w:t>ToC</w:t>
      </w:r>
      <w:proofErr w:type="spellEnd"/>
      <w:r w:rsidRPr="00BA0B27">
        <w:rPr>
          <w:rStyle w:val="ItadfootnotestyleChar"/>
          <w:sz w:val="15"/>
          <w:szCs w:val="15"/>
        </w:rPr>
        <w:t xml:space="preserve"> (under Relevance): ‘How relevant and evidence-informed is the programme intervention logic and Theory of Change (</w:t>
      </w:r>
      <w:proofErr w:type="spellStart"/>
      <w:r w:rsidRPr="00BA0B27">
        <w:rPr>
          <w:rStyle w:val="ItadfootnotestyleChar"/>
          <w:sz w:val="15"/>
          <w:szCs w:val="15"/>
        </w:rPr>
        <w:t>ToC</w:t>
      </w:r>
      <w:proofErr w:type="spellEnd"/>
      <w:r w:rsidRPr="00BA0B27">
        <w:rPr>
          <w:rStyle w:val="ItadfootnotestyleChar"/>
          <w:sz w:val="15"/>
          <w:szCs w:val="15"/>
        </w:rPr>
        <w:t xml:space="preserve">) to bring and sustain gender transformative changes in behaviours and challenge social norms, institutions, policies, and practices at the national and regional level? To what extent are the </w:t>
      </w:r>
      <w:proofErr w:type="spellStart"/>
      <w:r w:rsidRPr="00BA0B27">
        <w:rPr>
          <w:rStyle w:val="ItadfootnotestyleChar"/>
          <w:sz w:val="15"/>
          <w:szCs w:val="15"/>
        </w:rPr>
        <w:t>ToC’s</w:t>
      </w:r>
      <w:proofErr w:type="spellEnd"/>
      <w:r w:rsidRPr="00BA0B27">
        <w:rPr>
          <w:rStyle w:val="ItadfootnotestyleChar"/>
          <w:sz w:val="15"/>
          <w:szCs w:val="15"/>
        </w:rPr>
        <w:t xml:space="preserve"> underlying assumptions still valid?’ will be addressed in the section on the </w:t>
      </w:r>
      <w:proofErr w:type="spellStart"/>
      <w:r w:rsidRPr="00BA0B27">
        <w:rPr>
          <w:rStyle w:val="ItadfootnotestyleChar"/>
          <w:sz w:val="15"/>
          <w:szCs w:val="15"/>
        </w:rPr>
        <w:t>T</w:t>
      </w:r>
      <w:r w:rsidR="00FF6A5B" w:rsidRPr="00BA0B27">
        <w:rPr>
          <w:rStyle w:val="ItadfootnotestyleChar"/>
          <w:sz w:val="15"/>
          <w:szCs w:val="15"/>
        </w:rPr>
        <w:t>oC</w:t>
      </w:r>
      <w:proofErr w:type="spellEnd"/>
      <w:r w:rsidRPr="00BA0B27">
        <w:rPr>
          <w:rStyle w:val="ItadfootnotestyleChar"/>
          <w:sz w:val="15"/>
          <w:szCs w:val="15"/>
        </w:rPr>
        <w:t xml:space="preserve"> (see proposed Outline of Evaluation Report in Annex 19).</w:t>
      </w:r>
    </w:p>
  </w:footnote>
  <w:footnote w:id="65">
    <w:p w14:paraId="6EAE6586" w14:textId="77777777" w:rsidR="006F2F6D" w:rsidRPr="00BA0B27" w:rsidRDefault="006F2F6D" w:rsidP="009F4F54">
      <w:pPr>
        <w:pStyle w:val="FootnoteText"/>
        <w:rPr>
          <w:rStyle w:val="ItadfootnotestyleChar"/>
          <w:sz w:val="15"/>
          <w:szCs w:val="15"/>
        </w:rPr>
      </w:pPr>
      <w:r w:rsidRPr="00BA0B27">
        <w:rPr>
          <w:rStyle w:val="FootnoteReference"/>
          <w:rFonts w:asciiTheme="minorBidi" w:hAnsiTheme="minorBidi" w:cstheme="minorBidi"/>
          <w:sz w:val="15"/>
          <w:szCs w:val="15"/>
        </w:rPr>
        <w:footnoteRef/>
      </w:r>
      <w:r w:rsidRPr="00BA0B27">
        <w:rPr>
          <w:rFonts w:asciiTheme="minorBidi" w:hAnsiTheme="minorBidi" w:cstheme="minorBidi"/>
          <w:sz w:val="15"/>
          <w:szCs w:val="15"/>
        </w:rPr>
        <w:t xml:space="preserve"> </w:t>
      </w:r>
      <w:r w:rsidRPr="00BA0B27">
        <w:rPr>
          <w:rStyle w:val="ItadfootnotestyleChar"/>
          <w:sz w:val="15"/>
          <w:szCs w:val="15"/>
        </w:rPr>
        <w:t xml:space="preserve">During the </w:t>
      </w:r>
      <w:r w:rsidR="00F27FA2" w:rsidRPr="00BA0B27">
        <w:rPr>
          <w:rStyle w:val="ItadfootnotestyleChar"/>
          <w:sz w:val="15"/>
          <w:szCs w:val="15"/>
        </w:rPr>
        <w:t>i</w:t>
      </w:r>
      <w:r w:rsidRPr="00BA0B27">
        <w:rPr>
          <w:rStyle w:val="ItadfootnotestyleChar"/>
          <w:sz w:val="15"/>
          <w:szCs w:val="15"/>
        </w:rPr>
        <w:t xml:space="preserve">nception </w:t>
      </w:r>
      <w:r w:rsidR="00F27FA2" w:rsidRPr="00BA0B27">
        <w:rPr>
          <w:rStyle w:val="ItadfootnotestyleChar"/>
          <w:sz w:val="15"/>
          <w:szCs w:val="15"/>
        </w:rPr>
        <w:t>p</w:t>
      </w:r>
      <w:r w:rsidRPr="00BA0B27">
        <w:rPr>
          <w:rStyle w:val="ItadfootnotestyleChar"/>
          <w:sz w:val="15"/>
          <w:szCs w:val="15"/>
        </w:rPr>
        <w:t>hase, UN Women agreed to focus on two themes</w:t>
      </w:r>
      <w:r w:rsidR="009F4F54" w:rsidRPr="00BA0B27">
        <w:rPr>
          <w:rStyle w:val="ItadfootnotestyleChar"/>
          <w:sz w:val="15"/>
          <w:szCs w:val="15"/>
        </w:rPr>
        <w:t xml:space="preserve"> –</w:t>
      </w:r>
      <w:r w:rsidRPr="00BA0B27">
        <w:rPr>
          <w:rStyle w:val="ItadfootnotestyleChar"/>
          <w:sz w:val="15"/>
          <w:szCs w:val="15"/>
        </w:rPr>
        <w:t xml:space="preserve"> Knowledge and Learning and Social Norms and Behaviour Change </w:t>
      </w:r>
      <w:r w:rsidR="009F4F54" w:rsidRPr="00BA0B27">
        <w:rPr>
          <w:rStyle w:val="ItadfootnotestyleChar"/>
          <w:sz w:val="15"/>
          <w:szCs w:val="15"/>
        </w:rPr>
        <w:t xml:space="preserve">– </w:t>
      </w:r>
      <w:r w:rsidRPr="00BA0B27">
        <w:rPr>
          <w:rStyle w:val="ItadfootnotestyleChar"/>
          <w:sz w:val="15"/>
          <w:szCs w:val="15"/>
        </w:rPr>
        <w:t>and to drop the one on Policies and Advocacy.</w:t>
      </w:r>
    </w:p>
  </w:footnote>
  <w:footnote w:id="66">
    <w:p w14:paraId="3379BE64" w14:textId="77777777" w:rsidR="006F2F6D" w:rsidRPr="00BA0B27" w:rsidRDefault="006F2F6D" w:rsidP="006F2F6D">
      <w:pPr>
        <w:pStyle w:val="FootnoteText"/>
        <w:rPr>
          <w:sz w:val="15"/>
          <w:szCs w:val="15"/>
          <w:lang w:val="en-US"/>
        </w:rPr>
      </w:pPr>
      <w:r w:rsidRPr="00BA0B27">
        <w:rPr>
          <w:rStyle w:val="FootnoteReference"/>
          <w:sz w:val="15"/>
          <w:szCs w:val="15"/>
        </w:rPr>
        <w:footnoteRef/>
      </w:r>
      <w:r w:rsidRPr="00BA0B27">
        <w:rPr>
          <w:sz w:val="15"/>
          <w:szCs w:val="15"/>
        </w:rPr>
        <w:t xml:space="preserve"> RWAMREC: A local NGO created in 2006 to respond to an existing need for mechanisms and strategies to fight inequalities between men and women that proved to trigger GBV</w:t>
      </w:r>
      <w:r w:rsidR="009F4F54" w:rsidRPr="00BA0B27">
        <w:rPr>
          <w:sz w:val="15"/>
          <w:szCs w:val="15"/>
        </w:rPr>
        <w:t>.</w:t>
      </w:r>
    </w:p>
  </w:footnote>
  <w:footnote w:id="67">
    <w:p w14:paraId="6089CDC7" w14:textId="77777777" w:rsidR="006F2F6D" w:rsidRPr="00BA0B27" w:rsidRDefault="006F2F6D" w:rsidP="006F2F6D">
      <w:pPr>
        <w:pStyle w:val="FootnoteText"/>
        <w:rPr>
          <w:sz w:val="15"/>
          <w:szCs w:val="15"/>
          <w:lang w:val="en-US"/>
        </w:rPr>
      </w:pPr>
      <w:r w:rsidRPr="00BA0B27">
        <w:rPr>
          <w:rStyle w:val="FootnoteReference"/>
          <w:sz w:val="15"/>
          <w:szCs w:val="15"/>
        </w:rPr>
        <w:footnoteRef/>
      </w:r>
      <w:r w:rsidRPr="00BA0B27">
        <w:rPr>
          <w:sz w:val="15"/>
          <w:szCs w:val="15"/>
        </w:rPr>
        <w:t xml:space="preserve"> </w:t>
      </w:r>
      <w:proofErr w:type="spellStart"/>
      <w:r w:rsidRPr="00BA0B27">
        <w:rPr>
          <w:sz w:val="15"/>
          <w:szCs w:val="15"/>
        </w:rPr>
        <w:t>Sonke</w:t>
      </w:r>
      <w:proofErr w:type="spellEnd"/>
      <w:r w:rsidRPr="00BA0B27">
        <w:rPr>
          <w:sz w:val="15"/>
          <w:szCs w:val="15"/>
        </w:rPr>
        <w:t xml:space="preserve"> Gender Justice: A South African-based non-profit organisation, established in 2006, that works throughout Africa. It aims to strengthen the capacity of governments, civil </w:t>
      </w:r>
      <w:proofErr w:type="gramStart"/>
      <w:r w:rsidRPr="00BA0B27">
        <w:rPr>
          <w:sz w:val="15"/>
          <w:szCs w:val="15"/>
        </w:rPr>
        <w:t>society</w:t>
      </w:r>
      <w:proofErr w:type="gramEnd"/>
      <w:r w:rsidRPr="00BA0B27">
        <w:rPr>
          <w:sz w:val="15"/>
          <w:szCs w:val="15"/>
        </w:rPr>
        <w:t xml:space="preserve"> and citizens to advance gender justice and women’s rights, prevent GBV and reduce the spread of HIV and the impact of AIDS, and in this way contribute to social justice and the elimination of poverty</w:t>
      </w:r>
      <w:r w:rsidR="009F4F54" w:rsidRPr="00BA0B27">
        <w:rPr>
          <w:sz w:val="15"/>
          <w:szCs w:val="15"/>
        </w:rPr>
        <w:t>.</w:t>
      </w:r>
    </w:p>
  </w:footnote>
  <w:footnote w:id="68">
    <w:p w14:paraId="21A84820" w14:textId="77777777" w:rsidR="006F2F6D" w:rsidRPr="00BA0B27" w:rsidRDefault="006F2F6D" w:rsidP="006F2F6D">
      <w:pPr>
        <w:pStyle w:val="FootnoteText"/>
        <w:rPr>
          <w:sz w:val="15"/>
          <w:szCs w:val="15"/>
          <w:lang w:val="en-US"/>
        </w:rPr>
      </w:pPr>
      <w:r w:rsidRPr="00BA0B27">
        <w:rPr>
          <w:rStyle w:val="FootnoteReference"/>
          <w:sz w:val="15"/>
          <w:szCs w:val="15"/>
        </w:rPr>
        <w:footnoteRef/>
      </w:r>
      <w:r w:rsidRPr="00BA0B27">
        <w:rPr>
          <w:sz w:val="15"/>
          <w:szCs w:val="15"/>
        </w:rPr>
        <w:t xml:space="preserve"> The </w:t>
      </w:r>
      <w:proofErr w:type="spellStart"/>
      <w:r w:rsidRPr="00BA0B27">
        <w:rPr>
          <w:sz w:val="15"/>
          <w:szCs w:val="15"/>
        </w:rPr>
        <w:t>MenEngage</w:t>
      </w:r>
      <w:proofErr w:type="spellEnd"/>
      <w:r w:rsidRPr="00BA0B27">
        <w:rPr>
          <w:sz w:val="15"/>
          <w:szCs w:val="15"/>
        </w:rPr>
        <w:t xml:space="preserve"> Alliance: A global alliance made up of several networks spread across the world, comprising NGOs as well as UN partners. Through its country-level and regional networks, </w:t>
      </w:r>
      <w:proofErr w:type="spellStart"/>
      <w:r w:rsidRPr="00BA0B27">
        <w:rPr>
          <w:sz w:val="15"/>
          <w:szCs w:val="15"/>
        </w:rPr>
        <w:t>MenEngage</w:t>
      </w:r>
      <w:proofErr w:type="spellEnd"/>
      <w:r w:rsidRPr="00BA0B27">
        <w:rPr>
          <w:sz w:val="15"/>
          <w:szCs w:val="15"/>
        </w:rPr>
        <w:t xml:space="preserve"> seeks to provide a collective voice on the need to engage men and boys in gender equality policymaking and programming</w:t>
      </w:r>
      <w:r w:rsidR="009F4F54" w:rsidRPr="00BA0B27">
        <w:rPr>
          <w:sz w:val="15"/>
          <w:szCs w:val="15"/>
        </w:rPr>
        <w:t>.</w:t>
      </w:r>
    </w:p>
  </w:footnote>
  <w:footnote w:id="69">
    <w:p w14:paraId="4FE3BEA1" w14:textId="77777777" w:rsidR="006F2F6D" w:rsidRPr="00BA0B27" w:rsidRDefault="006F2F6D" w:rsidP="006F2F6D">
      <w:pPr>
        <w:pStyle w:val="FootnoteText"/>
        <w:rPr>
          <w:sz w:val="15"/>
          <w:szCs w:val="15"/>
          <w:lang w:val="en-US"/>
        </w:rPr>
      </w:pPr>
      <w:r w:rsidRPr="00BA0B27">
        <w:rPr>
          <w:rStyle w:val="FootnoteReference"/>
          <w:sz w:val="15"/>
          <w:szCs w:val="15"/>
        </w:rPr>
        <w:footnoteRef/>
      </w:r>
      <w:r w:rsidRPr="00BA0B27">
        <w:rPr>
          <w:sz w:val="15"/>
          <w:szCs w:val="15"/>
        </w:rPr>
        <w:t xml:space="preserve"> See Annex 6 for list of documents reviewed</w:t>
      </w:r>
      <w:r w:rsidR="009F4F54" w:rsidRPr="00BA0B27">
        <w:rPr>
          <w:sz w:val="15"/>
          <w:szCs w:val="15"/>
        </w:rPr>
        <w:t>; the list</w:t>
      </w:r>
      <w:r w:rsidRPr="00BA0B27">
        <w:rPr>
          <w:sz w:val="15"/>
          <w:szCs w:val="15"/>
        </w:rPr>
        <w:t xml:space="preserve"> will be continuously updated as additional reports are consulted. Based on the in-depth desk review, the team has produced several annexes to organise the information and carry out the analysis</w:t>
      </w:r>
      <w:r w:rsidR="009F4F54" w:rsidRPr="00BA0B27">
        <w:rPr>
          <w:sz w:val="15"/>
          <w:szCs w:val="15"/>
        </w:rPr>
        <w:t>,</w:t>
      </w:r>
      <w:r w:rsidRPr="00BA0B27">
        <w:rPr>
          <w:sz w:val="15"/>
          <w:szCs w:val="15"/>
        </w:rPr>
        <w:t xml:space="preserve"> which include (</w:t>
      </w:r>
      <w:proofErr w:type="spellStart"/>
      <w:r w:rsidRPr="00BA0B27">
        <w:rPr>
          <w:sz w:val="15"/>
          <w:szCs w:val="15"/>
        </w:rPr>
        <w:t>i</w:t>
      </w:r>
      <w:proofErr w:type="spellEnd"/>
      <w:r w:rsidRPr="00BA0B27">
        <w:rPr>
          <w:sz w:val="15"/>
          <w:szCs w:val="15"/>
        </w:rPr>
        <w:t>) Targets/Outputs/Country/Year (Annexes 2, 3 and 4), (ii) list of CBOs funded in Phases I and II (Annex 7), (iii) the selection process of CBOs Phases I and II (Annex 8), (iv) mapping of the MWGE support to policies and institutions (Annex 9), (v) mapping of the knowledge products (Annex 10), and mapping of Mass Communications Campaign (Annex 11).</w:t>
      </w:r>
    </w:p>
  </w:footnote>
  <w:footnote w:id="70">
    <w:p w14:paraId="6F14F982" w14:textId="77777777" w:rsidR="00D9050C" w:rsidRPr="001F7344" w:rsidRDefault="00D9050C">
      <w:pPr>
        <w:pStyle w:val="FootnoteText"/>
        <w:rPr>
          <w:sz w:val="15"/>
          <w:szCs w:val="15"/>
          <w:lang w:val="en-US"/>
        </w:rPr>
      </w:pPr>
      <w:r w:rsidRPr="00BA0B27">
        <w:rPr>
          <w:rStyle w:val="FootnoteReference"/>
          <w:sz w:val="15"/>
          <w:szCs w:val="15"/>
        </w:rPr>
        <w:footnoteRef/>
      </w:r>
      <w:r w:rsidRPr="00BA0B27">
        <w:rPr>
          <w:sz w:val="15"/>
          <w:szCs w:val="15"/>
        </w:rPr>
        <w:t xml:space="preserve"> Please note that we are missing final numbers from Tunisia and Morocco as we did follow up interviews – final numbers will be in next version</w:t>
      </w:r>
    </w:p>
  </w:footnote>
  <w:footnote w:id="71">
    <w:p w14:paraId="12B4D3F6" w14:textId="77777777" w:rsidR="006F2F6D" w:rsidRPr="00B31A69" w:rsidRDefault="006F2F6D" w:rsidP="006F2F6D">
      <w:pPr>
        <w:pStyle w:val="FootnoteText"/>
        <w:rPr>
          <w:lang w:val="en-US"/>
        </w:rPr>
      </w:pPr>
      <w:r w:rsidRPr="001F7344">
        <w:rPr>
          <w:rStyle w:val="FootnoteReference"/>
          <w:sz w:val="15"/>
          <w:szCs w:val="15"/>
        </w:rPr>
        <w:footnoteRef/>
      </w:r>
      <w:r w:rsidRPr="001F7344">
        <w:rPr>
          <w:sz w:val="15"/>
          <w:szCs w:val="15"/>
        </w:rPr>
        <w:t xml:space="preserve"> </w:t>
      </w:r>
      <w:r w:rsidRPr="001F7344">
        <w:rPr>
          <w:sz w:val="15"/>
          <w:szCs w:val="15"/>
          <w:lang w:val="en-US"/>
        </w:rPr>
        <w:t>These were conducted in both Gaza and the West Bank</w:t>
      </w:r>
      <w:r w:rsidR="00E045AE" w:rsidRPr="001F7344">
        <w:rPr>
          <w:sz w:val="15"/>
          <w:szCs w:val="15"/>
          <w:lang w:val="en-US"/>
        </w:rPr>
        <w:t>.</w:t>
      </w:r>
    </w:p>
  </w:footnote>
  <w:footnote w:id="72">
    <w:p w14:paraId="3E342EDA" w14:textId="77777777" w:rsidR="006F2F6D" w:rsidRPr="00E65EAA" w:rsidRDefault="006F2F6D" w:rsidP="00AD6881">
      <w:pPr>
        <w:pStyle w:val="FootnoteText"/>
        <w:rPr>
          <w:sz w:val="15"/>
          <w:szCs w:val="15"/>
          <w:lang w:val="en-US"/>
        </w:rPr>
      </w:pPr>
      <w:r w:rsidRPr="00E65EAA">
        <w:rPr>
          <w:rStyle w:val="FootnoteReference"/>
          <w:sz w:val="15"/>
          <w:szCs w:val="15"/>
        </w:rPr>
        <w:footnoteRef/>
      </w:r>
      <w:r w:rsidRPr="00E65EAA">
        <w:rPr>
          <w:sz w:val="15"/>
          <w:szCs w:val="15"/>
        </w:rPr>
        <w:t xml:space="preserve"> </w:t>
      </w:r>
      <w:proofErr w:type="spellStart"/>
      <w:r w:rsidRPr="00E65EAA">
        <w:rPr>
          <w:sz w:val="15"/>
          <w:szCs w:val="15"/>
        </w:rPr>
        <w:t>Tarazi</w:t>
      </w:r>
      <w:proofErr w:type="spellEnd"/>
      <w:r w:rsidRPr="00E65EAA">
        <w:rPr>
          <w:sz w:val="15"/>
          <w:szCs w:val="15"/>
        </w:rPr>
        <w:t>, R (2017) Men and Women for Gender Equality, Mid-Term Review Report</w:t>
      </w:r>
      <w:r w:rsidR="00AD6881" w:rsidRPr="00E65EAA">
        <w:rPr>
          <w:sz w:val="15"/>
          <w:szCs w:val="15"/>
        </w:rPr>
        <w:t>.</w:t>
      </w:r>
    </w:p>
  </w:footnote>
  <w:footnote w:id="73">
    <w:p w14:paraId="72F63AA8" w14:textId="77777777" w:rsidR="009603BB" w:rsidRPr="00E65EAA" w:rsidRDefault="009603BB">
      <w:pPr>
        <w:pStyle w:val="FootnoteText"/>
        <w:rPr>
          <w:sz w:val="15"/>
          <w:szCs w:val="15"/>
          <w:lang w:val="en-US"/>
        </w:rPr>
      </w:pPr>
      <w:r w:rsidRPr="00E65EAA">
        <w:rPr>
          <w:rStyle w:val="FootnoteReference"/>
          <w:sz w:val="15"/>
          <w:szCs w:val="15"/>
        </w:rPr>
        <w:footnoteRef/>
      </w:r>
      <w:r w:rsidRPr="00E65EAA">
        <w:rPr>
          <w:sz w:val="15"/>
          <w:szCs w:val="15"/>
        </w:rPr>
        <w:t xml:space="preserve"> </w:t>
      </w:r>
      <w:r w:rsidR="00DE6067" w:rsidRPr="00E65EAA">
        <w:rPr>
          <w:sz w:val="15"/>
          <w:szCs w:val="15"/>
        </w:rPr>
        <w:t>UN Women (2022) Quantitative Evaluation of Community-Based Interventions in Egypt, Lebanon, Morocco, and Palestine</w:t>
      </w:r>
    </w:p>
  </w:footnote>
  <w:footnote w:id="74">
    <w:p w14:paraId="6B353A96" w14:textId="77777777" w:rsidR="006F2F6D" w:rsidRDefault="006F2F6D" w:rsidP="00AD6881">
      <w:pPr>
        <w:pStyle w:val="FootnoteText"/>
      </w:pPr>
      <w:r w:rsidRPr="00E65EAA">
        <w:rPr>
          <w:rStyle w:val="FootnoteReference"/>
          <w:sz w:val="15"/>
          <w:szCs w:val="15"/>
        </w:rPr>
        <w:footnoteRef/>
      </w:r>
      <w:r w:rsidRPr="00E65EAA">
        <w:rPr>
          <w:sz w:val="15"/>
          <w:szCs w:val="15"/>
        </w:rPr>
        <w:t xml:space="preserve"> According to UN Women (2022)</w:t>
      </w:r>
      <w:r w:rsidRPr="00E65EAA">
        <w:rPr>
          <w:sz w:val="15"/>
          <w:szCs w:val="15"/>
          <w:lang w:val="en-CA" w:eastAsia="en-CA"/>
        </w:rPr>
        <w:t xml:space="preserve"> Quantitative Evaluation of Community-Based Interventions in Egypt, Lebanon, Morocco, and Palestine. UN Women’s Regional Programme ‘Men and Women for Gender Equality – Phase II’, February 2022</w:t>
      </w:r>
      <w:r w:rsidR="00AD6881" w:rsidRPr="00E65EAA">
        <w:rPr>
          <w:sz w:val="15"/>
          <w:szCs w:val="15"/>
          <w:lang w:val="en-CA" w:eastAsia="en-CA"/>
        </w:rPr>
        <w:t>.</w:t>
      </w:r>
      <w:r w:rsidRPr="00E65EAA">
        <w:rPr>
          <w:sz w:val="15"/>
          <w:szCs w:val="15"/>
          <w:lang w:val="en-CA" w:eastAsia="en-CA"/>
        </w:rPr>
        <w:t xml:space="preserve"> </w:t>
      </w:r>
      <w:r w:rsidRPr="00E65EAA">
        <w:rPr>
          <w:sz w:val="15"/>
          <w:szCs w:val="15"/>
        </w:rPr>
        <w:t>p. 14</w:t>
      </w:r>
      <w:r w:rsidR="00AD6881" w:rsidRPr="00E65EAA">
        <w:rPr>
          <w:sz w:val="15"/>
          <w:szCs w:val="15"/>
        </w:rPr>
        <w:t>:</w:t>
      </w:r>
      <w:r w:rsidRPr="00E65EAA">
        <w:rPr>
          <w:sz w:val="15"/>
          <w:szCs w:val="15"/>
        </w:rPr>
        <w:t xml:space="preserve"> in Egypt </w:t>
      </w:r>
      <w:r w:rsidR="00AD6881" w:rsidRPr="00E65EAA">
        <w:rPr>
          <w:sz w:val="15"/>
          <w:szCs w:val="15"/>
        </w:rPr>
        <w:t>‘</w:t>
      </w:r>
      <w:r w:rsidRPr="00E65EAA">
        <w:rPr>
          <w:rFonts w:cs="Calibri"/>
          <w:sz w:val="15"/>
          <w:szCs w:val="15"/>
          <w:lang w:eastAsia="en-CA"/>
        </w:rPr>
        <w:t>the sample size was small due to the fact that some CBOs changed their intervention areas and targeted groups as a direct result of the Covid-19 pandemic</w:t>
      </w:r>
      <w:r w:rsidR="00AD6881" w:rsidRPr="00E65EAA">
        <w:rPr>
          <w:rFonts w:cs="Calibri"/>
          <w:sz w:val="15"/>
          <w:szCs w:val="15"/>
          <w:lang w:eastAsia="en-CA"/>
        </w:rPr>
        <w:t>’</w:t>
      </w:r>
      <w:r w:rsidRPr="00E65EAA">
        <w:rPr>
          <w:rFonts w:cs="Calibri"/>
          <w:sz w:val="15"/>
          <w:szCs w:val="15"/>
          <w:lang w:eastAsia="en-CA"/>
        </w:rPr>
        <w:t>.</w:t>
      </w:r>
    </w:p>
  </w:footnote>
  <w:footnote w:id="75">
    <w:p w14:paraId="74157A8F" w14:textId="77777777" w:rsidR="00B55CE5" w:rsidRPr="00E65EAA" w:rsidRDefault="00B55CE5">
      <w:pPr>
        <w:pStyle w:val="FootnoteText"/>
        <w:rPr>
          <w:sz w:val="15"/>
          <w:szCs w:val="15"/>
        </w:rPr>
      </w:pPr>
      <w:r w:rsidRPr="00E65EAA">
        <w:rPr>
          <w:rStyle w:val="FootnoteReference"/>
          <w:sz w:val="15"/>
          <w:szCs w:val="15"/>
        </w:rPr>
        <w:footnoteRef/>
      </w:r>
      <w:r w:rsidRPr="00E65EAA">
        <w:rPr>
          <w:sz w:val="15"/>
          <w:szCs w:val="15"/>
        </w:rPr>
        <w:t xml:space="preserve"> </w:t>
      </w:r>
      <w:r w:rsidR="00486403" w:rsidRPr="00E65EAA">
        <w:rPr>
          <w:sz w:val="15"/>
          <w:szCs w:val="15"/>
        </w:rPr>
        <w:t>Feedback gained in review phase from Egypt CO</w:t>
      </w:r>
    </w:p>
  </w:footnote>
  <w:footnote w:id="76">
    <w:p w14:paraId="770BB9B4" w14:textId="77777777" w:rsidR="006F2F6D" w:rsidRPr="00E65EAA" w:rsidRDefault="006F2F6D" w:rsidP="00AD6881">
      <w:pPr>
        <w:pStyle w:val="FootnoteText"/>
        <w:rPr>
          <w:sz w:val="15"/>
          <w:szCs w:val="15"/>
        </w:rPr>
      </w:pPr>
      <w:r w:rsidRPr="00E65EAA">
        <w:rPr>
          <w:rStyle w:val="FootnoteReference"/>
          <w:sz w:val="15"/>
          <w:szCs w:val="15"/>
        </w:rPr>
        <w:footnoteRef/>
      </w:r>
      <w:r w:rsidRPr="00E65EAA">
        <w:rPr>
          <w:sz w:val="15"/>
          <w:szCs w:val="15"/>
        </w:rPr>
        <w:t xml:space="preserve"> KII</w:t>
      </w:r>
      <w:r w:rsidR="00CB1BF6" w:rsidRPr="00E65EAA">
        <w:rPr>
          <w:sz w:val="15"/>
          <w:szCs w:val="15"/>
        </w:rPr>
        <w:t xml:space="preserve"> 21, KII 33</w:t>
      </w:r>
    </w:p>
  </w:footnote>
  <w:footnote w:id="77">
    <w:p w14:paraId="17E0350A" w14:textId="77777777" w:rsidR="006F2F6D" w:rsidRPr="00E65EAA" w:rsidRDefault="006F2F6D" w:rsidP="00AD6881">
      <w:pPr>
        <w:pStyle w:val="FootnoteText"/>
        <w:rPr>
          <w:sz w:val="15"/>
          <w:szCs w:val="15"/>
        </w:rPr>
      </w:pPr>
      <w:r w:rsidRPr="00E65EAA">
        <w:rPr>
          <w:rStyle w:val="FootnoteReference"/>
          <w:sz w:val="15"/>
          <w:szCs w:val="15"/>
        </w:rPr>
        <w:footnoteRef/>
      </w:r>
      <w:r w:rsidRPr="00E65EAA">
        <w:rPr>
          <w:sz w:val="15"/>
          <w:szCs w:val="15"/>
        </w:rPr>
        <w:t xml:space="preserve"> Communication </w:t>
      </w:r>
      <w:r w:rsidR="00C61D67" w:rsidRPr="00E65EAA">
        <w:rPr>
          <w:sz w:val="15"/>
          <w:szCs w:val="15"/>
        </w:rPr>
        <w:t xml:space="preserve">with UN Women </w:t>
      </w:r>
      <w:r w:rsidRPr="00E65EAA">
        <w:rPr>
          <w:sz w:val="15"/>
          <w:szCs w:val="15"/>
        </w:rPr>
        <w:t xml:space="preserve">during </w:t>
      </w:r>
      <w:r w:rsidR="00C61D67" w:rsidRPr="00E65EAA">
        <w:rPr>
          <w:sz w:val="15"/>
          <w:szCs w:val="15"/>
        </w:rPr>
        <w:t>p</w:t>
      </w:r>
      <w:r w:rsidRPr="00E65EAA">
        <w:rPr>
          <w:sz w:val="15"/>
          <w:szCs w:val="15"/>
        </w:rPr>
        <w:t>resentation</w:t>
      </w:r>
      <w:r w:rsidR="00C61D67" w:rsidRPr="00E65EAA">
        <w:rPr>
          <w:sz w:val="15"/>
          <w:szCs w:val="15"/>
        </w:rPr>
        <w:t xml:space="preserve"> to UN Women</w:t>
      </w:r>
      <w:r w:rsidR="001520D7" w:rsidRPr="00E65EAA">
        <w:rPr>
          <w:sz w:val="15"/>
          <w:szCs w:val="15"/>
        </w:rPr>
        <w:t xml:space="preserve"> Lebanon CO</w:t>
      </w:r>
      <w:r w:rsidRPr="00E65EAA">
        <w:rPr>
          <w:sz w:val="15"/>
          <w:szCs w:val="15"/>
        </w:rPr>
        <w:t>.</w:t>
      </w:r>
    </w:p>
  </w:footnote>
  <w:footnote w:id="78">
    <w:p w14:paraId="0F5F83D9" w14:textId="77777777" w:rsidR="006F2F6D" w:rsidRPr="00E65EAA" w:rsidRDefault="006F2F6D" w:rsidP="00AD6881">
      <w:pPr>
        <w:pStyle w:val="FootnoteText"/>
        <w:rPr>
          <w:sz w:val="15"/>
          <w:szCs w:val="15"/>
        </w:rPr>
      </w:pPr>
      <w:r w:rsidRPr="00E65EAA">
        <w:rPr>
          <w:rStyle w:val="FootnoteReference"/>
          <w:sz w:val="15"/>
          <w:szCs w:val="15"/>
        </w:rPr>
        <w:footnoteRef/>
      </w:r>
      <w:r w:rsidRPr="00E65EAA">
        <w:rPr>
          <w:sz w:val="15"/>
          <w:szCs w:val="15"/>
        </w:rPr>
        <w:t xml:space="preserve"> KII </w:t>
      </w:r>
      <w:r w:rsidR="00C160E0" w:rsidRPr="00E65EAA">
        <w:rPr>
          <w:sz w:val="15"/>
          <w:szCs w:val="15"/>
        </w:rPr>
        <w:t>100</w:t>
      </w:r>
    </w:p>
  </w:footnote>
  <w:footnote w:id="79">
    <w:p w14:paraId="5E51CCAF" w14:textId="77777777" w:rsidR="006F2F6D" w:rsidRPr="00E72882" w:rsidRDefault="006F2F6D" w:rsidP="00AD6881">
      <w:pPr>
        <w:pStyle w:val="FootnoteText"/>
      </w:pPr>
      <w:r w:rsidRPr="00E65EAA">
        <w:rPr>
          <w:rStyle w:val="FootnoteReference"/>
          <w:sz w:val="15"/>
          <w:szCs w:val="15"/>
        </w:rPr>
        <w:footnoteRef/>
      </w:r>
      <w:r w:rsidRPr="00E65EAA">
        <w:rPr>
          <w:sz w:val="15"/>
          <w:szCs w:val="15"/>
        </w:rPr>
        <w:t xml:space="preserve"> KII </w:t>
      </w:r>
      <w:r w:rsidR="002D404B" w:rsidRPr="00E65EAA">
        <w:rPr>
          <w:sz w:val="15"/>
          <w:szCs w:val="15"/>
        </w:rPr>
        <w:t>63</w:t>
      </w:r>
    </w:p>
  </w:footnote>
  <w:footnote w:id="80">
    <w:p w14:paraId="03263FE7" w14:textId="77777777" w:rsidR="006F2F6D" w:rsidRPr="00E65EAA" w:rsidRDefault="006F2F6D" w:rsidP="00AD6881">
      <w:pPr>
        <w:pStyle w:val="FootnoteText"/>
        <w:rPr>
          <w:sz w:val="15"/>
          <w:szCs w:val="15"/>
        </w:rPr>
      </w:pPr>
      <w:r w:rsidRPr="00E65EAA">
        <w:rPr>
          <w:rStyle w:val="FootnoteReference"/>
          <w:sz w:val="15"/>
          <w:szCs w:val="15"/>
        </w:rPr>
        <w:footnoteRef/>
      </w:r>
      <w:r w:rsidRPr="00E65EAA">
        <w:rPr>
          <w:sz w:val="15"/>
          <w:szCs w:val="15"/>
        </w:rPr>
        <w:t xml:space="preserve"> KII </w:t>
      </w:r>
      <w:r w:rsidR="00854617" w:rsidRPr="00E65EAA">
        <w:rPr>
          <w:sz w:val="15"/>
          <w:szCs w:val="15"/>
        </w:rPr>
        <w:t>58</w:t>
      </w:r>
      <w:r w:rsidR="002F02BE" w:rsidRPr="00E65EAA">
        <w:rPr>
          <w:sz w:val="15"/>
          <w:szCs w:val="15"/>
        </w:rPr>
        <w:t>, KII</w:t>
      </w:r>
      <w:r w:rsidR="00B64D7D" w:rsidRPr="00E65EAA">
        <w:rPr>
          <w:sz w:val="15"/>
          <w:szCs w:val="15"/>
        </w:rPr>
        <w:t>76,</w:t>
      </w:r>
      <w:r w:rsidR="00CB1BF6" w:rsidRPr="00E65EAA">
        <w:rPr>
          <w:sz w:val="15"/>
          <w:szCs w:val="15"/>
        </w:rPr>
        <w:t xml:space="preserve"> KII </w:t>
      </w:r>
      <w:r w:rsidR="00B64D7D" w:rsidRPr="00E65EAA">
        <w:rPr>
          <w:sz w:val="15"/>
          <w:szCs w:val="15"/>
        </w:rPr>
        <w:t>77</w:t>
      </w:r>
    </w:p>
  </w:footnote>
  <w:footnote w:id="81">
    <w:p w14:paraId="6D6E2ABA" w14:textId="77777777" w:rsidR="0060422D" w:rsidRPr="00E65EAA" w:rsidRDefault="0060422D">
      <w:pPr>
        <w:pStyle w:val="FootnoteText"/>
        <w:rPr>
          <w:sz w:val="15"/>
          <w:szCs w:val="15"/>
          <w:lang w:val="en-US"/>
        </w:rPr>
      </w:pPr>
      <w:r w:rsidRPr="00E65EAA">
        <w:rPr>
          <w:rStyle w:val="FootnoteReference"/>
          <w:sz w:val="15"/>
          <w:szCs w:val="15"/>
        </w:rPr>
        <w:footnoteRef/>
      </w:r>
      <w:r w:rsidRPr="00E65EAA">
        <w:rPr>
          <w:sz w:val="15"/>
          <w:szCs w:val="15"/>
        </w:rPr>
        <w:t xml:space="preserve"> </w:t>
      </w:r>
      <w:r w:rsidRPr="00E65EAA">
        <w:rPr>
          <w:sz w:val="15"/>
          <w:szCs w:val="15"/>
          <w:lang w:val="en-US"/>
        </w:rPr>
        <w:t>UN Women (201</w:t>
      </w:r>
      <w:r w:rsidR="004D39BB" w:rsidRPr="00E65EAA">
        <w:rPr>
          <w:sz w:val="15"/>
          <w:szCs w:val="15"/>
          <w:lang w:val="en-US"/>
        </w:rPr>
        <w:t>9</w:t>
      </w:r>
      <w:r w:rsidRPr="00E65EAA">
        <w:rPr>
          <w:sz w:val="15"/>
          <w:szCs w:val="15"/>
          <w:lang w:val="en-US"/>
        </w:rPr>
        <w:t xml:space="preserve">) </w:t>
      </w:r>
      <w:r w:rsidRPr="00E65EAA">
        <w:rPr>
          <w:sz w:val="15"/>
          <w:szCs w:val="15"/>
        </w:rPr>
        <w:t>Men and Women for Gender Equality (Phase II) Application Pro Doc 2019-02-12</w:t>
      </w:r>
    </w:p>
  </w:footnote>
  <w:footnote w:id="82">
    <w:p w14:paraId="366A090D" w14:textId="77777777" w:rsidR="00325EF5" w:rsidRPr="00E65EAA" w:rsidRDefault="00325EF5">
      <w:pPr>
        <w:pStyle w:val="FootnoteText"/>
        <w:rPr>
          <w:sz w:val="15"/>
          <w:szCs w:val="15"/>
          <w:lang w:val="en-US"/>
        </w:rPr>
      </w:pPr>
      <w:r w:rsidRPr="00E65EAA">
        <w:rPr>
          <w:rStyle w:val="FootnoteReference"/>
          <w:sz w:val="15"/>
          <w:szCs w:val="15"/>
        </w:rPr>
        <w:footnoteRef/>
      </w:r>
      <w:r w:rsidRPr="00E65EAA">
        <w:rPr>
          <w:sz w:val="15"/>
          <w:szCs w:val="15"/>
        </w:rPr>
        <w:t xml:space="preserve"> </w:t>
      </w:r>
      <w:hyperlink r:id="rId16" w:history="1">
        <w:r w:rsidRPr="00E65EAA">
          <w:rPr>
            <w:rStyle w:val="Hyperlink"/>
            <w:sz w:val="15"/>
            <w:szCs w:val="15"/>
            <w:u w:val="none"/>
          </w:rPr>
          <w:t>https://www.un.org/en/events/pastevents/pdfs/Beijing_Declaration_and_Platform_for_Action.pdf</w:t>
        </w:r>
      </w:hyperlink>
    </w:p>
  </w:footnote>
  <w:footnote w:id="83">
    <w:p w14:paraId="1CE9FC49" w14:textId="77777777" w:rsidR="00EB083A" w:rsidRPr="00E65EAA" w:rsidRDefault="00EB083A" w:rsidP="00EB083A">
      <w:pPr>
        <w:pStyle w:val="FootnoteText"/>
        <w:rPr>
          <w:sz w:val="15"/>
          <w:szCs w:val="15"/>
        </w:rPr>
      </w:pPr>
      <w:r w:rsidRPr="00E65EAA">
        <w:rPr>
          <w:rStyle w:val="FootnoteReference"/>
          <w:sz w:val="15"/>
          <w:szCs w:val="15"/>
        </w:rPr>
        <w:footnoteRef/>
      </w:r>
      <w:r w:rsidRPr="00E65EAA">
        <w:rPr>
          <w:sz w:val="15"/>
          <w:szCs w:val="15"/>
        </w:rPr>
        <w:t xml:space="preserve"> Committee on the Elimination of Discrimination Against Women (CEDAW) - Contribution to the 2030 Sustainable Development Goals in response to a call for inputs by the High-Level Political Forum on Sustainable Development (HLPF) (2018).</w:t>
      </w:r>
    </w:p>
  </w:footnote>
  <w:footnote w:id="84">
    <w:p w14:paraId="578037B6" w14:textId="77777777" w:rsidR="00002CE7" w:rsidRPr="00E65EAA" w:rsidRDefault="00002CE7" w:rsidP="00002CE7">
      <w:pPr>
        <w:pStyle w:val="FootnoteText"/>
        <w:rPr>
          <w:sz w:val="15"/>
          <w:szCs w:val="15"/>
        </w:rPr>
      </w:pPr>
      <w:r w:rsidRPr="00E65EAA">
        <w:rPr>
          <w:rStyle w:val="FootnoteReference"/>
          <w:sz w:val="15"/>
          <w:szCs w:val="15"/>
        </w:rPr>
        <w:footnoteRef/>
      </w:r>
      <w:r w:rsidRPr="00E65EAA">
        <w:rPr>
          <w:sz w:val="15"/>
          <w:szCs w:val="15"/>
        </w:rPr>
        <w:t xml:space="preserve"> </w:t>
      </w:r>
      <w:hyperlink r:id="rId17" w:history="1">
        <w:r w:rsidRPr="00E65EAA">
          <w:rPr>
            <w:rStyle w:val="Hyperlink"/>
            <w:sz w:val="15"/>
            <w:szCs w:val="15"/>
            <w:u w:val="none"/>
          </w:rPr>
          <w:t>https://www.un.org/womenwatch/daw/csw/csw48/Thematic1.html</w:t>
        </w:r>
      </w:hyperlink>
    </w:p>
  </w:footnote>
  <w:footnote w:id="85">
    <w:p w14:paraId="6CE62DFC" w14:textId="77777777" w:rsidR="005B162D" w:rsidRPr="00E65EAA" w:rsidRDefault="005B162D" w:rsidP="005B162D">
      <w:pPr>
        <w:pStyle w:val="FootnoteText"/>
        <w:rPr>
          <w:sz w:val="15"/>
          <w:szCs w:val="15"/>
        </w:rPr>
      </w:pPr>
      <w:r w:rsidRPr="00E65EAA">
        <w:rPr>
          <w:rStyle w:val="FootnoteReference"/>
          <w:sz w:val="15"/>
          <w:szCs w:val="15"/>
        </w:rPr>
        <w:footnoteRef/>
      </w:r>
      <w:r w:rsidRPr="00E65EAA">
        <w:rPr>
          <w:sz w:val="15"/>
          <w:szCs w:val="15"/>
        </w:rPr>
        <w:t xml:space="preserve"> </w:t>
      </w:r>
      <w:hyperlink r:id="rId18" w:history="1">
        <w:r w:rsidRPr="00E65EAA">
          <w:rPr>
            <w:rStyle w:val="Hyperlink"/>
            <w:sz w:val="15"/>
            <w:szCs w:val="15"/>
            <w:u w:val="none"/>
          </w:rPr>
          <w:t>https://ap.ohchr.org/documents/dpage_e.aspx?si=A/HRC/RES/35/10</w:t>
        </w:r>
      </w:hyperlink>
    </w:p>
  </w:footnote>
  <w:footnote w:id="86">
    <w:p w14:paraId="557F19D3" w14:textId="77777777" w:rsidR="005F7290" w:rsidRPr="00E65EAA" w:rsidRDefault="005F7290">
      <w:pPr>
        <w:pStyle w:val="FootnoteText"/>
        <w:rPr>
          <w:sz w:val="15"/>
          <w:szCs w:val="15"/>
          <w:lang w:val="en-US"/>
        </w:rPr>
      </w:pPr>
      <w:r w:rsidRPr="00E65EAA">
        <w:rPr>
          <w:rStyle w:val="FootnoteReference"/>
          <w:sz w:val="15"/>
          <w:szCs w:val="15"/>
        </w:rPr>
        <w:footnoteRef/>
      </w:r>
      <w:r w:rsidRPr="00E65EAA">
        <w:rPr>
          <w:sz w:val="15"/>
          <w:szCs w:val="15"/>
        </w:rPr>
        <w:t xml:space="preserve"> Outcome 2: Women lead, participate </w:t>
      </w:r>
      <w:proofErr w:type="gramStart"/>
      <w:r w:rsidRPr="00E65EAA">
        <w:rPr>
          <w:sz w:val="15"/>
          <w:szCs w:val="15"/>
        </w:rPr>
        <w:t>in</w:t>
      </w:r>
      <w:proofErr w:type="gramEnd"/>
      <w:r w:rsidRPr="00E65EAA">
        <w:rPr>
          <w:sz w:val="15"/>
          <w:szCs w:val="15"/>
        </w:rPr>
        <w:t xml:space="preserve"> and benefit equally from governance systems, Outcome 3: Women have income security, decent work and economic autonomy, and Outcome 4: All women and girls live a life free from all forms of violence</w:t>
      </w:r>
    </w:p>
  </w:footnote>
  <w:footnote w:id="87">
    <w:p w14:paraId="080EA878" w14:textId="77777777" w:rsidR="005F7290" w:rsidRPr="00E65EAA" w:rsidRDefault="005F7290" w:rsidP="005F7290">
      <w:pPr>
        <w:pStyle w:val="FootnoteText"/>
        <w:rPr>
          <w:sz w:val="15"/>
          <w:szCs w:val="15"/>
        </w:rPr>
      </w:pPr>
      <w:r w:rsidRPr="00E65EAA">
        <w:rPr>
          <w:rStyle w:val="FootnoteReference"/>
          <w:sz w:val="15"/>
          <w:szCs w:val="15"/>
        </w:rPr>
        <w:footnoteRef/>
      </w:r>
      <w:r w:rsidRPr="00E65EAA">
        <w:rPr>
          <w:sz w:val="15"/>
          <w:szCs w:val="15"/>
        </w:rPr>
        <w:t xml:space="preserve"> UN Women Strategic Plan 2022-25. p. 6.</w:t>
      </w:r>
    </w:p>
  </w:footnote>
  <w:footnote w:id="88">
    <w:p w14:paraId="3561BDE4" w14:textId="77777777" w:rsidR="007E5045" w:rsidRPr="00E65EAA" w:rsidRDefault="007E5045" w:rsidP="007E5045">
      <w:pPr>
        <w:pStyle w:val="FootnoteText"/>
        <w:rPr>
          <w:sz w:val="15"/>
          <w:szCs w:val="15"/>
        </w:rPr>
      </w:pPr>
      <w:r w:rsidRPr="00E65EAA">
        <w:rPr>
          <w:rStyle w:val="FootnoteReference"/>
          <w:sz w:val="15"/>
          <w:szCs w:val="15"/>
        </w:rPr>
        <w:footnoteRef/>
      </w:r>
      <w:r w:rsidRPr="00E65EAA">
        <w:rPr>
          <w:sz w:val="15"/>
          <w:szCs w:val="15"/>
        </w:rPr>
        <w:t xml:space="preserve"> United Nations Strategic Framework Egypt 2018-2022.</w:t>
      </w:r>
    </w:p>
  </w:footnote>
  <w:footnote w:id="89">
    <w:p w14:paraId="01BE9372" w14:textId="77777777" w:rsidR="007E5045" w:rsidRPr="00E65EAA" w:rsidRDefault="007E5045" w:rsidP="007E5045">
      <w:pPr>
        <w:pStyle w:val="FootnoteText"/>
        <w:rPr>
          <w:sz w:val="15"/>
          <w:szCs w:val="15"/>
        </w:rPr>
      </w:pPr>
      <w:r w:rsidRPr="00E65EAA">
        <w:rPr>
          <w:rStyle w:val="FootnoteReference"/>
          <w:sz w:val="15"/>
          <w:szCs w:val="15"/>
        </w:rPr>
        <w:footnoteRef/>
      </w:r>
      <w:r w:rsidRPr="00E65EAA">
        <w:rPr>
          <w:sz w:val="15"/>
          <w:szCs w:val="15"/>
        </w:rPr>
        <w:t xml:space="preserve"> United Nations Strategic development framework Jordan 2018-2022.</w:t>
      </w:r>
    </w:p>
  </w:footnote>
  <w:footnote w:id="90">
    <w:p w14:paraId="072B3810" w14:textId="77777777" w:rsidR="007E5045" w:rsidRPr="00E65EAA" w:rsidRDefault="007E5045" w:rsidP="007E5045">
      <w:pPr>
        <w:pStyle w:val="FootnoteText"/>
        <w:rPr>
          <w:sz w:val="15"/>
          <w:szCs w:val="15"/>
        </w:rPr>
      </w:pPr>
      <w:r w:rsidRPr="00E65EAA">
        <w:rPr>
          <w:rStyle w:val="FootnoteReference"/>
          <w:sz w:val="15"/>
          <w:szCs w:val="15"/>
        </w:rPr>
        <w:footnoteRef/>
      </w:r>
      <w:r w:rsidRPr="00E65EAA">
        <w:rPr>
          <w:sz w:val="15"/>
          <w:szCs w:val="15"/>
        </w:rPr>
        <w:t xml:space="preserve"> United Nations development assistance framework Morocco 2017–2021.</w:t>
      </w:r>
    </w:p>
  </w:footnote>
  <w:footnote w:id="91">
    <w:p w14:paraId="20126168" w14:textId="77777777" w:rsidR="007E5045" w:rsidRPr="00E65EAA" w:rsidRDefault="007E5045" w:rsidP="007E5045">
      <w:pPr>
        <w:pStyle w:val="FootnoteText"/>
        <w:rPr>
          <w:sz w:val="15"/>
          <w:szCs w:val="15"/>
          <w:lang w:val="fr-FR"/>
        </w:rPr>
      </w:pPr>
      <w:r w:rsidRPr="00E65EAA">
        <w:rPr>
          <w:rStyle w:val="FootnoteReference"/>
          <w:sz w:val="15"/>
          <w:szCs w:val="15"/>
        </w:rPr>
        <w:footnoteRef/>
      </w:r>
      <w:r w:rsidRPr="00E65EAA">
        <w:rPr>
          <w:sz w:val="15"/>
          <w:szCs w:val="15"/>
          <w:lang w:val="fr-FR"/>
        </w:rPr>
        <w:t xml:space="preserve"> Cadre de coopération des Nations Unies pour le développement durable (UNSDCF) pendant la période 2021-2025.</w:t>
      </w:r>
    </w:p>
  </w:footnote>
  <w:footnote w:id="92">
    <w:p w14:paraId="7C2FA7F6" w14:textId="77777777" w:rsidR="007E5045" w:rsidRPr="00E65EAA" w:rsidRDefault="007E5045" w:rsidP="007E5045">
      <w:pPr>
        <w:pStyle w:val="FootnoteText"/>
        <w:rPr>
          <w:sz w:val="15"/>
          <w:szCs w:val="15"/>
        </w:rPr>
      </w:pPr>
      <w:r w:rsidRPr="00E65EAA">
        <w:rPr>
          <w:rStyle w:val="FootnoteReference"/>
          <w:sz w:val="15"/>
          <w:szCs w:val="15"/>
        </w:rPr>
        <w:footnoteRef/>
      </w:r>
      <w:r w:rsidRPr="00E65EAA">
        <w:rPr>
          <w:sz w:val="15"/>
          <w:szCs w:val="15"/>
        </w:rPr>
        <w:t xml:space="preserve"> United Nations Strategic Framework (UNSF) Lebanon 2017-2020.</w:t>
      </w:r>
    </w:p>
  </w:footnote>
  <w:footnote w:id="93">
    <w:p w14:paraId="4B4B8D7A" w14:textId="77777777" w:rsidR="007E5045" w:rsidRPr="00E915EA" w:rsidRDefault="007E5045" w:rsidP="007E5045">
      <w:pPr>
        <w:pStyle w:val="FootnoteText"/>
      </w:pPr>
      <w:r w:rsidRPr="00E65EAA">
        <w:rPr>
          <w:rStyle w:val="FootnoteReference"/>
          <w:sz w:val="15"/>
          <w:szCs w:val="15"/>
        </w:rPr>
        <w:footnoteRef/>
      </w:r>
      <w:r w:rsidRPr="00E65EAA">
        <w:rPr>
          <w:sz w:val="15"/>
          <w:szCs w:val="15"/>
        </w:rPr>
        <w:t xml:space="preserve"> United Nations Development Assistance Framework State of Palestine 2018-2022.</w:t>
      </w:r>
    </w:p>
  </w:footnote>
  <w:footnote w:id="94">
    <w:p w14:paraId="2C7F625B"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Men and Women for Gender Equality. UN WOMEN ROAS. Regional Review Report 2021.</w:t>
      </w:r>
    </w:p>
  </w:footnote>
  <w:footnote w:id="95">
    <w:p w14:paraId="2DECF927"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Grieg, A </w:t>
      </w:r>
      <w:r w:rsidRPr="00E65EAA">
        <w:rPr>
          <w:i/>
          <w:iCs/>
          <w:sz w:val="15"/>
          <w:szCs w:val="15"/>
        </w:rPr>
        <w:t>et al</w:t>
      </w:r>
      <w:r w:rsidR="002979C5" w:rsidRPr="00E65EAA">
        <w:rPr>
          <w:i/>
          <w:iCs/>
          <w:sz w:val="15"/>
          <w:szCs w:val="15"/>
        </w:rPr>
        <w:t>.</w:t>
      </w:r>
      <w:r w:rsidRPr="00E65EAA">
        <w:rPr>
          <w:sz w:val="15"/>
          <w:szCs w:val="15"/>
        </w:rPr>
        <w:t xml:space="preserve"> (2021) Beyond Engaging Men: Review of and Recommendations for UN Women’s Gender Equality Work with Men and Boys: Briefing Note.</w:t>
      </w:r>
    </w:p>
  </w:footnote>
  <w:footnote w:id="96">
    <w:p w14:paraId="771F1A91"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Grieg, A and Flood, M (2020) Work </w:t>
      </w:r>
      <w:proofErr w:type="gramStart"/>
      <w:r w:rsidRPr="00E65EAA">
        <w:rPr>
          <w:sz w:val="15"/>
          <w:szCs w:val="15"/>
        </w:rPr>
        <w:t>With</w:t>
      </w:r>
      <w:proofErr w:type="gramEnd"/>
      <w:r w:rsidRPr="00E65EAA">
        <w:rPr>
          <w:sz w:val="15"/>
          <w:szCs w:val="15"/>
        </w:rPr>
        <w:t xml:space="preserve"> Men And Boys For Gender Equality: A Review Of Field Formation, The Evidence Base And Future Directions</w:t>
      </w:r>
      <w:r w:rsidR="002979C5" w:rsidRPr="00E65EAA">
        <w:rPr>
          <w:sz w:val="15"/>
          <w:szCs w:val="15"/>
        </w:rPr>
        <w:t>.</w:t>
      </w:r>
    </w:p>
  </w:footnote>
  <w:footnote w:id="97">
    <w:p w14:paraId="7F4B1EDD" w14:textId="77777777" w:rsidR="006F2F6D" w:rsidRPr="00E65EAA" w:rsidRDefault="006F2F6D" w:rsidP="00BD1475">
      <w:pPr>
        <w:pStyle w:val="FootnoteText"/>
        <w:rPr>
          <w:sz w:val="15"/>
          <w:szCs w:val="15"/>
        </w:rPr>
      </w:pPr>
      <w:r w:rsidRPr="00E65EAA">
        <w:rPr>
          <w:rStyle w:val="FootnoteReference"/>
          <w:sz w:val="15"/>
          <w:szCs w:val="15"/>
        </w:rPr>
        <w:footnoteRef/>
      </w:r>
      <w:r w:rsidRPr="00E65EAA">
        <w:rPr>
          <w:sz w:val="15"/>
          <w:szCs w:val="15"/>
        </w:rPr>
        <w:t xml:space="preserve"> KII </w:t>
      </w:r>
      <w:r w:rsidR="00E71384" w:rsidRPr="00E65EAA">
        <w:rPr>
          <w:sz w:val="15"/>
          <w:szCs w:val="15"/>
        </w:rPr>
        <w:t>5</w:t>
      </w:r>
    </w:p>
  </w:footnote>
  <w:footnote w:id="98">
    <w:p w14:paraId="7FEBFD97" w14:textId="77777777" w:rsidR="006F2F6D" w:rsidRPr="00E65EAA" w:rsidRDefault="006F2F6D" w:rsidP="00BD1475">
      <w:pPr>
        <w:pStyle w:val="FootnoteText"/>
        <w:rPr>
          <w:sz w:val="15"/>
          <w:szCs w:val="15"/>
        </w:rPr>
      </w:pPr>
      <w:r w:rsidRPr="00E65EAA">
        <w:rPr>
          <w:rStyle w:val="FootnoteReference"/>
          <w:sz w:val="15"/>
          <w:szCs w:val="15"/>
        </w:rPr>
        <w:footnoteRef/>
      </w:r>
      <w:r w:rsidRPr="00E65EAA">
        <w:rPr>
          <w:sz w:val="15"/>
          <w:szCs w:val="15"/>
        </w:rPr>
        <w:t xml:space="preserve"> Virtual Monitoring Report, Lebanon</w:t>
      </w:r>
      <w:r w:rsidR="007B5637" w:rsidRPr="00E65EAA">
        <w:rPr>
          <w:sz w:val="15"/>
          <w:szCs w:val="15"/>
        </w:rPr>
        <w:t>.</w:t>
      </w:r>
    </w:p>
  </w:footnote>
  <w:footnote w:id="99">
    <w:p w14:paraId="1B6C8D0F" w14:textId="77777777" w:rsidR="006F2F6D" w:rsidRPr="00E65EAA" w:rsidRDefault="006F2F6D" w:rsidP="00AD6881">
      <w:pPr>
        <w:pStyle w:val="FootnoteText"/>
        <w:rPr>
          <w:sz w:val="15"/>
          <w:szCs w:val="15"/>
        </w:rPr>
      </w:pPr>
      <w:r w:rsidRPr="00E65EAA">
        <w:rPr>
          <w:rStyle w:val="FootnoteReference"/>
          <w:sz w:val="15"/>
          <w:szCs w:val="15"/>
        </w:rPr>
        <w:footnoteRef/>
      </w:r>
      <w:r w:rsidRPr="00E65EAA">
        <w:rPr>
          <w:sz w:val="15"/>
          <w:szCs w:val="15"/>
        </w:rPr>
        <w:t xml:space="preserve"> </w:t>
      </w:r>
      <w:hyperlink r:id="rId19" w:history="1">
        <w:r w:rsidRPr="00E65EAA">
          <w:rPr>
            <w:rStyle w:val="Hyperlink"/>
            <w:sz w:val="15"/>
            <w:szCs w:val="15"/>
            <w:u w:val="none"/>
          </w:rPr>
          <w:t>https://arabstates.</w:t>
        </w:r>
        <w:r w:rsidRPr="00E65EAA">
          <w:rPr>
            <w:rStyle w:val="Hyperlink"/>
            <w:color w:val="3B3B3C"/>
            <w:sz w:val="15"/>
            <w:szCs w:val="15"/>
            <w:u w:val="none"/>
          </w:rPr>
          <w:t>unwomen</w:t>
        </w:r>
        <w:r w:rsidRPr="00E65EAA">
          <w:rPr>
            <w:rStyle w:val="Hyperlink"/>
            <w:sz w:val="15"/>
            <w:szCs w:val="15"/>
            <w:u w:val="none"/>
          </w:rPr>
          <w:t>.org/en/digital-library/publications/2020/08/charter-of-demands-lebanon</w:t>
        </w:r>
      </w:hyperlink>
      <w:r w:rsidRPr="00E65EAA">
        <w:rPr>
          <w:sz w:val="15"/>
          <w:szCs w:val="15"/>
        </w:rPr>
        <w:t xml:space="preserve"> </w:t>
      </w:r>
    </w:p>
  </w:footnote>
  <w:footnote w:id="100">
    <w:p w14:paraId="2E6C2E06" w14:textId="77777777" w:rsidR="002E3174" w:rsidRPr="00E65EAA" w:rsidRDefault="002E3174">
      <w:pPr>
        <w:pStyle w:val="FootnoteText"/>
        <w:rPr>
          <w:sz w:val="15"/>
          <w:szCs w:val="15"/>
          <w:lang w:val="en-US"/>
        </w:rPr>
      </w:pPr>
      <w:r w:rsidRPr="00E65EAA">
        <w:rPr>
          <w:rStyle w:val="FootnoteReference"/>
          <w:sz w:val="15"/>
          <w:szCs w:val="15"/>
        </w:rPr>
        <w:footnoteRef/>
      </w:r>
      <w:r w:rsidRPr="00E65EAA">
        <w:rPr>
          <w:sz w:val="15"/>
          <w:szCs w:val="15"/>
        </w:rPr>
        <w:t xml:space="preserve"> See al</w:t>
      </w:r>
      <w:r w:rsidR="008F04FA" w:rsidRPr="00E65EAA">
        <w:rPr>
          <w:sz w:val="15"/>
          <w:szCs w:val="15"/>
        </w:rPr>
        <w:t>so Palestine case study</w:t>
      </w:r>
    </w:p>
  </w:footnote>
  <w:footnote w:id="101">
    <w:p w14:paraId="072E7127" w14:textId="77777777" w:rsidR="00D52FCD" w:rsidRPr="00E65EAA" w:rsidRDefault="00D52FCD">
      <w:pPr>
        <w:pStyle w:val="FootnoteText"/>
        <w:rPr>
          <w:sz w:val="15"/>
          <w:szCs w:val="15"/>
          <w:lang w:val="en-US"/>
        </w:rPr>
      </w:pPr>
      <w:r w:rsidRPr="00E65EAA">
        <w:rPr>
          <w:rStyle w:val="FootnoteReference"/>
          <w:sz w:val="15"/>
          <w:szCs w:val="15"/>
        </w:rPr>
        <w:footnoteRef/>
      </w:r>
      <w:r w:rsidRPr="00E65EAA">
        <w:rPr>
          <w:sz w:val="15"/>
          <w:szCs w:val="15"/>
        </w:rPr>
        <w:t xml:space="preserve"> KII 58</w:t>
      </w:r>
    </w:p>
  </w:footnote>
  <w:footnote w:id="102">
    <w:p w14:paraId="1BB797E6" w14:textId="77777777" w:rsidR="006F2F6D" w:rsidRPr="00E65EAA" w:rsidRDefault="006F2F6D" w:rsidP="00BD1475">
      <w:pPr>
        <w:pStyle w:val="FootnoteText"/>
        <w:rPr>
          <w:sz w:val="15"/>
          <w:szCs w:val="15"/>
          <w:lang w:val="en-US"/>
        </w:rPr>
      </w:pPr>
      <w:r w:rsidRPr="00E65EAA">
        <w:rPr>
          <w:rStyle w:val="FootnoteReference"/>
          <w:sz w:val="15"/>
          <w:szCs w:val="15"/>
        </w:rPr>
        <w:footnoteRef/>
      </w:r>
      <w:r w:rsidRPr="00E65EAA">
        <w:rPr>
          <w:sz w:val="15"/>
          <w:szCs w:val="15"/>
        </w:rPr>
        <w:t xml:space="preserve"> </w:t>
      </w:r>
      <w:r w:rsidRPr="00E65EAA">
        <w:rPr>
          <w:sz w:val="15"/>
          <w:szCs w:val="15"/>
          <w:lang w:val="en-US"/>
        </w:rPr>
        <w:t xml:space="preserve">UN Women (2021) Virtual </w:t>
      </w:r>
      <w:r w:rsidRPr="00E65EAA">
        <w:rPr>
          <w:sz w:val="15"/>
          <w:szCs w:val="15"/>
        </w:rPr>
        <w:t>Monitoring</w:t>
      </w:r>
      <w:r w:rsidRPr="00E65EAA">
        <w:rPr>
          <w:sz w:val="15"/>
          <w:szCs w:val="15"/>
          <w:lang w:val="en-US"/>
        </w:rPr>
        <w:t xml:space="preserve"> Report Palestine, KII</w:t>
      </w:r>
      <w:r w:rsidR="00EC76B7" w:rsidRPr="00E65EAA">
        <w:rPr>
          <w:sz w:val="15"/>
          <w:szCs w:val="15"/>
          <w:lang w:val="en-US"/>
        </w:rPr>
        <w:t xml:space="preserve"> </w:t>
      </w:r>
      <w:r w:rsidR="00854617" w:rsidRPr="00E65EAA">
        <w:rPr>
          <w:sz w:val="15"/>
          <w:szCs w:val="15"/>
          <w:lang w:val="en-US"/>
        </w:rPr>
        <w:t>58</w:t>
      </w:r>
      <w:r w:rsidRPr="00E65EAA">
        <w:rPr>
          <w:sz w:val="15"/>
          <w:szCs w:val="15"/>
          <w:lang w:val="en-US"/>
        </w:rPr>
        <w:t xml:space="preserve"> </w:t>
      </w:r>
    </w:p>
  </w:footnote>
  <w:footnote w:id="103">
    <w:p w14:paraId="6D4B04E7" w14:textId="77777777" w:rsidR="006F2F6D" w:rsidRPr="006102B2" w:rsidRDefault="006F2F6D" w:rsidP="00BD1475">
      <w:pPr>
        <w:pStyle w:val="FootnoteText"/>
        <w:rPr>
          <w:lang w:val="en-US"/>
        </w:rPr>
      </w:pPr>
      <w:r w:rsidRPr="00E65EAA">
        <w:rPr>
          <w:rStyle w:val="FootnoteReference"/>
          <w:sz w:val="15"/>
          <w:szCs w:val="15"/>
        </w:rPr>
        <w:footnoteRef/>
      </w:r>
      <w:r w:rsidRPr="00E65EAA">
        <w:rPr>
          <w:sz w:val="15"/>
          <w:szCs w:val="15"/>
        </w:rPr>
        <w:t xml:space="preserve"> KII</w:t>
      </w:r>
      <w:r w:rsidRPr="00E65EAA">
        <w:rPr>
          <w:sz w:val="15"/>
          <w:szCs w:val="15"/>
          <w:lang w:val="en-US"/>
        </w:rPr>
        <w:t xml:space="preserve"> </w:t>
      </w:r>
      <w:r w:rsidR="00FB72D5" w:rsidRPr="00E65EAA">
        <w:rPr>
          <w:sz w:val="15"/>
          <w:szCs w:val="15"/>
          <w:lang w:val="en-US"/>
        </w:rPr>
        <w:t>74</w:t>
      </w:r>
    </w:p>
  </w:footnote>
  <w:footnote w:id="104">
    <w:p w14:paraId="72081484" w14:textId="77777777" w:rsidR="006F2F6D" w:rsidRPr="00E65EAA" w:rsidRDefault="006F2F6D" w:rsidP="00BD1475">
      <w:pPr>
        <w:pStyle w:val="FootnoteText"/>
        <w:rPr>
          <w:sz w:val="15"/>
          <w:szCs w:val="15"/>
          <w:lang w:val="en-US"/>
        </w:rPr>
      </w:pPr>
      <w:r w:rsidRPr="00E65EAA">
        <w:rPr>
          <w:rStyle w:val="FootnoteReference"/>
          <w:sz w:val="15"/>
          <w:szCs w:val="15"/>
        </w:rPr>
        <w:footnoteRef/>
      </w:r>
      <w:r w:rsidRPr="00E65EAA">
        <w:rPr>
          <w:sz w:val="15"/>
          <w:szCs w:val="15"/>
        </w:rPr>
        <w:t xml:space="preserve"> KII</w:t>
      </w:r>
      <w:r w:rsidR="00512E3E" w:rsidRPr="00E65EAA">
        <w:rPr>
          <w:sz w:val="15"/>
          <w:szCs w:val="15"/>
        </w:rPr>
        <w:t xml:space="preserve"> </w:t>
      </w:r>
      <w:r w:rsidR="001476BD" w:rsidRPr="00E65EAA">
        <w:rPr>
          <w:sz w:val="15"/>
          <w:szCs w:val="15"/>
        </w:rPr>
        <w:t xml:space="preserve">33, KII </w:t>
      </w:r>
      <w:r w:rsidR="00854617" w:rsidRPr="00E65EAA">
        <w:rPr>
          <w:sz w:val="15"/>
          <w:szCs w:val="15"/>
        </w:rPr>
        <w:t>57</w:t>
      </w:r>
    </w:p>
  </w:footnote>
  <w:footnote w:id="105">
    <w:p w14:paraId="3B07FCDF" w14:textId="77777777" w:rsidR="00F42880" w:rsidRPr="00E65EAA" w:rsidRDefault="00F42880">
      <w:pPr>
        <w:pStyle w:val="FootnoteText"/>
        <w:rPr>
          <w:sz w:val="15"/>
          <w:szCs w:val="15"/>
          <w:lang w:val="en-US"/>
        </w:rPr>
      </w:pPr>
      <w:r w:rsidRPr="00E65EAA">
        <w:rPr>
          <w:rStyle w:val="FootnoteReference"/>
          <w:sz w:val="15"/>
          <w:szCs w:val="15"/>
        </w:rPr>
        <w:footnoteRef/>
      </w:r>
      <w:r w:rsidRPr="00E65EAA">
        <w:rPr>
          <w:sz w:val="15"/>
          <w:szCs w:val="15"/>
        </w:rPr>
        <w:t xml:space="preserve"> </w:t>
      </w:r>
      <w:r w:rsidRPr="00E65EAA">
        <w:rPr>
          <w:sz w:val="15"/>
          <w:szCs w:val="15"/>
          <w:lang w:val="en-US"/>
        </w:rPr>
        <w:t xml:space="preserve">ROAS also led the negotiations with </w:t>
      </w:r>
      <w:proofErr w:type="spellStart"/>
      <w:r w:rsidRPr="00E65EAA">
        <w:rPr>
          <w:sz w:val="15"/>
          <w:szCs w:val="15"/>
          <w:lang w:val="en-US"/>
        </w:rPr>
        <w:t>Promundo</w:t>
      </w:r>
      <w:proofErr w:type="spellEnd"/>
      <w:r w:rsidRPr="00E65EAA">
        <w:rPr>
          <w:sz w:val="15"/>
          <w:szCs w:val="15"/>
          <w:lang w:val="en-US"/>
        </w:rPr>
        <w:t xml:space="preserve"> </w:t>
      </w:r>
      <w:r w:rsidR="007C0751" w:rsidRPr="00E65EAA">
        <w:rPr>
          <w:sz w:val="15"/>
          <w:szCs w:val="15"/>
        </w:rPr>
        <w:t>to end Program P, support in the development of TOR of consultants and then the review and inputs to the curricula</w:t>
      </w:r>
    </w:p>
  </w:footnote>
  <w:footnote w:id="106">
    <w:p w14:paraId="3C7CC6A9"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KII </w:t>
      </w:r>
      <w:r w:rsidR="00860A1A" w:rsidRPr="00E65EAA">
        <w:rPr>
          <w:sz w:val="15"/>
          <w:szCs w:val="15"/>
        </w:rPr>
        <w:t>19</w:t>
      </w:r>
    </w:p>
  </w:footnote>
  <w:footnote w:id="107">
    <w:p w14:paraId="19DE1E75"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w:t>
      </w:r>
      <w:r w:rsidR="00860A1A" w:rsidRPr="00E65EAA">
        <w:rPr>
          <w:sz w:val="15"/>
          <w:szCs w:val="15"/>
        </w:rPr>
        <w:t xml:space="preserve">KII </w:t>
      </w:r>
      <w:r w:rsidR="004776E7" w:rsidRPr="00E65EAA">
        <w:rPr>
          <w:sz w:val="15"/>
          <w:szCs w:val="15"/>
        </w:rPr>
        <w:t>57</w:t>
      </w:r>
    </w:p>
  </w:footnote>
  <w:footnote w:id="108">
    <w:p w14:paraId="794338E8"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w:t>
      </w:r>
      <w:r w:rsidR="00156111" w:rsidRPr="00E65EAA">
        <w:rPr>
          <w:sz w:val="15"/>
          <w:szCs w:val="15"/>
        </w:rPr>
        <w:t xml:space="preserve">KII </w:t>
      </w:r>
      <w:r w:rsidR="00E0483A" w:rsidRPr="00E65EAA">
        <w:rPr>
          <w:sz w:val="15"/>
          <w:szCs w:val="15"/>
        </w:rPr>
        <w:t>58</w:t>
      </w:r>
      <w:r w:rsidR="00156111" w:rsidRPr="00E65EAA">
        <w:rPr>
          <w:sz w:val="15"/>
          <w:szCs w:val="15"/>
        </w:rPr>
        <w:t>, 77</w:t>
      </w:r>
    </w:p>
  </w:footnote>
  <w:footnote w:id="109">
    <w:p w14:paraId="22EB0449"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KII </w:t>
      </w:r>
      <w:r w:rsidR="003B7C82" w:rsidRPr="00E65EAA">
        <w:rPr>
          <w:sz w:val="15"/>
          <w:szCs w:val="15"/>
        </w:rPr>
        <w:t>92</w:t>
      </w:r>
    </w:p>
  </w:footnote>
  <w:footnote w:id="110">
    <w:p w14:paraId="2D101C7E"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KII </w:t>
      </w:r>
      <w:r w:rsidR="000B7830" w:rsidRPr="00E65EAA">
        <w:rPr>
          <w:sz w:val="15"/>
          <w:szCs w:val="15"/>
        </w:rPr>
        <w:t>13</w:t>
      </w:r>
    </w:p>
  </w:footnote>
  <w:footnote w:id="111">
    <w:p w14:paraId="5E21DB8C"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w:t>
      </w:r>
      <w:r w:rsidR="00330847" w:rsidRPr="00E65EAA">
        <w:rPr>
          <w:sz w:val="15"/>
          <w:szCs w:val="15"/>
        </w:rPr>
        <w:t>UN Women (2021) Virtual Monitoring of Community Grants in Palestine Report of Findings, Challenges, and Recommendations</w:t>
      </w:r>
      <w:r w:rsidR="009A61AB" w:rsidRPr="00E65EAA">
        <w:rPr>
          <w:sz w:val="15"/>
          <w:szCs w:val="15"/>
        </w:rPr>
        <w:t>.</w:t>
      </w:r>
    </w:p>
  </w:footnote>
  <w:footnote w:id="112">
    <w:p w14:paraId="53F07887" w14:textId="77777777" w:rsidR="006F2F6D" w:rsidRPr="00EC748A" w:rsidRDefault="006F2F6D" w:rsidP="006F2F6D">
      <w:pPr>
        <w:pStyle w:val="FootnoteText"/>
        <w:rPr>
          <w:lang w:val="en-US"/>
        </w:rPr>
      </w:pPr>
      <w:r w:rsidRPr="00E65EAA">
        <w:rPr>
          <w:rStyle w:val="FootnoteReference"/>
          <w:sz w:val="15"/>
          <w:szCs w:val="15"/>
        </w:rPr>
        <w:footnoteRef/>
      </w:r>
      <w:r w:rsidRPr="00E65EAA">
        <w:rPr>
          <w:sz w:val="15"/>
          <w:szCs w:val="15"/>
        </w:rPr>
        <w:t xml:space="preserve"> </w:t>
      </w:r>
      <w:r w:rsidR="00330847" w:rsidRPr="00E65EAA">
        <w:rPr>
          <w:sz w:val="15"/>
          <w:szCs w:val="15"/>
        </w:rPr>
        <w:t>Ibid</w:t>
      </w:r>
      <w:r w:rsidR="009A61AB" w:rsidRPr="00E65EAA">
        <w:rPr>
          <w:sz w:val="15"/>
          <w:szCs w:val="15"/>
        </w:rPr>
        <w:t>.</w:t>
      </w:r>
    </w:p>
  </w:footnote>
  <w:footnote w:id="113">
    <w:p w14:paraId="4B4CB7BF" w14:textId="77777777" w:rsidR="00F22560" w:rsidRPr="00E65EAA" w:rsidRDefault="00F22560">
      <w:pPr>
        <w:pStyle w:val="FootnoteText"/>
        <w:rPr>
          <w:sz w:val="15"/>
          <w:szCs w:val="15"/>
          <w:lang w:val="en-US"/>
        </w:rPr>
      </w:pPr>
      <w:r w:rsidRPr="00E65EAA">
        <w:rPr>
          <w:rStyle w:val="FootnoteReference"/>
          <w:sz w:val="15"/>
          <w:szCs w:val="15"/>
        </w:rPr>
        <w:footnoteRef/>
      </w:r>
      <w:r w:rsidRPr="00E65EAA">
        <w:rPr>
          <w:sz w:val="15"/>
          <w:szCs w:val="15"/>
        </w:rPr>
        <w:t xml:space="preserve"> </w:t>
      </w:r>
      <w:r w:rsidR="007826F4" w:rsidRPr="00E65EAA">
        <w:rPr>
          <w:sz w:val="15"/>
          <w:szCs w:val="15"/>
        </w:rPr>
        <w:t>KII 22</w:t>
      </w:r>
    </w:p>
  </w:footnote>
  <w:footnote w:id="114">
    <w:p w14:paraId="5931F905" w14:textId="77777777" w:rsidR="006F2F6D" w:rsidRPr="00E65EAA" w:rsidRDefault="006F2F6D" w:rsidP="006F2F6D">
      <w:pPr>
        <w:pStyle w:val="FootnoteText"/>
        <w:rPr>
          <w:sz w:val="15"/>
          <w:szCs w:val="15"/>
          <w:lang w:val="en-US"/>
        </w:rPr>
      </w:pPr>
      <w:r w:rsidRPr="00E65EAA">
        <w:rPr>
          <w:rStyle w:val="FootnoteReference"/>
          <w:sz w:val="15"/>
          <w:szCs w:val="15"/>
        </w:rPr>
        <w:footnoteRef/>
      </w:r>
      <w:r w:rsidRPr="00E65EAA">
        <w:rPr>
          <w:sz w:val="15"/>
          <w:szCs w:val="15"/>
        </w:rPr>
        <w:t xml:space="preserve"> UN Women 2020 MWGE Annual Progress Report</w:t>
      </w:r>
      <w:r w:rsidR="009A61AB" w:rsidRPr="00E65EAA">
        <w:rPr>
          <w:sz w:val="15"/>
          <w:szCs w:val="15"/>
        </w:rPr>
        <w:t>.</w:t>
      </w:r>
    </w:p>
  </w:footnote>
  <w:footnote w:id="115">
    <w:p w14:paraId="6D2B1E76"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KII </w:t>
      </w:r>
      <w:r w:rsidR="00DF03D1" w:rsidRPr="00E65EAA">
        <w:rPr>
          <w:sz w:val="15"/>
          <w:szCs w:val="15"/>
        </w:rPr>
        <w:t>84,</w:t>
      </w:r>
      <w:r w:rsidRPr="00E65EAA">
        <w:rPr>
          <w:sz w:val="15"/>
          <w:szCs w:val="15"/>
        </w:rPr>
        <w:t xml:space="preserve"> KII </w:t>
      </w:r>
      <w:r w:rsidR="00DF03D1" w:rsidRPr="00E65EAA">
        <w:rPr>
          <w:sz w:val="15"/>
          <w:szCs w:val="15"/>
        </w:rPr>
        <w:t>88</w:t>
      </w:r>
    </w:p>
  </w:footnote>
  <w:footnote w:id="116">
    <w:p w14:paraId="2A3C996B"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FGD P5; FGD P6</w:t>
      </w:r>
      <w:r w:rsidR="009A61AB" w:rsidRPr="00E65EAA">
        <w:rPr>
          <w:sz w:val="15"/>
          <w:szCs w:val="15"/>
        </w:rPr>
        <w:t>.</w:t>
      </w:r>
    </w:p>
  </w:footnote>
  <w:footnote w:id="117">
    <w:p w14:paraId="71D65DC8"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References from Country Presentations to be added.</w:t>
      </w:r>
    </w:p>
  </w:footnote>
  <w:footnote w:id="118">
    <w:p w14:paraId="47D8BF89" w14:textId="77777777" w:rsidR="006F2F6D" w:rsidRPr="00E65EAA" w:rsidRDefault="006F2F6D" w:rsidP="006F2F6D">
      <w:pPr>
        <w:pStyle w:val="FootnoteText"/>
        <w:rPr>
          <w:sz w:val="15"/>
          <w:szCs w:val="15"/>
          <w:lang w:val="en-US"/>
        </w:rPr>
      </w:pPr>
      <w:r w:rsidRPr="00E65EAA">
        <w:rPr>
          <w:rStyle w:val="FootnoteReference"/>
          <w:sz w:val="15"/>
          <w:szCs w:val="15"/>
        </w:rPr>
        <w:footnoteRef/>
      </w:r>
      <w:r w:rsidRPr="00E65EAA">
        <w:rPr>
          <w:sz w:val="15"/>
          <w:szCs w:val="15"/>
        </w:rPr>
        <w:t xml:space="preserve"> UN Women (2021) Virtual Monitoring of Community Grants in Palestine Report of Findings, Challenges, and Recommendations</w:t>
      </w:r>
      <w:r w:rsidR="009A61AB" w:rsidRPr="00E65EAA">
        <w:rPr>
          <w:sz w:val="15"/>
          <w:szCs w:val="15"/>
        </w:rPr>
        <w:t>.</w:t>
      </w:r>
    </w:p>
  </w:footnote>
  <w:footnote w:id="119">
    <w:p w14:paraId="6138CA9A"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KII </w:t>
      </w:r>
      <w:r w:rsidR="005C52C6" w:rsidRPr="00E65EAA">
        <w:rPr>
          <w:sz w:val="15"/>
          <w:szCs w:val="15"/>
        </w:rPr>
        <w:t>38</w:t>
      </w:r>
      <w:r w:rsidR="009A61AB" w:rsidRPr="00E65EAA">
        <w:rPr>
          <w:sz w:val="15"/>
          <w:szCs w:val="15"/>
        </w:rPr>
        <w:t>;</w:t>
      </w:r>
      <w:r w:rsidRPr="00E65EAA">
        <w:rPr>
          <w:sz w:val="15"/>
          <w:szCs w:val="15"/>
        </w:rPr>
        <w:t xml:space="preserve"> UN Women (2021) Virtual Monitoring of Community Grants in Palestine Report of Findings, Challenges, and Recommendations</w:t>
      </w:r>
      <w:r w:rsidR="009A61AB" w:rsidRPr="00E65EAA">
        <w:rPr>
          <w:sz w:val="15"/>
          <w:szCs w:val="15"/>
        </w:rPr>
        <w:t>.</w:t>
      </w:r>
    </w:p>
  </w:footnote>
  <w:footnote w:id="120">
    <w:p w14:paraId="5AC15BFF"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w:t>
      </w:r>
      <w:r w:rsidR="009A61AB" w:rsidRPr="00E65EAA">
        <w:rPr>
          <w:sz w:val="15"/>
          <w:szCs w:val="15"/>
        </w:rPr>
        <w:t>UN Women (2020)</w:t>
      </w:r>
      <w:r w:rsidR="00AD6881" w:rsidRPr="00E65EAA">
        <w:rPr>
          <w:sz w:val="15"/>
          <w:szCs w:val="15"/>
        </w:rPr>
        <w:t xml:space="preserve"> </w:t>
      </w:r>
      <w:r w:rsidRPr="00E65EAA">
        <w:rPr>
          <w:sz w:val="15"/>
          <w:szCs w:val="15"/>
        </w:rPr>
        <w:t xml:space="preserve">Rapid Assessment: The effects of COVID-19 on </w:t>
      </w:r>
      <w:r w:rsidR="009A61AB" w:rsidRPr="00E65EAA">
        <w:rPr>
          <w:sz w:val="15"/>
          <w:szCs w:val="15"/>
        </w:rPr>
        <w:t>v</w:t>
      </w:r>
      <w:r w:rsidRPr="00E65EAA">
        <w:rPr>
          <w:sz w:val="15"/>
          <w:szCs w:val="15"/>
        </w:rPr>
        <w:t xml:space="preserve">iolence against women and gendered social norms. A snapshot from nine countries in the Arab States. </w:t>
      </w:r>
    </w:p>
  </w:footnote>
  <w:footnote w:id="121">
    <w:p w14:paraId="46F32E9C" w14:textId="77777777" w:rsidR="00BC7848" w:rsidRPr="00E65EAA" w:rsidRDefault="00BC7848">
      <w:pPr>
        <w:pStyle w:val="FootnoteText"/>
        <w:rPr>
          <w:sz w:val="15"/>
          <w:szCs w:val="15"/>
        </w:rPr>
      </w:pPr>
      <w:r w:rsidRPr="00E65EAA">
        <w:rPr>
          <w:rStyle w:val="FootnoteReference"/>
          <w:sz w:val="15"/>
          <w:szCs w:val="15"/>
        </w:rPr>
        <w:footnoteRef/>
      </w:r>
      <w:r w:rsidRPr="00E65EAA">
        <w:rPr>
          <w:sz w:val="15"/>
          <w:szCs w:val="15"/>
        </w:rPr>
        <w:t xml:space="preserve"> </w:t>
      </w:r>
      <w:r w:rsidR="00A06A01" w:rsidRPr="00E65EAA">
        <w:rPr>
          <w:sz w:val="15"/>
          <w:szCs w:val="15"/>
        </w:rPr>
        <w:t>Feedback from Morocco CO in the comments phase</w:t>
      </w:r>
    </w:p>
  </w:footnote>
  <w:footnote w:id="122">
    <w:p w14:paraId="7A5002DD" w14:textId="77777777" w:rsidR="40E44CAF" w:rsidRPr="00E65EAA" w:rsidRDefault="40E44CAF">
      <w:pPr>
        <w:rPr>
          <w:sz w:val="15"/>
          <w:szCs w:val="15"/>
        </w:rPr>
      </w:pPr>
      <w:r w:rsidRPr="00E65EAA">
        <w:rPr>
          <w:sz w:val="15"/>
          <w:szCs w:val="15"/>
        </w:rPr>
        <w:footnoteRef/>
      </w:r>
      <w:r w:rsidRPr="00E65EAA">
        <w:rPr>
          <w:sz w:val="15"/>
          <w:szCs w:val="15"/>
        </w:rPr>
        <w:t xml:space="preserve"> https://arabstates.unwomen.org/en/what-we-do/ending-violence-against-women/because-i-am-a-man-campaign</w:t>
      </w:r>
    </w:p>
  </w:footnote>
  <w:footnote w:id="123">
    <w:p w14:paraId="6A8AE393"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KII </w:t>
      </w:r>
      <w:r w:rsidR="00E44B87" w:rsidRPr="00E65EAA">
        <w:rPr>
          <w:sz w:val="15"/>
          <w:szCs w:val="15"/>
        </w:rPr>
        <w:t xml:space="preserve"> 13</w:t>
      </w:r>
    </w:p>
  </w:footnote>
  <w:footnote w:id="124">
    <w:p w14:paraId="6D497204" w14:textId="77777777" w:rsidR="006F2F6D" w:rsidRPr="00D87848" w:rsidRDefault="006F2F6D" w:rsidP="006F2F6D">
      <w:pPr>
        <w:pStyle w:val="FootnoteText"/>
      </w:pPr>
      <w:r w:rsidRPr="00E65EAA">
        <w:rPr>
          <w:rStyle w:val="FootnoteReference"/>
          <w:sz w:val="15"/>
          <w:szCs w:val="15"/>
        </w:rPr>
        <w:footnoteRef/>
      </w:r>
      <w:r w:rsidRPr="00E65EAA">
        <w:rPr>
          <w:sz w:val="15"/>
          <w:szCs w:val="15"/>
        </w:rPr>
        <w:t xml:space="preserve"> KII with </w:t>
      </w:r>
      <w:proofErr w:type="spellStart"/>
      <w:r w:rsidRPr="00E65EAA">
        <w:rPr>
          <w:sz w:val="15"/>
          <w:szCs w:val="15"/>
        </w:rPr>
        <w:t>Ayadi</w:t>
      </w:r>
      <w:proofErr w:type="spellEnd"/>
      <w:r w:rsidRPr="00E65EAA">
        <w:rPr>
          <w:sz w:val="15"/>
          <w:szCs w:val="15"/>
        </w:rPr>
        <w:t xml:space="preserve"> Al Amal; KII </w:t>
      </w:r>
      <w:r w:rsidR="00F75746" w:rsidRPr="00E65EAA">
        <w:rPr>
          <w:sz w:val="15"/>
          <w:szCs w:val="15"/>
        </w:rPr>
        <w:t>88</w:t>
      </w:r>
    </w:p>
  </w:footnote>
  <w:footnote w:id="125">
    <w:p w14:paraId="35A7E7B5"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UN Women’s ‘triple mandate’ refers to its role in providing </w:t>
      </w:r>
      <w:r w:rsidRPr="00E65EAA">
        <w:rPr>
          <w:rFonts w:cstheme="minorHAnsi"/>
          <w:sz w:val="15"/>
          <w:szCs w:val="15"/>
          <w:lang w:bidi="my-MM"/>
        </w:rPr>
        <w:t xml:space="preserve">normative support, conducting coordination within the UN system and its operational activities on promoting </w:t>
      </w:r>
      <w:r w:rsidR="002F74EA" w:rsidRPr="00E65EAA">
        <w:rPr>
          <w:rFonts w:cstheme="minorHAnsi"/>
          <w:sz w:val="15"/>
          <w:szCs w:val="15"/>
          <w:lang w:bidi="my-MM"/>
        </w:rPr>
        <w:t>GEWE</w:t>
      </w:r>
      <w:r w:rsidRPr="00E65EAA">
        <w:rPr>
          <w:rFonts w:cstheme="minorHAnsi"/>
          <w:sz w:val="15"/>
          <w:szCs w:val="15"/>
          <w:lang w:bidi="my-MM"/>
        </w:rPr>
        <w:t xml:space="preserve"> (see for example UN Women Strategic Plan 2022-2025).</w:t>
      </w:r>
    </w:p>
  </w:footnote>
  <w:footnote w:id="126">
    <w:p w14:paraId="0570E618" w14:textId="77777777" w:rsidR="00BF6675" w:rsidRPr="00E65EAA" w:rsidRDefault="00BF6675">
      <w:pPr>
        <w:pStyle w:val="FootnoteText"/>
        <w:rPr>
          <w:sz w:val="15"/>
          <w:szCs w:val="15"/>
        </w:rPr>
      </w:pPr>
      <w:r w:rsidRPr="00E65EAA">
        <w:rPr>
          <w:rStyle w:val="FootnoteReference"/>
          <w:sz w:val="15"/>
          <w:szCs w:val="15"/>
        </w:rPr>
        <w:footnoteRef/>
      </w:r>
      <w:r w:rsidRPr="00E65EAA">
        <w:rPr>
          <w:sz w:val="15"/>
          <w:szCs w:val="15"/>
        </w:rPr>
        <w:t xml:space="preserve"> Phase II </w:t>
      </w:r>
      <w:proofErr w:type="spellStart"/>
      <w:r w:rsidRPr="00E65EAA">
        <w:rPr>
          <w:sz w:val="15"/>
          <w:szCs w:val="15"/>
        </w:rPr>
        <w:t>Produc</w:t>
      </w:r>
      <w:proofErr w:type="spellEnd"/>
    </w:p>
  </w:footnote>
  <w:footnote w:id="127">
    <w:p w14:paraId="5737EA4E"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KII</w:t>
      </w:r>
      <w:r w:rsidR="00546229" w:rsidRPr="00E65EAA">
        <w:rPr>
          <w:sz w:val="15"/>
          <w:szCs w:val="15"/>
        </w:rPr>
        <w:t xml:space="preserve"> </w:t>
      </w:r>
      <w:r w:rsidR="004776E7" w:rsidRPr="00E65EAA">
        <w:rPr>
          <w:sz w:val="15"/>
          <w:szCs w:val="15"/>
        </w:rPr>
        <w:t>57</w:t>
      </w:r>
      <w:r w:rsidR="00546229" w:rsidRPr="00E65EAA">
        <w:rPr>
          <w:sz w:val="15"/>
          <w:szCs w:val="15"/>
        </w:rPr>
        <w:t xml:space="preserve">, KII </w:t>
      </w:r>
      <w:r w:rsidR="00677C89" w:rsidRPr="00E65EAA">
        <w:rPr>
          <w:sz w:val="15"/>
          <w:szCs w:val="15"/>
        </w:rPr>
        <w:t xml:space="preserve">95, KII 97, </w:t>
      </w:r>
      <w:r w:rsidR="00B8772D" w:rsidRPr="00E65EAA">
        <w:rPr>
          <w:sz w:val="15"/>
          <w:szCs w:val="15"/>
        </w:rPr>
        <w:t>KII 98, KII 99</w:t>
      </w:r>
    </w:p>
  </w:footnote>
  <w:footnote w:id="128">
    <w:p w14:paraId="17248609"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w:t>
      </w:r>
      <w:r w:rsidR="00B8772D" w:rsidRPr="00E65EAA">
        <w:rPr>
          <w:sz w:val="15"/>
          <w:szCs w:val="15"/>
        </w:rPr>
        <w:t>KII 99</w:t>
      </w:r>
    </w:p>
  </w:footnote>
  <w:footnote w:id="129">
    <w:p w14:paraId="6F36B69F"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KI</w:t>
      </w:r>
      <w:r w:rsidR="00966CF6" w:rsidRPr="00E65EAA">
        <w:rPr>
          <w:sz w:val="15"/>
          <w:szCs w:val="15"/>
        </w:rPr>
        <w:t>I 96, KII 99</w:t>
      </w:r>
    </w:p>
  </w:footnote>
  <w:footnote w:id="130">
    <w:p w14:paraId="2108EA2C" w14:textId="77777777" w:rsidR="00B13B6A" w:rsidRPr="00E65EAA" w:rsidRDefault="00B13B6A" w:rsidP="00B13B6A">
      <w:pPr>
        <w:pStyle w:val="FootnoteText"/>
        <w:rPr>
          <w:sz w:val="15"/>
          <w:szCs w:val="15"/>
        </w:rPr>
      </w:pPr>
      <w:r w:rsidRPr="00E65EAA">
        <w:rPr>
          <w:rStyle w:val="FootnoteReference"/>
          <w:sz w:val="15"/>
          <w:szCs w:val="15"/>
        </w:rPr>
        <w:footnoteRef/>
      </w:r>
      <w:r w:rsidRPr="00E65EAA">
        <w:rPr>
          <w:sz w:val="15"/>
          <w:szCs w:val="15"/>
        </w:rPr>
        <w:t xml:space="preserve"> KII 33, KII 39, KII 57</w:t>
      </w:r>
    </w:p>
  </w:footnote>
  <w:footnote w:id="131">
    <w:p w14:paraId="6E0C6FED" w14:textId="77777777" w:rsidR="0009737E" w:rsidRPr="00E65EAA" w:rsidRDefault="0009737E">
      <w:pPr>
        <w:pStyle w:val="FootnoteText"/>
        <w:rPr>
          <w:sz w:val="15"/>
          <w:szCs w:val="15"/>
          <w:lang w:val="en-US"/>
        </w:rPr>
      </w:pPr>
      <w:r w:rsidRPr="00E65EAA">
        <w:rPr>
          <w:rStyle w:val="FootnoteReference"/>
          <w:sz w:val="15"/>
          <w:szCs w:val="15"/>
        </w:rPr>
        <w:footnoteRef/>
      </w:r>
      <w:r w:rsidRPr="00E65EAA">
        <w:rPr>
          <w:sz w:val="15"/>
          <w:szCs w:val="15"/>
        </w:rPr>
        <w:t xml:space="preserve"> KII 26, KII 33, KII 35</w:t>
      </w:r>
    </w:p>
  </w:footnote>
  <w:footnote w:id="132">
    <w:p w14:paraId="6E2EBE0C"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KII</w:t>
      </w:r>
      <w:r w:rsidR="00652EDD" w:rsidRPr="00E65EAA">
        <w:rPr>
          <w:sz w:val="15"/>
          <w:szCs w:val="15"/>
        </w:rPr>
        <w:t xml:space="preserve"> </w:t>
      </w:r>
      <w:r w:rsidR="00810288" w:rsidRPr="00E65EAA">
        <w:rPr>
          <w:sz w:val="15"/>
          <w:szCs w:val="15"/>
        </w:rPr>
        <w:t>57, KII 74</w:t>
      </w:r>
      <w:r w:rsidR="004776E7" w:rsidRPr="00E65EAA">
        <w:rPr>
          <w:sz w:val="15"/>
          <w:szCs w:val="15"/>
        </w:rPr>
        <w:t>, KII 99</w:t>
      </w:r>
    </w:p>
  </w:footnote>
  <w:footnote w:id="133">
    <w:p w14:paraId="123DC261" w14:textId="77777777" w:rsidR="000578A4" w:rsidRPr="00120F34" w:rsidRDefault="000578A4" w:rsidP="000578A4">
      <w:pPr>
        <w:pStyle w:val="FootnoteText"/>
        <w:rPr>
          <w:lang w:val="en-US"/>
        </w:rPr>
      </w:pPr>
      <w:r w:rsidRPr="00E65EAA">
        <w:rPr>
          <w:rStyle w:val="FootnoteReference"/>
          <w:sz w:val="15"/>
          <w:szCs w:val="15"/>
        </w:rPr>
        <w:footnoteRef/>
      </w:r>
      <w:r w:rsidRPr="00E65EAA">
        <w:rPr>
          <w:sz w:val="15"/>
          <w:szCs w:val="15"/>
        </w:rPr>
        <w:t xml:space="preserve"> </w:t>
      </w:r>
      <w:r w:rsidRPr="00E65EAA">
        <w:rPr>
          <w:sz w:val="15"/>
          <w:szCs w:val="15"/>
          <w:lang w:val="en-US"/>
        </w:rPr>
        <w:t>KII22, KII 26, KII 28, KII 29</w:t>
      </w:r>
    </w:p>
  </w:footnote>
  <w:footnote w:id="134">
    <w:p w14:paraId="6656CBFE" w14:textId="77777777" w:rsidR="006F2F6D" w:rsidRDefault="006F2F6D" w:rsidP="006F2F6D">
      <w:pPr>
        <w:pStyle w:val="FootnoteText"/>
      </w:pPr>
      <w:r w:rsidRPr="0070466C">
        <w:rPr>
          <w:rStyle w:val="FootnoteReference"/>
          <w:sz w:val="16"/>
        </w:rPr>
        <w:footnoteRef/>
      </w:r>
      <w:r>
        <w:t xml:space="preserve"> On accountability, see also Comparator Study</w:t>
      </w:r>
      <w:r w:rsidR="00E1367C">
        <w:t>.</w:t>
      </w:r>
    </w:p>
  </w:footnote>
  <w:footnote w:id="135">
    <w:p w14:paraId="2ADCB76D" w14:textId="77777777" w:rsidR="006F2F6D" w:rsidRDefault="006F2F6D" w:rsidP="006F2F6D">
      <w:pPr>
        <w:pStyle w:val="FootnoteText"/>
      </w:pPr>
      <w:r w:rsidRPr="0070466C">
        <w:rPr>
          <w:rStyle w:val="FootnoteReference"/>
          <w:sz w:val="16"/>
        </w:rPr>
        <w:footnoteRef/>
      </w:r>
      <w:r>
        <w:t xml:space="preserve"> KII </w:t>
      </w:r>
      <w:r w:rsidR="003218CC">
        <w:t>57, KII</w:t>
      </w:r>
      <w:r w:rsidR="008E6D7B">
        <w:t xml:space="preserve"> 95, KII 97</w:t>
      </w:r>
      <w:r w:rsidR="00E1367C">
        <w:t>.</w:t>
      </w:r>
    </w:p>
  </w:footnote>
  <w:footnote w:id="136">
    <w:p w14:paraId="70759681" w14:textId="77777777" w:rsidR="006F2F6D" w:rsidRDefault="006F2F6D" w:rsidP="006F2F6D">
      <w:pPr>
        <w:pStyle w:val="FootnoteText"/>
      </w:pPr>
      <w:r w:rsidRPr="0070466C">
        <w:rPr>
          <w:rStyle w:val="FootnoteReference"/>
          <w:sz w:val="16"/>
        </w:rPr>
        <w:footnoteRef/>
      </w:r>
      <w:r>
        <w:t xml:space="preserve"> KII</w:t>
      </w:r>
      <w:r w:rsidR="00B004D0">
        <w:t>33</w:t>
      </w:r>
      <w:r w:rsidR="008E6D7B">
        <w:t xml:space="preserve">, KII </w:t>
      </w:r>
      <w:r w:rsidR="00B004D0">
        <w:t>57</w:t>
      </w:r>
    </w:p>
  </w:footnote>
  <w:footnote w:id="137">
    <w:p w14:paraId="6A1BBEC2" w14:textId="77777777" w:rsidR="006F2F6D" w:rsidRDefault="006F2F6D" w:rsidP="006F2F6D">
      <w:pPr>
        <w:pStyle w:val="FootnoteText"/>
      </w:pPr>
      <w:r w:rsidRPr="0070466C">
        <w:rPr>
          <w:rStyle w:val="FootnoteReference"/>
          <w:sz w:val="16"/>
        </w:rPr>
        <w:footnoteRef/>
      </w:r>
      <w:r>
        <w:t xml:space="preserve"> KII</w:t>
      </w:r>
      <w:r w:rsidR="00966FC9">
        <w:t xml:space="preserve"> 57, KII 79, KII </w:t>
      </w:r>
      <w:r w:rsidR="009E5A6C">
        <w:t>95, KII 97, KII 99</w:t>
      </w:r>
    </w:p>
  </w:footnote>
  <w:footnote w:id="138">
    <w:p w14:paraId="457207E5" w14:textId="77777777" w:rsidR="4977AA67" w:rsidRDefault="4977AA67" w:rsidP="4977AA67">
      <w:pPr>
        <w:pStyle w:val="FootnoteText"/>
        <w:rPr>
          <w:lang w:val="en-US"/>
        </w:rPr>
      </w:pPr>
      <w:r w:rsidRPr="4977AA67">
        <w:rPr>
          <w:rStyle w:val="FootnoteReference"/>
          <w:sz w:val="16"/>
          <w:szCs w:val="16"/>
        </w:rPr>
        <w:footnoteRef/>
      </w:r>
      <w:r>
        <w:t xml:space="preserve"> E-mail communication with ROAS</w:t>
      </w:r>
    </w:p>
  </w:footnote>
  <w:footnote w:id="139">
    <w:p w14:paraId="42A5B9DA" w14:textId="77777777" w:rsidR="006F2F6D" w:rsidRPr="00E65EAA" w:rsidRDefault="006F2F6D" w:rsidP="006F2F6D">
      <w:pPr>
        <w:pStyle w:val="FootnoteText"/>
        <w:rPr>
          <w:sz w:val="15"/>
          <w:szCs w:val="15"/>
          <w:lang w:val="en-US"/>
        </w:rPr>
      </w:pPr>
      <w:r w:rsidRPr="00E65EAA">
        <w:rPr>
          <w:rStyle w:val="FootnoteReference"/>
          <w:sz w:val="15"/>
          <w:szCs w:val="15"/>
        </w:rPr>
        <w:footnoteRef/>
      </w:r>
      <w:r w:rsidRPr="00E65EAA">
        <w:rPr>
          <w:sz w:val="15"/>
          <w:szCs w:val="15"/>
        </w:rPr>
        <w:t xml:space="preserve"> </w:t>
      </w:r>
      <w:r w:rsidRPr="00E65EAA">
        <w:rPr>
          <w:sz w:val="15"/>
          <w:szCs w:val="15"/>
          <w:lang w:val="en-US"/>
        </w:rPr>
        <w:t>KII</w:t>
      </w:r>
      <w:r w:rsidR="0050168D" w:rsidRPr="00E65EAA">
        <w:rPr>
          <w:sz w:val="15"/>
          <w:szCs w:val="15"/>
          <w:lang w:val="en-US"/>
        </w:rPr>
        <w:t xml:space="preserve"> 21, KII 3</w:t>
      </w:r>
      <w:r w:rsidR="00563CB7" w:rsidRPr="00E65EAA">
        <w:rPr>
          <w:sz w:val="15"/>
          <w:szCs w:val="15"/>
          <w:lang w:val="en-US"/>
        </w:rPr>
        <w:t>3</w:t>
      </w:r>
    </w:p>
  </w:footnote>
  <w:footnote w:id="140">
    <w:p w14:paraId="6AD7BBFB" w14:textId="77777777" w:rsidR="005A0FBE" w:rsidRPr="00E65EAA" w:rsidRDefault="005A0FBE">
      <w:pPr>
        <w:pStyle w:val="FootnoteText"/>
        <w:rPr>
          <w:sz w:val="15"/>
          <w:szCs w:val="15"/>
          <w:lang w:val="en-US"/>
        </w:rPr>
      </w:pPr>
      <w:r w:rsidRPr="00E65EAA">
        <w:rPr>
          <w:rStyle w:val="FootnoteReference"/>
          <w:sz w:val="15"/>
          <w:szCs w:val="15"/>
        </w:rPr>
        <w:footnoteRef/>
      </w:r>
      <w:r w:rsidRPr="00E65EAA">
        <w:rPr>
          <w:sz w:val="15"/>
          <w:szCs w:val="15"/>
        </w:rPr>
        <w:t xml:space="preserve"> </w:t>
      </w:r>
      <w:r w:rsidRPr="00E65EAA">
        <w:rPr>
          <w:sz w:val="15"/>
          <w:szCs w:val="15"/>
          <w:lang w:val="en-US"/>
        </w:rPr>
        <w:t>Feedback in the comments stage from Lebanon CO</w:t>
      </w:r>
    </w:p>
  </w:footnote>
  <w:footnote w:id="141">
    <w:p w14:paraId="71537994" w14:textId="77777777" w:rsidR="00AF6E91" w:rsidRPr="00E65EAA" w:rsidRDefault="00AF6E91" w:rsidP="00AF6E91">
      <w:pPr>
        <w:pStyle w:val="FootnoteText"/>
        <w:rPr>
          <w:sz w:val="15"/>
          <w:szCs w:val="15"/>
        </w:rPr>
      </w:pPr>
      <w:r w:rsidRPr="00E65EAA">
        <w:rPr>
          <w:rStyle w:val="FootnoteReference"/>
          <w:sz w:val="15"/>
          <w:szCs w:val="15"/>
        </w:rPr>
        <w:footnoteRef/>
      </w:r>
      <w:r w:rsidRPr="00E65EAA">
        <w:rPr>
          <w:sz w:val="15"/>
          <w:szCs w:val="15"/>
        </w:rPr>
        <w:t xml:space="preserve"> 1.Programme design/delivery assumptions: assumptions about how the programme will be delivered, such as targeting the right people or the quality of outputs, e.g. training is of good enough quality to improve knowledge; 2. Causal assumptions: assumptions about how and why we believe something will cause a change, e.g. training CSOs will enable them to advocate more effectively for policy change; 3. Contextual assumptions: assume the factors that are influencing/could influence a certain situation within your operating environment, e.g. acceptance and willingness of partners/government to promote gender equality.</w:t>
      </w:r>
    </w:p>
  </w:footnote>
  <w:footnote w:id="142">
    <w:p w14:paraId="2A6C0419" w14:textId="77777777" w:rsidR="00931D7D" w:rsidRPr="007F6DFD" w:rsidRDefault="00931D7D">
      <w:pPr>
        <w:pStyle w:val="FootnoteText"/>
        <w:rPr>
          <w:lang w:val="en-US"/>
        </w:rPr>
      </w:pPr>
      <w:r w:rsidRPr="00E65EAA">
        <w:rPr>
          <w:rStyle w:val="FootnoteReference"/>
          <w:sz w:val="15"/>
          <w:szCs w:val="15"/>
        </w:rPr>
        <w:footnoteRef/>
      </w:r>
      <w:r w:rsidRPr="00E65EAA">
        <w:rPr>
          <w:sz w:val="15"/>
          <w:szCs w:val="15"/>
        </w:rPr>
        <w:t xml:space="preserve"> </w:t>
      </w:r>
      <w:r w:rsidR="009F188B" w:rsidRPr="00E65EAA">
        <w:rPr>
          <w:sz w:val="15"/>
          <w:szCs w:val="15"/>
        </w:rPr>
        <w:t>UN Women (2019) Men and Women for Gender Equality (Phase II) Application Pro Doc 2019-02-12</w:t>
      </w:r>
    </w:p>
  </w:footnote>
  <w:footnote w:id="143">
    <w:p w14:paraId="0CE60B20" w14:textId="77777777" w:rsidR="006F2F6D" w:rsidRPr="00E65EAA" w:rsidRDefault="006F2F6D" w:rsidP="008F2D56">
      <w:pPr>
        <w:pStyle w:val="FootnoteText"/>
        <w:rPr>
          <w:sz w:val="15"/>
          <w:szCs w:val="15"/>
        </w:rPr>
      </w:pPr>
      <w:r w:rsidRPr="00E65EAA">
        <w:rPr>
          <w:rStyle w:val="FootnoteReference"/>
          <w:sz w:val="15"/>
          <w:szCs w:val="15"/>
        </w:rPr>
        <w:footnoteRef/>
      </w:r>
      <w:r w:rsidRPr="00E65EAA">
        <w:rPr>
          <w:sz w:val="15"/>
          <w:szCs w:val="15"/>
        </w:rPr>
        <w:t xml:space="preserve"> For further details of this model, see the UNICEF A</w:t>
      </w:r>
      <w:r w:rsidR="00062825" w:rsidRPr="00E65EAA">
        <w:rPr>
          <w:sz w:val="15"/>
          <w:szCs w:val="15"/>
        </w:rPr>
        <w:t>CT</w:t>
      </w:r>
      <w:r w:rsidRPr="00E65EAA">
        <w:rPr>
          <w:sz w:val="15"/>
          <w:szCs w:val="15"/>
        </w:rPr>
        <w:t xml:space="preserve"> Framework for Measuring Social Norm Change</w:t>
      </w:r>
      <w:r w:rsidR="008F2D56" w:rsidRPr="00E65EAA">
        <w:rPr>
          <w:sz w:val="15"/>
          <w:szCs w:val="15"/>
        </w:rPr>
        <w:t xml:space="preserve">. Available at: </w:t>
      </w:r>
      <w:hyperlink r:id="rId20" w:history="1">
        <w:r w:rsidRPr="00E65EAA">
          <w:rPr>
            <w:sz w:val="15"/>
            <w:szCs w:val="15"/>
          </w:rPr>
          <w:t>https://www.unicef.org/documents/act-framework</w:t>
        </w:r>
      </w:hyperlink>
    </w:p>
  </w:footnote>
  <w:footnote w:id="144">
    <w:p w14:paraId="70458E82" w14:textId="77777777" w:rsidR="4977AA67" w:rsidRPr="00C32338" w:rsidRDefault="4977AA67" w:rsidP="4977AA67">
      <w:pPr>
        <w:pStyle w:val="FootnoteText"/>
        <w:rPr>
          <w:sz w:val="15"/>
          <w:szCs w:val="15"/>
        </w:rPr>
      </w:pPr>
      <w:r w:rsidRPr="00C32338">
        <w:rPr>
          <w:rStyle w:val="FootnoteReference"/>
          <w:sz w:val="15"/>
          <w:szCs w:val="15"/>
        </w:rPr>
        <w:footnoteRef/>
      </w:r>
      <w:r w:rsidRPr="00C32338">
        <w:rPr>
          <w:sz w:val="15"/>
          <w:szCs w:val="15"/>
        </w:rPr>
        <w:t xml:space="preserve"> FGD P6; FGD M4; KII 43.</w:t>
      </w:r>
    </w:p>
  </w:footnote>
  <w:footnote w:id="145">
    <w:p w14:paraId="377900CC" w14:textId="77777777" w:rsidR="4977AA67" w:rsidRPr="00C32338" w:rsidRDefault="4977AA67" w:rsidP="4977AA67">
      <w:pPr>
        <w:pStyle w:val="FootnoteText"/>
        <w:rPr>
          <w:sz w:val="15"/>
          <w:szCs w:val="15"/>
          <w:lang w:val="es-ES"/>
        </w:rPr>
      </w:pPr>
      <w:r w:rsidRPr="00C32338">
        <w:rPr>
          <w:rStyle w:val="FootnoteReference"/>
          <w:sz w:val="15"/>
          <w:szCs w:val="15"/>
        </w:rPr>
        <w:footnoteRef/>
      </w:r>
      <w:r w:rsidRPr="00C32338">
        <w:rPr>
          <w:sz w:val="15"/>
          <w:szCs w:val="15"/>
          <w:lang w:val="es-ES"/>
        </w:rPr>
        <w:t xml:space="preserve"> KII 43.</w:t>
      </w:r>
    </w:p>
  </w:footnote>
  <w:footnote w:id="146">
    <w:p w14:paraId="3820576B" w14:textId="77777777" w:rsidR="4977AA67" w:rsidRPr="00C32338" w:rsidRDefault="4977AA67" w:rsidP="4977AA67">
      <w:pPr>
        <w:pStyle w:val="FootnoteText"/>
        <w:rPr>
          <w:sz w:val="15"/>
          <w:szCs w:val="15"/>
          <w:lang w:val="es-ES"/>
        </w:rPr>
      </w:pPr>
      <w:r w:rsidRPr="00C32338">
        <w:rPr>
          <w:rStyle w:val="FootnoteReference"/>
          <w:sz w:val="15"/>
          <w:szCs w:val="15"/>
        </w:rPr>
        <w:footnoteRef/>
      </w:r>
      <w:r w:rsidRPr="00C32338">
        <w:rPr>
          <w:sz w:val="15"/>
          <w:szCs w:val="15"/>
          <w:lang w:val="es-ES"/>
        </w:rPr>
        <w:t xml:space="preserve"> FGD E7.</w:t>
      </w:r>
    </w:p>
  </w:footnote>
  <w:footnote w:id="147">
    <w:p w14:paraId="4BC67E62" w14:textId="77777777" w:rsidR="4977AA67" w:rsidRPr="00C32338" w:rsidRDefault="4977AA67" w:rsidP="4977AA67">
      <w:pPr>
        <w:pStyle w:val="FootnoteText"/>
        <w:rPr>
          <w:sz w:val="15"/>
          <w:szCs w:val="15"/>
          <w:lang w:val="es-ES"/>
        </w:rPr>
      </w:pPr>
      <w:r w:rsidRPr="00C32338">
        <w:rPr>
          <w:rStyle w:val="FootnoteReference"/>
          <w:sz w:val="15"/>
          <w:szCs w:val="15"/>
        </w:rPr>
        <w:footnoteRef/>
      </w:r>
      <w:r w:rsidRPr="00C32338">
        <w:rPr>
          <w:sz w:val="15"/>
          <w:szCs w:val="15"/>
          <w:lang w:val="es-ES"/>
        </w:rPr>
        <w:t xml:space="preserve"> FGD M4.</w:t>
      </w:r>
    </w:p>
  </w:footnote>
  <w:footnote w:id="148">
    <w:p w14:paraId="18EB5FA1" w14:textId="77777777" w:rsidR="4977AA67" w:rsidRPr="00C32338" w:rsidRDefault="4977AA67" w:rsidP="4977AA67">
      <w:pPr>
        <w:pStyle w:val="FootnoteText"/>
        <w:rPr>
          <w:sz w:val="15"/>
          <w:szCs w:val="15"/>
          <w:lang w:val="nl-NL"/>
        </w:rPr>
      </w:pPr>
      <w:r w:rsidRPr="00C32338">
        <w:rPr>
          <w:rStyle w:val="FootnoteReference"/>
          <w:sz w:val="15"/>
          <w:szCs w:val="15"/>
        </w:rPr>
        <w:footnoteRef/>
      </w:r>
      <w:r w:rsidRPr="00C32338">
        <w:rPr>
          <w:sz w:val="15"/>
          <w:szCs w:val="15"/>
          <w:lang w:val="nl-NL"/>
        </w:rPr>
        <w:t xml:space="preserve"> FGD P5; FGD P3; FGD P2.</w:t>
      </w:r>
    </w:p>
  </w:footnote>
  <w:footnote w:id="149">
    <w:p w14:paraId="18C057CA" w14:textId="77777777" w:rsidR="4977AA67" w:rsidRPr="00C32338" w:rsidRDefault="4977AA67" w:rsidP="4977AA67">
      <w:pPr>
        <w:pStyle w:val="FootnoteText"/>
        <w:rPr>
          <w:sz w:val="15"/>
          <w:szCs w:val="15"/>
        </w:rPr>
      </w:pPr>
      <w:r w:rsidRPr="00C32338">
        <w:rPr>
          <w:rStyle w:val="FootnoteReference"/>
          <w:sz w:val="15"/>
          <w:szCs w:val="15"/>
        </w:rPr>
        <w:footnoteRef/>
      </w:r>
      <w:r w:rsidRPr="00C32338">
        <w:rPr>
          <w:sz w:val="15"/>
          <w:szCs w:val="15"/>
        </w:rPr>
        <w:t xml:space="preserve"> Note that this evaluation does not cover these approaches in detail as the MEL data was not yet available at the time of the evaluation. </w:t>
      </w:r>
    </w:p>
  </w:footnote>
  <w:footnote w:id="150">
    <w:p w14:paraId="25F4B1FB"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See Social Norms and Behaviour Case Study for a detailed discussion of the BIAM campaign.</w:t>
      </w:r>
    </w:p>
  </w:footnote>
  <w:footnote w:id="151">
    <w:p w14:paraId="375CBC9B"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FGDs P1-6; KII</w:t>
      </w:r>
      <w:r w:rsidR="004953B5" w:rsidRPr="00C32338">
        <w:rPr>
          <w:sz w:val="15"/>
          <w:szCs w:val="15"/>
        </w:rPr>
        <w:t xml:space="preserve"> 29, KII 30, KII </w:t>
      </w:r>
      <w:proofErr w:type="gramStart"/>
      <w:r w:rsidR="004953B5" w:rsidRPr="00C32338">
        <w:rPr>
          <w:sz w:val="15"/>
          <w:szCs w:val="15"/>
        </w:rPr>
        <w:t xml:space="preserve">31, </w:t>
      </w:r>
      <w:r w:rsidRPr="00C32338">
        <w:rPr>
          <w:sz w:val="15"/>
          <w:szCs w:val="15"/>
        </w:rPr>
        <w:t xml:space="preserve"> Al</w:t>
      </w:r>
      <w:proofErr w:type="gramEnd"/>
      <w:r w:rsidRPr="00C32338">
        <w:rPr>
          <w:sz w:val="15"/>
          <w:szCs w:val="15"/>
        </w:rPr>
        <w:t xml:space="preserve"> Jalil, and Fe-male, Lebanon</w:t>
      </w:r>
      <w:r w:rsidR="00517F3E" w:rsidRPr="00C32338">
        <w:rPr>
          <w:sz w:val="15"/>
          <w:szCs w:val="15"/>
        </w:rPr>
        <w:t>;</w:t>
      </w:r>
      <w:r w:rsidRPr="00C32338">
        <w:rPr>
          <w:sz w:val="15"/>
          <w:szCs w:val="15"/>
        </w:rPr>
        <w:t xml:space="preserve"> KII</w:t>
      </w:r>
      <w:r w:rsidR="00BD31E3" w:rsidRPr="00C32338">
        <w:rPr>
          <w:sz w:val="15"/>
          <w:szCs w:val="15"/>
        </w:rPr>
        <w:t xml:space="preserve"> 81, KII</w:t>
      </w:r>
      <w:r w:rsidR="00264D01" w:rsidRPr="00C32338">
        <w:rPr>
          <w:sz w:val="15"/>
          <w:szCs w:val="15"/>
        </w:rPr>
        <w:t xml:space="preserve"> 92</w:t>
      </w:r>
      <w:r w:rsidR="00517F3E" w:rsidRPr="00C32338">
        <w:rPr>
          <w:sz w:val="15"/>
          <w:szCs w:val="15"/>
        </w:rPr>
        <w:t>.</w:t>
      </w:r>
    </w:p>
  </w:footnote>
  <w:footnote w:id="152">
    <w:p w14:paraId="7BBC58A7" w14:textId="77777777" w:rsidR="00F12841" w:rsidRPr="005A06C4" w:rsidRDefault="00F12841">
      <w:pPr>
        <w:pStyle w:val="FootnoteText"/>
        <w:rPr>
          <w:lang w:val="it-IT"/>
        </w:rPr>
      </w:pPr>
      <w:r w:rsidRPr="00C32338">
        <w:rPr>
          <w:rStyle w:val="FootnoteReference"/>
          <w:sz w:val="15"/>
          <w:szCs w:val="15"/>
        </w:rPr>
        <w:footnoteRef/>
      </w:r>
      <w:r w:rsidRPr="00C32338">
        <w:rPr>
          <w:sz w:val="15"/>
          <w:szCs w:val="15"/>
          <w:lang w:val="it-IT"/>
        </w:rPr>
        <w:t xml:space="preserve"> </w:t>
      </w:r>
      <w:proofErr w:type="spellStart"/>
      <w:r w:rsidRPr="00C32338">
        <w:rPr>
          <w:sz w:val="15"/>
          <w:szCs w:val="15"/>
          <w:lang w:val="it-IT"/>
        </w:rPr>
        <w:t>Annex</w:t>
      </w:r>
      <w:proofErr w:type="spellEnd"/>
      <w:r w:rsidRPr="00C32338">
        <w:rPr>
          <w:sz w:val="15"/>
          <w:szCs w:val="15"/>
          <w:lang w:val="it-IT"/>
        </w:rPr>
        <w:t xml:space="preserve"> 18, </w:t>
      </w:r>
      <w:r w:rsidR="00DB10B8" w:rsidRPr="00C32338">
        <w:rPr>
          <w:sz w:val="15"/>
          <w:szCs w:val="15"/>
          <w:lang w:val="it-IT"/>
        </w:rPr>
        <w:t xml:space="preserve">Cislaghi, B., &amp; </w:t>
      </w:r>
      <w:proofErr w:type="spellStart"/>
      <w:r w:rsidR="00DB10B8" w:rsidRPr="00C32338">
        <w:rPr>
          <w:sz w:val="15"/>
          <w:szCs w:val="15"/>
          <w:lang w:val="it-IT"/>
        </w:rPr>
        <w:t>Heise</w:t>
      </w:r>
      <w:proofErr w:type="spellEnd"/>
      <w:r w:rsidR="00DB10B8" w:rsidRPr="00C32338">
        <w:rPr>
          <w:sz w:val="15"/>
          <w:szCs w:val="15"/>
          <w:lang w:val="it-IT"/>
        </w:rPr>
        <w:t xml:space="preserve">, L. (2018). </w:t>
      </w:r>
      <w:r w:rsidR="00DB10B8" w:rsidRPr="00C32338">
        <w:rPr>
          <w:sz w:val="15"/>
          <w:szCs w:val="15"/>
          <w:lang w:val="en-US"/>
        </w:rPr>
        <w:t xml:space="preserve">Theory and practice of social norms interventions: eight common pitfalls. </w:t>
      </w:r>
      <w:proofErr w:type="spellStart"/>
      <w:r w:rsidR="00DB10B8" w:rsidRPr="00C32338">
        <w:rPr>
          <w:sz w:val="15"/>
          <w:szCs w:val="15"/>
          <w:lang w:val="it-IT"/>
        </w:rPr>
        <w:t>Globalization</w:t>
      </w:r>
      <w:proofErr w:type="spellEnd"/>
      <w:r w:rsidR="00DB10B8" w:rsidRPr="00C32338">
        <w:rPr>
          <w:sz w:val="15"/>
          <w:szCs w:val="15"/>
          <w:lang w:val="it-IT"/>
        </w:rPr>
        <w:t xml:space="preserve"> and health, 14(1), 1-10.</w:t>
      </w:r>
    </w:p>
  </w:footnote>
  <w:footnote w:id="153">
    <w:p w14:paraId="03A1F06A"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Baseline</w:t>
      </w:r>
      <w:r w:rsidR="00490BC7" w:rsidRPr="00C32338">
        <w:rPr>
          <w:sz w:val="15"/>
          <w:szCs w:val="15"/>
        </w:rPr>
        <w:t>–</w:t>
      </w:r>
      <w:r w:rsidRPr="00C32338">
        <w:rPr>
          <w:sz w:val="15"/>
          <w:szCs w:val="15"/>
        </w:rPr>
        <w:t>endline surveys for Egypt, Lebanon, Morocco and Palestine, UN Women 2021.</w:t>
      </w:r>
    </w:p>
  </w:footnote>
  <w:footnote w:id="154">
    <w:p w14:paraId="7690BBCA" w14:textId="77777777" w:rsidR="00000AD5" w:rsidRPr="00C32338" w:rsidRDefault="00000AD5">
      <w:pPr>
        <w:pStyle w:val="FootnoteText"/>
        <w:rPr>
          <w:sz w:val="15"/>
          <w:szCs w:val="15"/>
          <w:lang w:val="en-US"/>
        </w:rPr>
      </w:pPr>
      <w:r w:rsidRPr="00C32338">
        <w:rPr>
          <w:rStyle w:val="FootnoteReference"/>
          <w:sz w:val="15"/>
          <w:szCs w:val="15"/>
        </w:rPr>
        <w:footnoteRef/>
      </w:r>
      <w:r w:rsidRPr="00C32338">
        <w:rPr>
          <w:sz w:val="15"/>
          <w:szCs w:val="15"/>
        </w:rPr>
        <w:t xml:space="preserve"> UN Women (2022) Quantitative Evaluation of Community-Based Interventions in Egypt, Lebanon, Morocco, and Palestine</w:t>
      </w:r>
    </w:p>
  </w:footnote>
  <w:footnote w:id="155">
    <w:p w14:paraId="298137CF" w14:textId="77777777" w:rsidR="4977AA67" w:rsidRPr="00C32338" w:rsidRDefault="4977AA67" w:rsidP="4977AA67">
      <w:pPr>
        <w:pStyle w:val="FootnoteText"/>
        <w:rPr>
          <w:sz w:val="15"/>
          <w:szCs w:val="15"/>
          <w:lang w:val="it-IT"/>
        </w:rPr>
      </w:pPr>
      <w:r w:rsidRPr="00C32338">
        <w:rPr>
          <w:rStyle w:val="FootnoteReference"/>
          <w:sz w:val="15"/>
          <w:szCs w:val="15"/>
        </w:rPr>
        <w:footnoteRef/>
      </w:r>
      <w:r w:rsidRPr="00C32338">
        <w:rPr>
          <w:sz w:val="15"/>
          <w:szCs w:val="15"/>
          <w:lang w:val="it-IT"/>
        </w:rPr>
        <w:t xml:space="preserve"> FGD E7.</w:t>
      </w:r>
    </w:p>
  </w:footnote>
  <w:footnote w:id="156">
    <w:p w14:paraId="5D46CAC0" w14:textId="77777777" w:rsidR="4977AA67" w:rsidRPr="00C32338" w:rsidRDefault="4977AA67" w:rsidP="4977AA67">
      <w:pPr>
        <w:pStyle w:val="FootnoteText"/>
        <w:rPr>
          <w:sz w:val="15"/>
          <w:szCs w:val="15"/>
          <w:lang w:val="it-IT"/>
        </w:rPr>
      </w:pPr>
      <w:r w:rsidRPr="00C32338">
        <w:rPr>
          <w:rStyle w:val="FootnoteReference"/>
          <w:sz w:val="15"/>
          <w:szCs w:val="15"/>
        </w:rPr>
        <w:footnoteRef/>
      </w:r>
      <w:r w:rsidRPr="00C32338">
        <w:rPr>
          <w:sz w:val="15"/>
          <w:szCs w:val="15"/>
          <w:lang w:val="it-IT"/>
        </w:rPr>
        <w:t xml:space="preserve"> FGD E1.</w:t>
      </w:r>
    </w:p>
  </w:footnote>
  <w:footnote w:id="157">
    <w:p w14:paraId="7FDD1DAF" w14:textId="77777777" w:rsidR="4977AA67" w:rsidRDefault="4977AA67" w:rsidP="4977AA67">
      <w:pPr>
        <w:pStyle w:val="FootnoteText"/>
        <w:rPr>
          <w:lang w:val="it-IT"/>
        </w:rPr>
      </w:pPr>
      <w:r w:rsidRPr="00C32338">
        <w:rPr>
          <w:rStyle w:val="FootnoteReference"/>
          <w:sz w:val="15"/>
          <w:szCs w:val="15"/>
        </w:rPr>
        <w:footnoteRef/>
      </w:r>
      <w:r w:rsidRPr="00C32338">
        <w:rPr>
          <w:sz w:val="15"/>
          <w:szCs w:val="15"/>
          <w:lang w:val="it-IT"/>
        </w:rPr>
        <w:t xml:space="preserve"> FGD E1; FGD E4; FGD E6.</w:t>
      </w:r>
    </w:p>
  </w:footnote>
  <w:footnote w:id="158">
    <w:p w14:paraId="60C8BF07" w14:textId="77777777" w:rsidR="000436B2" w:rsidRPr="00C32338" w:rsidRDefault="000436B2" w:rsidP="00C32338">
      <w:pPr>
        <w:pStyle w:val="FootnoteText"/>
        <w:rPr>
          <w:sz w:val="15"/>
          <w:szCs w:val="15"/>
          <w:lang w:val="en-US"/>
        </w:rPr>
      </w:pPr>
      <w:r w:rsidRPr="00C32338">
        <w:rPr>
          <w:rStyle w:val="FootnoteReference"/>
          <w:sz w:val="15"/>
          <w:szCs w:val="15"/>
        </w:rPr>
        <w:footnoteRef/>
      </w:r>
      <w:r w:rsidRPr="00C32338">
        <w:rPr>
          <w:sz w:val="15"/>
          <w:szCs w:val="15"/>
        </w:rPr>
        <w:t xml:space="preserve"> Note that the 15 % target was regional</w:t>
      </w:r>
    </w:p>
  </w:footnote>
  <w:footnote w:id="159">
    <w:p w14:paraId="10556482" w14:textId="77777777" w:rsidR="006F2F6D" w:rsidRPr="00C32338" w:rsidRDefault="006F2F6D" w:rsidP="00C32338">
      <w:pPr>
        <w:pStyle w:val="FootnoteText"/>
        <w:rPr>
          <w:sz w:val="15"/>
          <w:szCs w:val="15"/>
        </w:rPr>
      </w:pPr>
      <w:r w:rsidRPr="00C32338">
        <w:rPr>
          <w:rStyle w:val="FootnoteReference"/>
          <w:sz w:val="15"/>
          <w:szCs w:val="15"/>
        </w:rPr>
        <w:footnoteRef/>
      </w:r>
      <w:r w:rsidR="076A58FF" w:rsidRPr="00C32338">
        <w:rPr>
          <w:sz w:val="15"/>
          <w:szCs w:val="15"/>
        </w:rPr>
        <w:t xml:space="preserve"> The Virtual Monitoring of Community Grants was conducted by the </w:t>
      </w:r>
      <w:r w:rsidR="076A58FF" w:rsidRPr="00C32338">
        <w:rPr>
          <w:color w:val="auto"/>
          <w:sz w:val="15"/>
          <w:szCs w:val="15"/>
          <w:shd w:val="clear" w:color="auto" w:fill="E6E6E6"/>
        </w:rPr>
        <w:t xml:space="preserve">Regional </w:t>
      </w:r>
      <w:r w:rsidR="00864E7F" w:rsidRPr="00C32338">
        <w:rPr>
          <w:color w:val="auto"/>
          <w:sz w:val="15"/>
          <w:szCs w:val="15"/>
          <w:shd w:val="clear" w:color="auto" w:fill="E6E6E6"/>
        </w:rPr>
        <w:t xml:space="preserve">Monitoring and </w:t>
      </w:r>
      <w:r w:rsidR="076A58FF" w:rsidRPr="00C32338">
        <w:rPr>
          <w:color w:val="auto"/>
          <w:sz w:val="15"/>
          <w:szCs w:val="15"/>
          <w:shd w:val="clear" w:color="auto" w:fill="E6E6E6"/>
        </w:rPr>
        <w:t>Evaluation Specialis</w:t>
      </w:r>
      <w:r w:rsidR="076A58FF" w:rsidRPr="00C32338">
        <w:rPr>
          <w:color w:val="auto"/>
          <w:sz w:val="15"/>
          <w:szCs w:val="15"/>
        </w:rPr>
        <w:t xml:space="preserve">t </w:t>
      </w:r>
      <w:r w:rsidR="076A58FF" w:rsidRPr="00C32338">
        <w:rPr>
          <w:sz w:val="15"/>
          <w:szCs w:val="15"/>
        </w:rPr>
        <w:t xml:space="preserve">of the MWGE programme in Egypt, Morocco, </w:t>
      </w:r>
      <w:proofErr w:type="gramStart"/>
      <w:r w:rsidR="076A58FF" w:rsidRPr="00C32338">
        <w:rPr>
          <w:sz w:val="15"/>
          <w:szCs w:val="15"/>
        </w:rPr>
        <w:t>Lebanon</w:t>
      </w:r>
      <w:proofErr w:type="gramEnd"/>
      <w:r w:rsidR="076A58FF" w:rsidRPr="00C32338">
        <w:rPr>
          <w:sz w:val="15"/>
          <w:szCs w:val="15"/>
        </w:rPr>
        <w:t xml:space="preserve"> and Palestine. The monitoring comprised a series of interviews with national and local CBOs conducted online – hence ‘virtual monitoring’ – combined with documentary review.</w:t>
      </w:r>
    </w:p>
  </w:footnote>
  <w:footnote w:id="160">
    <w:p w14:paraId="36FD9775" w14:textId="77777777" w:rsidR="006F2F6D" w:rsidRPr="00C32338" w:rsidRDefault="006F2F6D" w:rsidP="00C32338">
      <w:pPr>
        <w:pStyle w:val="FootnoteText"/>
        <w:rPr>
          <w:sz w:val="15"/>
          <w:szCs w:val="15"/>
        </w:rPr>
      </w:pPr>
      <w:r w:rsidRPr="00C32338">
        <w:rPr>
          <w:rStyle w:val="FootnoteReference"/>
          <w:sz w:val="15"/>
          <w:szCs w:val="15"/>
        </w:rPr>
        <w:footnoteRef/>
      </w:r>
      <w:r w:rsidRPr="00C32338">
        <w:rPr>
          <w:sz w:val="15"/>
          <w:szCs w:val="15"/>
        </w:rPr>
        <w:t xml:space="preserve"> Phase </w:t>
      </w:r>
      <w:r w:rsidR="00490BC7" w:rsidRPr="00C32338">
        <w:rPr>
          <w:sz w:val="15"/>
          <w:szCs w:val="15"/>
        </w:rPr>
        <w:t>I</w:t>
      </w:r>
      <w:r w:rsidRPr="00C32338">
        <w:rPr>
          <w:sz w:val="15"/>
          <w:szCs w:val="15"/>
        </w:rPr>
        <w:t xml:space="preserve"> MSC Stories, UN Women. Note</w:t>
      </w:r>
      <w:r w:rsidR="00490BC7" w:rsidRPr="00C32338">
        <w:rPr>
          <w:sz w:val="15"/>
          <w:szCs w:val="15"/>
        </w:rPr>
        <w:t>:</w:t>
      </w:r>
      <w:r w:rsidRPr="00C32338">
        <w:rPr>
          <w:sz w:val="15"/>
          <w:szCs w:val="15"/>
        </w:rPr>
        <w:t xml:space="preserve"> Phase </w:t>
      </w:r>
      <w:r w:rsidR="00490BC7" w:rsidRPr="00C32338">
        <w:rPr>
          <w:sz w:val="15"/>
          <w:szCs w:val="15"/>
        </w:rPr>
        <w:t>II</w:t>
      </w:r>
      <w:r w:rsidRPr="00C32338">
        <w:rPr>
          <w:sz w:val="15"/>
          <w:szCs w:val="15"/>
        </w:rPr>
        <w:t xml:space="preserve"> MSC stories are currently being reviewed.</w:t>
      </w:r>
    </w:p>
  </w:footnote>
  <w:footnote w:id="161">
    <w:p w14:paraId="39A8413D" w14:textId="77777777" w:rsidR="006F2F6D" w:rsidRPr="00C32338" w:rsidRDefault="006F2F6D" w:rsidP="00C32338">
      <w:pPr>
        <w:pStyle w:val="FootnoteText"/>
        <w:rPr>
          <w:sz w:val="15"/>
          <w:szCs w:val="15"/>
          <w:lang w:val="it-IT"/>
        </w:rPr>
      </w:pPr>
      <w:r w:rsidRPr="00C32338">
        <w:rPr>
          <w:rStyle w:val="FootnoteReference"/>
          <w:sz w:val="15"/>
          <w:szCs w:val="15"/>
        </w:rPr>
        <w:footnoteRef/>
      </w:r>
      <w:r w:rsidRPr="00C32338">
        <w:rPr>
          <w:sz w:val="15"/>
          <w:szCs w:val="15"/>
          <w:lang w:val="it-IT"/>
        </w:rPr>
        <w:t xml:space="preserve"> FGD E1.</w:t>
      </w:r>
    </w:p>
  </w:footnote>
  <w:footnote w:id="162">
    <w:p w14:paraId="06DBA3EB" w14:textId="77777777" w:rsidR="006F2F6D" w:rsidRPr="00C32338" w:rsidRDefault="006F2F6D" w:rsidP="00C32338">
      <w:pPr>
        <w:pStyle w:val="FootnoteText"/>
        <w:rPr>
          <w:sz w:val="15"/>
          <w:szCs w:val="15"/>
          <w:lang w:val="it-IT"/>
        </w:rPr>
      </w:pPr>
      <w:r w:rsidRPr="00C32338">
        <w:rPr>
          <w:rStyle w:val="FootnoteReference"/>
          <w:sz w:val="15"/>
          <w:szCs w:val="15"/>
        </w:rPr>
        <w:footnoteRef/>
      </w:r>
      <w:r w:rsidRPr="00C32338">
        <w:rPr>
          <w:sz w:val="15"/>
          <w:szCs w:val="15"/>
          <w:lang w:val="it-IT"/>
        </w:rPr>
        <w:t xml:space="preserve"> FGD E6.</w:t>
      </w:r>
    </w:p>
  </w:footnote>
  <w:footnote w:id="163">
    <w:p w14:paraId="332C3148" w14:textId="77777777" w:rsidR="006F2F6D" w:rsidRPr="00C32338" w:rsidRDefault="006F2F6D" w:rsidP="00C32338">
      <w:pPr>
        <w:pStyle w:val="FootnoteText"/>
        <w:rPr>
          <w:sz w:val="15"/>
          <w:szCs w:val="15"/>
          <w:lang w:val="it-IT"/>
        </w:rPr>
      </w:pPr>
      <w:r w:rsidRPr="00C32338">
        <w:rPr>
          <w:rStyle w:val="FootnoteReference"/>
          <w:sz w:val="15"/>
          <w:szCs w:val="15"/>
        </w:rPr>
        <w:footnoteRef/>
      </w:r>
      <w:r w:rsidRPr="00C32338">
        <w:rPr>
          <w:sz w:val="15"/>
          <w:szCs w:val="15"/>
          <w:lang w:val="it-IT"/>
        </w:rPr>
        <w:t xml:space="preserve"> FGD M1</w:t>
      </w:r>
      <w:r w:rsidR="000A3C61" w:rsidRPr="00C32338">
        <w:rPr>
          <w:sz w:val="15"/>
          <w:szCs w:val="15"/>
          <w:lang w:val="it-IT"/>
        </w:rPr>
        <w:t>.</w:t>
      </w:r>
    </w:p>
  </w:footnote>
  <w:footnote w:id="164">
    <w:p w14:paraId="416B78DD" w14:textId="77777777" w:rsidR="006F2F6D" w:rsidRPr="00C32338" w:rsidRDefault="006F2F6D" w:rsidP="00C32338">
      <w:pPr>
        <w:pStyle w:val="FootnoteText"/>
        <w:rPr>
          <w:sz w:val="15"/>
          <w:szCs w:val="15"/>
        </w:rPr>
      </w:pPr>
      <w:r w:rsidRPr="00C32338">
        <w:rPr>
          <w:rStyle w:val="FootnoteReference"/>
          <w:sz w:val="15"/>
          <w:szCs w:val="15"/>
        </w:rPr>
        <w:footnoteRef/>
      </w:r>
      <w:r w:rsidRPr="00C32338">
        <w:rPr>
          <w:sz w:val="15"/>
          <w:szCs w:val="15"/>
        </w:rPr>
        <w:t xml:space="preserve"> FGD E7.</w:t>
      </w:r>
    </w:p>
  </w:footnote>
  <w:footnote w:id="165">
    <w:p w14:paraId="53088ABA" w14:textId="77777777" w:rsidR="006F2F6D" w:rsidRPr="00C32338" w:rsidRDefault="006F2F6D" w:rsidP="00C32338">
      <w:pPr>
        <w:pStyle w:val="FootnoteText"/>
        <w:rPr>
          <w:sz w:val="15"/>
          <w:szCs w:val="15"/>
        </w:rPr>
      </w:pPr>
      <w:r w:rsidRPr="00C32338">
        <w:rPr>
          <w:rStyle w:val="FootnoteReference"/>
          <w:sz w:val="15"/>
          <w:szCs w:val="15"/>
        </w:rPr>
        <w:footnoteRef/>
      </w:r>
      <w:r w:rsidRPr="00C32338">
        <w:rPr>
          <w:sz w:val="15"/>
          <w:szCs w:val="15"/>
        </w:rPr>
        <w:t xml:space="preserve"> These vignettes of change derive from a range of qualitative sources, and </w:t>
      </w:r>
      <w:r w:rsidR="000A3C61" w:rsidRPr="00C32338">
        <w:rPr>
          <w:sz w:val="15"/>
          <w:szCs w:val="15"/>
        </w:rPr>
        <w:t xml:space="preserve">therefore </w:t>
      </w:r>
      <w:r w:rsidRPr="00C32338">
        <w:rPr>
          <w:sz w:val="15"/>
          <w:szCs w:val="15"/>
        </w:rPr>
        <w:t xml:space="preserve">we cannot be sure of the scale of change which they reflect. However, they do demonstrate that new norms and behaviours were being disseminated by beneficiaries, which is an essential requirement for social norm change in the wider community. We can also observe that these vignettes come from a range of data sources – FGDs, KIIs, </w:t>
      </w:r>
      <w:r w:rsidR="00AD6881" w:rsidRPr="00C32338">
        <w:rPr>
          <w:sz w:val="15"/>
          <w:szCs w:val="15"/>
        </w:rPr>
        <w:t>v</w:t>
      </w:r>
      <w:r w:rsidRPr="00C32338">
        <w:rPr>
          <w:sz w:val="15"/>
          <w:szCs w:val="15"/>
        </w:rPr>
        <w:t xml:space="preserve">irtual </w:t>
      </w:r>
      <w:r w:rsidR="00AD6881" w:rsidRPr="00C32338">
        <w:rPr>
          <w:sz w:val="15"/>
          <w:szCs w:val="15"/>
        </w:rPr>
        <w:t>m</w:t>
      </w:r>
      <w:r w:rsidRPr="00C32338">
        <w:rPr>
          <w:sz w:val="15"/>
          <w:szCs w:val="15"/>
        </w:rPr>
        <w:t xml:space="preserve">onitoring, and </w:t>
      </w:r>
      <w:r w:rsidR="000A3C61" w:rsidRPr="00C32338">
        <w:rPr>
          <w:sz w:val="15"/>
          <w:szCs w:val="15"/>
        </w:rPr>
        <w:t>MSC</w:t>
      </w:r>
      <w:r w:rsidRPr="00C32338">
        <w:rPr>
          <w:sz w:val="15"/>
          <w:szCs w:val="15"/>
        </w:rPr>
        <w:t xml:space="preserve"> </w:t>
      </w:r>
      <w:r w:rsidR="00AD6881" w:rsidRPr="00C32338">
        <w:rPr>
          <w:sz w:val="15"/>
          <w:szCs w:val="15"/>
        </w:rPr>
        <w:t>s</w:t>
      </w:r>
      <w:r w:rsidRPr="00C32338">
        <w:rPr>
          <w:sz w:val="15"/>
          <w:szCs w:val="15"/>
        </w:rPr>
        <w:t>tories – from all four countries, and from men and women.</w:t>
      </w:r>
    </w:p>
  </w:footnote>
  <w:footnote w:id="166">
    <w:p w14:paraId="7E078DDE" w14:textId="468DF2E2" w:rsidR="4977AA67" w:rsidRPr="00C32338" w:rsidRDefault="4977AA67" w:rsidP="00C32338">
      <w:pPr>
        <w:pStyle w:val="ItadH3"/>
        <w:spacing w:before="0" w:after="0"/>
        <w:jc w:val="both"/>
        <w:rPr>
          <w:b w:val="0"/>
          <w:bCs w:val="0"/>
          <w:color w:val="auto"/>
          <w:sz w:val="15"/>
          <w:szCs w:val="15"/>
          <w:lang w:val="en-GB"/>
        </w:rPr>
      </w:pPr>
      <w:r w:rsidRPr="00C32338">
        <w:rPr>
          <w:b w:val="0"/>
          <w:bCs w:val="0"/>
          <w:color w:val="auto"/>
          <w:sz w:val="15"/>
          <w:szCs w:val="15"/>
        </w:rPr>
        <w:footnoteRef/>
      </w:r>
      <w:r w:rsidRPr="00C32338">
        <w:rPr>
          <w:b w:val="0"/>
          <w:bCs w:val="0"/>
          <w:color w:val="auto"/>
          <w:sz w:val="15"/>
          <w:szCs w:val="15"/>
          <w:lang w:val="en-GB"/>
        </w:rPr>
        <w:t xml:space="preserve"> The degree to which beneficiaries have acquired skills to engage in gender equal behaviours and challenge harmful practices.</w:t>
      </w:r>
    </w:p>
  </w:footnote>
  <w:footnote w:id="167">
    <w:p w14:paraId="02DA7DA1" w14:textId="77777777" w:rsidR="006F2F6D" w:rsidRPr="00C32338" w:rsidRDefault="006F2F6D" w:rsidP="00C32338">
      <w:pPr>
        <w:pStyle w:val="FootnoteText"/>
        <w:rPr>
          <w:sz w:val="15"/>
          <w:szCs w:val="15"/>
          <w:lang w:val="it-IT"/>
        </w:rPr>
      </w:pPr>
      <w:r w:rsidRPr="00C32338">
        <w:rPr>
          <w:rStyle w:val="FootnoteReference"/>
          <w:sz w:val="15"/>
          <w:szCs w:val="15"/>
        </w:rPr>
        <w:footnoteRef/>
      </w:r>
      <w:r w:rsidRPr="00C32338">
        <w:rPr>
          <w:sz w:val="15"/>
          <w:szCs w:val="15"/>
          <w:lang w:val="it-IT"/>
        </w:rPr>
        <w:t xml:space="preserve"> FGD E6</w:t>
      </w:r>
      <w:r w:rsidR="000A3C61" w:rsidRPr="00C32338">
        <w:rPr>
          <w:sz w:val="15"/>
          <w:szCs w:val="15"/>
          <w:lang w:val="it-IT"/>
        </w:rPr>
        <w:t>.</w:t>
      </w:r>
    </w:p>
  </w:footnote>
  <w:footnote w:id="168">
    <w:p w14:paraId="13124642" w14:textId="77777777" w:rsidR="006F2F6D" w:rsidRPr="00C32338" w:rsidRDefault="006F2F6D" w:rsidP="00C32338">
      <w:pPr>
        <w:pStyle w:val="FootnoteText"/>
        <w:rPr>
          <w:sz w:val="15"/>
          <w:szCs w:val="15"/>
          <w:lang w:val="it-IT"/>
        </w:rPr>
      </w:pPr>
      <w:r w:rsidRPr="00C32338">
        <w:rPr>
          <w:rStyle w:val="FootnoteReference"/>
          <w:sz w:val="15"/>
          <w:szCs w:val="15"/>
        </w:rPr>
        <w:footnoteRef/>
      </w:r>
      <w:r w:rsidRPr="00C32338">
        <w:rPr>
          <w:sz w:val="15"/>
          <w:szCs w:val="15"/>
          <w:lang w:val="it-IT"/>
        </w:rPr>
        <w:t xml:space="preserve"> FGD E5</w:t>
      </w:r>
      <w:r w:rsidR="000A3C61" w:rsidRPr="00C32338">
        <w:rPr>
          <w:sz w:val="15"/>
          <w:szCs w:val="15"/>
          <w:lang w:val="it-IT"/>
        </w:rPr>
        <w:t>.</w:t>
      </w:r>
    </w:p>
  </w:footnote>
  <w:footnote w:id="169">
    <w:p w14:paraId="3F1E115E" w14:textId="77777777" w:rsidR="006F2F6D" w:rsidRPr="00C32338" w:rsidRDefault="006F2F6D" w:rsidP="00C32338">
      <w:pPr>
        <w:pStyle w:val="FootnoteText"/>
        <w:rPr>
          <w:sz w:val="15"/>
          <w:szCs w:val="15"/>
          <w:lang w:val="it-IT"/>
        </w:rPr>
      </w:pPr>
      <w:r w:rsidRPr="00C32338">
        <w:rPr>
          <w:rStyle w:val="FootnoteReference"/>
          <w:sz w:val="15"/>
          <w:szCs w:val="15"/>
        </w:rPr>
        <w:footnoteRef/>
      </w:r>
      <w:r w:rsidRPr="00C32338">
        <w:rPr>
          <w:sz w:val="15"/>
          <w:szCs w:val="15"/>
          <w:lang w:val="it-IT"/>
        </w:rPr>
        <w:t xml:space="preserve"> FGD M2.</w:t>
      </w:r>
    </w:p>
  </w:footnote>
  <w:footnote w:id="170">
    <w:p w14:paraId="7F8D2740" w14:textId="77777777" w:rsidR="006F2F6D" w:rsidRPr="00C80D78" w:rsidRDefault="006F2F6D" w:rsidP="00C32338">
      <w:pPr>
        <w:pStyle w:val="FootnoteText"/>
        <w:rPr>
          <w:lang w:val="es-ES"/>
        </w:rPr>
      </w:pPr>
      <w:r w:rsidRPr="00C32338">
        <w:rPr>
          <w:rStyle w:val="FootnoteReference"/>
          <w:sz w:val="15"/>
          <w:szCs w:val="15"/>
        </w:rPr>
        <w:footnoteRef/>
      </w:r>
      <w:r w:rsidRPr="00C32338">
        <w:rPr>
          <w:sz w:val="15"/>
          <w:szCs w:val="15"/>
          <w:lang w:val="es-ES"/>
        </w:rPr>
        <w:t xml:space="preserve"> FGD E7.</w:t>
      </w:r>
    </w:p>
  </w:footnote>
  <w:footnote w:id="171">
    <w:p w14:paraId="6527B5DD" w14:textId="77777777" w:rsidR="006F2F6D" w:rsidRPr="00C32338" w:rsidRDefault="006F2F6D" w:rsidP="006F2F6D">
      <w:pPr>
        <w:pStyle w:val="FootnoteText"/>
        <w:rPr>
          <w:sz w:val="15"/>
          <w:szCs w:val="15"/>
          <w:lang w:val="es-ES"/>
        </w:rPr>
      </w:pPr>
      <w:r w:rsidRPr="00C32338">
        <w:rPr>
          <w:rStyle w:val="FootnoteReference"/>
          <w:sz w:val="15"/>
          <w:szCs w:val="15"/>
        </w:rPr>
        <w:footnoteRef/>
      </w:r>
      <w:r w:rsidRPr="00C32338">
        <w:rPr>
          <w:sz w:val="15"/>
          <w:szCs w:val="15"/>
          <w:lang w:val="es-ES"/>
        </w:rPr>
        <w:t xml:space="preserve"> KII</w:t>
      </w:r>
      <w:r w:rsidR="00EE2DFD" w:rsidRPr="00C32338">
        <w:rPr>
          <w:sz w:val="15"/>
          <w:szCs w:val="15"/>
          <w:lang w:val="es-ES"/>
        </w:rPr>
        <w:t>9</w:t>
      </w:r>
      <w:r w:rsidRPr="00C32338">
        <w:rPr>
          <w:sz w:val="15"/>
          <w:szCs w:val="15"/>
          <w:lang w:val="es-ES"/>
        </w:rPr>
        <w:t>; FGD E6; FGD M3.</w:t>
      </w:r>
    </w:p>
  </w:footnote>
  <w:footnote w:id="172">
    <w:p w14:paraId="3F78C39D" w14:textId="77777777" w:rsidR="006F2F6D" w:rsidRPr="00C32338" w:rsidRDefault="006F2F6D" w:rsidP="006F2F6D">
      <w:pPr>
        <w:pStyle w:val="FootnoteText"/>
        <w:rPr>
          <w:sz w:val="15"/>
          <w:szCs w:val="15"/>
          <w:lang w:val="es-ES"/>
        </w:rPr>
      </w:pPr>
      <w:r w:rsidRPr="00C32338">
        <w:rPr>
          <w:rStyle w:val="FootnoteReference"/>
          <w:sz w:val="15"/>
          <w:szCs w:val="15"/>
        </w:rPr>
        <w:footnoteRef/>
      </w:r>
      <w:r w:rsidRPr="00C32338">
        <w:rPr>
          <w:sz w:val="15"/>
          <w:szCs w:val="15"/>
          <w:lang w:val="es-ES"/>
        </w:rPr>
        <w:t xml:space="preserve"> FGD M2</w:t>
      </w:r>
      <w:r w:rsidR="000A3C61" w:rsidRPr="00C32338">
        <w:rPr>
          <w:sz w:val="15"/>
          <w:szCs w:val="15"/>
          <w:lang w:val="es-ES"/>
        </w:rPr>
        <w:t>.</w:t>
      </w:r>
    </w:p>
  </w:footnote>
  <w:footnote w:id="173">
    <w:p w14:paraId="16F54032" w14:textId="77777777" w:rsidR="006F2F6D" w:rsidRPr="00E65EAA" w:rsidRDefault="006F2F6D" w:rsidP="006F2F6D">
      <w:pPr>
        <w:pStyle w:val="FootnoteText"/>
        <w:rPr>
          <w:sz w:val="15"/>
          <w:szCs w:val="15"/>
          <w:lang w:val="es-ES"/>
        </w:rPr>
      </w:pPr>
      <w:r w:rsidRPr="00E65EAA">
        <w:rPr>
          <w:rStyle w:val="FootnoteReference"/>
          <w:sz w:val="15"/>
          <w:szCs w:val="15"/>
        </w:rPr>
        <w:footnoteRef/>
      </w:r>
      <w:r w:rsidRPr="00E65EAA">
        <w:rPr>
          <w:sz w:val="15"/>
          <w:szCs w:val="15"/>
          <w:lang w:val="es-ES"/>
        </w:rPr>
        <w:t xml:space="preserve"> FGD E3.</w:t>
      </w:r>
    </w:p>
  </w:footnote>
  <w:footnote w:id="174">
    <w:p w14:paraId="59AC6FB1" w14:textId="77777777" w:rsidR="006F2F6D" w:rsidRPr="00E65EAA" w:rsidRDefault="006F2F6D" w:rsidP="006F2F6D">
      <w:pPr>
        <w:pStyle w:val="FootnoteText"/>
        <w:rPr>
          <w:sz w:val="15"/>
          <w:szCs w:val="15"/>
          <w:lang w:val="es-ES"/>
        </w:rPr>
      </w:pPr>
      <w:r w:rsidRPr="00E65EAA">
        <w:rPr>
          <w:rStyle w:val="FootnoteReference"/>
          <w:sz w:val="15"/>
          <w:szCs w:val="15"/>
        </w:rPr>
        <w:footnoteRef/>
      </w:r>
      <w:r w:rsidRPr="00E65EAA">
        <w:rPr>
          <w:sz w:val="15"/>
          <w:szCs w:val="15"/>
          <w:lang w:val="es-ES"/>
        </w:rPr>
        <w:t xml:space="preserve"> FGD M4.</w:t>
      </w:r>
    </w:p>
  </w:footnote>
  <w:footnote w:id="175">
    <w:p w14:paraId="4745B59D"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Virtual Monitoring Report Egypt.</w:t>
      </w:r>
    </w:p>
  </w:footnote>
  <w:footnote w:id="176">
    <w:p w14:paraId="5855197B" w14:textId="77777777" w:rsidR="002E7718" w:rsidRPr="00E65EAA" w:rsidRDefault="002E7718">
      <w:pPr>
        <w:pStyle w:val="FootnoteText"/>
        <w:rPr>
          <w:sz w:val="15"/>
          <w:szCs w:val="15"/>
          <w:lang w:val="en-US"/>
        </w:rPr>
      </w:pPr>
      <w:r w:rsidRPr="00E65EAA">
        <w:rPr>
          <w:rStyle w:val="FootnoteReference"/>
          <w:sz w:val="15"/>
          <w:szCs w:val="15"/>
        </w:rPr>
        <w:footnoteRef/>
      </w:r>
      <w:r w:rsidRPr="00E65EAA">
        <w:rPr>
          <w:sz w:val="15"/>
          <w:szCs w:val="15"/>
        </w:rPr>
        <w:t xml:space="preserve"> As mentioned in the limitations, </w:t>
      </w:r>
      <w:r w:rsidR="00F01C56" w:rsidRPr="00E65EAA">
        <w:rPr>
          <w:sz w:val="15"/>
          <w:szCs w:val="15"/>
        </w:rPr>
        <w:t>IPV (or GBV prevalence more broadly) was however not</w:t>
      </w:r>
      <w:r w:rsidR="006B2308" w:rsidRPr="00E65EAA">
        <w:rPr>
          <w:sz w:val="15"/>
          <w:szCs w:val="15"/>
        </w:rPr>
        <w:t xml:space="preserve"> tracked using rigorous before/after data collection methods, such as WHO GBV prevalence questionnaires</w:t>
      </w:r>
    </w:p>
  </w:footnote>
  <w:footnote w:id="177">
    <w:p w14:paraId="53BF6E88" w14:textId="77777777" w:rsidR="00651994" w:rsidRPr="00E65EAA" w:rsidRDefault="00651994">
      <w:pPr>
        <w:pStyle w:val="FootnoteText"/>
        <w:rPr>
          <w:sz w:val="15"/>
          <w:szCs w:val="15"/>
        </w:rPr>
      </w:pPr>
      <w:r w:rsidRPr="00E65EAA">
        <w:rPr>
          <w:rStyle w:val="FootnoteReference"/>
          <w:sz w:val="15"/>
          <w:szCs w:val="15"/>
        </w:rPr>
        <w:footnoteRef/>
      </w:r>
      <w:r w:rsidRPr="00E65EAA">
        <w:rPr>
          <w:sz w:val="15"/>
          <w:szCs w:val="15"/>
        </w:rPr>
        <w:t xml:space="preserve"> </w:t>
      </w:r>
      <w:r w:rsidR="007C6F3E" w:rsidRPr="00E65EAA">
        <w:rPr>
          <w:sz w:val="15"/>
          <w:szCs w:val="15"/>
        </w:rPr>
        <w:t xml:space="preserve">These changes occurred despite challenges </w:t>
      </w:r>
      <w:r w:rsidR="003C4356" w:rsidRPr="00E65EAA">
        <w:rPr>
          <w:sz w:val="15"/>
          <w:szCs w:val="15"/>
        </w:rPr>
        <w:t>in cohort attrition between baseline and endline</w:t>
      </w:r>
    </w:p>
  </w:footnote>
  <w:footnote w:id="178">
    <w:p w14:paraId="720031FE" w14:textId="77777777" w:rsidR="00000AD5" w:rsidRPr="00E65EAA" w:rsidRDefault="00000AD5" w:rsidP="00B21858">
      <w:pPr>
        <w:pStyle w:val="FootnoteText"/>
        <w:rPr>
          <w:sz w:val="15"/>
          <w:szCs w:val="15"/>
          <w:lang w:val="en-US"/>
        </w:rPr>
      </w:pPr>
      <w:r w:rsidRPr="00E65EAA">
        <w:rPr>
          <w:rStyle w:val="FootnoteReference"/>
          <w:sz w:val="15"/>
          <w:szCs w:val="15"/>
        </w:rPr>
        <w:footnoteRef/>
      </w:r>
      <w:r w:rsidRPr="00E65EAA">
        <w:rPr>
          <w:sz w:val="15"/>
          <w:szCs w:val="15"/>
        </w:rPr>
        <w:t xml:space="preserve"> UN Women (2022) Quantitative Evaluation of Community-Based Interventions in Egypt, Lebanon, Morocco, and Palestine </w:t>
      </w:r>
    </w:p>
  </w:footnote>
  <w:footnote w:id="179">
    <w:p w14:paraId="4417DD3F" w14:textId="3154140F" w:rsidR="4977AA67" w:rsidRPr="00E65EAA" w:rsidRDefault="4977AA67" w:rsidP="00E65EAA">
      <w:pPr>
        <w:pStyle w:val="ItadNormalText"/>
        <w:spacing w:before="0" w:after="0"/>
        <w:rPr>
          <w:sz w:val="15"/>
          <w:szCs w:val="15"/>
        </w:rPr>
      </w:pPr>
      <w:r w:rsidRPr="00E65EAA">
        <w:rPr>
          <w:sz w:val="15"/>
          <w:szCs w:val="15"/>
        </w:rPr>
        <w:footnoteRef/>
      </w:r>
      <w:r w:rsidRPr="00E65EAA">
        <w:rPr>
          <w:sz w:val="15"/>
          <w:szCs w:val="15"/>
        </w:rPr>
        <w:t xml:space="preserve"> UN Women (2022), Quantitative Evaluation of Community-Based Interventions in Egypt, Lebanon, </w:t>
      </w:r>
      <w:proofErr w:type="gramStart"/>
      <w:r w:rsidRPr="00E65EAA">
        <w:rPr>
          <w:sz w:val="15"/>
          <w:szCs w:val="15"/>
        </w:rPr>
        <w:t>Morocco</w:t>
      </w:r>
      <w:proofErr w:type="gramEnd"/>
      <w:r w:rsidRPr="00E65EAA">
        <w:rPr>
          <w:sz w:val="15"/>
          <w:szCs w:val="15"/>
        </w:rPr>
        <w:t xml:space="preserve"> and Palestine</w:t>
      </w:r>
    </w:p>
  </w:footnote>
  <w:footnote w:id="180">
    <w:p w14:paraId="628F8BDB" w14:textId="77777777" w:rsidR="006F2F6D" w:rsidRPr="00C32338"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Note that this data is not statistically significant</w:t>
      </w:r>
      <w:r w:rsidR="00AD6881" w:rsidRPr="00E65EAA">
        <w:rPr>
          <w:sz w:val="15"/>
          <w:szCs w:val="15"/>
        </w:rPr>
        <w:t>,</w:t>
      </w:r>
      <w:r w:rsidRPr="00E65EAA">
        <w:rPr>
          <w:sz w:val="15"/>
          <w:szCs w:val="15"/>
        </w:rPr>
        <w:t xml:space="preserve"> owing to sampling challenges in Egypt.</w:t>
      </w:r>
      <w:r w:rsidRPr="00C32338">
        <w:rPr>
          <w:sz w:val="15"/>
          <w:szCs w:val="15"/>
        </w:rPr>
        <w:t xml:space="preserve"> </w:t>
      </w:r>
    </w:p>
  </w:footnote>
  <w:footnote w:id="181">
    <w:p w14:paraId="37F545D2" w14:textId="77777777" w:rsidR="006F2F6D" w:rsidRPr="00C32338" w:rsidRDefault="006F2F6D" w:rsidP="006F2F6D">
      <w:pPr>
        <w:pStyle w:val="FootnoteText"/>
        <w:rPr>
          <w:sz w:val="15"/>
          <w:szCs w:val="15"/>
          <w:lang w:val="es-ES"/>
        </w:rPr>
      </w:pPr>
      <w:r w:rsidRPr="00C32338">
        <w:rPr>
          <w:rStyle w:val="FootnoteReference"/>
          <w:sz w:val="15"/>
          <w:szCs w:val="15"/>
        </w:rPr>
        <w:footnoteRef/>
      </w:r>
      <w:r w:rsidRPr="00C32338">
        <w:rPr>
          <w:sz w:val="15"/>
          <w:szCs w:val="15"/>
          <w:lang w:val="es-ES"/>
        </w:rPr>
        <w:t xml:space="preserve"> FGD E1.</w:t>
      </w:r>
    </w:p>
  </w:footnote>
  <w:footnote w:id="182">
    <w:p w14:paraId="57846D64" w14:textId="77777777" w:rsidR="006F2F6D" w:rsidRPr="00C32338" w:rsidRDefault="006F2F6D" w:rsidP="006F2F6D">
      <w:pPr>
        <w:pStyle w:val="FootnoteText"/>
        <w:rPr>
          <w:sz w:val="15"/>
          <w:szCs w:val="15"/>
          <w:lang w:val="es-ES"/>
        </w:rPr>
      </w:pPr>
      <w:r w:rsidRPr="00C32338">
        <w:rPr>
          <w:rStyle w:val="FootnoteReference"/>
          <w:sz w:val="15"/>
          <w:szCs w:val="15"/>
        </w:rPr>
        <w:footnoteRef/>
      </w:r>
      <w:r w:rsidRPr="00C32338">
        <w:rPr>
          <w:sz w:val="15"/>
          <w:szCs w:val="15"/>
          <w:lang w:val="es-ES"/>
        </w:rPr>
        <w:t xml:space="preserve"> FGD E5.</w:t>
      </w:r>
    </w:p>
  </w:footnote>
  <w:footnote w:id="183">
    <w:p w14:paraId="0E6588F2" w14:textId="77777777" w:rsidR="006F2F6D" w:rsidRPr="00C32338" w:rsidRDefault="006F2F6D" w:rsidP="006F2F6D">
      <w:pPr>
        <w:pStyle w:val="FootnoteText"/>
        <w:rPr>
          <w:sz w:val="15"/>
          <w:szCs w:val="15"/>
          <w:lang w:val="es-ES"/>
        </w:rPr>
      </w:pPr>
      <w:r w:rsidRPr="00C32338">
        <w:rPr>
          <w:rStyle w:val="FootnoteReference"/>
          <w:sz w:val="15"/>
          <w:szCs w:val="15"/>
        </w:rPr>
        <w:footnoteRef/>
      </w:r>
      <w:r w:rsidRPr="00C32338">
        <w:rPr>
          <w:sz w:val="15"/>
          <w:szCs w:val="15"/>
          <w:lang w:val="es-ES"/>
        </w:rPr>
        <w:t xml:space="preserve"> FGD E3; FGD P4; FGD P5; FGD M1; FGD M4.</w:t>
      </w:r>
    </w:p>
  </w:footnote>
  <w:footnote w:id="184">
    <w:p w14:paraId="684369CD" w14:textId="77777777" w:rsidR="006F2F6D" w:rsidRPr="00C32338" w:rsidRDefault="006F2F6D" w:rsidP="006F2F6D">
      <w:pPr>
        <w:pStyle w:val="FootnoteText"/>
        <w:rPr>
          <w:sz w:val="15"/>
          <w:szCs w:val="15"/>
          <w:lang w:val="it-IT"/>
        </w:rPr>
      </w:pPr>
      <w:r w:rsidRPr="00C32338">
        <w:rPr>
          <w:rStyle w:val="FootnoteReference"/>
          <w:sz w:val="15"/>
          <w:szCs w:val="15"/>
        </w:rPr>
        <w:footnoteRef/>
      </w:r>
      <w:r w:rsidRPr="00C32338">
        <w:rPr>
          <w:sz w:val="15"/>
          <w:szCs w:val="15"/>
          <w:lang w:val="it-IT"/>
        </w:rPr>
        <w:t xml:space="preserve"> FGD P1</w:t>
      </w:r>
      <w:r w:rsidR="00AD6881" w:rsidRPr="00C32338">
        <w:rPr>
          <w:sz w:val="15"/>
          <w:szCs w:val="15"/>
          <w:lang w:val="it-IT"/>
        </w:rPr>
        <w:t>.</w:t>
      </w:r>
    </w:p>
  </w:footnote>
  <w:footnote w:id="185">
    <w:p w14:paraId="7D3EDF05" w14:textId="77777777" w:rsidR="006F2F6D" w:rsidRPr="00C32338" w:rsidRDefault="006F2F6D" w:rsidP="006F2F6D">
      <w:pPr>
        <w:pStyle w:val="FootnoteText"/>
        <w:rPr>
          <w:sz w:val="15"/>
          <w:szCs w:val="15"/>
          <w:lang w:val="it-IT"/>
        </w:rPr>
      </w:pPr>
      <w:r w:rsidRPr="00C32338">
        <w:rPr>
          <w:rStyle w:val="FootnoteReference"/>
          <w:sz w:val="15"/>
          <w:szCs w:val="15"/>
        </w:rPr>
        <w:footnoteRef/>
      </w:r>
      <w:r w:rsidRPr="00C32338">
        <w:rPr>
          <w:sz w:val="15"/>
          <w:szCs w:val="15"/>
          <w:lang w:val="it-IT"/>
        </w:rPr>
        <w:t xml:space="preserve"> FGD E2; FGD E5.</w:t>
      </w:r>
    </w:p>
  </w:footnote>
  <w:footnote w:id="186">
    <w:p w14:paraId="6FFEC530" w14:textId="77777777" w:rsidR="006F2F6D" w:rsidRPr="00C32338" w:rsidRDefault="006F2F6D" w:rsidP="006F2F6D">
      <w:pPr>
        <w:pStyle w:val="FootnoteText"/>
        <w:rPr>
          <w:sz w:val="15"/>
          <w:szCs w:val="15"/>
          <w:lang w:val="it-IT"/>
        </w:rPr>
      </w:pPr>
      <w:r w:rsidRPr="00C32338">
        <w:rPr>
          <w:rStyle w:val="FootnoteReference"/>
          <w:sz w:val="15"/>
          <w:szCs w:val="15"/>
        </w:rPr>
        <w:footnoteRef/>
      </w:r>
      <w:r w:rsidRPr="00C32338">
        <w:rPr>
          <w:sz w:val="15"/>
          <w:szCs w:val="15"/>
          <w:lang w:val="it-IT"/>
        </w:rPr>
        <w:t xml:space="preserve"> FGD E5; FGD E2</w:t>
      </w:r>
      <w:r w:rsidR="00AD6881" w:rsidRPr="00C32338">
        <w:rPr>
          <w:sz w:val="15"/>
          <w:szCs w:val="15"/>
          <w:lang w:val="it-IT"/>
        </w:rPr>
        <w:t>.</w:t>
      </w:r>
    </w:p>
  </w:footnote>
  <w:footnote w:id="187">
    <w:p w14:paraId="1BDFC4BE" w14:textId="77777777" w:rsidR="003E50F8" w:rsidRPr="003D597E" w:rsidRDefault="003E50F8">
      <w:pPr>
        <w:pStyle w:val="FootnoteText"/>
        <w:rPr>
          <w:lang w:val="it-IT"/>
        </w:rPr>
      </w:pPr>
      <w:r w:rsidRPr="00C32338">
        <w:rPr>
          <w:rStyle w:val="FootnoteReference"/>
          <w:sz w:val="15"/>
          <w:szCs w:val="15"/>
        </w:rPr>
        <w:footnoteRef/>
      </w:r>
      <w:r w:rsidRPr="00C32338">
        <w:rPr>
          <w:sz w:val="15"/>
          <w:szCs w:val="15"/>
          <w:lang w:val="it-IT"/>
        </w:rPr>
        <w:t xml:space="preserve"> Social </w:t>
      </w:r>
      <w:proofErr w:type="spellStart"/>
      <w:r w:rsidRPr="00C32338">
        <w:rPr>
          <w:sz w:val="15"/>
          <w:szCs w:val="15"/>
          <w:lang w:val="it-IT"/>
        </w:rPr>
        <w:t>norms</w:t>
      </w:r>
      <w:proofErr w:type="spellEnd"/>
      <w:r w:rsidRPr="00C32338">
        <w:rPr>
          <w:sz w:val="15"/>
          <w:szCs w:val="15"/>
          <w:lang w:val="it-IT"/>
        </w:rPr>
        <w:t xml:space="preserve"> </w:t>
      </w:r>
      <w:proofErr w:type="spellStart"/>
      <w:r w:rsidR="00F200AC" w:rsidRPr="00C32338">
        <w:rPr>
          <w:sz w:val="15"/>
          <w:szCs w:val="15"/>
          <w:lang w:val="it-IT"/>
        </w:rPr>
        <w:t>endline</w:t>
      </w:r>
      <w:proofErr w:type="spellEnd"/>
    </w:p>
  </w:footnote>
  <w:footnote w:id="188">
    <w:p w14:paraId="728B5BB3"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FGD M3; FGD M4; FGD P3; FGD P5; Virtual Monitoring Report, Palestine.</w:t>
      </w:r>
    </w:p>
  </w:footnote>
  <w:footnote w:id="189">
    <w:p w14:paraId="6749E872" w14:textId="77777777" w:rsidR="006F2F6D" w:rsidRPr="00C32338" w:rsidRDefault="006F2F6D" w:rsidP="006F2F6D">
      <w:pPr>
        <w:pStyle w:val="FootnoteText"/>
        <w:rPr>
          <w:sz w:val="15"/>
          <w:szCs w:val="15"/>
          <w:lang w:val="nl-NL"/>
        </w:rPr>
      </w:pPr>
      <w:r w:rsidRPr="00C32338">
        <w:rPr>
          <w:rStyle w:val="FootnoteReference"/>
          <w:sz w:val="15"/>
          <w:szCs w:val="15"/>
        </w:rPr>
        <w:footnoteRef/>
      </w:r>
      <w:r w:rsidRPr="00C32338">
        <w:rPr>
          <w:sz w:val="15"/>
          <w:szCs w:val="15"/>
          <w:lang w:val="nl-NL"/>
        </w:rPr>
        <w:t xml:space="preserve"> FGD M3.</w:t>
      </w:r>
    </w:p>
  </w:footnote>
  <w:footnote w:id="190">
    <w:p w14:paraId="19675886" w14:textId="77777777" w:rsidR="006F2F6D" w:rsidRPr="00C32338" w:rsidRDefault="006F2F6D" w:rsidP="006F2F6D">
      <w:pPr>
        <w:pStyle w:val="FootnoteText"/>
        <w:rPr>
          <w:sz w:val="15"/>
          <w:szCs w:val="15"/>
          <w:lang w:val="nl-NL"/>
        </w:rPr>
      </w:pPr>
      <w:r w:rsidRPr="00C32338">
        <w:rPr>
          <w:rStyle w:val="FootnoteReference"/>
          <w:sz w:val="15"/>
          <w:szCs w:val="15"/>
        </w:rPr>
        <w:footnoteRef/>
      </w:r>
      <w:r w:rsidRPr="00C32338">
        <w:rPr>
          <w:sz w:val="15"/>
          <w:szCs w:val="15"/>
          <w:lang w:val="nl-NL"/>
        </w:rPr>
        <w:t xml:space="preserve"> FGD P5.</w:t>
      </w:r>
    </w:p>
  </w:footnote>
  <w:footnote w:id="191">
    <w:p w14:paraId="2CBBD0DE" w14:textId="77777777" w:rsidR="006F2F6D" w:rsidRPr="00C32338" w:rsidRDefault="006F2F6D" w:rsidP="006F2F6D">
      <w:pPr>
        <w:pStyle w:val="FootnoteText"/>
        <w:rPr>
          <w:sz w:val="15"/>
          <w:szCs w:val="15"/>
          <w:lang w:val="nl-NL"/>
        </w:rPr>
      </w:pPr>
      <w:r w:rsidRPr="00C32338">
        <w:rPr>
          <w:rStyle w:val="FootnoteReference"/>
          <w:sz w:val="15"/>
          <w:szCs w:val="15"/>
        </w:rPr>
        <w:footnoteRef/>
      </w:r>
      <w:r w:rsidRPr="00C32338">
        <w:rPr>
          <w:sz w:val="15"/>
          <w:szCs w:val="15"/>
          <w:lang w:val="nl-NL"/>
        </w:rPr>
        <w:t xml:space="preserve"> KII </w:t>
      </w:r>
      <w:r w:rsidR="0014488B" w:rsidRPr="00C32338">
        <w:rPr>
          <w:sz w:val="15"/>
          <w:szCs w:val="15"/>
          <w:lang w:val="nl-NL"/>
        </w:rPr>
        <w:t>43</w:t>
      </w:r>
    </w:p>
  </w:footnote>
  <w:footnote w:id="192">
    <w:p w14:paraId="3C48935D" w14:textId="77777777" w:rsidR="006F2F6D" w:rsidRPr="00C32338" w:rsidRDefault="006F2F6D" w:rsidP="006F2F6D">
      <w:pPr>
        <w:pStyle w:val="FootnoteText"/>
        <w:rPr>
          <w:sz w:val="15"/>
          <w:szCs w:val="15"/>
          <w:lang w:val="nl-NL"/>
        </w:rPr>
      </w:pPr>
      <w:r w:rsidRPr="00C32338">
        <w:rPr>
          <w:rStyle w:val="FootnoteReference"/>
          <w:sz w:val="15"/>
          <w:szCs w:val="15"/>
        </w:rPr>
        <w:footnoteRef/>
      </w:r>
      <w:r w:rsidRPr="00C32338">
        <w:rPr>
          <w:sz w:val="15"/>
          <w:szCs w:val="15"/>
          <w:lang w:val="nl-NL"/>
        </w:rPr>
        <w:t xml:space="preserve"> FGD P4; FGD P5; FGD P2.</w:t>
      </w:r>
    </w:p>
  </w:footnote>
  <w:footnote w:id="193">
    <w:p w14:paraId="474A31E6" w14:textId="77777777" w:rsidR="006F2F6D" w:rsidRPr="00C32338" w:rsidRDefault="006F2F6D" w:rsidP="006F2F6D">
      <w:pPr>
        <w:pStyle w:val="FootnoteText"/>
        <w:rPr>
          <w:sz w:val="15"/>
          <w:szCs w:val="15"/>
          <w:lang w:val="nl-NL"/>
        </w:rPr>
      </w:pPr>
      <w:r w:rsidRPr="00C32338">
        <w:rPr>
          <w:rStyle w:val="FootnoteReference"/>
          <w:sz w:val="15"/>
          <w:szCs w:val="15"/>
        </w:rPr>
        <w:footnoteRef/>
      </w:r>
      <w:r w:rsidRPr="00C32338">
        <w:rPr>
          <w:sz w:val="15"/>
          <w:szCs w:val="15"/>
          <w:lang w:val="nl-NL"/>
        </w:rPr>
        <w:t xml:space="preserve"> FGD E3; FGD E4.</w:t>
      </w:r>
    </w:p>
  </w:footnote>
  <w:footnote w:id="194">
    <w:p w14:paraId="0469199A" w14:textId="77777777" w:rsidR="006F2F6D" w:rsidRPr="00C32338" w:rsidRDefault="006F2F6D" w:rsidP="006F2F6D">
      <w:pPr>
        <w:pStyle w:val="FootnoteText"/>
        <w:rPr>
          <w:sz w:val="15"/>
          <w:szCs w:val="15"/>
          <w:lang w:val="nl-NL"/>
        </w:rPr>
      </w:pPr>
      <w:r w:rsidRPr="00C32338">
        <w:rPr>
          <w:rStyle w:val="FootnoteReference"/>
          <w:sz w:val="15"/>
          <w:szCs w:val="15"/>
        </w:rPr>
        <w:footnoteRef/>
      </w:r>
      <w:r w:rsidRPr="00C32338">
        <w:rPr>
          <w:sz w:val="15"/>
          <w:szCs w:val="15"/>
          <w:lang w:val="nl-NL"/>
        </w:rPr>
        <w:t xml:space="preserve"> FGD M3; KII </w:t>
      </w:r>
      <w:proofErr w:type="spellStart"/>
      <w:r w:rsidRPr="00C32338">
        <w:rPr>
          <w:sz w:val="15"/>
          <w:szCs w:val="15"/>
          <w:lang w:val="nl-NL"/>
        </w:rPr>
        <w:t>with</w:t>
      </w:r>
      <w:proofErr w:type="spellEnd"/>
      <w:r w:rsidRPr="00C32338">
        <w:rPr>
          <w:sz w:val="15"/>
          <w:szCs w:val="15"/>
          <w:lang w:val="nl-NL"/>
        </w:rPr>
        <w:t xml:space="preserve"> </w:t>
      </w:r>
      <w:proofErr w:type="spellStart"/>
      <w:r w:rsidRPr="00C32338">
        <w:rPr>
          <w:sz w:val="15"/>
          <w:szCs w:val="15"/>
          <w:lang w:val="nl-NL"/>
        </w:rPr>
        <w:t>Koloud</w:t>
      </w:r>
      <w:proofErr w:type="spellEnd"/>
      <w:r w:rsidR="005F4AFF" w:rsidRPr="00C32338">
        <w:rPr>
          <w:sz w:val="15"/>
          <w:szCs w:val="15"/>
          <w:lang w:val="nl-NL"/>
        </w:rPr>
        <w:t>.</w:t>
      </w:r>
    </w:p>
  </w:footnote>
  <w:footnote w:id="195">
    <w:p w14:paraId="4F07E2A4" w14:textId="77777777" w:rsidR="00061991" w:rsidRPr="00C32338" w:rsidRDefault="00061991">
      <w:pPr>
        <w:pStyle w:val="FootnoteText"/>
        <w:rPr>
          <w:sz w:val="15"/>
          <w:szCs w:val="15"/>
          <w:lang w:val="es-ES"/>
        </w:rPr>
      </w:pPr>
      <w:r w:rsidRPr="00C32338">
        <w:rPr>
          <w:rStyle w:val="FootnoteReference"/>
          <w:sz w:val="15"/>
          <w:szCs w:val="15"/>
        </w:rPr>
        <w:footnoteRef/>
      </w:r>
      <w:r w:rsidRPr="00C32338">
        <w:rPr>
          <w:sz w:val="15"/>
          <w:szCs w:val="15"/>
          <w:lang w:val="es-ES"/>
        </w:rPr>
        <w:t xml:space="preserve"> FGD 10.</w:t>
      </w:r>
    </w:p>
  </w:footnote>
  <w:footnote w:id="196">
    <w:p w14:paraId="7C8E822B" w14:textId="77777777" w:rsidR="006F2F6D" w:rsidRPr="00C32338" w:rsidRDefault="006F2F6D" w:rsidP="006F2F6D">
      <w:pPr>
        <w:pStyle w:val="FootnoteText"/>
        <w:rPr>
          <w:sz w:val="15"/>
          <w:szCs w:val="15"/>
          <w:lang w:val="nl-NL"/>
        </w:rPr>
      </w:pPr>
      <w:r w:rsidRPr="00C32338">
        <w:rPr>
          <w:rStyle w:val="FootnoteReference"/>
          <w:sz w:val="15"/>
          <w:szCs w:val="15"/>
        </w:rPr>
        <w:footnoteRef/>
      </w:r>
      <w:r w:rsidRPr="00C32338">
        <w:rPr>
          <w:sz w:val="15"/>
          <w:szCs w:val="15"/>
          <w:lang w:val="nl-NL"/>
        </w:rPr>
        <w:t xml:space="preserve"> FGD E2.</w:t>
      </w:r>
    </w:p>
  </w:footnote>
  <w:footnote w:id="197">
    <w:p w14:paraId="0224AE9A" w14:textId="77777777" w:rsidR="006F2F6D" w:rsidRPr="00C32338" w:rsidRDefault="006F2F6D" w:rsidP="006F2F6D">
      <w:pPr>
        <w:pStyle w:val="FootnoteText"/>
        <w:rPr>
          <w:sz w:val="15"/>
          <w:szCs w:val="15"/>
          <w:lang w:val="nl-NL"/>
        </w:rPr>
      </w:pPr>
      <w:r w:rsidRPr="00C32338">
        <w:rPr>
          <w:rStyle w:val="FootnoteReference"/>
          <w:sz w:val="15"/>
          <w:szCs w:val="15"/>
        </w:rPr>
        <w:footnoteRef/>
      </w:r>
      <w:r w:rsidRPr="00C32338">
        <w:rPr>
          <w:sz w:val="15"/>
          <w:szCs w:val="15"/>
          <w:lang w:val="nl-NL"/>
        </w:rPr>
        <w:t xml:space="preserve"> FGD E1; FGD P4; FGD P5; FGD E7.</w:t>
      </w:r>
    </w:p>
  </w:footnote>
  <w:footnote w:id="198">
    <w:p w14:paraId="544AEA8A" w14:textId="77777777" w:rsidR="006F2F6D" w:rsidRPr="005A06C4" w:rsidRDefault="006F2F6D" w:rsidP="006F2F6D">
      <w:pPr>
        <w:pStyle w:val="FootnoteText"/>
        <w:rPr>
          <w:lang w:val="nl-NL"/>
        </w:rPr>
      </w:pPr>
      <w:r w:rsidRPr="00C32338">
        <w:rPr>
          <w:rStyle w:val="FootnoteReference"/>
          <w:sz w:val="15"/>
          <w:szCs w:val="15"/>
        </w:rPr>
        <w:footnoteRef/>
      </w:r>
      <w:r w:rsidRPr="00C32338">
        <w:rPr>
          <w:sz w:val="15"/>
          <w:szCs w:val="15"/>
          <w:lang w:val="nl-NL"/>
        </w:rPr>
        <w:t xml:space="preserve"> FGD E1.</w:t>
      </w:r>
    </w:p>
  </w:footnote>
  <w:footnote w:id="199">
    <w:p w14:paraId="59148A7F" w14:textId="77777777" w:rsidR="006F2F6D" w:rsidRPr="00C32338" w:rsidRDefault="006F2F6D" w:rsidP="006F2F6D">
      <w:pPr>
        <w:pStyle w:val="FootnoteText"/>
        <w:rPr>
          <w:sz w:val="15"/>
          <w:szCs w:val="15"/>
          <w:lang w:val="nl-NL"/>
        </w:rPr>
      </w:pPr>
      <w:r w:rsidRPr="00C32338">
        <w:rPr>
          <w:rStyle w:val="FootnoteReference"/>
          <w:sz w:val="15"/>
          <w:szCs w:val="15"/>
        </w:rPr>
        <w:footnoteRef/>
      </w:r>
      <w:r w:rsidRPr="00C32338">
        <w:rPr>
          <w:sz w:val="15"/>
          <w:szCs w:val="15"/>
          <w:lang w:val="nl-NL"/>
        </w:rPr>
        <w:t xml:space="preserve"> KI</w:t>
      </w:r>
      <w:r w:rsidR="002001DD" w:rsidRPr="00C32338">
        <w:rPr>
          <w:sz w:val="15"/>
          <w:szCs w:val="15"/>
          <w:lang w:val="nl-NL"/>
        </w:rPr>
        <w:t xml:space="preserve">I 57, </w:t>
      </w:r>
      <w:r w:rsidR="0052392D" w:rsidRPr="00C32338">
        <w:rPr>
          <w:sz w:val="15"/>
          <w:szCs w:val="15"/>
          <w:lang w:val="nl-NL"/>
        </w:rPr>
        <w:t xml:space="preserve">KII 77, </w:t>
      </w:r>
      <w:r w:rsidR="002001DD" w:rsidRPr="00C32338">
        <w:rPr>
          <w:sz w:val="15"/>
          <w:szCs w:val="15"/>
          <w:lang w:val="nl-NL"/>
        </w:rPr>
        <w:t>KII 99</w:t>
      </w:r>
    </w:p>
  </w:footnote>
  <w:footnote w:id="200">
    <w:p w14:paraId="04121D3B" w14:textId="77777777" w:rsidR="006F2F6D" w:rsidRPr="00C32338" w:rsidRDefault="006F2F6D" w:rsidP="006F2F6D">
      <w:pPr>
        <w:pStyle w:val="FootnoteText"/>
        <w:rPr>
          <w:sz w:val="15"/>
          <w:szCs w:val="15"/>
          <w:lang w:val="nl-NL"/>
        </w:rPr>
      </w:pPr>
      <w:r w:rsidRPr="00C32338">
        <w:rPr>
          <w:rStyle w:val="FootnoteReference"/>
          <w:sz w:val="15"/>
          <w:szCs w:val="15"/>
        </w:rPr>
        <w:footnoteRef/>
      </w:r>
      <w:r w:rsidRPr="00C32338">
        <w:rPr>
          <w:sz w:val="15"/>
          <w:szCs w:val="15"/>
          <w:lang w:val="nl-NL"/>
        </w:rPr>
        <w:t xml:space="preserve"> </w:t>
      </w:r>
      <w:r w:rsidR="007D38DF" w:rsidRPr="00C32338">
        <w:rPr>
          <w:sz w:val="15"/>
          <w:szCs w:val="15"/>
          <w:lang w:val="nl-NL"/>
        </w:rPr>
        <w:t>KII 3</w:t>
      </w:r>
      <w:r w:rsidR="002001DD" w:rsidRPr="00C32338">
        <w:rPr>
          <w:sz w:val="15"/>
          <w:szCs w:val="15"/>
          <w:lang w:val="nl-NL"/>
        </w:rPr>
        <w:t>3</w:t>
      </w:r>
      <w:r w:rsidR="007D38DF" w:rsidRPr="00C32338">
        <w:rPr>
          <w:sz w:val="15"/>
          <w:szCs w:val="15"/>
          <w:lang w:val="nl-NL"/>
        </w:rPr>
        <w:t xml:space="preserve">, KII </w:t>
      </w:r>
      <w:r w:rsidR="002001DD" w:rsidRPr="00C32338">
        <w:rPr>
          <w:sz w:val="15"/>
          <w:szCs w:val="15"/>
          <w:lang w:val="nl-NL"/>
        </w:rPr>
        <w:t>39</w:t>
      </w:r>
      <w:r w:rsidR="007D38DF" w:rsidRPr="00C32338">
        <w:rPr>
          <w:sz w:val="15"/>
          <w:szCs w:val="15"/>
          <w:lang w:val="nl-NL"/>
        </w:rPr>
        <w:t>, KII</w:t>
      </w:r>
      <w:r w:rsidR="002001DD" w:rsidRPr="00C32338">
        <w:rPr>
          <w:sz w:val="15"/>
          <w:szCs w:val="15"/>
          <w:lang w:val="nl-NL"/>
        </w:rPr>
        <w:t xml:space="preserve"> 57</w:t>
      </w:r>
    </w:p>
  </w:footnote>
  <w:footnote w:id="201">
    <w:p w14:paraId="45F813E9" w14:textId="77777777" w:rsidR="006F2F6D" w:rsidRPr="00C32338" w:rsidRDefault="006F2F6D" w:rsidP="006F2F6D">
      <w:pPr>
        <w:pStyle w:val="FootnoteText"/>
        <w:rPr>
          <w:sz w:val="15"/>
          <w:szCs w:val="15"/>
          <w:lang w:val="nl-NL"/>
        </w:rPr>
      </w:pPr>
      <w:r w:rsidRPr="00C32338">
        <w:rPr>
          <w:rStyle w:val="FootnoteReference"/>
          <w:sz w:val="15"/>
          <w:szCs w:val="15"/>
        </w:rPr>
        <w:footnoteRef/>
      </w:r>
      <w:r w:rsidRPr="00C32338">
        <w:rPr>
          <w:sz w:val="15"/>
          <w:szCs w:val="15"/>
          <w:lang w:val="nl-NL"/>
        </w:rPr>
        <w:t xml:space="preserve"> </w:t>
      </w:r>
      <w:r w:rsidR="00044D45" w:rsidRPr="00C32338">
        <w:rPr>
          <w:sz w:val="15"/>
          <w:szCs w:val="15"/>
          <w:lang w:val="nl-NL"/>
        </w:rPr>
        <w:t>KII 26, KII 33, KII 35</w:t>
      </w:r>
    </w:p>
  </w:footnote>
  <w:footnote w:id="202">
    <w:p w14:paraId="5920A351" w14:textId="77777777" w:rsidR="006F2F6D" w:rsidRPr="005A06C4" w:rsidRDefault="006F2F6D" w:rsidP="006F2F6D">
      <w:pPr>
        <w:pStyle w:val="FootnoteText"/>
        <w:rPr>
          <w:lang w:val="it-IT"/>
        </w:rPr>
      </w:pPr>
      <w:r w:rsidRPr="00C32338">
        <w:rPr>
          <w:rStyle w:val="FootnoteReference"/>
          <w:sz w:val="15"/>
          <w:szCs w:val="15"/>
        </w:rPr>
        <w:footnoteRef/>
      </w:r>
      <w:r w:rsidRPr="00C32338">
        <w:rPr>
          <w:sz w:val="15"/>
          <w:szCs w:val="15"/>
          <w:lang w:val="it-IT"/>
        </w:rPr>
        <w:t xml:space="preserve"> Morocco Monitoring (2021)</w:t>
      </w:r>
      <w:r w:rsidR="008A51B4" w:rsidRPr="00C32338">
        <w:rPr>
          <w:sz w:val="15"/>
          <w:szCs w:val="15"/>
          <w:lang w:val="it-IT"/>
        </w:rPr>
        <w:t>;</w:t>
      </w:r>
      <w:r w:rsidRPr="00C32338">
        <w:rPr>
          <w:sz w:val="15"/>
          <w:szCs w:val="15"/>
          <w:lang w:val="it-IT"/>
        </w:rPr>
        <w:t xml:space="preserve"> </w:t>
      </w:r>
      <w:proofErr w:type="spellStart"/>
      <w:r w:rsidRPr="00C32338">
        <w:rPr>
          <w:sz w:val="15"/>
          <w:szCs w:val="15"/>
          <w:lang w:val="it-IT"/>
        </w:rPr>
        <w:t>KIIs</w:t>
      </w:r>
      <w:proofErr w:type="spellEnd"/>
      <w:r w:rsidR="008A51B4" w:rsidRPr="00C32338">
        <w:rPr>
          <w:sz w:val="15"/>
          <w:szCs w:val="15"/>
          <w:lang w:val="it-IT"/>
        </w:rPr>
        <w:t>.</w:t>
      </w:r>
    </w:p>
  </w:footnote>
  <w:footnote w:id="203">
    <w:p w14:paraId="542633D0" w14:textId="77777777" w:rsidR="006F2F6D" w:rsidRPr="005A06C4" w:rsidRDefault="006F2F6D" w:rsidP="006F2F6D">
      <w:pPr>
        <w:pStyle w:val="FootnoteText"/>
        <w:rPr>
          <w:lang w:val="it-IT"/>
        </w:rPr>
      </w:pPr>
      <w:r w:rsidRPr="0070466C">
        <w:rPr>
          <w:rStyle w:val="FootnoteReference"/>
          <w:sz w:val="16"/>
        </w:rPr>
        <w:footnoteRef/>
      </w:r>
      <w:r w:rsidRPr="005A06C4">
        <w:rPr>
          <w:lang w:val="it-IT"/>
        </w:rPr>
        <w:t xml:space="preserve"> KII </w:t>
      </w:r>
      <w:r w:rsidR="00044D45" w:rsidRPr="005A06C4">
        <w:rPr>
          <w:lang w:val="it-IT"/>
        </w:rPr>
        <w:t>76</w:t>
      </w:r>
      <w:r w:rsidR="008A51B4" w:rsidRPr="005A06C4">
        <w:rPr>
          <w:lang w:val="it-IT"/>
        </w:rPr>
        <w:t>.</w:t>
      </w:r>
    </w:p>
  </w:footnote>
  <w:footnote w:id="204">
    <w:p w14:paraId="589EA726" w14:textId="77777777" w:rsidR="006F2F6D" w:rsidRPr="00C32338" w:rsidRDefault="006F2F6D" w:rsidP="006F2F6D">
      <w:pPr>
        <w:pStyle w:val="FootnoteText"/>
        <w:rPr>
          <w:sz w:val="15"/>
          <w:szCs w:val="15"/>
          <w:lang w:val="it-IT"/>
        </w:rPr>
      </w:pPr>
      <w:r w:rsidRPr="00C32338">
        <w:rPr>
          <w:rStyle w:val="FootnoteReference"/>
          <w:sz w:val="15"/>
          <w:szCs w:val="15"/>
        </w:rPr>
        <w:footnoteRef/>
      </w:r>
      <w:r w:rsidRPr="00C32338">
        <w:rPr>
          <w:sz w:val="15"/>
          <w:szCs w:val="15"/>
          <w:lang w:val="it-IT"/>
        </w:rPr>
        <w:t xml:space="preserve"> </w:t>
      </w:r>
      <w:r w:rsidR="002C009B" w:rsidRPr="00C32338">
        <w:rPr>
          <w:sz w:val="15"/>
          <w:szCs w:val="15"/>
          <w:lang w:val="it-IT"/>
        </w:rPr>
        <w:t xml:space="preserve">KII 33, KII 57, </w:t>
      </w:r>
      <w:r w:rsidRPr="00C32338">
        <w:rPr>
          <w:sz w:val="15"/>
          <w:szCs w:val="15"/>
          <w:lang w:val="it-IT"/>
        </w:rPr>
        <w:t>KII</w:t>
      </w:r>
      <w:r w:rsidR="000650C2" w:rsidRPr="00C32338">
        <w:rPr>
          <w:sz w:val="15"/>
          <w:szCs w:val="15"/>
          <w:lang w:val="it-IT"/>
        </w:rPr>
        <w:t xml:space="preserve"> 76 </w:t>
      </w:r>
    </w:p>
  </w:footnote>
  <w:footnote w:id="205">
    <w:p w14:paraId="597F4EEB" w14:textId="77777777" w:rsidR="00015FB9" w:rsidRPr="00C32338" w:rsidRDefault="00015FB9">
      <w:pPr>
        <w:pStyle w:val="FootnoteText"/>
        <w:rPr>
          <w:sz w:val="15"/>
          <w:szCs w:val="15"/>
          <w:lang w:val="en-US"/>
        </w:rPr>
      </w:pPr>
      <w:r w:rsidRPr="00C32338">
        <w:rPr>
          <w:rStyle w:val="FootnoteReference"/>
          <w:sz w:val="15"/>
          <w:szCs w:val="15"/>
        </w:rPr>
        <w:footnoteRef/>
      </w:r>
      <w:r w:rsidRPr="00C32338">
        <w:rPr>
          <w:sz w:val="15"/>
          <w:szCs w:val="15"/>
        </w:rPr>
        <w:t xml:space="preserve"> </w:t>
      </w:r>
      <w:r w:rsidRPr="00C32338">
        <w:rPr>
          <w:sz w:val="15"/>
          <w:szCs w:val="15"/>
          <w:lang w:val="en-US"/>
        </w:rPr>
        <w:t>Un Women (2021) CBO capacity building assessment</w:t>
      </w:r>
    </w:p>
  </w:footnote>
  <w:footnote w:id="206">
    <w:p w14:paraId="04037FB7"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w:t>
      </w:r>
      <w:r w:rsidRPr="00C32338">
        <w:rPr>
          <w:sz w:val="15"/>
          <w:szCs w:val="15"/>
          <w:lang w:val="en-US"/>
        </w:rPr>
        <w:t>CBO capacity building endline review, 2021</w:t>
      </w:r>
      <w:r w:rsidR="005F5EA7" w:rsidRPr="00C32338">
        <w:rPr>
          <w:sz w:val="15"/>
          <w:szCs w:val="15"/>
          <w:lang w:val="en-US"/>
        </w:rPr>
        <w:t>.</w:t>
      </w:r>
    </w:p>
  </w:footnote>
  <w:footnote w:id="207">
    <w:p w14:paraId="15474A01" w14:textId="77777777" w:rsidR="00C7543B" w:rsidRPr="00C7543B" w:rsidRDefault="00C7543B">
      <w:pPr>
        <w:pStyle w:val="FootnoteText"/>
        <w:rPr>
          <w:lang w:val="en-US"/>
        </w:rPr>
      </w:pPr>
      <w:r w:rsidRPr="00C32338">
        <w:rPr>
          <w:rStyle w:val="FootnoteReference"/>
          <w:sz w:val="15"/>
          <w:szCs w:val="15"/>
        </w:rPr>
        <w:footnoteRef/>
      </w:r>
      <w:r w:rsidRPr="00C32338">
        <w:rPr>
          <w:sz w:val="15"/>
          <w:szCs w:val="15"/>
        </w:rPr>
        <w:t xml:space="preserve"> </w:t>
      </w:r>
      <w:r w:rsidRPr="00C32338">
        <w:rPr>
          <w:sz w:val="15"/>
          <w:szCs w:val="15"/>
          <w:lang w:val="en-US"/>
        </w:rPr>
        <w:t>Un Women (2021) CBO capacity building assessment</w:t>
      </w:r>
    </w:p>
  </w:footnote>
  <w:footnote w:id="208">
    <w:p w14:paraId="6AEEB684"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w:t>
      </w:r>
      <w:r w:rsidRPr="00C32338">
        <w:rPr>
          <w:sz w:val="15"/>
          <w:szCs w:val="15"/>
          <w:lang w:val="en-US"/>
        </w:rPr>
        <w:t>KII 9</w:t>
      </w:r>
      <w:r w:rsidR="002C009B" w:rsidRPr="00C32338">
        <w:rPr>
          <w:sz w:val="15"/>
          <w:szCs w:val="15"/>
          <w:lang w:val="en-US"/>
        </w:rPr>
        <w:t xml:space="preserve"> KII</w:t>
      </w:r>
      <w:r w:rsidRPr="00C32338">
        <w:rPr>
          <w:sz w:val="15"/>
          <w:szCs w:val="15"/>
          <w:lang w:val="en-US"/>
        </w:rPr>
        <w:t xml:space="preserve"> 10</w:t>
      </w:r>
      <w:r w:rsidR="005F5EA7" w:rsidRPr="00C32338">
        <w:rPr>
          <w:sz w:val="15"/>
          <w:szCs w:val="15"/>
          <w:lang w:val="en-US"/>
        </w:rPr>
        <w:t>;</w:t>
      </w:r>
      <w:r w:rsidRPr="00C32338">
        <w:rPr>
          <w:sz w:val="15"/>
          <w:szCs w:val="15"/>
          <w:lang w:val="en-US"/>
        </w:rPr>
        <w:t xml:space="preserve"> Egypt FGDs 4, 5.</w:t>
      </w:r>
    </w:p>
  </w:footnote>
  <w:footnote w:id="209">
    <w:p w14:paraId="62DCE1F5"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w:t>
      </w:r>
      <w:r w:rsidRPr="00C32338">
        <w:rPr>
          <w:sz w:val="15"/>
          <w:szCs w:val="15"/>
          <w:lang w:val="en-US"/>
        </w:rPr>
        <w:t>KII</w:t>
      </w:r>
      <w:r w:rsidR="002E020C" w:rsidRPr="00C32338">
        <w:rPr>
          <w:sz w:val="15"/>
          <w:szCs w:val="15"/>
          <w:lang w:val="en-US"/>
        </w:rPr>
        <w:t xml:space="preserve"> </w:t>
      </w:r>
      <w:r w:rsidR="00AD5792" w:rsidRPr="00C32338">
        <w:rPr>
          <w:sz w:val="15"/>
          <w:szCs w:val="15"/>
          <w:lang w:val="en-US"/>
        </w:rPr>
        <w:t>25</w:t>
      </w:r>
      <w:r w:rsidRPr="00C32338">
        <w:rPr>
          <w:sz w:val="15"/>
          <w:szCs w:val="15"/>
          <w:lang w:val="en-US"/>
        </w:rPr>
        <w:t xml:space="preserve">, </w:t>
      </w:r>
      <w:r w:rsidR="00AD5792" w:rsidRPr="00C32338">
        <w:rPr>
          <w:sz w:val="15"/>
          <w:szCs w:val="15"/>
          <w:lang w:val="en-US"/>
        </w:rPr>
        <w:t>KII 32</w:t>
      </w:r>
      <w:r w:rsidRPr="00C32338">
        <w:rPr>
          <w:sz w:val="15"/>
          <w:szCs w:val="15"/>
          <w:lang w:val="en-US"/>
        </w:rPr>
        <w:t>.</w:t>
      </w:r>
    </w:p>
  </w:footnote>
  <w:footnote w:id="210">
    <w:p w14:paraId="4ED56585"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w:t>
      </w:r>
      <w:r w:rsidRPr="00C32338">
        <w:rPr>
          <w:sz w:val="15"/>
          <w:szCs w:val="15"/>
          <w:lang w:val="en-US"/>
        </w:rPr>
        <w:t>KII</w:t>
      </w:r>
      <w:r w:rsidR="005A7D4C" w:rsidRPr="00C32338">
        <w:rPr>
          <w:sz w:val="15"/>
          <w:szCs w:val="15"/>
          <w:lang w:val="en-US"/>
        </w:rPr>
        <w:t>22</w:t>
      </w:r>
      <w:r w:rsidRPr="00C32338">
        <w:rPr>
          <w:sz w:val="15"/>
          <w:szCs w:val="15"/>
          <w:lang w:val="en-US"/>
        </w:rPr>
        <w:t xml:space="preserve">, </w:t>
      </w:r>
      <w:r w:rsidR="005A7D4C" w:rsidRPr="00C32338">
        <w:rPr>
          <w:sz w:val="15"/>
          <w:szCs w:val="15"/>
          <w:lang w:val="en-US"/>
        </w:rPr>
        <w:t xml:space="preserve">KII </w:t>
      </w:r>
      <w:r w:rsidR="002E020C" w:rsidRPr="00C32338">
        <w:rPr>
          <w:sz w:val="15"/>
          <w:szCs w:val="15"/>
          <w:lang w:val="en-US"/>
        </w:rPr>
        <w:t>26</w:t>
      </w:r>
      <w:r w:rsidRPr="00C32338">
        <w:rPr>
          <w:sz w:val="15"/>
          <w:szCs w:val="15"/>
          <w:lang w:val="en-US"/>
        </w:rPr>
        <w:t xml:space="preserve">, </w:t>
      </w:r>
      <w:r w:rsidR="005A7D4C" w:rsidRPr="00C32338">
        <w:rPr>
          <w:sz w:val="15"/>
          <w:szCs w:val="15"/>
          <w:lang w:val="en-US"/>
        </w:rPr>
        <w:t>KII 28</w:t>
      </w:r>
      <w:r w:rsidRPr="00C32338">
        <w:rPr>
          <w:sz w:val="15"/>
          <w:szCs w:val="15"/>
          <w:lang w:val="en-US"/>
        </w:rPr>
        <w:t xml:space="preserve">, </w:t>
      </w:r>
      <w:r w:rsidR="005A7D4C" w:rsidRPr="00C32338">
        <w:rPr>
          <w:sz w:val="15"/>
          <w:szCs w:val="15"/>
          <w:lang w:val="en-US"/>
        </w:rPr>
        <w:t>KII 29</w:t>
      </w:r>
      <w:r w:rsidRPr="00C32338">
        <w:rPr>
          <w:sz w:val="15"/>
          <w:szCs w:val="15"/>
          <w:lang w:val="en-US"/>
        </w:rPr>
        <w:t>.</w:t>
      </w:r>
    </w:p>
  </w:footnote>
  <w:footnote w:id="211">
    <w:p w14:paraId="6BA48045"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KII </w:t>
      </w:r>
      <w:r w:rsidR="000E409B" w:rsidRPr="00C32338">
        <w:rPr>
          <w:sz w:val="15"/>
          <w:szCs w:val="15"/>
        </w:rPr>
        <w:t>45</w:t>
      </w:r>
    </w:p>
  </w:footnote>
  <w:footnote w:id="212">
    <w:p w14:paraId="20D9D8EB"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KII </w:t>
      </w:r>
      <w:r w:rsidR="000E409B" w:rsidRPr="00C32338">
        <w:rPr>
          <w:sz w:val="15"/>
          <w:szCs w:val="15"/>
        </w:rPr>
        <w:t>46</w:t>
      </w:r>
    </w:p>
  </w:footnote>
  <w:footnote w:id="213">
    <w:p w14:paraId="606380F7"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w:t>
      </w:r>
      <w:r w:rsidRPr="00C32338">
        <w:rPr>
          <w:sz w:val="15"/>
          <w:szCs w:val="15"/>
          <w:lang w:val="en-US"/>
        </w:rPr>
        <w:t xml:space="preserve">Of these four, one was only engaged in </w:t>
      </w:r>
      <w:proofErr w:type="gramStart"/>
      <w:r w:rsidRPr="00C32338">
        <w:rPr>
          <w:sz w:val="15"/>
          <w:szCs w:val="15"/>
          <w:lang w:val="en-US"/>
        </w:rPr>
        <w:t>Phase</w:t>
      </w:r>
      <w:proofErr w:type="gramEnd"/>
      <w:r w:rsidRPr="00C32338">
        <w:rPr>
          <w:sz w:val="15"/>
          <w:szCs w:val="15"/>
          <w:lang w:val="en-US"/>
        </w:rPr>
        <w:t xml:space="preserve"> I and three</w:t>
      </w:r>
      <w:r w:rsidR="003A08CB" w:rsidRPr="00C32338">
        <w:rPr>
          <w:sz w:val="15"/>
          <w:szCs w:val="15"/>
          <w:lang w:val="en-US"/>
        </w:rPr>
        <w:t xml:space="preserve"> were engaged</w:t>
      </w:r>
      <w:r w:rsidRPr="00C32338">
        <w:rPr>
          <w:sz w:val="15"/>
          <w:szCs w:val="15"/>
          <w:lang w:val="en-US"/>
        </w:rPr>
        <w:t xml:space="preserve"> in both phases</w:t>
      </w:r>
      <w:r w:rsidR="003A08CB" w:rsidRPr="00C32338">
        <w:rPr>
          <w:sz w:val="15"/>
          <w:szCs w:val="15"/>
          <w:lang w:val="en-US"/>
        </w:rPr>
        <w:t>.</w:t>
      </w:r>
    </w:p>
  </w:footnote>
  <w:footnote w:id="214">
    <w:p w14:paraId="64577C83"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w:t>
      </w:r>
      <w:r w:rsidRPr="00C32338">
        <w:rPr>
          <w:sz w:val="15"/>
          <w:szCs w:val="15"/>
          <w:lang w:val="en-US"/>
        </w:rPr>
        <w:t>This came from the comments section of the survey.</w:t>
      </w:r>
    </w:p>
  </w:footnote>
  <w:footnote w:id="215">
    <w:p w14:paraId="0B50A64E"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w:t>
      </w:r>
      <w:r w:rsidRPr="00C32338">
        <w:rPr>
          <w:sz w:val="15"/>
          <w:szCs w:val="15"/>
          <w:lang w:val="en-US"/>
        </w:rPr>
        <w:t>CBO Capacity Building Survey</w:t>
      </w:r>
      <w:r w:rsidR="003A08CB" w:rsidRPr="00C32338">
        <w:rPr>
          <w:sz w:val="15"/>
          <w:szCs w:val="15"/>
          <w:lang w:val="en-US"/>
        </w:rPr>
        <w:t>.</w:t>
      </w:r>
    </w:p>
  </w:footnote>
  <w:footnote w:id="216">
    <w:p w14:paraId="3008A35A"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KII</w:t>
      </w:r>
      <w:r w:rsidR="000E409B" w:rsidRPr="00C32338">
        <w:rPr>
          <w:sz w:val="15"/>
          <w:szCs w:val="15"/>
        </w:rPr>
        <w:t xml:space="preserve"> 57, KII 99</w:t>
      </w:r>
    </w:p>
  </w:footnote>
  <w:footnote w:id="217">
    <w:p w14:paraId="566F8331" w14:textId="77777777" w:rsidR="006F2F6D" w:rsidRDefault="006F2F6D" w:rsidP="006F2F6D">
      <w:pPr>
        <w:pStyle w:val="FootnoteText"/>
      </w:pPr>
      <w:r w:rsidRPr="00C32338">
        <w:rPr>
          <w:rStyle w:val="FootnoteReference"/>
          <w:sz w:val="15"/>
          <w:szCs w:val="15"/>
        </w:rPr>
        <w:footnoteRef/>
      </w:r>
      <w:r w:rsidRPr="00C32338">
        <w:rPr>
          <w:sz w:val="15"/>
          <w:szCs w:val="15"/>
        </w:rPr>
        <w:t xml:space="preserve"> KII</w:t>
      </w:r>
      <w:r w:rsidR="000E409B" w:rsidRPr="00C32338">
        <w:rPr>
          <w:sz w:val="15"/>
          <w:szCs w:val="15"/>
        </w:rPr>
        <w:t xml:space="preserve"> </w:t>
      </w:r>
      <w:r w:rsidR="00E44307" w:rsidRPr="00C32338">
        <w:rPr>
          <w:sz w:val="15"/>
          <w:szCs w:val="15"/>
        </w:rPr>
        <w:t>3</w:t>
      </w:r>
    </w:p>
  </w:footnote>
  <w:footnote w:id="218">
    <w:p w14:paraId="0F08E44B" w14:textId="77777777" w:rsidR="006F2F6D" w:rsidRPr="00C32338" w:rsidRDefault="006F2F6D" w:rsidP="00C32338">
      <w:pPr>
        <w:pStyle w:val="FootnoteText"/>
        <w:rPr>
          <w:sz w:val="15"/>
          <w:szCs w:val="15"/>
        </w:rPr>
      </w:pPr>
      <w:r w:rsidRPr="00C32338">
        <w:rPr>
          <w:rStyle w:val="FootnoteReference"/>
          <w:sz w:val="15"/>
          <w:szCs w:val="15"/>
        </w:rPr>
        <w:footnoteRef/>
      </w:r>
      <w:r w:rsidRPr="00C32338">
        <w:rPr>
          <w:sz w:val="15"/>
          <w:szCs w:val="15"/>
        </w:rPr>
        <w:t xml:space="preserve"> KII</w:t>
      </w:r>
      <w:r w:rsidR="00E44307" w:rsidRPr="00C32338">
        <w:rPr>
          <w:sz w:val="15"/>
          <w:szCs w:val="15"/>
        </w:rPr>
        <w:t xml:space="preserve"> </w:t>
      </w:r>
      <w:proofErr w:type="gramStart"/>
      <w:r w:rsidR="00E44307" w:rsidRPr="00C32338">
        <w:rPr>
          <w:sz w:val="15"/>
          <w:szCs w:val="15"/>
        </w:rPr>
        <w:t xml:space="preserve">57, </w:t>
      </w:r>
      <w:r w:rsidRPr="00C32338">
        <w:rPr>
          <w:sz w:val="15"/>
          <w:szCs w:val="15"/>
        </w:rPr>
        <w:t xml:space="preserve"> </w:t>
      </w:r>
      <w:r w:rsidR="00E44307" w:rsidRPr="00C32338">
        <w:rPr>
          <w:sz w:val="15"/>
          <w:szCs w:val="15"/>
        </w:rPr>
        <w:t>KII</w:t>
      </w:r>
      <w:proofErr w:type="gramEnd"/>
      <w:r w:rsidR="00E44307" w:rsidRPr="00C32338">
        <w:rPr>
          <w:sz w:val="15"/>
          <w:szCs w:val="15"/>
        </w:rPr>
        <w:t xml:space="preserve"> 74, KII </w:t>
      </w:r>
      <w:r w:rsidR="00156111" w:rsidRPr="00C32338">
        <w:rPr>
          <w:sz w:val="15"/>
          <w:szCs w:val="15"/>
        </w:rPr>
        <w:t xml:space="preserve">76, </w:t>
      </w:r>
      <w:r w:rsidR="00E44307" w:rsidRPr="00C32338">
        <w:rPr>
          <w:sz w:val="15"/>
          <w:szCs w:val="15"/>
        </w:rPr>
        <w:t xml:space="preserve">KII </w:t>
      </w:r>
      <w:r w:rsidR="00156111" w:rsidRPr="00C32338">
        <w:rPr>
          <w:sz w:val="15"/>
          <w:szCs w:val="15"/>
        </w:rPr>
        <w:t>77</w:t>
      </w:r>
      <w:r w:rsidR="00E44307" w:rsidRPr="00C32338">
        <w:rPr>
          <w:sz w:val="15"/>
          <w:szCs w:val="15"/>
        </w:rPr>
        <w:t>, KII 99</w:t>
      </w:r>
      <w:r w:rsidR="003A08CB" w:rsidRPr="00C32338">
        <w:rPr>
          <w:sz w:val="15"/>
          <w:szCs w:val="15"/>
        </w:rPr>
        <w:t>.</w:t>
      </w:r>
    </w:p>
  </w:footnote>
  <w:footnote w:id="219">
    <w:p w14:paraId="632ABD87" w14:textId="77777777" w:rsidR="00147184" w:rsidRPr="00C32338" w:rsidRDefault="00147184" w:rsidP="00C32338">
      <w:pPr>
        <w:pStyle w:val="FootnoteText"/>
        <w:rPr>
          <w:sz w:val="15"/>
          <w:szCs w:val="15"/>
          <w:lang w:val="en-US"/>
        </w:rPr>
      </w:pPr>
      <w:r w:rsidRPr="00C32338">
        <w:rPr>
          <w:rStyle w:val="FootnoteReference"/>
          <w:sz w:val="15"/>
          <w:szCs w:val="15"/>
        </w:rPr>
        <w:footnoteRef/>
      </w:r>
      <w:r w:rsidRPr="00C32338">
        <w:rPr>
          <w:sz w:val="15"/>
          <w:szCs w:val="15"/>
        </w:rPr>
        <w:t xml:space="preserve"> </w:t>
      </w:r>
      <w:r w:rsidR="00FB4524" w:rsidRPr="00C32338">
        <w:rPr>
          <w:sz w:val="15"/>
          <w:szCs w:val="15"/>
        </w:rPr>
        <w:t>E-mail communication with ROAS</w:t>
      </w:r>
    </w:p>
  </w:footnote>
  <w:footnote w:id="220">
    <w:p w14:paraId="4E44E1A0" w14:textId="1180937F" w:rsidR="4977AA67" w:rsidRPr="00C32338" w:rsidRDefault="4977AA67" w:rsidP="00C32338">
      <w:pPr>
        <w:pStyle w:val="ItadNormalText"/>
        <w:spacing w:before="0" w:after="0"/>
        <w:jc w:val="both"/>
        <w:rPr>
          <w:color w:val="202122"/>
          <w:sz w:val="15"/>
          <w:szCs w:val="15"/>
        </w:rPr>
      </w:pPr>
      <w:r w:rsidRPr="00C32338">
        <w:rPr>
          <w:sz w:val="15"/>
          <w:szCs w:val="15"/>
        </w:rPr>
        <w:footnoteRef/>
      </w:r>
      <w:r w:rsidRPr="00C32338">
        <w:rPr>
          <w:sz w:val="15"/>
          <w:szCs w:val="15"/>
        </w:rPr>
        <w:t xml:space="preserve"> </w:t>
      </w:r>
      <w:proofErr w:type="spellStart"/>
      <w:r w:rsidRPr="00C32338">
        <w:rPr>
          <w:color w:val="202122"/>
          <w:sz w:val="15"/>
          <w:szCs w:val="15"/>
        </w:rPr>
        <w:t>Musawah</w:t>
      </w:r>
      <w:proofErr w:type="spellEnd"/>
      <w:r w:rsidRPr="00C32338">
        <w:rPr>
          <w:color w:val="202122"/>
          <w:sz w:val="15"/>
          <w:szCs w:val="15"/>
        </w:rPr>
        <w:t xml:space="preserve"> is global </w:t>
      </w:r>
      <w:r w:rsidRPr="00C32338">
        <w:rPr>
          <w:sz w:val="15"/>
          <w:szCs w:val="15"/>
        </w:rPr>
        <w:t>movement</w:t>
      </w:r>
      <w:r w:rsidRPr="00C32338">
        <w:rPr>
          <w:color w:val="202122"/>
          <w:sz w:val="15"/>
          <w:szCs w:val="15"/>
        </w:rPr>
        <w:t xml:space="preserve"> for equality and justice in the Muslim family and family laws led by '</w:t>
      </w:r>
      <w:hyperlink r:id="rId21">
        <w:r w:rsidRPr="00C32338">
          <w:rPr>
            <w:rStyle w:val="Hyperlink"/>
            <w:sz w:val="15"/>
            <w:szCs w:val="15"/>
            <w:u w:val="none"/>
          </w:rPr>
          <w:t>Islamic feminists</w:t>
        </w:r>
      </w:hyperlink>
      <w:r w:rsidRPr="00C32338">
        <w:rPr>
          <w:color w:val="202122"/>
          <w:sz w:val="15"/>
          <w:szCs w:val="15"/>
        </w:rPr>
        <w:t xml:space="preserve">' "seeking to reclaim </w:t>
      </w:r>
      <w:r w:rsidRPr="00C32338">
        <w:rPr>
          <w:sz w:val="15"/>
          <w:szCs w:val="15"/>
        </w:rPr>
        <w:t>Islam</w:t>
      </w:r>
      <w:r w:rsidRPr="00C32338">
        <w:rPr>
          <w:color w:val="202122"/>
          <w:sz w:val="15"/>
          <w:szCs w:val="15"/>
        </w:rPr>
        <w:t xml:space="preserve"> and the </w:t>
      </w:r>
      <w:hyperlink r:id="rId22">
        <w:r w:rsidRPr="00C32338">
          <w:rPr>
            <w:rStyle w:val="Hyperlink"/>
            <w:sz w:val="15"/>
            <w:szCs w:val="15"/>
            <w:u w:val="none"/>
          </w:rPr>
          <w:t>Koran</w:t>
        </w:r>
      </w:hyperlink>
      <w:r w:rsidRPr="00C32338">
        <w:rPr>
          <w:color w:val="202122"/>
          <w:sz w:val="15"/>
          <w:szCs w:val="15"/>
        </w:rPr>
        <w:t xml:space="preserve"> for themselves", applying </w:t>
      </w:r>
      <w:hyperlink r:id="rId23">
        <w:r w:rsidRPr="00C32338">
          <w:rPr>
            <w:rStyle w:val="Hyperlink"/>
            <w:sz w:val="15"/>
            <w:szCs w:val="15"/>
            <w:u w:val="none"/>
          </w:rPr>
          <w:t>progressive interpretations</w:t>
        </w:r>
      </w:hyperlink>
      <w:r w:rsidRPr="00C32338">
        <w:rPr>
          <w:color w:val="202122"/>
          <w:sz w:val="15"/>
          <w:szCs w:val="15"/>
        </w:rPr>
        <w:t xml:space="preserve"> of sacred texts usually referred as </w:t>
      </w:r>
      <w:hyperlink r:id="rId24">
        <w:r w:rsidRPr="00C32338">
          <w:rPr>
            <w:rStyle w:val="Hyperlink"/>
            <w:sz w:val="15"/>
            <w:szCs w:val="15"/>
            <w:u w:val="none"/>
          </w:rPr>
          <w:t>feminist tafsir.</w:t>
        </w:r>
      </w:hyperlink>
      <w:r w:rsidRPr="00C32338">
        <w:rPr>
          <w:color w:val="202122"/>
          <w:sz w:val="15"/>
          <w:szCs w:val="15"/>
        </w:rPr>
        <w:t xml:space="preserve"> The name "</w:t>
      </w:r>
      <w:proofErr w:type="spellStart"/>
      <w:r w:rsidRPr="00C32338">
        <w:rPr>
          <w:color w:val="202122"/>
          <w:sz w:val="15"/>
          <w:szCs w:val="15"/>
        </w:rPr>
        <w:t>Musawah</w:t>
      </w:r>
      <w:proofErr w:type="spellEnd"/>
      <w:r w:rsidRPr="00C32338">
        <w:rPr>
          <w:color w:val="202122"/>
          <w:sz w:val="15"/>
          <w:szCs w:val="15"/>
        </w:rPr>
        <w:t xml:space="preserve">" comes from an </w:t>
      </w:r>
      <w:hyperlink r:id="rId25">
        <w:r w:rsidRPr="00C32338">
          <w:rPr>
            <w:rStyle w:val="Hyperlink"/>
            <w:sz w:val="15"/>
            <w:szCs w:val="15"/>
            <w:u w:val="none"/>
          </w:rPr>
          <w:t>Arabic</w:t>
        </w:r>
      </w:hyperlink>
      <w:r w:rsidRPr="00C32338">
        <w:rPr>
          <w:color w:val="202122"/>
          <w:sz w:val="15"/>
          <w:szCs w:val="15"/>
        </w:rPr>
        <w:t xml:space="preserve"> word that translates as "equality". It was founded in 2009.</w:t>
      </w:r>
    </w:p>
  </w:footnote>
  <w:footnote w:id="221">
    <w:p w14:paraId="439087D3" w14:textId="77777777" w:rsidR="006F2F6D" w:rsidRPr="00C32338" w:rsidRDefault="006F2F6D" w:rsidP="00C32338">
      <w:pPr>
        <w:pStyle w:val="FootnoteText"/>
        <w:rPr>
          <w:sz w:val="15"/>
          <w:szCs w:val="15"/>
        </w:rPr>
      </w:pPr>
      <w:r w:rsidRPr="00C32338">
        <w:rPr>
          <w:rStyle w:val="FootnoteReference"/>
          <w:sz w:val="15"/>
          <w:szCs w:val="15"/>
        </w:rPr>
        <w:footnoteRef/>
      </w:r>
      <w:r w:rsidRPr="00C32338">
        <w:rPr>
          <w:sz w:val="15"/>
          <w:szCs w:val="15"/>
        </w:rPr>
        <w:t xml:space="preserve"> </w:t>
      </w:r>
      <w:proofErr w:type="spellStart"/>
      <w:r w:rsidRPr="00C32338">
        <w:rPr>
          <w:sz w:val="15"/>
          <w:szCs w:val="15"/>
        </w:rPr>
        <w:t>Tarazi</w:t>
      </w:r>
      <w:proofErr w:type="spellEnd"/>
      <w:r w:rsidRPr="00C32338">
        <w:rPr>
          <w:sz w:val="15"/>
          <w:szCs w:val="15"/>
        </w:rPr>
        <w:t>, R (2017) Men and Women for Gender Equality – Mid Term Review</w:t>
      </w:r>
      <w:r w:rsidR="008A4C71" w:rsidRPr="00C32338">
        <w:rPr>
          <w:sz w:val="15"/>
          <w:szCs w:val="15"/>
        </w:rPr>
        <w:t>.</w:t>
      </w:r>
      <w:r w:rsidRPr="00C32338">
        <w:rPr>
          <w:sz w:val="15"/>
          <w:szCs w:val="15"/>
        </w:rPr>
        <w:t xml:space="preserve"> p. 58</w:t>
      </w:r>
      <w:r w:rsidR="003A08CB" w:rsidRPr="00C32338">
        <w:rPr>
          <w:sz w:val="15"/>
          <w:szCs w:val="15"/>
        </w:rPr>
        <w:t>.</w:t>
      </w:r>
    </w:p>
  </w:footnote>
  <w:footnote w:id="222">
    <w:p w14:paraId="1AB7752F" w14:textId="77777777" w:rsidR="006F2F6D" w:rsidRPr="00C32338" w:rsidRDefault="006F2F6D" w:rsidP="00C32338">
      <w:pPr>
        <w:pStyle w:val="FootnoteText"/>
        <w:rPr>
          <w:sz w:val="15"/>
          <w:szCs w:val="15"/>
        </w:rPr>
      </w:pPr>
      <w:r w:rsidRPr="00C32338">
        <w:rPr>
          <w:rStyle w:val="FootnoteReference"/>
          <w:sz w:val="15"/>
          <w:szCs w:val="15"/>
        </w:rPr>
        <w:footnoteRef/>
      </w:r>
      <w:r w:rsidRPr="00C32338">
        <w:rPr>
          <w:sz w:val="15"/>
          <w:szCs w:val="15"/>
        </w:rPr>
        <w:t xml:space="preserve"> KII</w:t>
      </w:r>
      <w:r w:rsidR="00634087" w:rsidRPr="00C32338">
        <w:rPr>
          <w:sz w:val="15"/>
          <w:szCs w:val="15"/>
        </w:rPr>
        <w:t xml:space="preserve"> 39,</w:t>
      </w:r>
      <w:r w:rsidR="005B48BA" w:rsidRPr="00C32338">
        <w:rPr>
          <w:sz w:val="15"/>
          <w:szCs w:val="15"/>
        </w:rPr>
        <w:t xml:space="preserve"> KII 56,</w:t>
      </w:r>
      <w:r w:rsidR="00634087" w:rsidRPr="00C32338">
        <w:rPr>
          <w:sz w:val="15"/>
          <w:szCs w:val="15"/>
        </w:rPr>
        <w:t xml:space="preserve"> KII 57</w:t>
      </w:r>
      <w:r w:rsidR="003A08CB" w:rsidRPr="00C32338">
        <w:rPr>
          <w:sz w:val="15"/>
          <w:szCs w:val="15"/>
        </w:rPr>
        <w:t>.</w:t>
      </w:r>
    </w:p>
  </w:footnote>
  <w:footnote w:id="223">
    <w:p w14:paraId="0B174326" w14:textId="77777777" w:rsidR="006F2F6D" w:rsidRPr="00C32338" w:rsidRDefault="006F2F6D" w:rsidP="00C32338">
      <w:pPr>
        <w:pStyle w:val="FootnoteText"/>
        <w:rPr>
          <w:sz w:val="15"/>
          <w:szCs w:val="15"/>
        </w:rPr>
      </w:pPr>
      <w:r w:rsidRPr="00C32338">
        <w:rPr>
          <w:rStyle w:val="FootnoteReference"/>
          <w:sz w:val="15"/>
          <w:szCs w:val="15"/>
        </w:rPr>
        <w:footnoteRef/>
      </w:r>
      <w:r w:rsidRPr="00C32338">
        <w:rPr>
          <w:sz w:val="15"/>
          <w:szCs w:val="15"/>
        </w:rPr>
        <w:t xml:space="preserve"> </w:t>
      </w:r>
      <w:r w:rsidR="002E1399" w:rsidRPr="00C32338">
        <w:rPr>
          <w:sz w:val="15"/>
          <w:szCs w:val="15"/>
        </w:rPr>
        <w:t>See knowledge product case study and country case studies</w:t>
      </w:r>
    </w:p>
  </w:footnote>
  <w:footnote w:id="224">
    <w:p w14:paraId="1677CFB1" w14:textId="77777777" w:rsidR="009A1267" w:rsidRPr="00C32338" w:rsidRDefault="009A1267" w:rsidP="00C32338">
      <w:pPr>
        <w:pStyle w:val="FootnoteText"/>
        <w:rPr>
          <w:sz w:val="15"/>
          <w:szCs w:val="15"/>
          <w:lang w:val="en-US"/>
        </w:rPr>
      </w:pPr>
      <w:r w:rsidRPr="00C32338">
        <w:rPr>
          <w:rStyle w:val="FootnoteReference"/>
          <w:sz w:val="15"/>
          <w:szCs w:val="15"/>
        </w:rPr>
        <w:footnoteRef/>
      </w:r>
      <w:r w:rsidRPr="00C32338">
        <w:rPr>
          <w:sz w:val="15"/>
          <w:szCs w:val="15"/>
        </w:rPr>
        <w:t xml:space="preserve"> See also Egypt country case study</w:t>
      </w:r>
    </w:p>
  </w:footnote>
  <w:footnote w:id="225">
    <w:p w14:paraId="0D676656" w14:textId="77777777" w:rsidR="006F2F6D" w:rsidRPr="00C32338" w:rsidRDefault="006F2F6D" w:rsidP="00C32338">
      <w:pPr>
        <w:pStyle w:val="FootnoteText"/>
        <w:rPr>
          <w:sz w:val="15"/>
          <w:szCs w:val="15"/>
        </w:rPr>
      </w:pPr>
      <w:r w:rsidRPr="00C32338">
        <w:rPr>
          <w:rStyle w:val="FootnoteReference"/>
          <w:sz w:val="15"/>
          <w:szCs w:val="15"/>
        </w:rPr>
        <w:footnoteRef/>
      </w:r>
      <w:r w:rsidRPr="00C32338">
        <w:rPr>
          <w:sz w:val="15"/>
          <w:szCs w:val="15"/>
        </w:rPr>
        <w:t xml:space="preserve"> KII</w:t>
      </w:r>
      <w:r w:rsidR="00CF3C65" w:rsidRPr="00C32338">
        <w:rPr>
          <w:sz w:val="15"/>
          <w:szCs w:val="15"/>
        </w:rPr>
        <w:t xml:space="preserve"> 58, also UN Women (2022)</w:t>
      </w:r>
    </w:p>
  </w:footnote>
  <w:footnote w:id="226">
    <w:p w14:paraId="52CDAB16" w14:textId="77777777" w:rsidR="006F2F6D" w:rsidRDefault="006F2F6D" w:rsidP="00C32338">
      <w:pPr>
        <w:pStyle w:val="FootnoteText"/>
      </w:pPr>
      <w:r w:rsidRPr="00C32338">
        <w:rPr>
          <w:rStyle w:val="FootnoteReference"/>
          <w:sz w:val="15"/>
          <w:szCs w:val="15"/>
        </w:rPr>
        <w:footnoteRef/>
      </w:r>
      <w:r w:rsidRPr="00C32338">
        <w:rPr>
          <w:sz w:val="15"/>
          <w:szCs w:val="15"/>
        </w:rPr>
        <w:t xml:space="preserve"> KII</w:t>
      </w:r>
      <w:r w:rsidR="0096531E" w:rsidRPr="00C32338">
        <w:rPr>
          <w:sz w:val="15"/>
          <w:szCs w:val="15"/>
        </w:rPr>
        <w:t xml:space="preserve"> </w:t>
      </w:r>
      <w:r w:rsidR="001C570C" w:rsidRPr="00C32338">
        <w:rPr>
          <w:sz w:val="15"/>
          <w:szCs w:val="15"/>
        </w:rPr>
        <w:t xml:space="preserve">39, KII 43, </w:t>
      </w:r>
      <w:r w:rsidR="00C01C68" w:rsidRPr="00C32338">
        <w:rPr>
          <w:sz w:val="15"/>
          <w:szCs w:val="15"/>
        </w:rPr>
        <w:t>KII 58</w:t>
      </w:r>
    </w:p>
  </w:footnote>
  <w:footnote w:id="227">
    <w:p w14:paraId="37294D86"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For example, social media ‘reach’ data captures the total number of social media users on whose screens a particular post </w:t>
      </w:r>
      <w:r w:rsidR="0089084D" w:rsidRPr="00C32338">
        <w:rPr>
          <w:sz w:val="15"/>
          <w:szCs w:val="15"/>
        </w:rPr>
        <w:t>appeared but</w:t>
      </w:r>
      <w:r w:rsidRPr="00C32338">
        <w:rPr>
          <w:sz w:val="15"/>
          <w:szCs w:val="15"/>
        </w:rPr>
        <w:t xml:space="preserve"> does not track actual engagement</w:t>
      </w:r>
      <w:r w:rsidR="001D2F0C" w:rsidRPr="00C32338">
        <w:rPr>
          <w:sz w:val="15"/>
          <w:szCs w:val="15"/>
        </w:rPr>
        <w:t>.</w:t>
      </w:r>
    </w:p>
  </w:footnote>
  <w:footnote w:id="228">
    <w:p w14:paraId="468FE20D"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w:t>
      </w:r>
      <w:r w:rsidR="00333564" w:rsidRPr="00C32338">
        <w:rPr>
          <w:sz w:val="15"/>
          <w:szCs w:val="15"/>
        </w:rPr>
        <w:t>See also Palestine Case Study</w:t>
      </w:r>
    </w:p>
  </w:footnote>
  <w:footnote w:id="229">
    <w:p w14:paraId="18DFD46F"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FGD</w:t>
      </w:r>
      <w:r w:rsidR="00D10FAC" w:rsidRPr="00C32338">
        <w:rPr>
          <w:sz w:val="15"/>
          <w:szCs w:val="15"/>
        </w:rPr>
        <w:t>s Egypt</w:t>
      </w:r>
    </w:p>
  </w:footnote>
  <w:footnote w:id="230">
    <w:p w14:paraId="5DE55348"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KII</w:t>
      </w:r>
      <w:r w:rsidR="001C2DFF" w:rsidRPr="00C32338">
        <w:rPr>
          <w:sz w:val="15"/>
          <w:szCs w:val="15"/>
        </w:rPr>
        <w:t xml:space="preserve"> 39, KII 43</w:t>
      </w:r>
    </w:p>
  </w:footnote>
  <w:footnote w:id="231">
    <w:p w14:paraId="41B8CA65"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See for example </w:t>
      </w:r>
      <w:hyperlink r:id="rId26" w:history="1">
        <w:r w:rsidRPr="00C32338">
          <w:rPr>
            <w:rStyle w:val="Hyperlink"/>
            <w:sz w:val="15"/>
            <w:szCs w:val="15"/>
            <w:u w:val="none"/>
          </w:rPr>
          <w:t>https://www.musawah.org/knowledge-building/qiwamah-wilayah/</w:t>
        </w:r>
      </w:hyperlink>
      <w:r w:rsidRPr="00C32338">
        <w:rPr>
          <w:sz w:val="15"/>
          <w:szCs w:val="15"/>
        </w:rPr>
        <w:t xml:space="preserve"> </w:t>
      </w:r>
    </w:p>
  </w:footnote>
  <w:footnote w:id="232">
    <w:p w14:paraId="69396B57"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Morocco MWGE Annual Report 2020, p.</w:t>
      </w:r>
      <w:r w:rsidR="00F4319B" w:rsidRPr="00C32338">
        <w:rPr>
          <w:sz w:val="15"/>
          <w:szCs w:val="15"/>
        </w:rPr>
        <w:t xml:space="preserve"> </w:t>
      </w:r>
      <w:r w:rsidRPr="00C32338">
        <w:rPr>
          <w:sz w:val="15"/>
          <w:szCs w:val="15"/>
        </w:rPr>
        <w:t>18</w:t>
      </w:r>
      <w:r w:rsidR="00F4319B" w:rsidRPr="00C32338">
        <w:rPr>
          <w:sz w:val="15"/>
          <w:szCs w:val="15"/>
        </w:rPr>
        <w:t>.</w:t>
      </w:r>
    </w:p>
  </w:footnote>
  <w:footnote w:id="233">
    <w:p w14:paraId="5AD7E2F6" w14:textId="77777777" w:rsidR="006F2F6D" w:rsidRDefault="006F2F6D" w:rsidP="006F2F6D">
      <w:pPr>
        <w:pStyle w:val="FootnoteText"/>
      </w:pPr>
      <w:r w:rsidRPr="00C32338">
        <w:rPr>
          <w:rStyle w:val="FootnoteReference"/>
          <w:sz w:val="15"/>
          <w:szCs w:val="15"/>
        </w:rPr>
        <w:footnoteRef/>
      </w:r>
      <w:r w:rsidRPr="00C32338">
        <w:rPr>
          <w:sz w:val="15"/>
          <w:szCs w:val="15"/>
        </w:rPr>
        <w:t xml:space="preserve"> </w:t>
      </w:r>
      <w:r w:rsidR="001C2DFF" w:rsidRPr="00C32338">
        <w:rPr>
          <w:sz w:val="15"/>
          <w:szCs w:val="15"/>
        </w:rPr>
        <w:t>KII 57</w:t>
      </w:r>
    </w:p>
  </w:footnote>
  <w:footnote w:id="234">
    <w:p w14:paraId="272AE8F6" w14:textId="77777777" w:rsidR="006F2F6D" w:rsidRDefault="006F2F6D" w:rsidP="006F2F6D">
      <w:pPr>
        <w:pStyle w:val="FootnoteText"/>
      </w:pPr>
      <w:r w:rsidRPr="0070466C">
        <w:rPr>
          <w:rStyle w:val="FootnoteReference"/>
          <w:sz w:val="16"/>
        </w:rPr>
        <w:footnoteRef/>
      </w:r>
      <w:r>
        <w:t xml:space="preserve"> </w:t>
      </w:r>
      <w:r w:rsidR="00127B0A">
        <w:t>KII 57, KII 99</w:t>
      </w:r>
    </w:p>
  </w:footnote>
  <w:footnote w:id="235">
    <w:p w14:paraId="3437E6EE" w14:textId="77777777" w:rsidR="006F2F6D" w:rsidRDefault="006F2F6D" w:rsidP="006F2F6D">
      <w:pPr>
        <w:pStyle w:val="FootnoteText"/>
      </w:pPr>
      <w:r w:rsidRPr="0070466C">
        <w:rPr>
          <w:rStyle w:val="FootnoteReference"/>
          <w:sz w:val="16"/>
        </w:rPr>
        <w:footnoteRef/>
      </w:r>
      <w:r>
        <w:t xml:space="preserve"> </w:t>
      </w:r>
      <w:r w:rsidR="0076635A">
        <w:t>T</w:t>
      </w:r>
      <w:r>
        <w:t>his change of approach was</w:t>
      </w:r>
      <w:r w:rsidR="00F4319B">
        <w:t>,</w:t>
      </w:r>
      <w:r>
        <w:t xml:space="preserve"> however</w:t>
      </w:r>
      <w:r w:rsidR="00F4319B">
        <w:t>,</w:t>
      </w:r>
      <w:r>
        <w:t xml:space="preserve"> seen</w:t>
      </w:r>
      <w:r w:rsidR="00F4319B">
        <w:t xml:space="preserve"> – at</w:t>
      </w:r>
      <w:r>
        <w:t xml:space="preserve"> both country and regional level</w:t>
      </w:r>
      <w:r w:rsidR="00F4319B">
        <w:t>s –</w:t>
      </w:r>
      <w:r>
        <w:t xml:space="preserve"> as having benefited both the in-country component </w:t>
      </w:r>
      <w:r w:rsidR="00F4319B">
        <w:t>and</w:t>
      </w:r>
      <w:r>
        <w:t xml:space="preserve"> the overall regional programme</w:t>
      </w:r>
      <w:r w:rsidR="00F4319B">
        <w:t>.</w:t>
      </w:r>
      <w:r>
        <w:t xml:space="preserve"> (</w:t>
      </w:r>
      <w:r w:rsidRPr="00DD6CEB">
        <w:t>KII</w:t>
      </w:r>
      <w:r w:rsidR="00631BCB">
        <w:t xml:space="preserve"> 33, KII 57, UN Women feedback during Lebanon country study presentation</w:t>
      </w:r>
      <w:r w:rsidR="007170A1">
        <w:t>)</w:t>
      </w:r>
    </w:p>
  </w:footnote>
  <w:footnote w:id="236">
    <w:p w14:paraId="5FA30FD3" w14:textId="77777777" w:rsidR="006F2F6D" w:rsidRDefault="006F2F6D" w:rsidP="006F2F6D">
      <w:pPr>
        <w:pStyle w:val="FootnoteText"/>
      </w:pPr>
      <w:r w:rsidRPr="0070466C">
        <w:rPr>
          <w:rStyle w:val="FootnoteReference"/>
          <w:sz w:val="16"/>
        </w:rPr>
        <w:footnoteRef/>
      </w:r>
      <w:r>
        <w:t xml:space="preserve"> </w:t>
      </w:r>
      <w:r w:rsidR="00703959">
        <w:t>KII 57, KII 99</w:t>
      </w:r>
    </w:p>
  </w:footnote>
  <w:footnote w:id="237">
    <w:p w14:paraId="0DA309EA" w14:textId="77777777" w:rsidR="00BE1F84" w:rsidRPr="007F6DFD" w:rsidRDefault="00BE1F84">
      <w:pPr>
        <w:pStyle w:val="FootnoteText"/>
        <w:rPr>
          <w:lang w:val="en-US"/>
        </w:rPr>
      </w:pPr>
      <w:r w:rsidRPr="007F6DFD">
        <w:rPr>
          <w:rStyle w:val="FootnoteReference"/>
          <w:sz w:val="16"/>
          <w:szCs w:val="16"/>
        </w:rPr>
        <w:footnoteRef/>
      </w:r>
      <w:r w:rsidRPr="003629C1">
        <w:t xml:space="preserve"> </w:t>
      </w:r>
      <w:r w:rsidR="003629C1">
        <w:t>See also Comparator case study and Lebanon case study</w:t>
      </w:r>
    </w:p>
  </w:footnote>
  <w:footnote w:id="238">
    <w:p w14:paraId="42C01DF0" w14:textId="77777777" w:rsidR="006F2F6D" w:rsidRDefault="006F2F6D" w:rsidP="006F2F6D">
      <w:pPr>
        <w:pStyle w:val="FootnoteText"/>
      </w:pPr>
      <w:r w:rsidRPr="0070466C">
        <w:rPr>
          <w:rStyle w:val="FootnoteReference"/>
          <w:sz w:val="16"/>
        </w:rPr>
        <w:footnoteRef/>
      </w:r>
      <w:r>
        <w:t xml:space="preserve"> </w:t>
      </w:r>
      <w:r w:rsidR="003A26F1">
        <w:t>KII 56, KII 57, KII 58</w:t>
      </w:r>
    </w:p>
  </w:footnote>
  <w:footnote w:id="239">
    <w:p w14:paraId="5F496869" w14:textId="77777777" w:rsidR="006F2F6D" w:rsidRDefault="006F2F6D" w:rsidP="006F2F6D">
      <w:pPr>
        <w:pStyle w:val="FootnoteText"/>
      </w:pPr>
      <w:r w:rsidRPr="0070466C">
        <w:rPr>
          <w:rStyle w:val="FootnoteReference"/>
          <w:sz w:val="16"/>
        </w:rPr>
        <w:footnoteRef/>
      </w:r>
      <w:r>
        <w:t xml:space="preserve"> </w:t>
      </w:r>
      <w:r w:rsidR="00703959">
        <w:t xml:space="preserve">KII 3, KII 21, KII </w:t>
      </w:r>
      <w:r w:rsidR="000C1345">
        <w:t>74</w:t>
      </w:r>
    </w:p>
  </w:footnote>
  <w:footnote w:id="240">
    <w:p w14:paraId="1E377763"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w:t>
      </w:r>
      <w:r w:rsidRPr="00C32338">
        <w:rPr>
          <w:sz w:val="15"/>
          <w:szCs w:val="15"/>
          <w:lang w:val="en-US"/>
        </w:rPr>
        <w:t>MTR (2017)</w:t>
      </w:r>
      <w:r w:rsidR="00A11B37" w:rsidRPr="00C32338">
        <w:rPr>
          <w:sz w:val="15"/>
          <w:szCs w:val="15"/>
          <w:lang w:val="en-US"/>
        </w:rPr>
        <w:t>.</w:t>
      </w:r>
    </w:p>
  </w:footnote>
  <w:footnote w:id="241">
    <w:p w14:paraId="50EBD260"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KII 3</w:t>
      </w:r>
      <w:r w:rsidR="00A11B37" w:rsidRPr="00C32338">
        <w:rPr>
          <w:sz w:val="15"/>
          <w:szCs w:val="15"/>
        </w:rPr>
        <w:t>.</w:t>
      </w:r>
    </w:p>
  </w:footnote>
  <w:footnote w:id="242">
    <w:p w14:paraId="01F29CAC"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w:t>
      </w:r>
      <w:r w:rsidR="00E17A35" w:rsidRPr="00C32338">
        <w:rPr>
          <w:sz w:val="15"/>
          <w:szCs w:val="15"/>
        </w:rPr>
        <w:t xml:space="preserve">See also </w:t>
      </w:r>
      <w:r w:rsidRPr="00C32338">
        <w:rPr>
          <w:sz w:val="15"/>
          <w:szCs w:val="15"/>
        </w:rPr>
        <w:t>Palestine</w:t>
      </w:r>
      <w:r w:rsidR="00E17A35" w:rsidRPr="00C32338">
        <w:rPr>
          <w:sz w:val="15"/>
          <w:szCs w:val="15"/>
        </w:rPr>
        <w:t xml:space="preserve"> case study </w:t>
      </w:r>
      <w:r w:rsidRPr="00C32338">
        <w:rPr>
          <w:sz w:val="15"/>
          <w:szCs w:val="15"/>
        </w:rPr>
        <w:t xml:space="preserve"> </w:t>
      </w:r>
    </w:p>
  </w:footnote>
  <w:footnote w:id="243">
    <w:p w14:paraId="53712642"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KII 2</w:t>
      </w:r>
      <w:r w:rsidR="00E17A35" w:rsidRPr="00C32338">
        <w:rPr>
          <w:sz w:val="15"/>
          <w:szCs w:val="15"/>
        </w:rPr>
        <w:t>3</w:t>
      </w:r>
      <w:r w:rsidRPr="00C32338">
        <w:rPr>
          <w:sz w:val="15"/>
          <w:szCs w:val="15"/>
        </w:rPr>
        <w:t xml:space="preserve">, </w:t>
      </w:r>
      <w:r w:rsidR="009E68B6" w:rsidRPr="00C32338">
        <w:rPr>
          <w:sz w:val="15"/>
          <w:szCs w:val="15"/>
        </w:rPr>
        <w:t>30</w:t>
      </w:r>
      <w:r w:rsidRPr="00C32338">
        <w:rPr>
          <w:sz w:val="15"/>
          <w:szCs w:val="15"/>
        </w:rPr>
        <w:t xml:space="preserve">, and </w:t>
      </w:r>
      <w:r w:rsidR="009E68B6" w:rsidRPr="00C32338">
        <w:rPr>
          <w:sz w:val="15"/>
          <w:szCs w:val="15"/>
        </w:rPr>
        <w:t>34</w:t>
      </w:r>
      <w:r w:rsidR="00A11B37" w:rsidRPr="00C32338">
        <w:rPr>
          <w:sz w:val="15"/>
          <w:szCs w:val="15"/>
        </w:rPr>
        <w:t>.</w:t>
      </w:r>
    </w:p>
  </w:footnote>
  <w:footnote w:id="244">
    <w:p w14:paraId="36D59F86"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w:t>
      </w:r>
      <w:r w:rsidR="009E68B6" w:rsidRPr="00C32338">
        <w:rPr>
          <w:sz w:val="15"/>
          <w:szCs w:val="15"/>
        </w:rPr>
        <w:t>KII 58</w:t>
      </w:r>
    </w:p>
  </w:footnote>
  <w:footnote w:id="245">
    <w:p w14:paraId="3C55B797" w14:textId="77777777" w:rsidR="4977AA67" w:rsidRPr="00C32338" w:rsidRDefault="4977AA67" w:rsidP="4977AA67">
      <w:pPr>
        <w:pStyle w:val="FootnoteText"/>
        <w:rPr>
          <w:sz w:val="15"/>
          <w:szCs w:val="15"/>
        </w:rPr>
      </w:pPr>
      <w:r w:rsidRPr="00C32338">
        <w:rPr>
          <w:rStyle w:val="FootnoteReference"/>
          <w:sz w:val="15"/>
          <w:szCs w:val="15"/>
        </w:rPr>
        <w:footnoteRef/>
      </w:r>
      <w:r w:rsidRPr="00C32338">
        <w:rPr>
          <w:sz w:val="15"/>
          <w:szCs w:val="15"/>
        </w:rPr>
        <w:t xml:space="preserve"> KII 58, UN Women (2022)</w:t>
      </w:r>
    </w:p>
  </w:footnote>
  <w:footnote w:id="246">
    <w:p w14:paraId="3F70E283" w14:textId="77777777" w:rsidR="4977AA67" w:rsidRPr="00C32338" w:rsidRDefault="4977AA67" w:rsidP="4977AA67">
      <w:pPr>
        <w:pStyle w:val="FootnoteText"/>
        <w:rPr>
          <w:sz w:val="15"/>
          <w:szCs w:val="15"/>
        </w:rPr>
      </w:pPr>
      <w:r w:rsidRPr="00C32338">
        <w:rPr>
          <w:rStyle w:val="FootnoteReference"/>
          <w:sz w:val="15"/>
          <w:szCs w:val="15"/>
        </w:rPr>
        <w:footnoteRef/>
      </w:r>
      <w:r w:rsidRPr="00C32338">
        <w:rPr>
          <w:sz w:val="15"/>
          <w:szCs w:val="15"/>
        </w:rPr>
        <w:t xml:space="preserve"> Ibid.</w:t>
      </w:r>
    </w:p>
  </w:footnote>
  <w:footnote w:id="247">
    <w:p w14:paraId="68AEA071"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w:t>
      </w:r>
      <w:r w:rsidR="009E68B6" w:rsidRPr="00C32338">
        <w:rPr>
          <w:sz w:val="15"/>
          <w:szCs w:val="15"/>
        </w:rPr>
        <w:t>UN Women (2022)</w:t>
      </w:r>
    </w:p>
  </w:footnote>
  <w:footnote w:id="248">
    <w:p w14:paraId="0E4DFBA0" w14:textId="77777777" w:rsidR="00145E61" w:rsidRPr="007F6DFD" w:rsidRDefault="00145E61">
      <w:pPr>
        <w:pStyle w:val="FootnoteText"/>
        <w:rPr>
          <w:lang w:val="en-US"/>
        </w:rPr>
      </w:pPr>
      <w:r w:rsidRPr="00C32338">
        <w:rPr>
          <w:rStyle w:val="FootnoteReference"/>
          <w:sz w:val="15"/>
          <w:szCs w:val="15"/>
        </w:rPr>
        <w:footnoteRef/>
      </w:r>
      <w:r w:rsidRPr="00C32338">
        <w:rPr>
          <w:sz w:val="15"/>
          <w:szCs w:val="15"/>
        </w:rPr>
        <w:t xml:space="preserve"> KII 22</w:t>
      </w:r>
    </w:p>
  </w:footnote>
  <w:footnote w:id="249">
    <w:p w14:paraId="60BAE42B"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w:t>
      </w:r>
      <w:r w:rsidR="00A064B3" w:rsidRPr="00C32338">
        <w:rPr>
          <w:sz w:val="15"/>
          <w:szCs w:val="15"/>
        </w:rPr>
        <w:t>KII 57, KII 99</w:t>
      </w:r>
    </w:p>
  </w:footnote>
  <w:footnote w:id="250">
    <w:p w14:paraId="7CD0248D"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However, the programme did engage with the </w:t>
      </w:r>
      <w:r w:rsidRPr="00C32338">
        <w:rPr>
          <w:rFonts w:cstheme="minorHAnsi"/>
          <w:sz w:val="15"/>
          <w:szCs w:val="15"/>
        </w:rPr>
        <w:t>Youth Department of the League of Arab States and the Arab Women Organisation (KII</w:t>
      </w:r>
      <w:r w:rsidR="00430279" w:rsidRPr="00C32338">
        <w:rPr>
          <w:rFonts w:cstheme="minorHAnsi"/>
          <w:sz w:val="15"/>
          <w:szCs w:val="15"/>
        </w:rPr>
        <w:t xml:space="preserve"> 57, KII 99</w:t>
      </w:r>
      <w:r w:rsidRPr="00C32338">
        <w:rPr>
          <w:rFonts w:cstheme="minorHAnsi"/>
          <w:sz w:val="15"/>
          <w:szCs w:val="15"/>
        </w:rPr>
        <w:t>)</w:t>
      </w:r>
    </w:p>
  </w:footnote>
  <w:footnote w:id="251">
    <w:p w14:paraId="58173ABE"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MWGE Annual Report 2015</w:t>
      </w:r>
      <w:r w:rsidR="008A4C71" w:rsidRPr="00C32338">
        <w:rPr>
          <w:sz w:val="15"/>
          <w:szCs w:val="15"/>
        </w:rPr>
        <w:t>.</w:t>
      </w:r>
      <w:r w:rsidRPr="00C32338">
        <w:rPr>
          <w:sz w:val="15"/>
          <w:szCs w:val="15"/>
        </w:rPr>
        <w:t xml:space="preserve"> p. 12</w:t>
      </w:r>
      <w:r w:rsidR="008A4C71" w:rsidRPr="00C32338">
        <w:rPr>
          <w:sz w:val="15"/>
          <w:szCs w:val="15"/>
        </w:rPr>
        <w:t>.</w:t>
      </w:r>
    </w:p>
  </w:footnote>
  <w:footnote w:id="252">
    <w:p w14:paraId="0E357F3E"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KII </w:t>
      </w:r>
      <w:r w:rsidR="000223A5" w:rsidRPr="00C32338">
        <w:rPr>
          <w:sz w:val="15"/>
          <w:szCs w:val="15"/>
        </w:rPr>
        <w:t>56, KII 58</w:t>
      </w:r>
      <w:r w:rsidR="008A4C71" w:rsidRPr="00C32338">
        <w:rPr>
          <w:sz w:val="15"/>
          <w:szCs w:val="15"/>
        </w:rPr>
        <w:t>.</w:t>
      </w:r>
    </w:p>
  </w:footnote>
  <w:footnote w:id="253">
    <w:p w14:paraId="355F166F"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w:t>
      </w:r>
      <w:r w:rsidR="002D588A" w:rsidRPr="00C32338">
        <w:rPr>
          <w:sz w:val="15"/>
          <w:szCs w:val="15"/>
        </w:rPr>
        <w:t>KII 63</w:t>
      </w:r>
    </w:p>
  </w:footnote>
  <w:footnote w:id="254">
    <w:p w14:paraId="1BEC80E9"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MWGE Annual Report 2020</w:t>
      </w:r>
      <w:r w:rsidR="008A4C71" w:rsidRPr="00C32338">
        <w:rPr>
          <w:sz w:val="15"/>
          <w:szCs w:val="15"/>
        </w:rPr>
        <w:t>.</w:t>
      </w:r>
      <w:r w:rsidRPr="00C32338">
        <w:rPr>
          <w:sz w:val="15"/>
          <w:szCs w:val="15"/>
        </w:rPr>
        <w:t xml:space="preserve"> p.</w:t>
      </w:r>
      <w:r w:rsidR="008A4C71" w:rsidRPr="00C32338">
        <w:rPr>
          <w:sz w:val="15"/>
          <w:szCs w:val="15"/>
        </w:rPr>
        <w:t xml:space="preserve"> </w:t>
      </w:r>
      <w:r w:rsidRPr="00C32338">
        <w:rPr>
          <w:sz w:val="15"/>
          <w:szCs w:val="15"/>
        </w:rPr>
        <w:t>36</w:t>
      </w:r>
      <w:r w:rsidR="008A4C71" w:rsidRPr="00C32338">
        <w:rPr>
          <w:sz w:val="15"/>
          <w:szCs w:val="15"/>
        </w:rPr>
        <w:t>.</w:t>
      </w:r>
    </w:p>
  </w:footnote>
  <w:footnote w:id="255">
    <w:p w14:paraId="5B1A234A"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MWGE Annual Report 2017</w:t>
      </w:r>
      <w:r w:rsidR="008A4C71" w:rsidRPr="00C32338">
        <w:rPr>
          <w:sz w:val="15"/>
          <w:szCs w:val="15"/>
        </w:rPr>
        <w:t>.</w:t>
      </w:r>
      <w:r w:rsidRPr="00C32338">
        <w:rPr>
          <w:sz w:val="15"/>
          <w:szCs w:val="15"/>
        </w:rPr>
        <w:t xml:space="preserve"> p. 5</w:t>
      </w:r>
      <w:r w:rsidR="00D77BCF" w:rsidRPr="00C32338">
        <w:rPr>
          <w:sz w:val="15"/>
          <w:szCs w:val="15"/>
        </w:rPr>
        <w:t>.</w:t>
      </w:r>
    </w:p>
  </w:footnote>
  <w:footnote w:id="256">
    <w:p w14:paraId="14C8B403" w14:textId="77777777" w:rsidR="006F2F6D" w:rsidRDefault="006F2F6D" w:rsidP="006F2F6D">
      <w:pPr>
        <w:pStyle w:val="FootnoteText"/>
      </w:pPr>
      <w:r w:rsidRPr="00C32338">
        <w:rPr>
          <w:rStyle w:val="FootnoteReference"/>
          <w:sz w:val="15"/>
          <w:szCs w:val="15"/>
        </w:rPr>
        <w:footnoteRef/>
      </w:r>
      <w:r w:rsidRPr="00C32338">
        <w:rPr>
          <w:sz w:val="15"/>
          <w:szCs w:val="15"/>
        </w:rPr>
        <w:t xml:space="preserve"> MWGE Annual Report 2017</w:t>
      </w:r>
      <w:r w:rsidR="008A4C71" w:rsidRPr="00C32338">
        <w:rPr>
          <w:sz w:val="15"/>
          <w:szCs w:val="15"/>
        </w:rPr>
        <w:t>.</w:t>
      </w:r>
      <w:r w:rsidRPr="00C32338">
        <w:rPr>
          <w:sz w:val="15"/>
          <w:szCs w:val="15"/>
        </w:rPr>
        <w:t xml:space="preserve"> p. 7</w:t>
      </w:r>
      <w:r w:rsidR="00D77BCF" w:rsidRPr="00C32338">
        <w:rPr>
          <w:sz w:val="15"/>
          <w:szCs w:val="15"/>
        </w:rPr>
        <w:t>.</w:t>
      </w:r>
    </w:p>
  </w:footnote>
  <w:footnote w:id="257">
    <w:p w14:paraId="72AEA0AB" w14:textId="77777777" w:rsidR="00EF73A8" w:rsidRPr="00C32338" w:rsidRDefault="00EF73A8">
      <w:pPr>
        <w:pStyle w:val="FootnoteText"/>
        <w:rPr>
          <w:sz w:val="15"/>
          <w:szCs w:val="15"/>
          <w:lang w:val="en-US"/>
        </w:rPr>
      </w:pPr>
      <w:r w:rsidRPr="00C32338">
        <w:rPr>
          <w:rStyle w:val="FootnoteReference"/>
          <w:sz w:val="15"/>
          <w:szCs w:val="15"/>
        </w:rPr>
        <w:footnoteRef/>
      </w:r>
      <w:r w:rsidRPr="00C32338">
        <w:rPr>
          <w:sz w:val="15"/>
          <w:szCs w:val="15"/>
        </w:rPr>
        <w:t xml:space="preserve"> </w:t>
      </w:r>
      <w:r w:rsidR="00C1091E" w:rsidRPr="00C32338">
        <w:rPr>
          <w:sz w:val="15"/>
          <w:szCs w:val="15"/>
          <w:lang w:val="en-US"/>
        </w:rPr>
        <w:t>KII 57</w:t>
      </w:r>
    </w:p>
  </w:footnote>
  <w:footnote w:id="258">
    <w:p w14:paraId="3056A833" w14:textId="77777777" w:rsidR="00F57409" w:rsidRPr="00C32338" w:rsidRDefault="00F57409">
      <w:pPr>
        <w:pStyle w:val="FootnoteText"/>
        <w:rPr>
          <w:sz w:val="15"/>
          <w:szCs w:val="15"/>
          <w:lang w:val="en-US"/>
        </w:rPr>
      </w:pPr>
      <w:r w:rsidRPr="00C32338">
        <w:rPr>
          <w:rStyle w:val="FootnoteReference"/>
          <w:sz w:val="15"/>
          <w:szCs w:val="15"/>
        </w:rPr>
        <w:footnoteRef/>
      </w:r>
      <w:r w:rsidRPr="00C32338">
        <w:rPr>
          <w:sz w:val="15"/>
          <w:szCs w:val="15"/>
        </w:rPr>
        <w:t xml:space="preserve"> E-mail communication with ROAS</w:t>
      </w:r>
    </w:p>
  </w:footnote>
  <w:footnote w:id="259">
    <w:p w14:paraId="077F6B8C"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w:t>
      </w:r>
      <w:r w:rsidR="0071176E" w:rsidRPr="00C32338">
        <w:rPr>
          <w:sz w:val="15"/>
          <w:szCs w:val="15"/>
        </w:rPr>
        <w:t>KII 3, KII 12</w:t>
      </w:r>
    </w:p>
  </w:footnote>
  <w:footnote w:id="260">
    <w:p w14:paraId="3E4D841F"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w:t>
      </w:r>
      <w:r w:rsidR="00CD5E68" w:rsidRPr="00C32338">
        <w:rPr>
          <w:sz w:val="15"/>
          <w:szCs w:val="15"/>
        </w:rPr>
        <w:t>KII 33</w:t>
      </w:r>
    </w:p>
  </w:footnote>
  <w:footnote w:id="261">
    <w:p w14:paraId="3ED25DD2"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w:t>
      </w:r>
      <w:r w:rsidRPr="00C32338">
        <w:rPr>
          <w:sz w:val="15"/>
          <w:szCs w:val="15"/>
          <w:lang w:val="en-US"/>
        </w:rPr>
        <w:t>KII</w:t>
      </w:r>
      <w:r w:rsidR="00CD5E68" w:rsidRPr="00C32338">
        <w:rPr>
          <w:sz w:val="15"/>
          <w:szCs w:val="15"/>
          <w:lang w:val="en-US"/>
        </w:rPr>
        <w:t xml:space="preserve"> 38, KII 100</w:t>
      </w:r>
    </w:p>
  </w:footnote>
  <w:footnote w:id="262">
    <w:p w14:paraId="276622D9" w14:textId="77777777" w:rsidR="00854879" w:rsidRPr="00C32338" w:rsidRDefault="00854879">
      <w:pPr>
        <w:pStyle w:val="FootnoteText"/>
        <w:rPr>
          <w:sz w:val="15"/>
          <w:szCs w:val="15"/>
          <w:lang w:val="en-US"/>
        </w:rPr>
      </w:pPr>
      <w:r w:rsidRPr="00C32338">
        <w:rPr>
          <w:rStyle w:val="FootnoteReference"/>
          <w:sz w:val="15"/>
          <w:szCs w:val="15"/>
        </w:rPr>
        <w:footnoteRef/>
      </w:r>
      <w:r w:rsidRPr="00C32338">
        <w:rPr>
          <w:sz w:val="15"/>
          <w:szCs w:val="15"/>
        </w:rPr>
        <w:t xml:space="preserve"> </w:t>
      </w:r>
      <w:r w:rsidR="002722F4" w:rsidRPr="00C32338">
        <w:rPr>
          <w:sz w:val="15"/>
          <w:szCs w:val="15"/>
        </w:rPr>
        <w:t xml:space="preserve">See also Country Case Studies </w:t>
      </w:r>
    </w:p>
  </w:footnote>
  <w:footnote w:id="263">
    <w:p w14:paraId="1453A558" w14:textId="77777777" w:rsidR="004B0849" w:rsidRPr="007F6DFD" w:rsidRDefault="004B0849">
      <w:pPr>
        <w:pStyle w:val="FootnoteText"/>
        <w:rPr>
          <w:lang w:val="en-US"/>
        </w:rPr>
      </w:pPr>
      <w:r w:rsidRPr="00C32338">
        <w:rPr>
          <w:rStyle w:val="FootnoteReference"/>
          <w:sz w:val="15"/>
          <w:szCs w:val="15"/>
        </w:rPr>
        <w:footnoteRef/>
      </w:r>
      <w:r w:rsidRPr="00C32338">
        <w:rPr>
          <w:sz w:val="15"/>
          <w:szCs w:val="15"/>
        </w:rPr>
        <w:t xml:space="preserve"> </w:t>
      </w:r>
      <w:r w:rsidR="00F8742F" w:rsidRPr="00C32338">
        <w:rPr>
          <w:sz w:val="15"/>
          <w:szCs w:val="15"/>
          <w:lang w:val="en-US"/>
        </w:rPr>
        <w:t>KII 55, confirmed via budgetary analysis conducted in inception stage</w:t>
      </w:r>
    </w:p>
  </w:footnote>
  <w:footnote w:id="264">
    <w:p w14:paraId="67FAD185"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http://web.undp.org/evaluation/documents/guidance/gender/GRES_English.pdf</w:t>
      </w:r>
    </w:p>
  </w:footnote>
  <w:footnote w:id="265">
    <w:p w14:paraId="1C44D022"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Understanding How to Engage Men in Gender Transformative Approaches to End Violence Against Women’ (2018: 21)</w:t>
      </w:r>
    </w:p>
  </w:footnote>
  <w:footnote w:id="266">
    <w:p w14:paraId="16F162A6"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https://arabstates.unwomen.org/en/what-we-do/ending-violence-against-women/men-and-women-for-gender-equality</w:t>
      </w:r>
    </w:p>
  </w:footnote>
  <w:footnote w:id="267">
    <w:p w14:paraId="456239EB"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w:t>
      </w:r>
      <w:r w:rsidRPr="00C32338">
        <w:rPr>
          <w:sz w:val="15"/>
          <w:szCs w:val="15"/>
          <w:lang w:val="en-US"/>
        </w:rPr>
        <w:t>CBO Capacity building survey</w:t>
      </w:r>
      <w:r w:rsidR="008A4C71" w:rsidRPr="00C32338">
        <w:rPr>
          <w:sz w:val="15"/>
          <w:szCs w:val="15"/>
          <w:lang w:val="en-US"/>
        </w:rPr>
        <w:t>.</w:t>
      </w:r>
    </w:p>
  </w:footnote>
  <w:footnote w:id="268">
    <w:p w14:paraId="6454CE60" w14:textId="77777777" w:rsidR="006F2F6D" w:rsidRPr="003A77DD" w:rsidRDefault="006F2F6D" w:rsidP="006F2F6D">
      <w:pPr>
        <w:pStyle w:val="FootnoteText"/>
        <w:rPr>
          <w:lang w:val="en-US"/>
        </w:rPr>
      </w:pPr>
      <w:r w:rsidRPr="00C32338">
        <w:rPr>
          <w:rStyle w:val="FootnoteReference"/>
          <w:sz w:val="15"/>
          <w:szCs w:val="15"/>
        </w:rPr>
        <w:footnoteRef/>
      </w:r>
      <w:r w:rsidRPr="00C32338">
        <w:rPr>
          <w:sz w:val="15"/>
          <w:szCs w:val="15"/>
        </w:rPr>
        <w:t xml:space="preserve"> </w:t>
      </w:r>
      <w:r w:rsidRPr="00C32338">
        <w:rPr>
          <w:sz w:val="15"/>
          <w:szCs w:val="15"/>
          <w:lang w:val="en-US"/>
        </w:rPr>
        <w:t>Toolkit for Youth on Advocating’ (2018), Outside the Box</w:t>
      </w:r>
      <w:r w:rsidR="008A4C71" w:rsidRPr="00C32338">
        <w:rPr>
          <w:sz w:val="15"/>
          <w:szCs w:val="15"/>
          <w:lang w:val="en-US"/>
        </w:rPr>
        <w:t>:</w:t>
      </w:r>
      <w:r w:rsidRPr="00C32338">
        <w:rPr>
          <w:sz w:val="15"/>
          <w:szCs w:val="15"/>
          <w:lang w:val="en-US"/>
        </w:rPr>
        <w:t xml:space="preserve"> a training manual on gender &amp; masculinities &amp; strategies of engaging men and boys in combating gender discrimination &amp; violence (2018)</w:t>
      </w:r>
      <w:r w:rsidR="008A4C71" w:rsidRPr="00C32338">
        <w:rPr>
          <w:sz w:val="15"/>
          <w:szCs w:val="15"/>
          <w:lang w:val="en-US"/>
        </w:rPr>
        <w:t>.</w:t>
      </w:r>
    </w:p>
  </w:footnote>
  <w:footnote w:id="269">
    <w:p w14:paraId="247E2932"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w:t>
      </w:r>
      <w:r w:rsidRPr="00C32338">
        <w:rPr>
          <w:sz w:val="15"/>
          <w:szCs w:val="15"/>
          <w:lang w:val="en-US"/>
        </w:rPr>
        <w:t xml:space="preserve">KII </w:t>
      </w:r>
      <w:r w:rsidR="0077147E" w:rsidRPr="00C32338">
        <w:rPr>
          <w:sz w:val="15"/>
          <w:szCs w:val="15"/>
          <w:lang w:val="en-US"/>
        </w:rPr>
        <w:t>58</w:t>
      </w:r>
    </w:p>
  </w:footnote>
  <w:footnote w:id="270">
    <w:p w14:paraId="16FF215B"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w:t>
      </w:r>
      <w:r w:rsidRPr="00C32338">
        <w:rPr>
          <w:sz w:val="15"/>
          <w:szCs w:val="15"/>
          <w:lang w:val="en-US"/>
        </w:rPr>
        <w:t>CBO Capacity building survey</w:t>
      </w:r>
      <w:r w:rsidR="008A4C71" w:rsidRPr="00C32338">
        <w:rPr>
          <w:sz w:val="15"/>
          <w:szCs w:val="15"/>
          <w:lang w:val="en-US"/>
        </w:rPr>
        <w:t>.</w:t>
      </w:r>
    </w:p>
  </w:footnote>
  <w:footnote w:id="271">
    <w:p w14:paraId="54AF70C1"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Souks are traditional marketplaces and are often divided into sections for the various trades.</w:t>
      </w:r>
    </w:p>
  </w:footnote>
  <w:footnote w:id="272">
    <w:p w14:paraId="69858E01"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w:t>
      </w:r>
      <w:r w:rsidR="006644C0" w:rsidRPr="00C32338">
        <w:rPr>
          <w:sz w:val="15"/>
          <w:szCs w:val="15"/>
        </w:rPr>
        <w:t>See also Morocco country case study</w:t>
      </w:r>
    </w:p>
  </w:footnote>
  <w:footnote w:id="273">
    <w:p w14:paraId="43A599CD"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w:t>
      </w:r>
      <w:r w:rsidRPr="00C32338">
        <w:rPr>
          <w:sz w:val="15"/>
          <w:szCs w:val="15"/>
          <w:lang w:val="en-US"/>
        </w:rPr>
        <w:t>Proposals of the CBOs of Phase II.</w:t>
      </w:r>
    </w:p>
  </w:footnote>
  <w:footnote w:id="274">
    <w:p w14:paraId="430A145B"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w:t>
      </w:r>
      <w:r w:rsidRPr="00C32338">
        <w:rPr>
          <w:sz w:val="15"/>
          <w:szCs w:val="15"/>
          <w:lang w:val="en-US"/>
        </w:rPr>
        <w:t xml:space="preserve">UN Women (2021) </w:t>
      </w:r>
      <w:r w:rsidRPr="00C32338">
        <w:rPr>
          <w:rFonts w:asciiTheme="minorHAnsi" w:hAnsiTheme="minorHAnsi" w:cstheme="minorHAnsi"/>
          <w:sz w:val="15"/>
          <w:szCs w:val="15"/>
        </w:rPr>
        <w:t xml:space="preserve">Palestine </w:t>
      </w:r>
      <w:r w:rsidR="0043407A" w:rsidRPr="00C32338">
        <w:rPr>
          <w:rFonts w:asciiTheme="minorHAnsi" w:hAnsiTheme="minorHAnsi" w:cstheme="minorHAnsi"/>
          <w:sz w:val="15"/>
          <w:szCs w:val="15"/>
        </w:rPr>
        <w:t>v</w:t>
      </w:r>
      <w:r w:rsidRPr="00C32338">
        <w:rPr>
          <w:rFonts w:asciiTheme="minorHAnsi" w:hAnsiTheme="minorHAnsi" w:cstheme="minorHAnsi"/>
          <w:sz w:val="15"/>
          <w:szCs w:val="15"/>
        </w:rPr>
        <w:t>irtual monitoring report</w:t>
      </w:r>
      <w:r w:rsidR="0043407A" w:rsidRPr="00C32338">
        <w:rPr>
          <w:rFonts w:asciiTheme="minorHAnsi" w:hAnsiTheme="minorHAnsi" w:cstheme="minorHAnsi"/>
          <w:sz w:val="15"/>
          <w:szCs w:val="15"/>
        </w:rPr>
        <w:t>.</w:t>
      </w:r>
    </w:p>
  </w:footnote>
  <w:footnote w:id="275">
    <w:p w14:paraId="74BBBA73" w14:textId="77777777" w:rsidR="00755B65" w:rsidRPr="00755B65" w:rsidRDefault="00755B65">
      <w:pPr>
        <w:pStyle w:val="FootnoteText"/>
        <w:rPr>
          <w:lang w:val="en-US"/>
        </w:rPr>
      </w:pPr>
      <w:r w:rsidRPr="00C32338">
        <w:rPr>
          <w:rStyle w:val="FootnoteReference"/>
          <w:sz w:val="15"/>
          <w:szCs w:val="15"/>
        </w:rPr>
        <w:footnoteRef/>
      </w:r>
      <w:r w:rsidRPr="00C32338">
        <w:rPr>
          <w:sz w:val="15"/>
          <w:szCs w:val="15"/>
        </w:rPr>
        <w:t xml:space="preserve"> </w:t>
      </w:r>
      <w:r w:rsidRPr="00C32338">
        <w:rPr>
          <w:sz w:val="15"/>
          <w:szCs w:val="15"/>
          <w:lang w:val="en-US"/>
        </w:rPr>
        <w:t>KII 3</w:t>
      </w:r>
    </w:p>
  </w:footnote>
  <w:footnote w:id="276">
    <w:p w14:paraId="60ECD459" w14:textId="77777777" w:rsidR="00D31A21" w:rsidRPr="00C32338" w:rsidRDefault="00D31A21">
      <w:pPr>
        <w:pStyle w:val="FootnoteText"/>
        <w:rPr>
          <w:sz w:val="15"/>
          <w:szCs w:val="15"/>
          <w:lang w:val="en-US"/>
        </w:rPr>
      </w:pPr>
      <w:r w:rsidRPr="00C32338">
        <w:rPr>
          <w:rStyle w:val="FootnoteReference"/>
          <w:sz w:val="15"/>
          <w:szCs w:val="15"/>
        </w:rPr>
        <w:footnoteRef/>
      </w:r>
      <w:r w:rsidRPr="00C32338">
        <w:rPr>
          <w:sz w:val="15"/>
          <w:szCs w:val="15"/>
        </w:rPr>
        <w:t xml:space="preserve"> </w:t>
      </w:r>
      <w:r w:rsidRPr="00C32338">
        <w:rPr>
          <w:sz w:val="15"/>
          <w:szCs w:val="15"/>
          <w:lang w:val="en-US"/>
        </w:rPr>
        <w:t>KII 7</w:t>
      </w:r>
    </w:p>
  </w:footnote>
  <w:footnote w:id="277">
    <w:p w14:paraId="789B3CDC"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w:t>
      </w:r>
      <w:r w:rsidRPr="00C32338">
        <w:rPr>
          <w:sz w:val="15"/>
          <w:szCs w:val="15"/>
          <w:lang w:val="en-US"/>
        </w:rPr>
        <w:t>UN Women (2021) Virtual Monitoring Report. p. 15; Lebanon KII 3.</w:t>
      </w:r>
    </w:p>
  </w:footnote>
  <w:footnote w:id="278">
    <w:p w14:paraId="767ABEA7"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w:t>
      </w:r>
      <w:r w:rsidR="00127994" w:rsidRPr="00C32338">
        <w:rPr>
          <w:sz w:val="15"/>
          <w:szCs w:val="15"/>
        </w:rPr>
        <w:t>KII 21</w:t>
      </w:r>
      <w:r w:rsidR="003D6171" w:rsidRPr="00C32338">
        <w:rPr>
          <w:sz w:val="15"/>
          <w:szCs w:val="15"/>
        </w:rPr>
        <w:t>.</w:t>
      </w:r>
    </w:p>
  </w:footnote>
  <w:footnote w:id="279">
    <w:p w14:paraId="5DF0FAE3" w14:textId="77777777" w:rsidR="006F2F6D" w:rsidRPr="00C32338" w:rsidRDefault="006F2F6D" w:rsidP="006F2F6D">
      <w:pPr>
        <w:pStyle w:val="FootnoteText"/>
        <w:rPr>
          <w:sz w:val="15"/>
          <w:szCs w:val="15"/>
          <w:lang w:val="en-US"/>
        </w:rPr>
      </w:pPr>
      <w:r w:rsidRPr="00C32338">
        <w:rPr>
          <w:rStyle w:val="FootnoteReference"/>
          <w:rFonts w:ascii="Times New Roman" w:hAnsi="Times New Roman"/>
          <w:sz w:val="15"/>
          <w:szCs w:val="15"/>
        </w:rPr>
        <w:footnoteRef/>
      </w:r>
      <w:r w:rsidRPr="00C32338">
        <w:rPr>
          <w:sz w:val="15"/>
          <w:szCs w:val="15"/>
        </w:rPr>
        <w:t xml:space="preserve"> </w:t>
      </w:r>
      <w:r w:rsidR="004E178C" w:rsidRPr="00C32338">
        <w:rPr>
          <w:sz w:val="15"/>
          <w:szCs w:val="15"/>
        </w:rPr>
        <w:t>KII 20</w:t>
      </w:r>
      <w:r w:rsidR="003D6171" w:rsidRPr="00C32338">
        <w:rPr>
          <w:sz w:val="15"/>
          <w:szCs w:val="15"/>
        </w:rPr>
        <w:t>.</w:t>
      </w:r>
    </w:p>
  </w:footnote>
  <w:footnote w:id="280">
    <w:p w14:paraId="00D5B7CD"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Human Rights Council, Thirty-fifth session, 6–23 June 2017, Agenda item 3.</w:t>
      </w:r>
      <w:r w:rsidR="00154607" w:rsidRPr="00C32338">
        <w:rPr>
          <w:sz w:val="15"/>
          <w:szCs w:val="15"/>
        </w:rPr>
        <w:t xml:space="preserve"> – International Declaration of Human Rights</w:t>
      </w:r>
    </w:p>
  </w:footnote>
  <w:footnote w:id="281">
    <w:p w14:paraId="21F8E514"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w:t>
      </w:r>
      <w:r w:rsidRPr="00C32338">
        <w:rPr>
          <w:sz w:val="15"/>
          <w:szCs w:val="15"/>
          <w:lang w:val="en-US"/>
        </w:rPr>
        <w:t xml:space="preserve">Mid Term review, 2017; Formative evaluation – final report (2019); majority of partner proposals and quarterly reports across </w:t>
      </w:r>
      <w:r w:rsidR="003D6171" w:rsidRPr="00C32338">
        <w:rPr>
          <w:sz w:val="15"/>
          <w:szCs w:val="15"/>
          <w:lang w:val="en-US"/>
        </w:rPr>
        <w:t>P</w:t>
      </w:r>
      <w:r w:rsidRPr="00C32338">
        <w:rPr>
          <w:sz w:val="15"/>
          <w:szCs w:val="15"/>
          <w:lang w:val="en-US"/>
        </w:rPr>
        <w:t>hase</w:t>
      </w:r>
      <w:r w:rsidR="003D6171" w:rsidRPr="00C32338">
        <w:rPr>
          <w:sz w:val="15"/>
          <w:szCs w:val="15"/>
          <w:lang w:val="en-US"/>
        </w:rPr>
        <w:t>s</w:t>
      </w:r>
      <w:r w:rsidRPr="00C32338">
        <w:rPr>
          <w:sz w:val="15"/>
          <w:szCs w:val="15"/>
          <w:lang w:val="en-US"/>
        </w:rPr>
        <w:t xml:space="preserve"> I and II</w:t>
      </w:r>
      <w:r w:rsidR="003D6171" w:rsidRPr="00C32338">
        <w:rPr>
          <w:sz w:val="15"/>
          <w:szCs w:val="15"/>
          <w:lang w:val="en-US"/>
        </w:rPr>
        <w:t>.</w:t>
      </w:r>
    </w:p>
  </w:footnote>
  <w:footnote w:id="282">
    <w:p w14:paraId="6478ED2E" w14:textId="77777777" w:rsidR="005719C3" w:rsidRPr="005719C3" w:rsidRDefault="005719C3">
      <w:pPr>
        <w:pStyle w:val="FootnoteText"/>
      </w:pPr>
      <w:r w:rsidRPr="00C32338">
        <w:rPr>
          <w:rStyle w:val="FootnoteReference"/>
          <w:sz w:val="15"/>
          <w:szCs w:val="15"/>
        </w:rPr>
        <w:footnoteRef/>
      </w:r>
      <w:r w:rsidRPr="00C32338">
        <w:rPr>
          <w:sz w:val="15"/>
          <w:szCs w:val="15"/>
        </w:rPr>
        <w:t xml:space="preserve"> FGD 4, 5</w:t>
      </w:r>
    </w:p>
  </w:footnote>
  <w:footnote w:id="283">
    <w:p w14:paraId="0E2FFCE8" w14:textId="77777777" w:rsidR="006F2F6D" w:rsidRDefault="006F2F6D" w:rsidP="006F2F6D">
      <w:pPr>
        <w:pStyle w:val="FootnoteText"/>
        <w:rPr>
          <w:rFonts w:cs="Times New Roman"/>
        </w:rPr>
      </w:pPr>
      <w:r w:rsidRPr="0070466C">
        <w:rPr>
          <w:rStyle w:val="FootnoteReference"/>
          <w:sz w:val="16"/>
        </w:rPr>
        <w:footnoteRef/>
      </w:r>
      <w:r>
        <w:t xml:space="preserve"> UN Women, Mid-term Evaluation, MWGE, 2017. p. 14.</w:t>
      </w:r>
    </w:p>
  </w:footnote>
  <w:footnote w:id="284">
    <w:p w14:paraId="6205FD63" w14:textId="77777777" w:rsidR="006F2F6D" w:rsidRPr="00624822" w:rsidRDefault="006F2F6D" w:rsidP="006F2F6D">
      <w:pPr>
        <w:pStyle w:val="FootnoteText"/>
        <w:rPr>
          <w:lang w:val="en-US"/>
        </w:rPr>
      </w:pPr>
      <w:r w:rsidRPr="0070466C">
        <w:rPr>
          <w:rStyle w:val="FootnoteReference"/>
          <w:sz w:val="16"/>
        </w:rPr>
        <w:footnoteRef/>
      </w:r>
      <w:r>
        <w:t xml:space="preserve"> </w:t>
      </w:r>
      <w:r w:rsidR="003D6171">
        <w:t xml:space="preserve">KII </w:t>
      </w:r>
      <w:r w:rsidR="004E178C">
        <w:t>21</w:t>
      </w:r>
    </w:p>
  </w:footnote>
  <w:footnote w:id="285">
    <w:p w14:paraId="1AD6A625" w14:textId="77777777" w:rsidR="005D42E2" w:rsidRPr="007F6DFD" w:rsidRDefault="005D42E2">
      <w:pPr>
        <w:pStyle w:val="FootnoteText"/>
        <w:rPr>
          <w:lang w:val="en-US"/>
        </w:rPr>
      </w:pPr>
      <w:r>
        <w:rPr>
          <w:rStyle w:val="FootnoteReference"/>
        </w:rPr>
        <w:footnoteRef/>
      </w:r>
      <w:r>
        <w:t xml:space="preserve"> </w:t>
      </w:r>
      <w:proofErr w:type="spellStart"/>
      <w:r w:rsidRPr="005D42E2">
        <w:t>Marrar</w:t>
      </w:r>
      <w:proofErr w:type="spellEnd"/>
      <w:r w:rsidRPr="005D42E2">
        <w:t>, S (2019) Community Based Solutions and National Level Grants for Promoting Gender Equality and Engaging Men and Boys</w:t>
      </w:r>
    </w:p>
  </w:footnote>
  <w:footnote w:id="286">
    <w:p w14:paraId="37B0917D"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Annual report 2016</w:t>
      </w:r>
      <w:r w:rsidR="008A4C71" w:rsidRPr="00C32338">
        <w:rPr>
          <w:sz w:val="15"/>
          <w:szCs w:val="15"/>
        </w:rPr>
        <w:t>.</w:t>
      </w:r>
    </w:p>
  </w:footnote>
  <w:footnote w:id="287">
    <w:p w14:paraId="0BCA3D28"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Annual report 2020</w:t>
      </w:r>
      <w:r w:rsidR="00FB2D6A" w:rsidRPr="00C32338">
        <w:rPr>
          <w:sz w:val="15"/>
          <w:szCs w:val="15"/>
        </w:rPr>
        <w:t>.</w:t>
      </w:r>
    </w:p>
  </w:footnote>
  <w:footnote w:id="288">
    <w:p w14:paraId="6898EBB7"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Annual report 2020</w:t>
      </w:r>
      <w:r w:rsidR="00FB2D6A" w:rsidRPr="00C32338">
        <w:rPr>
          <w:sz w:val="15"/>
          <w:szCs w:val="15"/>
        </w:rPr>
        <w:t>.</w:t>
      </w:r>
    </w:p>
  </w:footnote>
  <w:footnote w:id="289">
    <w:p w14:paraId="4D97B08F" w14:textId="77777777" w:rsidR="006F2F6D" w:rsidRPr="00C32338" w:rsidRDefault="006F2F6D" w:rsidP="006F2F6D">
      <w:pPr>
        <w:pStyle w:val="FootnoteText"/>
        <w:rPr>
          <w:sz w:val="15"/>
          <w:szCs w:val="15"/>
        </w:rPr>
      </w:pPr>
      <w:r w:rsidRPr="00C32338">
        <w:rPr>
          <w:rStyle w:val="FootnoteReference"/>
          <w:sz w:val="15"/>
          <w:szCs w:val="15"/>
        </w:rPr>
        <w:footnoteRef/>
      </w:r>
      <w:r w:rsidRPr="00C32338">
        <w:rPr>
          <w:sz w:val="15"/>
          <w:szCs w:val="15"/>
        </w:rPr>
        <w:t xml:space="preserve"> Annual report 2020</w:t>
      </w:r>
      <w:r w:rsidR="00FB2D6A" w:rsidRPr="00C32338">
        <w:rPr>
          <w:sz w:val="15"/>
          <w:szCs w:val="15"/>
        </w:rPr>
        <w:t>.</w:t>
      </w:r>
      <w:r w:rsidRPr="00C32338">
        <w:rPr>
          <w:sz w:val="15"/>
          <w:szCs w:val="15"/>
        </w:rPr>
        <w:t xml:space="preserve"> p.</w:t>
      </w:r>
      <w:r w:rsidR="00FB2D6A" w:rsidRPr="00C32338">
        <w:rPr>
          <w:sz w:val="15"/>
          <w:szCs w:val="15"/>
        </w:rPr>
        <w:t xml:space="preserve"> </w:t>
      </w:r>
      <w:r w:rsidRPr="00C32338">
        <w:rPr>
          <w:sz w:val="15"/>
          <w:szCs w:val="15"/>
        </w:rPr>
        <w:t>5</w:t>
      </w:r>
      <w:r w:rsidR="00FB2D6A" w:rsidRPr="00C32338">
        <w:rPr>
          <w:sz w:val="15"/>
          <w:szCs w:val="15"/>
        </w:rPr>
        <w:t>.</w:t>
      </w:r>
    </w:p>
  </w:footnote>
  <w:footnote w:id="290">
    <w:p w14:paraId="4F5D3910" w14:textId="77777777" w:rsidR="006F2F6D" w:rsidRPr="00C32338" w:rsidRDefault="006F2F6D" w:rsidP="006F2F6D">
      <w:pPr>
        <w:pStyle w:val="FootnoteText"/>
        <w:rPr>
          <w:sz w:val="15"/>
          <w:szCs w:val="15"/>
          <w:lang w:val="en-US"/>
        </w:rPr>
      </w:pPr>
      <w:r w:rsidRPr="00C32338">
        <w:rPr>
          <w:rStyle w:val="FootnoteReference"/>
          <w:sz w:val="15"/>
          <w:szCs w:val="15"/>
        </w:rPr>
        <w:footnoteRef/>
      </w:r>
      <w:r w:rsidRPr="00C32338">
        <w:rPr>
          <w:sz w:val="15"/>
          <w:szCs w:val="15"/>
        </w:rPr>
        <w:t xml:space="preserve"> </w:t>
      </w:r>
      <w:r w:rsidR="000E4272" w:rsidRPr="00C32338">
        <w:rPr>
          <w:sz w:val="15"/>
          <w:szCs w:val="15"/>
        </w:rPr>
        <w:t>See country reports</w:t>
      </w:r>
    </w:p>
  </w:footnote>
  <w:footnote w:id="291">
    <w:p w14:paraId="4662EFDB" w14:textId="77777777" w:rsidR="006F2F6D" w:rsidRPr="00BB4B76" w:rsidRDefault="006F2F6D" w:rsidP="006F2F6D">
      <w:pPr>
        <w:pStyle w:val="FootnoteText"/>
        <w:rPr>
          <w:lang w:val="en-US"/>
        </w:rPr>
      </w:pPr>
      <w:r w:rsidRPr="00C32338">
        <w:rPr>
          <w:rStyle w:val="FootnoteReference"/>
          <w:sz w:val="15"/>
          <w:szCs w:val="15"/>
        </w:rPr>
        <w:footnoteRef/>
      </w:r>
      <w:r w:rsidRPr="00C32338">
        <w:rPr>
          <w:sz w:val="15"/>
          <w:szCs w:val="15"/>
        </w:rPr>
        <w:t xml:space="preserve"> UN Women (2022) Quantitative Evaluation of Community-Based Interventions in Egypt, Lebanon, Morocco, and Palestine</w:t>
      </w:r>
      <w:r w:rsidR="00FB2D6A" w:rsidRPr="00C32338">
        <w:rPr>
          <w:sz w:val="15"/>
          <w:szCs w:val="15"/>
        </w:rPr>
        <w:t>.</w:t>
      </w:r>
    </w:p>
  </w:footnote>
  <w:footnote w:id="292">
    <w:p w14:paraId="5C98849E" w14:textId="77777777" w:rsidR="006F2F6D" w:rsidRPr="009342DB" w:rsidRDefault="006F2F6D" w:rsidP="006F2F6D">
      <w:pPr>
        <w:pStyle w:val="FootnoteText"/>
        <w:rPr>
          <w:lang w:val="en-US"/>
        </w:rPr>
      </w:pPr>
      <w:r w:rsidRPr="0070466C">
        <w:rPr>
          <w:rStyle w:val="FootnoteReference"/>
          <w:sz w:val="16"/>
        </w:rPr>
        <w:footnoteRef/>
      </w:r>
      <w:r>
        <w:t xml:space="preserve"> </w:t>
      </w:r>
      <w:r w:rsidR="000E4272">
        <w:t xml:space="preserve">KII 3, KII 33, KII 39, </w:t>
      </w:r>
      <w:r>
        <w:rPr>
          <w:lang w:val="en-US"/>
        </w:rPr>
        <w:t>KII</w:t>
      </w:r>
      <w:r w:rsidR="000E4272">
        <w:rPr>
          <w:lang w:val="en-US"/>
        </w:rPr>
        <w:t xml:space="preserve"> 57KII 100</w:t>
      </w:r>
      <w:r w:rsidR="00227852">
        <w:rPr>
          <w:lang w:val="en-US"/>
        </w:rPr>
        <w:t>.</w:t>
      </w:r>
    </w:p>
  </w:footnote>
  <w:footnote w:id="293">
    <w:p w14:paraId="622475FE" w14:textId="77777777" w:rsidR="006F2F6D" w:rsidRPr="003D37B6" w:rsidRDefault="006F2F6D" w:rsidP="006F2F6D">
      <w:pPr>
        <w:pStyle w:val="FootnoteText"/>
      </w:pPr>
      <w:r w:rsidRPr="003D37B6">
        <w:rPr>
          <w:rStyle w:val="FootnoteReference"/>
          <w:sz w:val="16"/>
          <w:szCs w:val="16"/>
        </w:rPr>
        <w:footnoteRef/>
      </w:r>
      <w:r w:rsidRPr="003D37B6">
        <w:t xml:space="preserve"> The Palestine programme is part of a country-level community of practice on engaging men alongside other UN agencies and international organisations</w:t>
      </w:r>
      <w:r w:rsidR="003D2C96">
        <w:t>; it was f</w:t>
      </w:r>
      <w:r w:rsidRPr="003D37B6">
        <w:t>ormed in 2021. The Tunisia country programme takes part in the UN gender thematic group and a donor group. In Lebanon, the programme takes part in the national feminist forum formed following the Beirut blast in 2020.</w:t>
      </w:r>
    </w:p>
  </w:footnote>
  <w:footnote w:id="294">
    <w:p w14:paraId="2BCF6DE3" w14:textId="77777777" w:rsidR="006F2F6D" w:rsidRDefault="006F2F6D" w:rsidP="006F2F6D">
      <w:pPr>
        <w:pStyle w:val="FootnoteText"/>
      </w:pPr>
      <w:r w:rsidRPr="003D37B6">
        <w:rPr>
          <w:rStyle w:val="FootnoteReference"/>
          <w:sz w:val="16"/>
          <w:szCs w:val="16"/>
        </w:rPr>
        <w:footnoteRef/>
      </w:r>
      <w:r w:rsidRPr="003D37B6">
        <w:t xml:space="preserve"> The programme was hosted in Indonesia Rutgers WPF and South Africa by </w:t>
      </w:r>
      <w:proofErr w:type="spellStart"/>
      <w:r w:rsidRPr="003D37B6">
        <w:t>Sonke</w:t>
      </w:r>
      <w:proofErr w:type="spellEnd"/>
      <w:r w:rsidRPr="003D37B6">
        <w:t xml:space="preserve"> Gender Justice who shared their programme experiences</w:t>
      </w:r>
      <w:r w:rsidR="003D2C96">
        <w:t>. UN Women</w:t>
      </w:r>
      <w:r w:rsidRPr="003D37B6">
        <w:t xml:space="preserve"> (2019) Final report</w:t>
      </w:r>
      <w:r w:rsidR="003D2C96">
        <w:t>.</w:t>
      </w:r>
    </w:p>
  </w:footnote>
  <w:footnote w:id="295">
    <w:p w14:paraId="4FB7646C"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w:t>
      </w:r>
      <w:r w:rsidR="0022572D" w:rsidRPr="00E65EAA">
        <w:rPr>
          <w:sz w:val="15"/>
          <w:szCs w:val="15"/>
        </w:rPr>
        <w:t>KII 56</w:t>
      </w:r>
    </w:p>
  </w:footnote>
  <w:footnote w:id="296">
    <w:p w14:paraId="49945D99"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w:t>
      </w:r>
      <w:r w:rsidR="00D9117F" w:rsidRPr="00E65EAA">
        <w:rPr>
          <w:sz w:val="15"/>
          <w:szCs w:val="15"/>
        </w:rPr>
        <w:t xml:space="preserve">KII 56, </w:t>
      </w:r>
      <w:r w:rsidRPr="00E65EAA">
        <w:rPr>
          <w:sz w:val="15"/>
          <w:szCs w:val="15"/>
        </w:rPr>
        <w:t xml:space="preserve">KII </w:t>
      </w:r>
      <w:r w:rsidR="00D9117F" w:rsidRPr="00E65EAA">
        <w:rPr>
          <w:sz w:val="15"/>
          <w:szCs w:val="15"/>
        </w:rPr>
        <w:t>57</w:t>
      </w:r>
      <w:proofErr w:type="gramStart"/>
      <w:r w:rsidR="00D9117F" w:rsidRPr="00E65EAA">
        <w:rPr>
          <w:sz w:val="15"/>
          <w:szCs w:val="15"/>
        </w:rPr>
        <w:t xml:space="preserve">, </w:t>
      </w:r>
      <w:r w:rsidR="00C116BB" w:rsidRPr="00E65EAA">
        <w:rPr>
          <w:sz w:val="15"/>
          <w:szCs w:val="15"/>
        </w:rPr>
        <w:t>.</w:t>
      </w:r>
      <w:proofErr w:type="gramEnd"/>
    </w:p>
  </w:footnote>
  <w:footnote w:id="297">
    <w:p w14:paraId="5BD792AB"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KII </w:t>
      </w:r>
      <w:r w:rsidR="0022572D" w:rsidRPr="00E65EAA">
        <w:rPr>
          <w:sz w:val="15"/>
          <w:szCs w:val="15"/>
        </w:rPr>
        <w:t>55</w:t>
      </w:r>
      <w:r w:rsidR="00C116BB" w:rsidRPr="00E65EAA">
        <w:rPr>
          <w:sz w:val="15"/>
          <w:szCs w:val="15"/>
        </w:rPr>
        <w:t>.</w:t>
      </w:r>
    </w:p>
  </w:footnote>
  <w:footnote w:id="298">
    <w:p w14:paraId="78228D06"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Jordan emerging findings presentation discussion 9</w:t>
      </w:r>
      <w:r w:rsidR="00C116BB" w:rsidRPr="00E65EAA">
        <w:rPr>
          <w:sz w:val="15"/>
          <w:szCs w:val="15"/>
        </w:rPr>
        <w:t xml:space="preserve"> February </w:t>
      </w:r>
      <w:r w:rsidRPr="00E65EAA">
        <w:rPr>
          <w:sz w:val="15"/>
          <w:szCs w:val="15"/>
        </w:rPr>
        <w:t>2022</w:t>
      </w:r>
      <w:r w:rsidR="00C116BB" w:rsidRPr="00E65EAA">
        <w:rPr>
          <w:sz w:val="15"/>
          <w:szCs w:val="15"/>
        </w:rPr>
        <w:t>.</w:t>
      </w:r>
    </w:p>
  </w:footnote>
  <w:footnote w:id="299">
    <w:p w14:paraId="60891664" w14:textId="77777777" w:rsidR="4977AA67" w:rsidRDefault="4977AA67" w:rsidP="4977AA67">
      <w:pPr>
        <w:pStyle w:val="FootnoteText"/>
        <w:rPr>
          <w:lang w:val="en-US"/>
        </w:rPr>
      </w:pPr>
      <w:r w:rsidRPr="00E65EAA">
        <w:rPr>
          <w:rStyle w:val="FootnoteReference"/>
          <w:sz w:val="15"/>
          <w:szCs w:val="15"/>
        </w:rPr>
        <w:footnoteRef/>
      </w:r>
      <w:r w:rsidRPr="00E65EAA">
        <w:rPr>
          <w:sz w:val="15"/>
          <w:szCs w:val="15"/>
        </w:rPr>
        <w:t xml:space="preserve"> </w:t>
      </w:r>
      <w:r w:rsidRPr="00E65EAA">
        <w:rPr>
          <w:sz w:val="15"/>
          <w:szCs w:val="15"/>
          <w:lang w:val="en-US"/>
        </w:rPr>
        <w:t>KII 56, KII 57</w:t>
      </w:r>
    </w:p>
  </w:footnote>
  <w:footnote w:id="300">
    <w:p w14:paraId="062CD3DF" w14:textId="77777777" w:rsidR="006F2F6D" w:rsidRPr="00E65EAA" w:rsidRDefault="006F2F6D" w:rsidP="00C116BB">
      <w:pPr>
        <w:pStyle w:val="FootnoteText"/>
        <w:rPr>
          <w:sz w:val="15"/>
          <w:szCs w:val="15"/>
        </w:rPr>
      </w:pPr>
      <w:r w:rsidRPr="00E65EAA">
        <w:rPr>
          <w:rStyle w:val="FootnoteReference"/>
          <w:sz w:val="15"/>
          <w:szCs w:val="15"/>
        </w:rPr>
        <w:footnoteRef/>
      </w:r>
      <w:r w:rsidRPr="00E65EAA">
        <w:rPr>
          <w:sz w:val="15"/>
          <w:szCs w:val="15"/>
        </w:rPr>
        <w:t xml:space="preserve"> Two </w:t>
      </w:r>
      <w:r w:rsidR="00C116BB" w:rsidRPr="00E65EAA">
        <w:rPr>
          <w:sz w:val="15"/>
          <w:szCs w:val="15"/>
        </w:rPr>
        <w:t>S</w:t>
      </w:r>
      <w:r w:rsidRPr="00E65EAA">
        <w:rPr>
          <w:sz w:val="15"/>
          <w:szCs w:val="15"/>
        </w:rPr>
        <w:t>outh</w:t>
      </w:r>
      <w:r w:rsidR="00C116BB" w:rsidRPr="00E65EAA">
        <w:rPr>
          <w:sz w:val="15"/>
          <w:szCs w:val="15"/>
        </w:rPr>
        <w:t>–S</w:t>
      </w:r>
      <w:r w:rsidRPr="00E65EAA">
        <w:rPr>
          <w:sz w:val="15"/>
          <w:szCs w:val="15"/>
        </w:rPr>
        <w:t>outh exchange events were held in Phase I, one in Indonesia (March 2018) and one in South Africa</w:t>
      </w:r>
      <w:r w:rsidR="00C116BB" w:rsidRPr="00E65EAA">
        <w:rPr>
          <w:sz w:val="15"/>
          <w:szCs w:val="15"/>
        </w:rPr>
        <w:t>,</w:t>
      </w:r>
      <w:r w:rsidRPr="00E65EAA">
        <w:rPr>
          <w:sz w:val="15"/>
          <w:szCs w:val="15"/>
        </w:rPr>
        <w:t xml:space="preserve"> involving NGO</w:t>
      </w:r>
      <w:r w:rsidR="00C116BB" w:rsidRPr="00E65EAA">
        <w:rPr>
          <w:sz w:val="15"/>
          <w:szCs w:val="15"/>
        </w:rPr>
        <w:t>s</w:t>
      </w:r>
      <w:r w:rsidRPr="00E65EAA">
        <w:rPr>
          <w:sz w:val="15"/>
          <w:szCs w:val="15"/>
        </w:rPr>
        <w:t xml:space="preserve"> and CBOs implementing the programme and representative NGOs from the host country </w:t>
      </w:r>
      <w:r w:rsidR="00C116BB" w:rsidRPr="00E65EAA">
        <w:rPr>
          <w:sz w:val="15"/>
          <w:szCs w:val="15"/>
        </w:rPr>
        <w:t>–</w:t>
      </w:r>
      <w:r w:rsidRPr="00E65EAA">
        <w:rPr>
          <w:sz w:val="15"/>
          <w:szCs w:val="15"/>
        </w:rPr>
        <w:t xml:space="preserve"> Rutgers WPF </w:t>
      </w:r>
      <w:r w:rsidR="00C116BB" w:rsidRPr="00E65EAA">
        <w:rPr>
          <w:sz w:val="15"/>
          <w:szCs w:val="15"/>
        </w:rPr>
        <w:t xml:space="preserve">for Indonesia </w:t>
      </w:r>
      <w:r w:rsidRPr="00E65EAA">
        <w:rPr>
          <w:sz w:val="15"/>
          <w:szCs w:val="15"/>
        </w:rPr>
        <w:t xml:space="preserve">and </w:t>
      </w:r>
      <w:proofErr w:type="spellStart"/>
      <w:r w:rsidRPr="00E65EAA">
        <w:rPr>
          <w:sz w:val="15"/>
          <w:szCs w:val="15"/>
        </w:rPr>
        <w:t>Sonke</w:t>
      </w:r>
      <w:proofErr w:type="spellEnd"/>
      <w:r w:rsidRPr="00E65EAA">
        <w:rPr>
          <w:sz w:val="15"/>
          <w:szCs w:val="15"/>
        </w:rPr>
        <w:t xml:space="preserve"> Gender Justice </w:t>
      </w:r>
      <w:r w:rsidR="00C116BB" w:rsidRPr="00E65EAA">
        <w:rPr>
          <w:sz w:val="15"/>
          <w:szCs w:val="15"/>
        </w:rPr>
        <w:t xml:space="preserve">for South Africa. </w:t>
      </w:r>
      <w:r w:rsidRPr="00E65EAA">
        <w:rPr>
          <w:sz w:val="15"/>
          <w:szCs w:val="15"/>
        </w:rPr>
        <w:t>UN</w:t>
      </w:r>
      <w:r w:rsidR="00C116BB" w:rsidRPr="00E65EAA">
        <w:rPr>
          <w:sz w:val="15"/>
          <w:szCs w:val="15"/>
        </w:rPr>
        <w:t xml:space="preserve"> </w:t>
      </w:r>
      <w:r w:rsidRPr="00E65EAA">
        <w:rPr>
          <w:sz w:val="15"/>
          <w:szCs w:val="15"/>
        </w:rPr>
        <w:t>W</w:t>
      </w:r>
      <w:r w:rsidR="00C116BB" w:rsidRPr="00E65EAA">
        <w:rPr>
          <w:sz w:val="15"/>
          <w:szCs w:val="15"/>
        </w:rPr>
        <w:t>omen</w:t>
      </w:r>
      <w:r w:rsidRPr="00E65EAA">
        <w:rPr>
          <w:sz w:val="15"/>
          <w:szCs w:val="15"/>
        </w:rPr>
        <w:t xml:space="preserve"> (2019) Final report</w:t>
      </w:r>
      <w:r w:rsidR="00C116BB" w:rsidRPr="00E65EAA">
        <w:rPr>
          <w:sz w:val="15"/>
          <w:szCs w:val="15"/>
        </w:rPr>
        <w:t>.</w:t>
      </w:r>
    </w:p>
  </w:footnote>
  <w:footnote w:id="301">
    <w:p w14:paraId="00C8C7D0"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UN</w:t>
      </w:r>
      <w:r w:rsidR="00AB68AB" w:rsidRPr="00E65EAA">
        <w:rPr>
          <w:sz w:val="15"/>
          <w:szCs w:val="15"/>
        </w:rPr>
        <w:t xml:space="preserve"> </w:t>
      </w:r>
      <w:r w:rsidRPr="00E65EAA">
        <w:rPr>
          <w:sz w:val="15"/>
          <w:szCs w:val="15"/>
        </w:rPr>
        <w:t>Women (2020) Final narrative report 2015-2019</w:t>
      </w:r>
      <w:r w:rsidR="008A4C71" w:rsidRPr="00E65EAA">
        <w:rPr>
          <w:sz w:val="15"/>
          <w:szCs w:val="15"/>
        </w:rPr>
        <w:t>.</w:t>
      </w:r>
      <w:r w:rsidRPr="00E65EAA">
        <w:rPr>
          <w:sz w:val="15"/>
          <w:szCs w:val="15"/>
        </w:rPr>
        <w:t xml:space="preserve"> p. 16</w:t>
      </w:r>
      <w:r w:rsidR="00AB68AB" w:rsidRPr="00E65EAA">
        <w:rPr>
          <w:sz w:val="15"/>
          <w:szCs w:val="15"/>
        </w:rPr>
        <w:t>.</w:t>
      </w:r>
    </w:p>
  </w:footnote>
  <w:footnote w:id="302">
    <w:p w14:paraId="31A63A13" w14:textId="77777777" w:rsidR="00DC3C76" w:rsidRPr="00E65EAA" w:rsidRDefault="00DC3C76">
      <w:pPr>
        <w:pStyle w:val="FootnoteText"/>
        <w:rPr>
          <w:sz w:val="15"/>
          <w:szCs w:val="15"/>
          <w:lang w:val="en-US"/>
        </w:rPr>
      </w:pPr>
      <w:r w:rsidRPr="00E65EAA">
        <w:rPr>
          <w:rStyle w:val="FootnoteReference"/>
          <w:sz w:val="15"/>
          <w:szCs w:val="15"/>
        </w:rPr>
        <w:footnoteRef/>
      </w:r>
      <w:r w:rsidRPr="00E65EAA">
        <w:rPr>
          <w:sz w:val="15"/>
          <w:szCs w:val="15"/>
        </w:rPr>
        <w:t xml:space="preserve"> </w:t>
      </w:r>
      <w:r w:rsidRPr="00E65EAA">
        <w:rPr>
          <w:sz w:val="15"/>
          <w:szCs w:val="15"/>
          <w:lang w:val="en-US"/>
        </w:rPr>
        <w:t xml:space="preserve">See also Egypt, </w:t>
      </w:r>
      <w:proofErr w:type="gramStart"/>
      <w:r w:rsidRPr="00E65EAA">
        <w:rPr>
          <w:sz w:val="15"/>
          <w:szCs w:val="15"/>
          <w:lang w:val="en-US"/>
        </w:rPr>
        <w:t>Lebanon</w:t>
      </w:r>
      <w:proofErr w:type="gramEnd"/>
      <w:r w:rsidRPr="00E65EAA">
        <w:rPr>
          <w:sz w:val="15"/>
          <w:szCs w:val="15"/>
          <w:lang w:val="en-US"/>
        </w:rPr>
        <w:t xml:space="preserve"> and Palestine country case studies</w:t>
      </w:r>
    </w:p>
  </w:footnote>
  <w:footnote w:id="303">
    <w:p w14:paraId="510EB7A1" w14:textId="77777777" w:rsidR="00BA0D64" w:rsidRPr="00E65EAA" w:rsidRDefault="00BA0D64">
      <w:pPr>
        <w:pStyle w:val="FootnoteText"/>
        <w:rPr>
          <w:sz w:val="15"/>
          <w:szCs w:val="15"/>
          <w:lang w:val="en-US"/>
        </w:rPr>
      </w:pPr>
      <w:r w:rsidRPr="00E65EAA">
        <w:rPr>
          <w:rStyle w:val="FootnoteReference"/>
          <w:sz w:val="15"/>
          <w:szCs w:val="15"/>
        </w:rPr>
        <w:footnoteRef/>
      </w:r>
      <w:r w:rsidRPr="00E65EAA">
        <w:rPr>
          <w:sz w:val="15"/>
          <w:szCs w:val="15"/>
        </w:rPr>
        <w:t xml:space="preserve"> Such as HeForShe webinars, </w:t>
      </w:r>
      <w:proofErr w:type="spellStart"/>
      <w:r w:rsidRPr="00E65EAA">
        <w:rPr>
          <w:sz w:val="15"/>
          <w:szCs w:val="15"/>
        </w:rPr>
        <w:t>MenEngage</w:t>
      </w:r>
      <w:proofErr w:type="spellEnd"/>
      <w:r w:rsidRPr="00E65EAA">
        <w:rPr>
          <w:sz w:val="15"/>
          <w:szCs w:val="15"/>
        </w:rPr>
        <w:t xml:space="preserve"> symposium 2020 in Rwanda (KII with UN Women) and s</w:t>
      </w:r>
      <w:r w:rsidRPr="00E65EAA">
        <w:rPr>
          <w:rStyle w:val="normaltextrun"/>
          <w:rFonts w:cs="Calibri"/>
          <w:color w:val="000000"/>
          <w:sz w:val="15"/>
          <w:szCs w:val="15"/>
          <w:shd w:val="clear" w:color="auto" w:fill="FFFFFF"/>
        </w:rPr>
        <w:t xml:space="preserve">ome regional events focused on youth engagement for GEWE. </w:t>
      </w:r>
      <w:proofErr w:type="spellStart"/>
      <w:r w:rsidRPr="00E65EAA">
        <w:rPr>
          <w:sz w:val="15"/>
          <w:szCs w:val="15"/>
        </w:rPr>
        <w:t>Abualsameed</w:t>
      </w:r>
      <w:proofErr w:type="spellEnd"/>
      <w:r w:rsidRPr="00E65EAA">
        <w:rPr>
          <w:sz w:val="15"/>
          <w:szCs w:val="15"/>
        </w:rPr>
        <w:t xml:space="preserve"> (2021) </w:t>
      </w:r>
      <w:r w:rsidR="004D095B" w:rsidRPr="00E65EAA">
        <w:rPr>
          <w:sz w:val="15"/>
          <w:szCs w:val="15"/>
        </w:rPr>
        <w:t xml:space="preserve">UN WOMEN </w:t>
      </w:r>
      <w:r w:rsidRPr="00E65EAA">
        <w:rPr>
          <w:sz w:val="15"/>
          <w:szCs w:val="15"/>
        </w:rPr>
        <w:t>regional review engaging males in Arab states. p. 10.</w:t>
      </w:r>
    </w:p>
  </w:footnote>
  <w:footnote w:id="304">
    <w:p w14:paraId="3CA780D4"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KII</w:t>
      </w:r>
      <w:r w:rsidR="00AB68AB" w:rsidRPr="00E65EAA">
        <w:rPr>
          <w:sz w:val="15"/>
          <w:szCs w:val="15"/>
        </w:rPr>
        <w:t xml:space="preserve"> </w:t>
      </w:r>
      <w:r w:rsidR="00F031EE" w:rsidRPr="00E65EAA">
        <w:rPr>
          <w:sz w:val="15"/>
          <w:szCs w:val="15"/>
        </w:rPr>
        <w:t>20</w:t>
      </w:r>
      <w:r w:rsidR="00AB68AB" w:rsidRPr="00E65EAA">
        <w:rPr>
          <w:sz w:val="15"/>
          <w:szCs w:val="15"/>
        </w:rPr>
        <w:t>.</w:t>
      </w:r>
    </w:p>
  </w:footnote>
  <w:footnote w:id="305">
    <w:p w14:paraId="01062561"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KII</w:t>
      </w:r>
      <w:r w:rsidR="00F031EE" w:rsidRPr="00E65EAA">
        <w:rPr>
          <w:sz w:val="15"/>
          <w:szCs w:val="15"/>
        </w:rPr>
        <w:t xml:space="preserve"> 20</w:t>
      </w:r>
      <w:r w:rsidR="00AB68AB" w:rsidRPr="00E65EAA">
        <w:rPr>
          <w:sz w:val="15"/>
          <w:szCs w:val="15"/>
        </w:rPr>
        <w:t>.</w:t>
      </w:r>
    </w:p>
  </w:footnote>
  <w:footnote w:id="306">
    <w:p w14:paraId="63D49DFA" w14:textId="77777777" w:rsidR="006F2F6D" w:rsidRPr="00C32338"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w:t>
      </w:r>
      <w:proofErr w:type="spellStart"/>
      <w:r w:rsidRPr="00E65EAA">
        <w:rPr>
          <w:sz w:val="15"/>
          <w:szCs w:val="15"/>
        </w:rPr>
        <w:t>Tarazi</w:t>
      </w:r>
      <w:proofErr w:type="spellEnd"/>
      <w:r w:rsidRPr="00E65EAA">
        <w:rPr>
          <w:sz w:val="15"/>
          <w:szCs w:val="15"/>
        </w:rPr>
        <w:t>, R (2017) Men and Women for Gender Equality, Mid-Term Review Report</w:t>
      </w:r>
      <w:r w:rsidR="00AB68AB" w:rsidRPr="00E65EAA">
        <w:rPr>
          <w:sz w:val="15"/>
          <w:szCs w:val="15"/>
        </w:rPr>
        <w:t>.</w:t>
      </w:r>
    </w:p>
  </w:footnote>
  <w:footnote w:id="307">
    <w:p w14:paraId="6EBD724F"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w:t>
      </w:r>
      <w:proofErr w:type="spellStart"/>
      <w:r w:rsidRPr="00E65EAA">
        <w:rPr>
          <w:sz w:val="15"/>
          <w:szCs w:val="15"/>
        </w:rPr>
        <w:t>Marrar</w:t>
      </w:r>
      <w:proofErr w:type="spellEnd"/>
      <w:r w:rsidRPr="00E65EAA">
        <w:rPr>
          <w:sz w:val="15"/>
          <w:szCs w:val="15"/>
        </w:rPr>
        <w:t>, S (2019) Community Based Solutions and National Level Grants for Promoting Gender Equality and Engaging Men and Boys</w:t>
      </w:r>
      <w:r w:rsidR="00AB68AB" w:rsidRPr="00E65EAA">
        <w:rPr>
          <w:sz w:val="15"/>
          <w:szCs w:val="15"/>
        </w:rPr>
        <w:t>.</w:t>
      </w:r>
    </w:p>
  </w:footnote>
  <w:footnote w:id="308">
    <w:p w14:paraId="74D73AFB"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w:t>
      </w:r>
      <w:proofErr w:type="spellStart"/>
      <w:r w:rsidRPr="00E65EAA">
        <w:rPr>
          <w:sz w:val="15"/>
          <w:szCs w:val="15"/>
        </w:rPr>
        <w:t>Abualsameed</w:t>
      </w:r>
      <w:proofErr w:type="spellEnd"/>
      <w:r w:rsidRPr="00E65EAA">
        <w:rPr>
          <w:sz w:val="15"/>
          <w:szCs w:val="15"/>
        </w:rPr>
        <w:t xml:space="preserve"> (2021) </w:t>
      </w:r>
      <w:r w:rsidR="004D095B" w:rsidRPr="00E65EAA">
        <w:rPr>
          <w:sz w:val="15"/>
          <w:szCs w:val="15"/>
        </w:rPr>
        <w:t xml:space="preserve">UN WOMEN </w:t>
      </w:r>
      <w:r w:rsidRPr="00E65EAA">
        <w:rPr>
          <w:sz w:val="15"/>
          <w:szCs w:val="15"/>
        </w:rPr>
        <w:t>regional review engaging males in Arab states</w:t>
      </w:r>
      <w:r w:rsidR="00AB68AB" w:rsidRPr="00E65EAA">
        <w:rPr>
          <w:sz w:val="15"/>
          <w:szCs w:val="15"/>
        </w:rPr>
        <w:t>.</w:t>
      </w:r>
    </w:p>
  </w:footnote>
  <w:footnote w:id="309">
    <w:p w14:paraId="7FFE99CE"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28 CSOs and one labo</w:t>
      </w:r>
      <w:r w:rsidR="001D3C9F" w:rsidRPr="00E65EAA">
        <w:rPr>
          <w:sz w:val="15"/>
          <w:szCs w:val="15"/>
        </w:rPr>
        <w:t>u</w:t>
      </w:r>
      <w:r w:rsidRPr="00E65EAA">
        <w:rPr>
          <w:sz w:val="15"/>
          <w:szCs w:val="15"/>
        </w:rPr>
        <w:t>r union in Palestine establishing by-laws on paternity leave for their male employees</w:t>
      </w:r>
      <w:r w:rsidR="001D3C9F" w:rsidRPr="00E65EAA">
        <w:rPr>
          <w:sz w:val="15"/>
          <w:szCs w:val="15"/>
        </w:rPr>
        <w:t>.</w:t>
      </w:r>
      <w:r w:rsidRPr="00E65EAA">
        <w:rPr>
          <w:sz w:val="15"/>
          <w:szCs w:val="15"/>
        </w:rPr>
        <w:t xml:space="preserve"> </w:t>
      </w:r>
      <w:proofErr w:type="spellStart"/>
      <w:r w:rsidRPr="00E65EAA">
        <w:rPr>
          <w:sz w:val="15"/>
          <w:szCs w:val="15"/>
        </w:rPr>
        <w:t>Abualsameed</w:t>
      </w:r>
      <w:proofErr w:type="spellEnd"/>
      <w:r w:rsidRPr="00E65EAA">
        <w:rPr>
          <w:sz w:val="15"/>
          <w:szCs w:val="15"/>
        </w:rPr>
        <w:t xml:space="preserve"> (2021) </w:t>
      </w:r>
      <w:r w:rsidR="004D095B" w:rsidRPr="00E65EAA">
        <w:rPr>
          <w:sz w:val="15"/>
          <w:szCs w:val="15"/>
        </w:rPr>
        <w:t xml:space="preserve">UN WOMEN </w:t>
      </w:r>
      <w:r w:rsidRPr="00E65EAA">
        <w:rPr>
          <w:sz w:val="15"/>
          <w:szCs w:val="15"/>
        </w:rPr>
        <w:t>regional review engaging males in Arab states</w:t>
      </w:r>
      <w:r w:rsidR="001D3C9F" w:rsidRPr="00E65EAA">
        <w:rPr>
          <w:sz w:val="15"/>
          <w:szCs w:val="15"/>
        </w:rPr>
        <w:t>.</w:t>
      </w:r>
      <w:r w:rsidRPr="00E65EAA">
        <w:rPr>
          <w:sz w:val="15"/>
          <w:szCs w:val="15"/>
        </w:rPr>
        <w:t xml:space="preserve"> p. 21</w:t>
      </w:r>
      <w:r w:rsidR="001D3C9F" w:rsidRPr="00E65EAA">
        <w:rPr>
          <w:sz w:val="15"/>
          <w:szCs w:val="15"/>
        </w:rPr>
        <w:t>.</w:t>
      </w:r>
    </w:p>
  </w:footnote>
  <w:footnote w:id="310">
    <w:p w14:paraId="655F5FF5" w14:textId="77777777" w:rsidR="006F2F6D" w:rsidRDefault="006F2F6D" w:rsidP="006F2F6D">
      <w:pPr>
        <w:pStyle w:val="FootnoteText"/>
      </w:pPr>
      <w:r w:rsidRPr="00E65EAA">
        <w:rPr>
          <w:sz w:val="15"/>
          <w:szCs w:val="15"/>
        </w:rPr>
        <w:footnoteRef/>
      </w:r>
      <w:r w:rsidRPr="00E65EAA">
        <w:rPr>
          <w:sz w:val="15"/>
          <w:szCs w:val="15"/>
        </w:rPr>
        <w:t xml:space="preserve"> The programme succeeded </w:t>
      </w:r>
      <w:r w:rsidR="001D3C9F" w:rsidRPr="00E65EAA">
        <w:rPr>
          <w:sz w:val="15"/>
          <w:szCs w:val="15"/>
        </w:rPr>
        <w:t>in</w:t>
      </w:r>
      <w:r w:rsidRPr="00E65EAA">
        <w:rPr>
          <w:sz w:val="15"/>
          <w:szCs w:val="15"/>
        </w:rPr>
        <w:t xml:space="preserve"> link</w:t>
      </w:r>
      <w:r w:rsidR="001D3C9F" w:rsidRPr="00E65EAA">
        <w:rPr>
          <w:sz w:val="15"/>
          <w:szCs w:val="15"/>
        </w:rPr>
        <w:t>ing</w:t>
      </w:r>
      <w:r w:rsidRPr="00E65EAA">
        <w:rPr>
          <w:sz w:val="15"/>
          <w:szCs w:val="15"/>
        </w:rPr>
        <w:t xml:space="preserve"> the CBO interventions with national</w:t>
      </w:r>
      <w:r w:rsidR="001D3C9F" w:rsidRPr="00E65EAA">
        <w:rPr>
          <w:sz w:val="15"/>
          <w:szCs w:val="15"/>
        </w:rPr>
        <w:t>-</w:t>
      </w:r>
      <w:r w:rsidRPr="00E65EAA">
        <w:rPr>
          <w:sz w:val="15"/>
          <w:szCs w:val="15"/>
        </w:rPr>
        <w:t>level advocacy and dialogue around legislation for gender equality issues</w:t>
      </w:r>
      <w:r w:rsidR="001D3C9F" w:rsidRPr="00E65EAA">
        <w:rPr>
          <w:sz w:val="15"/>
          <w:szCs w:val="15"/>
        </w:rPr>
        <w:t>.</w:t>
      </w:r>
      <w:r w:rsidRPr="00E65EAA">
        <w:rPr>
          <w:sz w:val="15"/>
          <w:szCs w:val="15"/>
        </w:rPr>
        <w:t xml:space="preserve"> KII</w:t>
      </w:r>
      <w:r w:rsidR="001D3C9F" w:rsidRPr="00E65EAA">
        <w:rPr>
          <w:sz w:val="15"/>
          <w:szCs w:val="15"/>
        </w:rPr>
        <w:t xml:space="preserve"> </w:t>
      </w:r>
      <w:r w:rsidR="00AE3135" w:rsidRPr="00E65EAA">
        <w:rPr>
          <w:sz w:val="15"/>
          <w:szCs w:val="15"/>
        </w:rPr>
        <w:t>56, KII 58</w:t>
      </w:r>
      <w:r w:rsidR="001D3C9F" w:rsidRPr="00E65EAA">
        <w:rPr>
          <w:sz w:val="15"/>
          <w:szCs w:val="15"/>
        </w:rPr>
        <w:t>;</w:t>
      </w:r>
      <w:r w:rsidRPr="00E65EAA">
        <w:rPr>
          <w:sz w:val="15"/>
          <w:szCs w:val="15"/>
        </w:rPr>
        <w:t xml:space="preserve"> </w:t>
      </w:r>
      <w:proofErr w:type="spellStart"/>
      <w:r w:rsidRPr="00E65EAA">
        <w:rPr>
          <w:sz w:val="15"/>
          <w:szCs w:val="15"/>
        </w:rPr>
        <w:t>Abualsameed</w:t>
      </w:r>
      <w:proofErr w:type="spellEnd"/>
      <w:r w:rsidRPr="00E65EAA">
        <w:rPr>
          <w:sz w:val="15"/>
          <w:szCs w:val="15"/>
        </w:rPr>
        <w:t xml:space="preserve"> (2021) </w:t>
      </w:r>
      <w:r w:rsidR="004D095B" w:rsidRPr="00E65EAA">
        <w:rPr>
          <w:sz w:val="15"/>
          <w:szCs w:val="15"/>
        </w:rPr>
        <w:t xml:space="preserve">UN WOMEN </w:t>
      </w:r>
      <w:r w:rsidRPr="00E65EAA">
        <w:rPr>
          <w:sz w:val="15"/>
          <w:szCs w:val="15"/>
        </w:rPr>
        <w:t>regional review engaging males in Arab states</w:t>
      </w:r>
      <w:r w:rsidR="001D3C9F" w:rsidRPr="00E65EAA">
        <w:rPr>
          <w:sz w:val="15"/>
          <w:szCs w:val="15"/>
        </w:rPr>
        <w:t>.</w:t>
      </w:r>
      <w:r w:rsidRPr="00E65EAA">
        <w:rPr>
          <w:sz w:val="15"/>
          <w:szCs w:val="15"/>
        </w:rPr>
        <w:t xml:space="preserve"> p. 21</w:t>
      </w:r>
      <w:r w:rsidR="001D3C9F" w:rsidRPr="00E65EAA">
        <w:rPr>
          <w:sz w:val="15"/>
          <w:szCs w:val="15"/>
        </w:rPr>
        <w:t>.</w:t>
      </w:r>
    </w:p>
  </w:footnote>
  <w:footnote w:id="311">
    <w:p w14:paraId="16F1180B"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UN Women (2020) Second Annual Progress report</w:t>
      </w:r>
      <w:r w:rsidR="001D3C9F" w:rsidRPr="00E65EAA">
        <w:rPr>
          <w:sz w:val="15"/>
          <w:szCs w:val="15"/>
        </w:rPr>
        <w:t>.</w:t>
      </w:r>
      <w:r w:rsidRPr="00E65EAA">
        <w:rPr>
          <w:sz w:val="15"/>
          <w:szCs w:val="15"/>
        </w:rPr>
        <w:t xml:space="preserve"> </w:t>
      </w:r>
      <w:r w:rsidR="001D3C9F" w:rsidRPr="00E65EAA">
        <w:rPr>
          <w:sz w:val="15"/>
          <w:szCs w:val="15"/>
        </w:rPr>
        <w:t>p</w:t>
      </w:r>
      <w:r w:rsidRPr="00E65EAA">
        <w:rPr>
          <w:sz w:val="15"/>
          <w:szCs w:val="15"/>
        </w:rPr>
        <w:t>p. 24</w:t>
      </w:r>
      <w:r w:rsidR="001D3C9F" w:rsidRPr="00E65EAA">
        <w:rPr>
          <w:sz w:val="15"/>
          <w:szCs w:val="15"/>
        </w:rPr>
        <w:t>–</w:t>
      </w:r>
      <w:r w:rsidRPr="00E65EAA">
        <w:rPr>
          <w:sz w:val="15"/>
          <w:szCs w:val="15"/>
        </w:rPr>
        <w:t>25</w:t>
      </w:r>
      <w:r w:rsidR="001D3C9F" w:rsidRPr="00E65EAA">
        <w:rPr>
          <w:sz w:val="15"/>
          <w:szCs w:val="15"/>
        </w:rPr>
        <w:t>.</w:t>
      </w:r>
    </w:p>
  </w:footnote>
  <w:footnote w:id="312">
    <w:p w14:paraId="3A340FE6"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UN Women (2021) MWGE progress until Sept 2021</w:t>
      </w:r>
      <w:r w:rsidR="001D3C9F" w:rsidRPr="00E65EAA">
        <w:rPr>
          <w:sz w:val="15"/>
          <w:szCs w:val="15"/>
        </w:rPr>
        <w:t>.</w:t>
      </w:r>
    </w:p>
  </w:footnote>
  <w:footnote w:id="313">
    <w:p w14:paraId="7A52C357"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UN Women (2021) MWGE progress until Sept 2021</w:t>
      </w:r>
      <w:r w:rsidR="001D3C9F" w:rsidRPr="00E65EAA">
        <w:rPr>
          <w:sz w:val="15"/>
          <w:szCs w:val="15"/>
        </w:rPr>
        <w:t>.</w:t>
      </w:r>
    </w:p>
  </w:footnote>
  <w:footnote w:id="314">
    <w:p w14:paraId="541CEA2C" w14:textId="77777777" w:rsidR="006F2F6D" w:rsidRPr="00E65EAA" w:rsidRDefault="006F2F6D" w:rsidP="001D3C9F">
      <w:pPr>
        <w:pStyle w:val="FootnoteText"/>
        <w:rPr>
          <w:sz w:val="15"/>
          <w:szCs w:val="15"/>
        </w:rPr>
      </w:pPr>
      <w:r w:rsidRPr="00E65EAA">
        <w:rPr>
          <w:rStyle w:val="FootnoteReference"/>
          <w:sz w:val="15"/>
          <w:szCs w:val="15"/>
        </w:rPr>
        <w:footnoteRef/>
      </w:r>
      <w:r w:rsidRPr="00E65EAA">
        <w:rPr>
          <w:sz w:val="15"/>
          <w:szCs w:val="15"/>
        </w:rPr>
        <w:t xml:space="preserve"> </w:t>
      </w:r>
      <w:proofErr w:type="spellStart"/>
      <w:r w:rsidRPr="00E65EAA">
        <w:rPr>
          <w:sz w:val="15"/>
          <w:szCs w:val="15"/>
        </w:rPr>
        <w:t>Musawah’s</w:t>
      </w:r>
      <w:proofErr w:type="spellEnd"/>
      <w:r w:rsidRPr="00E65EAA">
        <w:rPr>
          <w:sz w:val="15"/>
          <w:szCs w:val="15"/>
        </w:rPr>
        <w:t xml:space="preserve"> advocate influenced the religious body Dar-il-</w:t>
      </w:r>
      <w:proofErr w:type="spellStart"/>
      <w:r w:rsidRPr="00E65EAA">
        <w:rPr>
          <w:sz w:val="15"/>
          <w:szCs w:val="15"/>
        </w:rPr>
        <w:t>iftaa</w:t>
      </w:r>
      <w:proofErr w:type="spellEnd"/>
      <w:r w:rsidRPr="00E65EAA">
        <w:rPr>
          <w:sz w:val="15"/>
          <w:szCs w:val="15"/>
        </w:rPr>
        <w:t xml:space="preserve"> (see knowledge &amp; learning case study)</w:t>
      </w:r>
      <w:r w:rsidR="001D3C9F" w:rsidRPr="00E65EAA">
        <w:rPr>
          <w:sz w:val="15"/>
          <w:szCs w:val="15"/>
        </w:rPr>
        <w:t>.</w:t>
      </w:r>
    </w:p>
  </w:footnote>
  <w:footnote w:id="315">
    <w:p w14:paraId="745086B4"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Emerging findings presentation Jordan &amp; Tunisia</w:t>
      </w:r>
      <w:r w:rsidR="001D3C9F" w:rsidRPr="00E65EAA">
        <w:rPr>
          <w:sz w:val="15"/>
          <w:szCs w:val="15"/>
        </w:rPr>
        <w:t>;</w:t>
      </w:r>
      <w:r w:rsidRPr="00E65EAA">
        <w:rPr>
          <w:sz w:val="15"/>
          <w:szCs w:val="15"/>
        </w:rPr>
        <w:t xml:space="preserve"> KII</w:t>
      </w:r>
      <w:r w:rsidR="001D3C9F" w:rsidRPr="00E65EAA">
        <w:rPr>
          <w:sz w:val="15"/>
          <w:szCs w:val="15"/>
        </w:rPr>
        <w:t xml:space="preserve"> </w:t>
      </w:r>
      <w:r w:rsidR="00AE3135" w:rsidRPr="00E65EAA">
        <w:rPr>
          <w:sz w:val="15"/>
          <w:szCs w:val="15"/>
        </w:rPr>
        <w:t>57, KII 73</w:t>
      </w:r>
      <w:r w:rsidR="001D3C9F" w:rsidRPr="00E65EAA">
        <w:rPr>
          <w:sz w:val="15"/>
          <w:szCs w:val="15"/>
        </w:rPr>
        <w:t>.</w:t>
      </w:r>
    </w:p>
  </w:footnote>
  <w:footnote w:id="316">
    <w:p w14:paraId="504C96BC"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KII </w:t>
      </w:r>
      <w:r w:rsidR="00AE3135" w:rsidRPr="00E65EAA">
        <w:rPr>
          <w:sz w:val="15"/>
          <w:szCs w:val="15"/>
        </w:rPr>
        <w:t>57</w:t>
      </w:r>
      <w:r w:rsidR="001D3C9F" w:rsidRPr="00E65EAA">
        <w:rPr>
          <w:sz w:val="15"/>
          <w:szCs w:val="15"/>
        </w:rPr>
        <w:t>.</w:t>
      </w:r>
    </w:p>
  </w:footnote>
  <w:footnote w:id="317">
    <w:p w14:paraId="253F8124"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w:t>
      </w:r>
      <w:proofErr w:type="spellStart"/>
      <w:r w:rsidRPr="00E65EAA">
        <w:rPr>
          <w:sz w:val="15"/>
          <w:szCs w:val="15"/>
        </w:rPr>
        <w:t>Tarazi</w:t>
      </w:r>
      <w:proofErr w:type="spellEnd"/>
      <w:r w:rsidRPr="00E65EAA">
        <w:rPr>
          <w:sz w:val="15"/>
          <w:szCs w:val="15"/>
        </w:rPr>
        <w:t>, M (2017) Men and Women for gender equality mid-term review</w:t>
      </w:r>
      <w:r w:rsidR="001D3C9F" w:rsidRPr="00E65EAA">
        <w:rPr>
          <w:sz w:val="15"/>
          <w:szCs w:val="15"/>
        </w:rPr>
        <w:t>.</w:t>
      </w:r>
    </w:p>
  </w:footnote>
  <w:footnote w:id="318">
    <w:p w14:paraId="104A0990"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Jordan emerging findings presentation discussion 9</w:t>
      </w:r>
      <w:r w:rsidR="001D3C9F" w:rsidRPr="00E65EAA">
        <w:rPr>
          <w:sz w:val="15"/>
          <w:szCs w:val="15"/>
        </w:rPr>
        <w:t xml:space="preserve"> February </w:t>
      </w:r>
      <w:r w:rsidRPr="00E65EAA">
        <w:rPr>
          <w:sz w:val="15"/>
          <w:szCs w:val="15"/>
        </w:rPr>
        <w:t>2022</w:t>
      </w:r>
      <w:r w:rsidR="001D3C9F" w:rsidRPr="00E65EAA">
        <w:rPr>
          <w:sz w:val="15"/>
          <w:szCs w:val="15"/>
        </w:rPr>
        <w:t>.</w:t>
      </w:r>
    </w:p>
  </w:footnote>
  <w:footnote w:id="319">
    <w:p w14:paraId="035D97BB"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KII </w:t>
      </w:r>
      <w:r w:rsidR="009D1D42" w:rsidRPr="00E65EAA">
        <w:rPr>
          <w:sz w:val="15"/>
          <w:szCs w:val="15"/>
        </w:rPr>
        <w:t>21, KII 57</w:t>
      </w:r>
      <w:r w:rsidR="001D3C9F" w:rsidRPr="00E65EAA">
        <w:rPr>
          <w:sz w:val="15"/>
          <w:szCs w:val="15"/>
        </w:rPr>
        <w:t>.</w:t>
      </w:r>
    </w:p>
  </w:footnote>
  <w:footnote w:id="320">
    <w:p w14:paraId="3892A02D" w14:textId="77777777" w:rsidR="006F2F6D" w:rsidRPr="00E65EAA" w:rsidRDefault="006F2F6D" w:rsidP="006F2F6D">
      <w:pPr>
        <w:pStyle w:val="FootnoteText"/>
        <w:rPr>
          <w:sz w:val="15"/>
          <w:szCs w:val="15"/>
        </w:rPr>
      </w:pPr>
      <w:r w:rsidRPr="00E65EAA">
        <w:rPr>
          <w:rStyle w:val="FootnoteReference"/>
          <w:sz w:val="15"/>
          <w:szCs w:val="15"/>
        </w:rPr>
        <w:footnoteRef/>
      </w:r>
      <w:r w:rsidRPr="00E65EAA">
        <w:rPr>
          <w:sz w:val="15"/>
          <w:szCs w:val="15"/>
        </w:rPr>
        <w:t xml:space="preserve"> KII</w:t>
      </w:r>
      <w:r w:rsidR="001D3C9F" w:rsidRPr="00E65EAA">
        <w:rPr>
          <w:sz w:val="15"/>
          <w:szCs w:val="15"/>
        </w:rPr>
        <w:t xml:space="preserve"> </w:t>
      </w:r>
      <w:r w:rsidR="00C51150" w:rsidRPr="00E65EAA">
        <w:rPr>
          <w:sz w:val="15"/>
          <w:szCs w:val="15"/>
        </w:rPr>
        <w:t>21</w:t>
      </w:r>
      <w:r w:rsidR="001D3C9F" w:rsidRPr="00E65EAA">
        <w:rPr>
          <w:sz w:val="15"/>
          <w:szCs w:val="15"/>
        </w:rPr>
        <w:t>;</w:t>
      </w:r>
      <w:r w:rsidRPr="00E65EAA">
        <w:rPr>
          <w:sz w:val="15"/>
          <w:szCs w:val="15"/>
        </w:rPr>
        <w:t xml:space="preserve"> Jordan emerging findings presentation discussion 9</w:t>
      </w:r>
      <w:r w:rsidR="001D3C9F" w:rsidRPr="00E65EAA">
        <w:rPr>
          <w:sz w:val="15"/>
          <w:szCs w:val="15"/>
        </w:rPr>
        <w:t xml:space="preserve"> February </w:t>
      </w:r>
      <w:r w:rsidRPr="00E65EAA">
        <w:rPr>
          <w:sz w:val="15"/>
          <w:szCs w:val="15"/>
        </w:rPr>
        <w:t>2022</w:t>
      </w:r>
      <w:r w:rsidR="001D3C9F" w:rsidRPr="00E65EAA">
        <w:rPr>
          <w:sz w:val="15"/>
          <w:szCs w:val="15"/>
        </w:rPr>
        <w:t>.</w:t>
      </w:r>
    </w:p>
  </w:footnote>
  <w:footnote w:id="321">
    <w:p w14:paraId="6C179D83" w14:textId="77777777" w:rsidR="006F2F6D" w:rsidRPr="00755E9C" w:rsidRDefault="006F2F6D" w:rsidP="006F2F6D">
      <w:pPr>
        <w:pStyle w:val="FootnoteText"/>
      </w:pPr>
      <w:r w:rsidRPr="00E65EAA">
        <w:rPr>
          <w:rStyle w:val="FootnoteReference"/>
          <w:sz w:val="15"/>
          <w:szCs w:val="15"/>
        </w:rPr>
        <w:footnoteRef/>
      </w:r>
      <w:r w:rsidRPr="00E65EAA">
        <w:rPr>
          <w:sz w:val="15"/>
          <w:szCs w:val="15"/>
        </w:rPr>
        <w:t xml:space="preserve"> </w:t>
      </w:r>
      <w:r w:rsidR="00C51150" w:rsidRPr="00E65EAA">
        <w:rPr>
          <w:sz w:val="15"/>
          <w:szCs w:val="15"/>
        </w:rPr>
        <w:t>Ibid</w:t>
      </w:r>
      <w:r w:rsidR="001D3C9F" w:rsidRPr="00E65EAA">
        <w:rPr>
          <w:sz w:val="15"/>
          <w:szCs w:val="15"/>
        </w:rPr>
        <w:t>.</w:t>
      </w:r>
    </w:p>
  </w:footnote>
  <w:footnote w:id="322">
    <w:p w14:paraId="61028926" w14:textId="77777777" w:rsidR="006F2F6D" w:rsidRPr="00755E9C" w:rsidRDefault="006F2F6D" w:rsidP="006F2F6D">
      <w:pPr>
        <w:pStyle w:val="FootnoteText"/>
      </w:pPr>
      <w:r w:rsidRPr="00755E9C">
        <w:rPr>
          <w:rStyle w:val="FootnoteReference"/>
          <w:sz w:val="16"/>
          <w:szCs w:val="16"/>
        </w:rPr>
        <w:footnoteRef/>
      </w:r>
      <w:r w:rsidR="001D3C9F">
        <w:t>.</w:t>
      </w:r>
      <w:r w:rsidR="008C679C">
        <w:t xml:space="preserve"> KII 17,</w:t>
      </w:r>
      <w:r w:rsidR="003437AB">
        <w:t xml:space="preserve"> KII 20, KII 21</w:t>
      </w:r>
    </w:p>
  </w:footnote>
  <w:footnote w:id="323">
    <w:p w14:paraId="395459A3" w14:textId="77777777" w:rsidR="006F2F6D" w:rsidRDefault="006F2F6D" w:rsidP="006F2F6D">
      <w:pPr>
        <w:pStyle w:val="FootnoteText"/>
      </w:pPr>
      <w:r w:rsidRPr="00755E9C">
        <w:rPr>
          <w:rStyle w:val="FootnoteReference"/>
          <w:sz w:val="16"/>
          <w:szCs w:val="16"/>
        </w:rPr>
        <w:footnoteRef/>
      </w:r>
      <w:r w:rsidRPr="00755E9C">
        <w:t xml:space="preserve"> KII </w:t>
      </w:r>
      <w:r w:rsidR="008C679C">
        <w:t>17, KII 19</w:t>
      </w:r>
      <w:r w:rsidR="001D3C9F">
        <w:t>.</w:t>
      </w:r>
    </w:p>
  </w:footnote>
  <w:footnote w:id="324">
    <w:p w14:paraId="73FF8C17" w14:textId="77777777" w:rsidR="00633CA8" w:rsidRPr="00C80D78" w:rsidRDefault="00633CA8">
      <w:pPr>
        <w:pStyle w:val="FootnoteText"/>
        <w:rPr>
          <w:lang w:val="en-US"/>
        </w:rPr>
      </w:pPr>
      <w:r>
        <w:rPr>
          <w:rStyle w:val="FootnoteReference"/>
        </w:rPr>
        <w:footnoteRef/>
      </w:r>
      <w:r>
        <w:t xml:space="preserve"> </w:t>
      </w:r>
      <w:r w:rsidR="00B136A2" w:rsidRPr="00B136A2">
        <w:t>Fatherhood/parenting approaches are not included as the evaluation team was not able to obtain final data on these approaches (data is being processed in Apr/May 2022</w:t>
      </w:r>
    </w:p>
  </w:footnote>
  <w:footnote w:id="325">
    <w:p w14:paraId="2DAE524E" w14:textId="77777777" w:rsidR="00544CEB" w:rsidRPr="007F6DFD" w:rsidRDefault="00544CEB">
      <w:pPr>
        <w:pStyle w:val="FootnoteText"/>
        <w:rPr>
          <w:lang w:val="en-US"/>
        </w:rPr>
      </w:pPr>
      <w:r>
        <w:rPr>
          <w:rStyle w:val="FootnoteReference"/>
        </w:rPr>
        <w:footnoteRef/>
      </w:r>
      <w:r>
        <w:t xml:space="preserve"> </w:t>
      </w:r>
      <w:r w:rsidR="0085488F" w:rsidRPr="0085488F">
        <w:t>A RACI chart, also called a RACI matrix</w:t>
      </w:r>
      <w:r w:rsidR="004D3F06">
        <w:t xml:space="preserve"> (</w:t>
      </w:r>
      <w:r w:rsidR="004D3F06" w:rsidRPr="004D3F06">
        <w:t xml:space="preserve">responsible, accountable, </w:t>
      </w:r>
      <w:proofErr w:type="gramStart"/>
      <w:r w:rsidR="004D3F06" w:rsidRPr="004D3F06">
        <w:t>consulted</w:t>
      </w:r>
      <w:proofErr w:type="gramEnd"/>
      <w:r w:rsidR="004D3F06" w:rsidRPr="004D3F06">
        <w:t xml:space="preserve"> and informed</w:t>
      </w:r>
      <w:r w:rsidR="004D3F06">
        <w:t>)</w:t>
      </w:r>
      <w:r w:rsidR="0085488F" w:rsidRPr="0085488F">
        <w:t xml:space="preserve">, is a type of responsibility assignment matrix in project management. In practice, it's a simple spreadsheet or table that lists all stakeholders on a project and their </w:t>
      </w:r>
      <w:r w:rsidR="004D3F06">
        <w:t xml:space="preserve">appropriate </w:t>
      </w:r>
      <w:r w:rsidR="0085488F" w:rsidRPr="0085488F">
        <w:t>level</w:t>
      </w:r>
      <w:r w:rsidR="004D3F06">
        <w:t xml:space="preserve"> of</w:t>
      </w:r>
      <w:r w:rsidR="0085488F" w:rsidRPr="0085488F">
        <w:t xml:space="preserve"> involvement in each task</w:t>
      </w:r>
    </w:p>
  </w:footnote>
  <w:footnote w:id="326">
    <w:p w14:paraId="13984F3C" w14:textId="77777777" w:rsidR="00100975" w:rsidRPr="0073474D" w:rsidRDefault="00100975" w:rsidP="004D7B8C">
      <w:pPr>
        <w:pStyle w:val="FootnoteText"/>
        <w:rPr>
          <w:lang w:val="en-US"/>
        </w:rPr>
      </w:pPr>
      <w:r>
        <w:rPr>
          <w:rStyle w:val="FootnoteReference"/>
        </w:rPr>
        <w:footnoteRef/>
      </w:r>
      <w:r>
        <w:t xml:space="preserve"> </w:t>
      </w:r>
      <w:r>
        <w:rPr>
          <w:lang w:val="en-US"/>
        </w:rPr>
        <w:t>Responsibility, Accountability, Consulted, Informed</w:t>
      </w:r>
    </w:p>
  </w:footnote>
  <w:footnote w:id="327">
    <w:p w14:paraId="55245C8E" w14:textId="77777777" w:rsidR="004D7B8C" w:rsidRPr="0073474D" w:rsidRDefault="004D7B8C" w:rsidP="004D7B8C">
      <w:pPr>
        <w:pStyle w:val="FootnoteText"/>
        <w:rPr>
          <w:lang w:val="en-US"/>
        </w:rPr>
      </w:pPr>
      <w:r>
        <w:rPr>
          <w:rStyle w:val="FootnoteReference"/>
        </w:rPr>
        <w:footnoteRef/>
      </w:r>
      <w:r>
        <w:t xml:space="preserve"> </w:t>
      </w:r>
      <w:r>
        <w:rPr>
          <w:lang w:val="en-US"/>
        </w:rPr>
        <w:t>Responsibility, Accountability, Consulted, Informed</w:t>
      </w:r>
    </w:p>
  </w:footnote>
  <w:footnote w:id="328">
    <w:p w14:paraId="6EFF906B" w14:textId="77777777" w:rsidR="00AE40C6" w:rsidRPr="0073474D" w:rsidRDefault="00AE40C6" w:rsidP="004D7B8C">
      <w:pPr>
        <w:pStyle w:val="FootnoteText"/>
        <w:rPr>
          <w:lang w:val="en-US"/>
        </w:rPr>
      </w:pPr>
      <w:r>
        <w:rPr>
          <w:rStyle w:val="FootnoteReference"/>
        </w:rPr>
        <w:footnoteRef/>
      </w:r>
      <w:r>
        <w:t xml:space="preserve"> </w:t>
      </w:r>
      <w:r>
        <w:rPr>
          <w:lang w:val="en-US"/>
        </w:rPr>
        <w:t>Responsibility, Accountability, Consulted, Informed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D7B0A" w14:textId="77777777" w:rsidR="006F2F6D" w:rsidRDefault="006F2F6D" w:rsidP="00767622">
    <w:pPr>
      <w:pStyle w:val="Header"/>
    </w:pPr>
    <w:r>
      <w:rPr>
        <w:noProof/>
        <w:color w:val="808080" w:themeColor="background1" w:themeShade="80"/>
        <w:shd w:val="clear" w:color="auto" w:fill="E6E6E6"/>
        <w:lang w:val="en-US"/>
      </w:rPr>
      <w:drawing>
        <wp:anchor distT="0" distB="0" distL="114300" distR="114300" simplePos="0" relativeHeight="251658240" behindDoc="1" locked="0" layoutInCell="1" allowOverlap="1" wp14:anchorId="48C8B605" wp14:editId="56FBB110">
          <wp:simplePos x="0" y="0"/>
          <wp:positionH relativeFrom="page">
            <wp:align>left</wp:align>
          </wp:positionH>
          <wp:positionV relativeFrom="paragraph">
            <wp:posOffset>-464023</wp:posOffset>
          </wp:positionV>
          <wp:extent cx="10685721" cy="487670"/>
          <wp:effectExtent l="0" t="0" r="0" b="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Deep_logo_strip.png"/>
                  <pic:cNvPicPr/>
                </pic:nvPicPr>
                <pic:blipFill>
                  <a:blip r:embed="rId1">
                    <a:extLst>
                      <a:ext uri="{28A0092B-C50C-407E-A947-70E740481C1C}">
                        <a14:useLocalDpi xmlns:a14="http://schemas.microsoft.com/office/drawing/2010/main" val="0"/>
                      </a:ext>
                    </a:extLst>
                  </a:blip>
                  <a:stretch>
                    <a:fillRect/>
                  </a:stretch>
                </pic:blipFill>
                <pic:spPr>
                  <a:xfrm>
                    <a:off x="0" y="0"/>
                    <a:ext cx="10685721" cy="48767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182C8" w14:textId="77777777" w:rsidR="00722AA3" w:rsidRDefault="00722A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E1C41" w14:textId="77777777" w:rsidR="00E75FB8" w:rsidRDefault="00E75FB8" w:rsidP="001A6FFB">
    <w:pPr>
      <w:pStyle w:val="Itad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925D"/>
    <w:multiLevelType w:val="hybridMultilevel"/>
    <w:tmpl w:val="8C5AF806"/>
    <w:lvl w:ilvl="0" w:tplc="B308D614">
      <w:start w:val="1"/>
      <w:numFmt w:val="decimal"/>
      <w:lvlText w:val="%1."/>
      <w:lvlJc w:val="left"/>
      <w:pPr>
        <w:ind w:left="720" w:hanging="360"/>
      </w:pPr>
    </w:lvl>
    <w:lvl w:ilvl="1" w:tplc="5E541EF4">
      <w:start w:val="1"/>
      <w:numFmt w:val="lowerLetter"/>
      <w:lvlText w:val="%2."/>
      <w:lvlJc w:val="left"/>
      <w:pPr>
        <w:ind w:left="1440" w:hanging="360"/>
      </w:pPr>
    </w:lvl>
    <w:lvl w:ilvl="2" w:tplc="B76AFB1E">
      <w:start w:val="1"/>
      <w:numFmt w:val="lowerRoman"/>
      <w:lvlText w:val="%3."/>
      <w:lvlJc w:val="right"/>
      <w:pPr>
        <w:ind w:left="2160" w:hanging="180"/>
      </w:pPr>
    </w:lvl>
    <w:lvl w:ilvl="3" w:tplc="400A2242">
      <w:start w:val="1"/>
      <w:numFmt w:val="decimal"/>
      <w:lvlText w:val="%4."/>
      <w:lvlJc w:val="left"/>
      <w:pPr>
        <w:ind w:left="2880" w:hanging="360"/>
      </w:pPr>
    </w:lvl>
    <w:lvl w:ilvl="4" w:tplc="C382CBBC">
      <w:start w:val="1"/>
      <w:numFmt w:val="lowerLetter"/>
      <w:lvlText w:val="%5."/>
      <w:lvlJc w:val="left"/>
      <w:pPr>
        <w:ind w:left="3600" w:hanging="360"/>
      </w:pPr>
    </w:lvl>
    <w:lvl w:ilvl="5" w:tplc="703073D0">
      <w:start w:val="1"/>
      <w:numFmt w:val="lowerRoman"/>
      <w:lvlText w:val="%6."/>
      <w:lvlJc w:val="right"/>
      <w:pPr>
        <w:ind w:left="4320" w:hanging="180"/>
      </w:pPr>
    </w:lvl>
    <w:lvl w:ilvl="6" w:tplc="6226AF16">
      <w:start w:val="1"/>
      <w:numFmt w:val="decimal"/>
      <w:lvlText w:val="%7."/>
      <w:lvlJc w:val="left"/>
      <w:pPr>
        <w:ind w:left="5040" w:hanging="360"/>
      </w:pPr>
    </w:lvl>
    <w:lvl w:ilvl="7" w:tplc="7C809F12">
      <w:start w:val="1"/>
      <w:numFmt w:val="lowerLetter"/>
      <w:lvlText w:val="%8."/>
      <w:lvlJc w:val="left"/>
      <w:pPr>
        <w:ind w:left="5760" w:hanging="360"/>
      </w:pPr>
    </w:lvl>
    <w:lvl w:ilvl="8" w:tplc="DEEA7288">
      <w:start w:val="1"/>
      <w:numFmt w:val="lowerRoman"/>
      <w:lvlText w:val="%9."/>
      <w:lvlJc w:val="right"/>
      <w:pPr>
        <w:ind w:left="6480" w:hanging="180"/>
      </w:pPr>
    </w:lvl>
  </w:abstractNum>
  <w:abstractNum w:abstractNumId="1" w15:restartNumberingAfterBreak="0">
    <w:nsid w:val="049E4924"/>
    <w:multiLevelType w:val="multilevel"/>
    <w:tmpl w:val="F07E9E4A"/>
    <w:lvl w:ilvl="0">
      <w:start w:val="1"/>
      <w:numFmt w:val="decimal"/>
      <w:lvlText w:val="%1."/>
      <w:lvlJc w:val="left"/>
      <w:pPr>
        <w:tabs>
          <w:tab w:val="num" w:pos="720"/>
        </w:tabs>
        <w:ind w:left="720" w:hanging="360"/>
      </w:pPr>
      <w:rPr>
        <w:b w:val="0"/>
        <w:bCs w:val="0"/>
      </w:rPr>
    </w:lvl>
    <w:lvl w:ilvl="1">
      <w:start w:val="1"/>
      <w:numFmt w:val="upperLetter"/>
      <w:lvlText w:val="%2)"/>
      <w:lvlJc w:val="left"/>
      <w:pPr>
        <w:ind w:left="1800" w:hanging="720"/>
      </w:pPr>
      <w:rPr>
        <w:rFonts w:hint="default"/>
      </w:rPr>
    </w:lvl>
    <w:lvl w:ilvl="2">
      <w:start w:val="1"/>
      <w:numFmt w:val="bullet"/>
      <w:lvlText w:val=""/>
      <w:lvlJc w:val="left"/>
      <w:pPr>
        <w:ind w:left="2160" w:hanging="360"/>
      </w:pPr>
      <w:rPr>
        <w:rFonts w:ascii="Wingdings" w:hAnsi="Wingdings" w:hint="default"/>
      </w:r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15:restartNumberingAfterBreak="0">
    <w:nsid w:val="08FC4E73"/>
    <w:multiLevelType w:val="hybridMultilevel"/>
    <w:tmpl w:val="DB2A66B8"/>
    <w:lvl w:ilvl="0" w:tplc="29AABA84">
      <w:start w:val="1"/>
      <w:numFmt w:val="decimal"/>
      <w:pStyle w:val="Itadboxnumbers"/>
      <w:lvlText w:val="Box %1."/>
      <w:lvlJc w:val="left"/>
      <w:pPr>
        <w:ind w:left="360" w:hanging="360"/>
      </w:pPr>
      <w:rPr>
        <w:rFonts w:hint="default"/>
      </w:rPr>
    </w:lvl>
    <w:lvl w:ilvl="1" w:tplc="08090019" w:tentative="1">
      <w:start w:val="1"/>
      <w:numFmt w:val="lowerLetter"/>
      <w:lvlText w:val="%2."/>
      <w:lvlJc w:val="left"/>
      <w:pPr>
        <w:ind w:left="-4591" w:hanging="360"/>
      </w:pPr>
    </w:lvl>
    <w:lvl w:ilvl="2" w:tplc="0809001B" w:tentative="1">
      <w:start w:val="1"/>
      <w:numFmt w:val="lowerRoman"/>
      <w:lvlText w:val="%3."/>
      <w:lvlJc w:val="right"/>
      <w:pPr>
        <w:ind w:left="-3871" w:hanging="180"/>
      </w:pPr>
    </w:lvl>
    <w:lvl w:ilvl="3" w:tplc="0809000F" w:tentative="1">
      <w:start w:val="1"/>
      <w:numFmt w:val="decimal"/>
      <w:lvlText w:val="%4."/>
      <w:lvlJc w:val="left"/>
      <w:pPr>
        <w:ind w:left="-3151" w:hanging="360"/>
      </w:pPr>
    </w:lvl>
    <w:lvl w:ilvl="4" w:tplc="08090019" w:tentative="1">
      <w:start w:val="1"/>
      <w:numFmt w:val="lowerLetter"/>
      <w:lvlText w:val="%5."/>
      <w:lvlJc w:val="left"/>
      <w:pPr>
        <w:ind w:left="-2431" w:hanging="360"/>
      </w:pPr>
    </w:lvl>
    <w:lvl w:ilvl="5" w:tplc="0809001B" w:tentative="1">
      <w:start w:val="1"/>
      <w:numFmt w:val="lowerRoman"/>
      <w:lvlText w:val="%6."/>
      <w:lvlJc w:val="right"/>
      <w:pPr>
        <w:ind w:left="-1711" w:hanging="180"/>
      </w:pPr>
    </w:lvl>
    <w:lvl w:ilvl="6" w:tplc="0809000F" w:tentative="1">
      <w:start w:val="1"/>
      <w:numFmt w:val="decimal"/>
      <w:lvlText w:val="%7."/>
      <w:lvlJc w:val="left"/>
      <w:pPr>
        <w:ind w:left="-991" w:hanging="360"/>
      </w:pPr>
    </w:lvl>
    <w:lvl w:ilvl="7" w:tplc="08090019" w:tentative="1">
      <w:start w:val="1"/>
      <w:numFmt w:val="lowerLetter"/>
      <w:lvlText w:val="%8."/>
      <w:lvlJc w:val="left"/>
      <w:pPr>
        <w:ind w:left="-271" w:hanging="360"/>
      </w:pPr>
    </w:lvl>
    <w:lvl w:ilvl="8" w:tplc="0809001B" w:tentative="1">
      <w:start w:val="1"/>
      <w:numFmt w:val="lowerRoman"/>
      <w:lvlText w:val="%9."/>
      <w:lvlJc w:val="right"/>
      <w:pPr>
        <w:ind w:left="449" w:hanging="180"/>
      </w:pPr>
    </w:lvl>
  </w:abstractNum>
  <w:abstractNum w:abstractNumId="3" w15:restartNumberingAfterBreak="0">
    <w:nsid w:val="0B625AFA"/>
    <w:multiLevelType w:val="hybridMultilevel"/>
    <w:tmpl w:val="4912C444"/>
    <w:lvl w:ilvl="0" w:tplc="DC203540">
      <w:start w:val="1"/>
      <w:numFmt w:val="decimal"/>
      <w:pStyle w:val="Itadnumberedparas"/>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076CBE"/>
    <w:multiLevelType w:val="hybridMultilevel"/>
    <w:tmpl w:val="61DA6910"/>
    <w:lvl w:ilvl="0" w:tplc="149E3734">
      <w:start w:val="1"/>
      <w:numFmt w:val="decimal"/>
      <w:lvlText w:val="%1."/>
      <w:lvlJc w:val="left"/>
      <w:pPr>
        <w:ind w:left="720" w:hanging="360"/>
      </w:pPr>
    </w:lvl>
    <w:lvl w:ilvl="1" w:tplc="3AF4214E">
      <w:start w:val="1"/>
      <w:numFmt w:val="lowerLetter"/>
      <w:lvlText w:val="%2."/>
      <w:lvlJc w:val="left"/>
      <w:pPr>
        <w:ind w:left="1440" w:hanging="360"/>
      </w:pPr>
    </w:lvl>
    <w:lvl w:ilvl="2" w:tplc="218441C6">
      <w:start w:val="1"/>
      <w:numFmt w:val="lowerRoman"/>
      <w:lvlText w:val="%3."/>
      <w:lvlJc w:val="right"/>
      <w:pPr>
        <w:ind w:left="2160" w:hanging="180"/>
      </w:pPr>
    </w:lvl>
    <w:lvl w:ilvl="3" w:tplc="AFFCF086">
      <w:start w:val="1"/>
      <w:numFmt w:val="decimal"/>
      <w:lvlText w:val="%4."/>
      <w:lvlJc w:val="left"/>
      <w:pPr>
        <w:ind w:left="2880" w:hanging="360"/>
      </w:pPr>
    </w:lvl>
    <w:lvl w:ilvl="4" w:tplc="E684F0F0">
      <w:start w:val="1"/>
      <w:numFmt w:val="lowerLetter"/>
      <w:lvlText w:val="%5."/>
      <w:lvlJc w:val="left"/>
      <w:pPr>
        <w:ind w:left="3600" w:hanging="360"/>
      </w:pPr>
    </w:lvl>
    <w:lvl w:ilvl="5" w:tplc="E2FEEC98">
      <w:start w:val="1"/>
      <w:numFmt w:val="lowerRoman"/>
      <w:lvlText w:val="%6."/>
      <w:lvlJc w:val="right"/>
      <w:pPr>
        <w:ind w:left="4320" w:hanging="180"/>
      </w:pPr>
    </w:lvl>
    <w:lvl w:ilvl="6" w:tplc="1B22308C">
      <w:start w:val="1"/>
      <w:numFmt w:val="decimal"/>
      <w:lvlText w:val="%7."/>
      <w:lvlJc w:val="left"/>
      <w:pPr>
        <w:ind w:left="5040" w:hanging="360"/>
      </w:pPr>
    </w:lvl>
    <w:lvl w:ilvl="7" w:tplc="B20271A0">
      <w:start w:val="1"/>
      <w:numFmt w:val="lowerLetter"/>
      <w:lvlText w:val="%8."/>
      <w:lvlJc w:val="left"/>
      <w:pPr>
        <w:ind w:left="5760" w:hanging="360"/>
      </w:pPr>
    </w:lvl>
    <w:lvl w:ilvl="8" w:tplc="68D42454">
      <w:start w:val="1"/>
      <w:numFmt w:val="lowerRoman"/>
      <w:lvlText w:val="%9."/>
      <w:lvlJc w:val="right"/>
      <w:pPr>
        <w:ind w:left="6480" w:hanging="180"/>
      </w:pPr>
    </w:lvl>
  </w:abstractNum>
  <w:abstractNum w:abstractNumId="5" w15:restartNumberingAfterBreak="0">
    <w:nsid w:val="11DB26D8"/>
    <w:multiLevelType w:val="multilevel"/>
    <w:tmpl w:val="8F701D54"/>
    <w:lvl w:ilvl="0">
      <w:start w:val="1"/>
      <w:numFmt w:val="decimal"/>
      <w:pStyle w:val="Itadheading1"/>
      <w:lvlText w:val="%1."/>
      <w:lvlJc w:val="left"/>
      <w:pPr>
        <w:ind w:left="360" w:hanging="360"/>
      </w:pPr>
      <w:rPr>
        <w:rFonts w:ascii="Calibri" w:hAnsi="Calibri" w:hint="default"/>
        <w:b/>
        <w:i w:val="0"/>
        <w:color w:val="73B632"/>
        <w:sz w:val="32"/>
      </w:rPr>
    </w:lvl>
    <w:lvl w:ilvl="1">
      <w:start w:val="1"/>
      <w:numFmt w:val="decimal"/>
      <w:pStyle w:val="Itadsectionheading"/>
      <w:lvlText w:val="%1.%2."/>
      <w:lvlJc w:val="left"/>
      <w:pPr>
        <w:ind w:left="720" w:hanging="360"/>
      </w:pPr>
      <w:rPr>
        <w:rFonts w:ascii="Calibri" w:hAnsi="Calibri" w:hint="default"/>
        <w:b/>
        <w:i w:val="0"/>
        <w:color w:val="73B632"/>
        <w:sz w:val="28"/>
      </w:rPr>
    </w:lvl>
    <w:lvl w:ilvl="2">
      <w:start w:val="1"/>
      <w:numFmt w:val="decimal"/>
      <w:pStyle w:val="Itadsub-sectionheading"/>
      <w:lvlText w:val="%1.%2.%3"/>
      <w:lvlJc w:val="left"/>
      <w:pPr>
        <w:ind w:left="1080" w:hanging="360"/>
      </w:pPr>
      <w:rPr>
        <w:rFonts w:ascii="Calibri" w:hAnsi="Calibri" w:hint="default"/>
        <w:b/>
        <w:i w:val="0"/>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398579C"/>
    <w:multiLevelType w:val="hybridMultilevel"/>
    <w:tmpl w:val="AD02C47E"/>
    <w:lvl w:ilvl="0" w:tplc="89F4F462">
      <w:start w:val="1"/>
      <w:numFmt w:val="decimal"/>
      <w:lvlText w:val="%1."/>
      <w:lvlJc w:val="left"/>
      <w:pPr>
        <w:ind w:left="360" w:hanging="360"/>
      </w:pPr>
    </w:lvl>
    <w:lvl w:ilvl="1" w:tplc="0978B0CC" w:tentative="1">
      <w:start w:val="1"/>
      <w:numFmt w:val="lowerLetter"/>
      <w:lvlText w:val="%2."/>
      <w:lvlJc w:val="left"/>
      <w:pPr>
        <w:ind w:left="1080" w:hanging="360"/>
      </w:pPr>
    </w:lvl>
    <w:lvl w:ilvl="2" w:tplc="053C10A2" w:tentative="1">
      <w:start w:val="1"/>
      <w:numFmt w:val="lowerRoman"/>
      <w:lvlText w:val="%3."/>
      <w:lvlJc w:val="right"/>
      <w:pPr>
        <w:ind w:left="1800" w:hanging="180"/>
      </w:pPr>
    </w:lvl>
    <w:lvl w:ilvl="3" w:tplc="90EC2806" w:tentative="1">
      <w:start w:val="1"/>
      <w:numFmt w:val="decimal"/>
      <w:lvlText w:val="%4."/>
      <w:lvlJc w:val="left"/>
      <w:pPr>
        <w:ind w:left="2520" w:hanging="360"/>
      </w:pPr>
    </w:lvl>
    <w:lvl w:ilvl="4" w:tplc="E820D8CC" w:tentative="1">
      <w:start w:val="1"/>
      <w:numFmt w:val="lowerLetter"/>
      <w:lvlText w:val="%5."/>
      <w:lvlJc w:val="left"/>
      <w:pPr>
        <w:ind w:left="3240" w:hanging="360"/>
      </w:pPr>
    </w:lvl>
    <w:lvl w:ilvl="5" w:tplc="94AC2EB8" w:tentative="1">
      <w:start w:val="1"/>
      <w:numFmt w:val="lowerRoman"/>
      <w:lvlText w:val="%6."/>
      <w:lvlJc w:val="right"/>
      <w:pPr>
        <w:ind w:left="3960" w:hanging="180"/>
      </w:pPr>
    </w:lvl>
    <w:lvl w:ilvl="6" w:tplc="9DA67132" w:tentative="1">
      <w:start w:val="1"/>
      <w:numFmt w:val="decimal"/>
      <w:lvlText w:val="%7."/>
      <w:lvlJc w:val="left"/>
      <w:pPr>
        <w:ind w:left="4680" w:hanging="360"/>
      </w:pPr>
    </w:lvl>
    <w:lvl w:ilvl="7" w:tplc="F9C0C8DA" w:tentative="1">
      <w:start w:val="1"/>
      <w:numFmt w:val="lowerLetter"/>
      <w:lvlText w:val="%8."/>
      <w:lvlJc w:val="left"/>
      <w:pPr>
        <w:ind w:left="5400" w:hanging="360"/>
      </w:pPr>
    </w:lvl>
    <w:lvl w:ilvl="8" w:tplc="0122C2EE" w:tentative="1">
      <w:start w:val="1"/>
      <w:numFmt w:val="lowerRoman"/>
      <w:lvlText w:val="%9."/>
      <w:lvlJc w:val="right"/>
      <w:pPr>
        <w:ind w:left="6120" w:hanging="180"/>
      </w:pPr>
    </w:lvl>
  </w:abstractNum>
  <w:abstractNum w:abstractNumId="7" w15:restartNumberingAfterBreak="0">
    <w:nsid w:val="155049DD"/>
    <w:multiLevelType w:val="hybridMultilevel"/>
    <w:tmpl w:val="DE5CF9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54733F"/>
    <w:multiLevelType w:val="hybridMultilevel"/>
    <w:tmpl w:val="32A2BE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C3A19"/>
    <w:multiLevelType w:val="hybridMultilevel"/>
    <w:tmpl w:val="3724D82C"/>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9B52E7"/>
    <w:multiLevelType w:val="hybridMultilevel"/>
    <w:tmpl w:val="001ECD42"/>
    <w:lvl w:ilvl="0" w:tplc="FF6A1874">
      <w:start w:val="1"/>
      <w:numFmt w:val="decimal"/>
      <w:pStyle w:val="ItadSectionTitleBlocknumbered"/>
      <w:lvlText w:val="%1."/>
      <w:lvlJc w:val="left"/>
      <w:pPr>
        <w:ind w:left="879" w:hanging="360"/>
      </w:pPr>
    </w:lvl>
    <w:lvl w:ilvl="1" w:tplc="08090019" w:tentative="1">
      <w:start w:val="1"/>
      <w:numFmt w:val="lowerLetter"/>
      <w:lvlText w:val="%2."/>
      <w:lvlJc w:val="left"/>
      <w:pPr>
        <w:ind w:left="1599" w:hanging="360"/>
      </w:pPr>
    </w:lvl>
    <w:lvl w:ilvl="2" w:tplc="0809001B" w:tentative="1">
      <w:start w:val="1"/>
      <w:numFmt w:val="lowerRoman"/>
      <w:lvlText w:val="%3."/>
      <w:lvlJc w:val="right"/>
      <w:pPr>
        <w:ind w:left="2319" w:hanging="180"/>
      </w:pPr>
    </w:lvl>
    <w:lvl w:ilvl="3" w:tplc="0809000F" w:tentative="1">
      <w:start w:val="1"/>
      <w:numFmt w:val="decimal"/>
      <w:lvlText w:val="%4."/>
      <w:lvlJc w:val="left"/>
      <w:pPr>
        <w:ind w:left="3039" w:hanging="360"/>
      </w:pPr>
    </w:lvl>
    <w:lvl w:ilvl="4" w:tplc="08090019" w:tentative="1">
      <w:start w:val="1"/>
      <w:numFmt w:val="lowerLetter"/>
      <w:lvlText w:val="%5."/>
      <w:lvlJc w:val="left"/>
      <w:pPr>
        <w:ind w:left="3759" w:hanging="360"/>
      </w:pPr>
    </w:lvl>
    <w:lvl w:ilvl="5" w:tplc="0809001B" w:tentative="1">
      <w:start w:val="1"/>
      <w:numFmt w:val="lowerRoman"/>
      <w:lvlText w:val="%6."/>
      <w:lvlJc w:val="right"/>
      <w:pPr>
        <w:ind w:left="4479" w:hanging="180"/>
      </w:pPr>
    </w:lvl>
    <w:lvl w:ilvl="6" w:tplc="0809000F" w:tentative="1">
      <w:start w:val="1"/>
      <w:numFmt w:val="decimal"/>
      <w:lvlText w:val="%7."/>
      <w:lvlJc w:val="left"/>
      <w:pPr>
        <w:ind w:left="5199" w:hanging="360"/>
      </w:pPr>
    </w:lvl>
    <w:lvl w:ilvl="7" w:tplc="08090019" w:tentative="1">
      <w:start w:val="1"/>
      <w:numFmt w:val="lowerLetter"/>
      <w:lvlText w:val="%8."/>
      <w:lvlJc w:val="left"/>
      <w:pPr>
        <w:ind w:left="5919" w:hanging="360"/>
      </w:pPr>
    </w:lvl>
    <w:lvl w:ilvl="8" w:tplc="0809001B" w:tentative="1">
      <w:start w:val="1"/>
      <w:numFmt w:val="lowerRoman"/>
      <w:lvlText w:val="%9."/>
      <w:lvlJc w:val="right"/>
      <w:pPr>
        <w:ind w:left="6639" w:hanging="180"/>
      </w:pPr>
    </w:lvl>
  </w:abstractNum>
  <w:abstractNum w:abstractNumId="11" w15:restartNumberingAfterBreak="0">
    <w:nsid w:val="1AD469F8"/>
    <w:multiLevelType w:val="hybridMultilevel"/>
    <w:tmpl w:val="B4E8D2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hint="default"/>
      </w:rPr>
    </w:lvl>
    <w:lvl w:ilvl="3" w:tplc="08090001" w:tentative="1">
      <w:start w:val="1"/>
      <w:numFmt w:val="bullet"/>
      <w:lvlText w:val=""/>
      <w:lvlJc w:val="left"/>
      <w:pPr>
        <w:ind w:left="2455" w:hanging="360"/>
      </w:pPr>
      <w:rPr>
        <w:rFonts w:ascii="Symbol" w:hAnsi="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hint="default"/>
      </w:rPr>
    </w:lvl>
    <w:lvl w:ilvl="6" w:tplc="08090001" w:tentative="1">
      <w:start w:val="1"/>
      <w:numFmt w:val="bullet"/>
      <w:lvlText w:val=""/>
      <w:lvlJc w:val="left"/>
      <w:pPr>
        <w:ind w:left="4615" w:hanging="360"/>
      </w:pPr>
      <w:rPr>
        <w:rFonts w:ascii="Symbol" w:hAnsi="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hint="default"/>
      </w:rPr>
    </w:lvl>
  </w:abstractNum>
  <w:abstractNum w:abstractNumId="12" w15:restartNumberingAfterBreak="0">
    <w:nsid w:val="1C26E151"/>
    <w:multiLevelType w:val="hybridMultilevel"/>
    <w:tmpl w:val="FFFFFFFF"/>
    <w:lvl w:ilvl="0" w:tplc="C6C88034">
      <w:start w:val="1"/>
      <w:numFmt w:val="lowerLetter"/>
      <w:lvlText w:val="%1."/>
      <w:lvlJc w:val="left"/>
      <w:pPr>
        <w:ind w:left="360" w:hanging="360"/>
      </w:pPr>
    </w:lvl>
    <w:lvl w:ilvl="1" w:tplc="CCCC2482">
      <w:start w:val="1"/>
      <w:numFmt w:val="lowerLetter"/>
      <w:lvlText w:val="%2."/>
      <w:lvlJc w:val="left"/>
      <w:pPr>
        <w:ind w:left="1080" w:hanging="360"/>
      </w:pPr>
    </w:lvl>
    <w:lvl w:ilvl="2" w:tplc="187A6A46">
      <w:start w:val="1"/>
      <w:numFmt w:val="lowerRoman"/>
      <w:lvlText w:val="%3."/>
      <w:lvlJc w:val="right"/>
      <w:pPr>
        <w:ind w:left="1800" w:hanging="180"/>
      </w:pPr>
    </w:lvl>
    <w:lvl w:ilvl="3" w:tplc="6990203E">
      <w:start w:val="1"/>
      <w:numFmt w:val="decimal"/>
      <w:lvlText w:val="%4."/>
      <w:lvlJc w:val="left"/>
      <w:pPr>
        <w:ind w:left="2520" w:hanging="360"/>
      </w:pPr>
    </w:lvl>
    <w:lvl w:ilvl="4" w:tplc="2B081DB8">
      <w:start w:val="1"/>
      <w:numFmt w:val="lowerLetter"/>
      <w:lvlText w:val="%5."/>
      <w:lvlJc w:val="left"/>
      <w:pPr>
        <w:ind w:left="3240" w:hanging="360"/>
      </w:pPr>
    </w:lvl>
    <w:lvl w:ilvl="5" w:tplc="7FDEF706">
      <w:start w:val="1"/>
      <w:numFmt w:val="lowerRoman"/>
      <w:lvlText w:val="%6."/>
      <w:lvlJc w:val="right"/>
      <w:pPr>
        <w:ind w:left="3960" w:hanging="180"/>
      </w:pPr>
    </w:lvl>
    <w:lvl w:ilvl="6" w:tplc="46D4B822">
      <w:start w:val="1"/>
      <w:numFmt w:val="decimal"/>
      <w:lvlText w:val="%7."/>
      <w:lvlJc w:val="left"/>
      <w:pPr>
        <w:ind w:left="4680" w:hanging="360"/>
      </w:pPr>
    </w:lvl>
    <w:lvl w:ilvl="7" w:tplc="78E2D5C4">
      <w:start w:val="1"/>
      <w:numFmt w:val="lowerLetter"/>
      <w:lvlText w:val="%8."/>
      <w:lvlJc w:val="left"/>
      <w:pPr>
        <w:ind w:left="5400" w:hanging="360"/>
      </w:pPr>
    </w:lvl>
    <w:lvl w:ilvl="8" w:tplc="826625CE">
      <w:start w:val="1"/>
      <w:numFmt w:val="lowerRoman"/>
      <w:lvlText w:val="%9."/>
      <w:lvlJc w:val="right"/>
      <w:pPr>
        <w:ind w:left="6120" w:hanging="180"/>
      </w:pPr>
    </w:lvl>
  </w:abstractNum>
  <w:abstractNum w:abstractNumId="13" w15:restartNumberingAfterBreak="0">
    <w:nsid w:val="1EEA1ED2"/>
    <w:multiLevelType w:val="hybridMultilevel"/>
    <w:tmpl w:val="8DAA501E"/>
    <w:lvl w:ilvl="0" w:tplc="F836CDB8">
      <w:start w:val="1"/>
      <w:numFmt w:val="bullet"/>
      <w:pStyle w:val="ItadSubbullets"/>
      <w:lvlText w:val="o"/>
      <w:lvlJc w:val="left"/>
      <w:pPr>
        <w:ind w:left="1004" w:hanging="360"/>
      </w:pPr>
      <w:rPr>
        <w:rFonts w:ascii="Courier New" w:hAnsi="Courier New" w:cs="Courier New"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1F386F69"/>
    <w:multiLevelType w:val="hybridMultilevel"/>
    <w:tmpl w:val="DD687140"/>
    <w:lvl w:ilvl="0" w:tplc="DFF8C480">
      <w:start w:val="1"/>
      <w:numFmt w:val="bullet"/>
      <w:pStyle w:val="ItadBullets"/>
      <w:lvlText w:val=""/>
      <w:lvlJc w:val="left"/>
      <w:pPr>
        <w:ind w:left="360" w:hanging="360"/>
      </w:pPr>
      <w:rPr>
        <w:rFonts w:ascii="Wingdings" w:hAnsi="Wingdings" w:hint="default"/>
      </w:rPr>
    </w:lvl>
    <w:lvl w:ilvl="1" w:tplc="0F1C0F1A" w:tentative="1">
      <w:start w:val="1"/>
      <w:numFmt w:val="bullet"/>
      <w:lvlText w:val="o"/>
      <w:lvlJc w:val="left"/>
      <w:pPr>
        <w:ind w:left="730" w:hanging="360"/>
      </w:pPr>
      <w:rPr>
        <w:rFonts w:ascii="Courier New" w:hAnsi="Courier New" w:hint="default"/>
      </w:rPr>
    </w:lvl>
    <w:lvl w:ilvl="2" w:tplc="A766712E" w:tentative="1">
      <w:start w:val="1"/>
      <w:numFmt w:val="bullet"/>
      <w:lvlText w:val=""/>
      <w:lvlJc w:val="left"/>
      <w:pPr>
        <w:ind w:left="1450" w:hanging="360"/>
      </w:pPr>
      <w:rPr>
        <w:rFonts w:ascii="Wingdings" w:hAnsi="Wingdings" w:hint="default"/>
      </w:rPr>
    </w:lvl>
    <w:lvl w:ilvl="3" w:tplc="6ADCF95E" w:tentative="1">
      <w:start w:val="1"/>
      <w:numFmt w:val="bullet"/>
      <w:lvlText w:val=""/>
      <w:lvlJc w:val="left"/>
      <w:pPr>
        <w:ind w:left="2170" w:hanging="360"/>
      </w:pPr>
      <w:rPr>
        <w:rFonts w:ascii="Symbol" w:hAnsi="Symbol" w:hint="default"/>
      </w:rPr>
    </w:lvl>
    <w:lvl w:ilvl="4" w:tplc="321A967C" w:tentative="1">
      <w:start w:val="1"/>
      <w:numFmt w:val="bullet"/>
      <w:lvlText w:val="o"/>
      <w:lvlJc w:val="left"/>
      <w:pPr>
        <w:ind w:left="2890" w:hanging="360"/>
      </w:pPr>
      <w:rPr>
        <w:rFonts w:ascii="Courier New" w:hAnsi="Courier New" w:hint="default"/>
      </w:rPr>
    </w:lvl>
    <w:lvl w:ilvl="5" w:tplc="BF4AF48A" w:tentative="1">
      <w:start w:val="1"/>
      <w:numFmt w:val="bullet"/>
      <w:lvlText w:val=""/>
      <w:lvlJc w:val="left"/>
      <w:pPr>
        <w:ind w:left="3610" w:hanging="360"/>
      </w:pPr>
      <w:rPr>
        <w:rFonts w:ascii="Wingdings" w:hAnsi="Wingdings" w:hint="default"/>
      </w:rPr>
    </w:lvl>
    <w:lvl w:ilvl="6" w:tplc="F70AE4AA" w:tentative="1">
      <w:start w:val="1"/>
      <w:numFmt w:val="bullet"/>
      <w:lvlText w:val=""/>
      <w:lvlJc w:val="left"/>
      <w:pPr>
        <w:ind w:left="4330" w:hanging="360"/>
      </w:pPr>
      <w:rPr>
        <w:rFonts w:ascii="Symbol" w:hAnsi="Symbol" w:hint="default"/>
      </w:rPr>
    </w:lvl>
    <w:lvl w:ilvl="7" w:tplc="10EEF53A" w:tentative="1">
      <w:start w:val="1"/>
      <w:numFmt w:val="bullet"/>
      <w:lvlText w:val="o"/>
      <w:lvlJc w:val="left"/>
      <w:pPr>
        <w:ind w:left="5050" w:hanging="360"/>
      </w:pPr>
      <w:rPr>
        <w:rFonts w:ascii="Courier New" w:hAnsi="Courier New" w:hint="default"/>
      </w:rPr>
    </w:lvl>
    <w:lvl w:ilvl="8" w:tplc="70087B7C" w:tentative="1">
      <w:start w:val="1"/>
      <w:numFmt w:val="bullet"/>
      <w:lvlText w:val=""/>
      <w:lvlJc w:val="left"/>
      <w:pPr>
        <w:ind w:left="5770" w:hanging="360"/>
      </w:pPr>
      <w:rPr>
        <w:rFonts w:ascii="Wingdings" w:hAnsi="Wingdings" w:hint="default"/>
      </w:rPr>
    </w:lvl>
  </w:abstractNum>
  <w:abstractNum w:abstractNumId="15" w15:restartNumberingAfterBreak="0">
    <w:nsid w:val="2601214D"/>
    <w:multiLevelType w:val="hybridMultilevel"/>
    <w:tmpl w:val="AC9A275A"/>
    <w:lvl w:ilvl="0" w:tplc="EFA0681C">
      <w:start w:val="1"/>
      <w:numFmt w:val="decimal"/>
      <w:lvlText w:val="%1."/>
      <w:lvlJc w:val="left"/>
      <w:pPr>
        <w:ind w:left="72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7C4EBD"/>
    <w:multiLevelType w:val="multilevel"/>
    <w:tmpl w:val="EFB2070A"/>
    <w:lvl w:ilvl="0">
      <w:start w:val="1"/>
      <w:numFmt w:val="decimal"/>
      <w:pStyle w:val="Heading1"/>
      <w:lvlText w:val="%1"/>
      <w:lvlJc w:val="left"/>
      <w:pPr>
        <w:tabs>
          <w:tab w:val="num" w:pos="567"/>
        </w:tabs>
        <w:ind w:left="0" w:firstLine="567"/>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2"/>
      <w:numFmt w:val="decimal"/>
      <w:pStyle w:val="Heading2"/>
      <w:lvlText w:val="%1.%2"/>
      <w:lvlJc w:val="left"/>
      <w:pPr>
        <w:tabs>
          <w:tab w:val="num" w:pos="567"/>
        </w:tabs>
        <w:ind w:left="0" w:firstLine="567"/>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680"/>
        </w:tabs>
        <w:ind w:left="0" w:firstLine="567"/>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tabs>
          <w:tab w:val="num" w:pos="793"/>
        </w:tabs>
        <w:ind w:left="0" w:firstLine="567"/>
      </w:pPr>
      <w:rPr>
        <w:rFonts w:hint="default"/>
        <w:b w:val="0"/>
        <w:bCs w:val="0"/>
        <w:i/>
        <w:iCs/>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tabs>
          <w:tab w:val="num" w:pos="906"/>
        </w:tabs>
        <w:ind w:left="0" w:firstLine="906"/>
      </w:pPr>
      <w:rPr>
        <w:rFonts w:hint="default"/>
        <w:color w:val="3FB84E" w:themeColor="accent3"/>
      </w:rPr>
    </w:lvl>
    <w:lvl w:ilvl="5">
      <w:start w:val="1"/>
      <w:numFmt w:val="decimal"/>
      <w:lvlText w:val="%1.%2.%3.%4.%5.%6"/>
      <w:lvlJc w:val="left"/>
      <w:pPr>
        <w:tabs>
          <w:tab w:val="num" w:pos="1019"/>
        </w:tabs>
        <w:ind w:left="0" w:firstLine="1019"/>
      </w:pPr>
      <w:rPr>
        <w:rFonts w:hint="default"/>
        <w:color w:val="3FB84E" w:themeColor="accent3"/>
      </w:rPr>
    </w:lvl>
    <w:lvl w:ilvl="6">
      <w:start w:val="1"/>
      <w:numFmt w:val="decimal"/>
      <w:lvlText w:val="%1.%2.%3.%4.%5.%6.%7"/>
      <w:lvlJc w:val="left"/>
      <w:pPr>
        <w:tabs>
          <w:tab w:val="num" w:pos="1132"/>
        </w:tabs>
        <w:ind w:left="0" w:firstLine="1132"/>
      </w:pPr>
      <w:rPr>
        <w:rFonts w:hint="default"/>
        <w:color w:val="3FB84E" w:themeColor="accent3"/>
      </w:rPr>
    </w:lvl>
    <w:lvl w:ilvl="7">
      <w:start w:val="1"/>
      <w:numFmt w:val="decimal"/>
      <w:lvlText w:val="%1.%2.%3.%4.%5.%6.%7.%8"/>
      <w:lvlJc w:val="left"/>
      <w:pPr>
        <w:tabs>
          <w:tab w:val="num" w:pos="1245"/>
        </w:tabs>
        <w:ind w:left="0" w:firstLine="1245"/>
      </w:pPr>
      <w:rPr>
        <w:rFonts w:hint="default"/>
        <w:color w:val="3FB84E" w:themeColor="accent3"/>
      </w:rPr>
    </w:lvl>
    <w:lvl w:ilvl="8">
      <w:start w:val="1"/>
      <w:numFmt w:val="decimal"/>
      <w:lvlText w:val="%1.%2.%3.%4.%5.%6.%7.%8.%9"/>
      <w:lvlJc w:val="left"/>
      <w:pPr>
        <w:tabs>
          <w:tab w:val="num" w:pos="1358"/>
        </w:tabs>
        <w:ind w:left="0" w:firstLine="1358"/>
      </w:pPr>
      <w:rPr>
        <w:rFonts w:hint="default"/>
        <w:color w:val="3FB84E" w:themeColor="accent3"/>
      </w:rPr>
    </w:lvl>
  </w:abstractNum>
  <w:abstractNum w:abstractNumId="17" w15:restartNumberingAfterBreak="0">
    <w:nsid w:val="2CFD3460"/>
    <w:multiLevelType w:val="multilevel"/>
    <w:tmpl w:val="27BA5482"/>
    <w:lvl w:ilvl="0">
      <w:start w:val="1"/>
      <w:numFmt w:val="decimal"/>
      <w:lvlText w:val="%1."/>
      <w:lvlJc w:val="left"/>
      <w:pPr>
        <w:ind w:left="771" w:hanging="360"/>
      </w:pPr>
      <w:rPr>
        <w:rFonts w:hint="default"/>
      </w:rPr>
    </w:lvl>
    <w:lvl w:ilvl="1">
      <w:start w:val="1"/>
      <w:numFmt w:val="decimal"/>
      <w:pStyle w:val="ItadH3Numbered"/>
      <w:isLgl/>
      <w:lvlText w:val="%1.%2"/>
      <w:lvlJc w:val="left"/>
      <w:pPr>
        <w:ind w:left="771"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isLgl/>
      <w:lvlText w:val="%1.%2.%3"/>
      <w:lvlJc w:val="left"/>
      <w:pPr>
        <w:ind w:left="1131" w:hanging="720"/>
      </w:pPr>
      <w:rPr>
        <w:rFonts w:hint="default"/>
      </w:rPr>
    </w:lvl>
    <w:lvl w:ilvl="3">
      <w:start w:val="1"/>
      <w:numFmt w:val="decimal"/>
      <w:isLgl/>
      <w:lvlText w:val="%1.%2.%3.%4"/>
      <w:lvlJc w:val="left"/>
      <w:pPr>
        <w:ind w:left="1131" w:hanging="720"/>
      </w:pPr>
      <w:rPr>
        <w:rFonts w:hint="default"/>
      </w:rPr>
    </w:lvl>
    <w:lvl w:ilvl="4">
      <w:start w:val="1"/>
      <w:numFmt w:val="decimal"/>
      <w:isLgl/>
      <w:lvlText w:val="%1.%2.%3.%4.%5"/>
      <w:lvlJc w:val="left"/>
      <w:pPr>
        <w:ind w:left="1491" w:hanging="1080"/>
      </w:pPr>
      <w:rPr>
        <w:rFonts w:hint="default"/>
      </w:rPr>
    </w:lvl>
    <w:lvl w:ilvl="5">
      <w:start w:val="1"/>
      <w:numFmt w:val="decimal"/>
      <w:isLgl/>
      <w:lvlText w:val="%1.%2.%3.%4.%5.%6"/>
      <w:lvlJc w:val="left"/>
      <w:pPr>
        <w:ind w:left="1491" w:hanging="1080"/>
      </w:pPr>
      <w:rPr>
        <w:rFonts w:hint="default"/>
      </w:rPr>
    </w:lvl>
    <w:lvl w:ilvl="6">
      <w:start w:val="1"/>
      <w:numFmt w:val="decimal"/>
      <w:isLgl/>
      <w:lvlText w:val="%1.%2.%3.%4.%5.%6.%7"/>
      <w:lvlJc w:val="left"/>
      <w:pPr>
        <w:ind w:left="1851" w:hanging="1440"/>
      </w:pPr>
      <w:rPr>
        <w:rFonts w:hint="default"/>
      </w:rPr>
    </w:lvl>
    <w:lvl w:ilvl="7">
      <w:start w:val="1"/>
      <w:numFmt w:val="decimal"/>
      <w:isLgl/>
      <w:lvlText w:val="%1.%2.%3.%4.%5.%6.%7.%8"/>
      <w:lvlJc w:val="left"/>
      <w:pPr>
        <w:ind w:left="1851" w:hanging="1440"/>
      </w:pPr>
      <w:rPr>
        <w:rFonts w:hint="default"/>
      </w:rPr>
    </w:lvl>
    <w:lvl w:ilvl="8">
      <w:start w:val="1"/>
      <w:numFmt w:val="decimal"/>
      <w:isLgl/>
      <w:lvlText w:val="%1.%2.%3.%4.%5.%6.%7.%8.%9"/>
      <w:lvlJc w:val="left"/>
      <w:pPr>
        <w:ind w:left="2211" w:hanging="1800"/>
      </w:pPr>
      <w:rPr>
        <w:rFonts w:hint="default"/>
      </w:rPr>
    </w:lvl>
  </w:abstractNum>
  <w:abstractNum w:abstractNumId="18" w15:restartNumberingAfterBreak="0">
    <w:nsid w:val="2E066893"/>
    <w:multiLevelType w:val="hybridMultilevel"/>
    <w:tmpl w:val="3D428F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4B4B6E"/>
    <w:multiLevelType w:val="hybridMultilevel"/>
    <w:tmpl w:val="544E9ABA"/>
    <w:lvl w:ilvl="0" w:tplc="FFFFFFFF">
      <w:start w:val="1"/>
      <w:numFmt w:val="decimal"/>
      <w:pStyle w:val="ItadFigureText"/>
      <w:lvlText w:val="Figure %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353C1C"/>
    <w:multiLevelType w:val="hybridMultilevel"/>
    <w:tmpl w:val="F8800BF8"/>
    <w:lvl w:ilvl="0" w:tplc="DE20203E">
      <w:start w:val="1"/>
      <w:numFmt w:val="bullet"/>
      <w:lvlText w:val=""/>
      <w:lvlJc w:val="left"/>
      <w:pPr>
        <w:ind w:left="720" w:hanging="360"/>
      </w:pPr>
      <w:rPr>
        <w:rFonts w:ascii="Symbol" w:hAnsi="Symbol" w:hint="default"/>
        <w:color w:val="E37230" w:themeColor="accent2"/>
      </w:rPr>
    </w:lvl>
    <w:lvl w:ilvl="1" w:tplc="B39AC2E2">
      <w:start w:val="1"/>
      <w:numFmt w:val="bullet"/>
      <w:pStyle w:val="Bullets"/>
      <w:lvlText w:val="—"/>
      <w:lvlJc w:val="left"/>
      <w:pPr>
        <w:ind w:left="1440" w:hanging="360"/>
      </w:pPr>
      <w:rPr>
        <w:rFonts w:ascii="Calibri" w:hAnsi="Calibri" w:hint="default"/>
        <w:color w:val="E37230" w:themeColor="accent2"/>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264890"/>
    <w:multiLevelType w:val="hybridMultilevel"/>
    <w:tmpl w:val="75A6BB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BFC71FC"/>
    <w:multiLevelType w:val="hybridMultilevel"/>
    <w:tmpl w:val="60AE6C56"/>
    <w:lvl w:ilvl="0" w:tplc="3182B2C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E85E03"/>
    <w:multiLevelType w:val="multilevel"/>
    <w:tmpl w:val="3A845AA4"/>
    <w:lvl w:ilvl="0">
      <w:start w:val="1"/>
      <w:numFmt w:val="decimal"/>
      <w:pStyle w:val="Itadnumberedlist"/>
      <w:lvlText w:val="%1"/>
      <w:lvlJc w:val="left"/>
      <w:pPr>
        <w:tabs>
          <w:tab w:val="num" w:pos="567"/>
        </w:tabs>
        <w:ind w:left="0" w:firstLine="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67"/>
        </w:tabs>
        <w:ind w:left="0" w:firstLine="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680"/>
        </w:tabs>
        <w:ind w:left="0" w:firstLine="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793"/>
        </w:tabs>
        <w:ind w:left="0" w:firstLine="567"/>
      </w:pPr>
      <w:rPr>
        <w:b w:val="0"/>
        <w:bCs w:val="0"/>
        <w:i/>
        <w:iCs/>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tabs>
          <w:tab w:val="num" w:pos="906"/>
        </w:tabs>
        <w:ind w:left="0" w:firstLine="906"/>
      </w:pPr>
      <w:rPr>
        <w:rFonts w:hint="default"/>
        <w:color w:val="3FB84E" w:themeColor="accent3"/>
      </w:rPr>
    </w:lvl>
    <w:lvl w:ilvl="5">
      <w:start w:val="1"/>
      <w:numFmt w:val="decimal"/>
      <w:lvlText w:val="%1.%2.%3.%4.%5.%6"/>
      <w:lvlJc w:val="left"/>
      <w:pPr>
        <w:tabs>
          <w:tab w:val="num" w:pos="1019"/>
        </w:tabs>
        <w:ind w:left="0" w:firstLine="1019"/>
      </w:pPr>
      <w:rPr>
        <w:rFonts w:hint="default"/>
        <w:color w:val="3FB84E" w:themeColor="accent3"/>
      </w:rPr>
    </w:lvl>
    <w:lvl w:ilvl="6">
      <w:start w:val="1"/>
      <w:numFmt w:val="decimal"/>
      <w:lvlText w:val="%1.%2.%3.%4.%5.%6.%7"/>
      <w:lvlJc w:val="left"/>
      <w:pPr>
        <w:tabs>
          <w:tab w:val="num" w:pos="1132"/>
        </w:tabs>
        <w:ind w:left="0" w:firstLine="1132"/>
      </w:pPr>
      <w:rPr>
        <w:rFonts w:hint="default"/>
        <w:color w:val="3FB84E" w:themeColor="accent3"/>
      </w:rPr>
    </w:lvl>
    <w:lvl w:ilvl="7">
      <w:start w:val="1"/>
      <w:numFmt w:val="decimal"/>
      <w:lvlText w:val="%1.%2.%3.%4.%5.%6.%7.%8"/>
      <w:lvlJc w:val="left"/>
      <w:pPr>
        <w:tabs>
          <w:tab w:val="num" w:pos="1245"/>
        </w:tabs>
        <w:ind w:left="0" w:firstLine="1245"/>
      </w:pPr>
      <w:rPr>
        <w:rFonts w:hint="default"/>
        <w:color w:val="3FB84E" w:themeColor="accent3"/>
      </w:rPr>
    </w:lvl>
    <w:lvl w:ilvl="8">
      <w:start w:val="1"/>
      <w:numFmt w:val="decimal"/>
      <w:lvlText w:val="%1.%2.%3.%4.%5.%6.%7.%8.%9"/>
      <w:lvlJc w:val="left"/>
      <w:pPr>
        <w:tabs>
          <w:tab w:val="num" w:pos="1358"/>
        </w:tabs>
        <w:ind w:left="0" w:firstLine="1358"/>
      </w:pPr>
      <w:rPr>
        <w:rFonts w:hint="default"/>
        <w:color w:val="3FB84E" w:themeColor="accent3"/>
      </w:rPr>
    </w:lvl>
  </w:abstractNum>
  <w:abstractNum w:abstractNumId="24" w15:restartNumberingAfterBreak="0">
    <w:nsid w:val="3E7B3011"/>
    <w:multiLevelType w:val="hybridMultilevel"/>
    <w:tmpl w:val="794CB8BC"/>
    <w:lvl w:ilvl="0" w:tplc="CD4EE638">
      <w:start w:val="1"/>
      <w:numFmt w:val="bullet"/>
      <w:pStyle w:val="Itadbulletpoints"/>
      <w:lvlText w:val=""/>
      <w:lvlJc w:val="left"/>
      <w:pPr>
        <w:ind w:left="284" w:hanging="284"/>
      </w:pPr>
      <w:rPr>
        <w:rFonts w:ascii="Symbol" w:hAnsi="Symbol" w:hint="default"/>
        <w:color w:val="E47823"/>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863191"/>
    <w:multiLevelType w:val="hybridMultilevel"/>
    <w:tmpl w:val="84E6E506"/>
    <w:lvl w:ilvl="0" w:tplc="FFFFFFFF">
      <w:start w:val="1"/>
      <w:numFmt w:val="decimal"/>
      <w:pStyle w:val="Itadtablestyle"/>
      <w:lvlText w:val="Table %1:"/>
      <w:lvlJc w:val="left"/>
      <w:pPr>
        <w:ind w:left="36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3EA2D4F"/>
    <w:multiLevelType w:val="hybridMultilevel"/>
    <w:tmpl w:val="F03E3384"/>
    <w:lvl w:ilvl="0" w:tplc="C9FC3D86">
      <w:start w:val="1"/>
      <w:numFmt w:val="upperLetter"/>
      <w:pStyle w:val="ItadH1Numbered"/>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726438F"/>
    <w:multiLevelType w:val="hybridMultilevel"/>
    <w:tmpl w:val="2B106D26"/>
    <w:lvl w:ilvl="0" w:tplc="0409000F">
      <w:start w:val="1"/>
      <w:numFmt w:val="decimal"/>
      <w:lvlText w:val="%1."/>
      <w:lvlJc w:val="left"/>
      <w:pPr>
        <w:ind w:left="360" w:hanging="360"/>
      </w:pPr>
      <w:rPr>
        <w:rFonts w:hint="default"/>
      </w:rPr>
    </w:lvl>
    <w:lvl w:ilvl="1" w:tplc="FFFFFFFF" w:tentative="1">
      <w:start w:val="1"/>
      <w:numFmt w:val="bullet"/>
      <w:lvlText w:val="o"/>
      <w:lvlJc w:val="left"/>
      <w:pPr>
        <w:ind w:left="730" w:hanging="360"/>
      </w:pPr>
      <w:rPr>
        <w:rFonts w:ascii="Courier New" w:hAnsi="Courier New" w:hint="default"/>
      </w:rPr>
    </w:lvl>
    <w:lvl w:ilvl="2" w:tplc="FFFFFFFF" w:tentative="1">
      <w:start w:val="1"/>
      <w:numFmt w:val="bullet"/>
      <w:lvlText w:val=""/>
      <w:lvlJc w:val="left"/>
      <w:pPr>
        <w:ind w:left="1450" w:hanging="360"/>
      </w:pPr>
      <w:rPr>
        <w:rFonts w:ascii="Wingdings" w:hAnsi="Wingdings" w:hint="default"/>
      </w:rPr>
    </w:lvl>
    <w:lvl w:ilvl="3" w:tplc="FFFFFFFF" w:tentative="1">
      <w:start w:val="1"/>
      <w:numFmt w:val="bullet"/>
      <w:lvlText w:val=""/>
      <w:lvlJc w:val="left"/>
      <w:pPr>
        <w:ind w:left="2170" w:hanging="360"/>
      </w:pPr>
      <w:rPr>
        <w:rFonts w:ascii="Symbol" w:hAnsi="Symbol" w:hint="default"/>
      </w:rPr>
    </w:lvl>
    <w:lvl w:ilvl="4" w:tplc="FFFFFFFF" w:tentative="1">
      <w:start w:val="1"/>
      <w:numFmt w:val="bullet"/>
      <w:lvlText w:val="o"/>
      <w:lvlJc w:val="left"/>
      <w:pPr>
        <w:ind w:left="2890" w:hanging="360"/>
      </w:pPr>
      <w:rPr>
        <w:rFonts w:ascii="Courier New" w:hAnsi="Courier New" w:hint="default"/>
      </w:rPr>
    </w:lvl>
    <w:lvl w:ilvl="5" w:tplc="FFFFFFFF" w:tentative="1">
      <w:start w:val="1"/>
      <w:numFmt w:val="bullet"/>
      <w:lvlText w:val=""/>
      <w:lvlJc w:val="left"/>
      <w:pPr>
        <w:ind w:left="3610" w:hanging="360"/>
      </w:pPr>
      <w:rPr>
        <w:rFonts w:ascii="Wingdings" w:hAnsi="Wingdings" w:hint="default"/>
      </w:rPr>
    </w:lvl>
    <w:lvl w:ilvl="6" w:tplc="FFFFFFFF" w:tentative="1">
      <w:start w:val="1"/>
      <w:numFmt w:val="bullet"/>
      <w:lvlText w:val=""/>
      <w:lvlJc w:val="left"/>
      <w:pPr>
        <w:ind w:left="4330" w:hanging="360"/>
      </w:pPr>
      <w:rPr>
        <w:rFonts w:ascii="Symbol" w:hAnsi="Symbol" w:hint="default"/>
      </w:rPr>
    </w:lvl>
    <w:lvl w:ilvl="7" w:tplc="FFFFFFFF" w:tentative="1">
      <w:start w:val="1"/>
      <w:numFmt w:val="bullet"/>
      <w:lvlText w:val="o"/>
      <w:lvlJc w:val="left"/>
      <w:pPr>
        <w:ind w:left="5050" w:hanging="360"/>
      </w:pPr>
      <w:rPr>
        <w:rFonts w:ascii="Courier New" w:hAnsi="Courier New" w:hint="default"/>
      </w:rPr>
    </w:lvl>
    <w:lvl w:ilvl="8" w:tplc="FFFFFFFF" w:tentative="1">
      <w:start w:val="1"/>
      <w:numFmt w:val="bullet"/>
      <w:lvlText w:val=""/>
      <w:lvlJc w:val="left"/>
      <w:pPr>
        <w:ind w:left="5770" w:hanging="360"/>
      </w:pPr>
      <w:rPr>
        <w:rFonts w:ascii="Wingdings" w:hAnsi="Wingdings" w:hint="default"/>
      </w:rPr>
    </w:lvl>
  </w:abstractNum>
  <w:abstractNum w:abstractNumId="28" w15:restartNumberingAfterBreak="0">
    <w:nsid w:val="49D93CBD"/>
    <w:multiLevelType w:val="hybridMultilevel"/>
    <w:tmpl w:val="FB161394"/>
    <w:lvl w:ilvl="0" w:tplc="5600B738">
      <w:start w:val="1"/>
      <w:numFmt w:val="decimal"/>
      <w:pStyle w:val="ItadH4"/>
      <w:lvlText w:val="%1.1.1"/>
      <w:lvlJc w:val="left"/>
      <w:pPr>
        <w:ind w:left="2844" w:hanging="360"/>
      </w:pPr>
      <w:rPr>
        <w:rFonts w:ascii="Calibri" w:hAnsi="Calibri" w:hint="default"/>
        <w:b/>
        <w:i w:val="0"/>
        <w:color w:val="588B46" w:themeColor="text2"/>
      </w:rPr>
    </w:lvl>
    <w:lvl w:ilvl="1" w:tplc="08090019" w:tentative="1">
      <w:start w:val="1"/>
      <w:numFmt w:val="lowerLetter"/>
      <w:lvlText w:val="%2."/>
      <w:lvlJc w:val="left"/>
      <w:pPr>
        <w:ind w:left="3564" w:hanging="360"/>
      </w:pPr>
    </w:lvl>
    <w:lvl w:ilvl="2" w:tplc="0809001B" w:tentative="1">
      <w:start w:val="1"/>
      <w:numFmt w:val="lowerRoman"/>
      <w:lvlText w:val="%3."/>
      <w:lvlJc w:val="right"/>
      <w:pPr>
        <w:ind w:left="4284" w:hanging="180"/>
      </w:pPr>
    </w:lvl>
    <w:lvl w:ilvl="3" w:tplc="0809000F" w:tentative="1">
      <w:start w:val="1"/>
      <w:numFmt w:val="decimal"/>
      <w:lvlText w:val="%4."/>
      <w:lvlJc w:val="left"/>
      <w:pPr>
        <w:ind w:left="5004" w:hanging="360"/>
      </w:pPr>
    </w:lvl>
    <w:lvl w:ilvl="4" w:tplc="08090019" w:tentative="1">
      <w:start w:val="1"/>
      <w:numFmt w:val="lowerLetter"/>
      <w:lvlText w:val="%5."/>
      <w:lvlJc w:val="left"/>
      <w:pPr>
        <w:ind w:left="5724" w:hanging="360"/>
      </w:pPr>
    </w:lvl>
    <w:lvl w:ilvl="5" w:tplc="0809001B" w:tentative="1">
      <w:start w:val="1"/>
      <w:numFmt w:val="lowerRoman"/>
      <w:lvlText w:val="%6."/>
      <w:lvlJc w:val="right"/>
      <w:pPr>
        <w:ind w:left="6444" w:hanging="180"/>
      </w:pPr>
    </w:lvl>
    <w:lvl w:ilvl="6" w:tplc="0809000F" w:tentative="1">
      <w:start w:val="1"/>
      <w:numFmt w:val="decimal"/>
      <w:lvlText w:val="%7."/>
      <w:lvlJc w:val="left"/>
      <w:pPr>
        <w:ind w:left="7164" w:hanging="360"/>
      </w:pPr>
    </w:lvl>
    <w:lvl w:ilvl="7" w:tplc="08090019" w:tentative="1">
      <w:start w:val="1"/>
      <w:numFmt w:val="lowerLetter"/>
      <w:lvlText w:val="%8."/>
      <w:lvlJc w:val="left"/>
      <w:pPr>
        <w:ind w:left="7884" w:hanging="360"/>
      </w:pPr>
    </w:lvl>
    <w:lvl w:ilvl="8" w:tplc="0809001B" w:tentative="1">
      <w:start w:val="1"/>
      <w:numFmt w:val="lowerRoman"/>
      <w:lvlText w:val="%9."/>
      <w:lvlJc w:val="right"/>
      <w:pPr>
        <w:ind w:left="8604" w:hanging="180"/>
      </w:pPr>
    </w:lvl>
  </w:abstractNum>
  <w:abstractNum w:abstractNumId="29" w15:restartNumberingAfterBreak="0">
    <w:nsid w:val="5EE00EE6"/>
    <w:multiLevelType w:val="hybridMultilevel"/>
    <w:tmpl w:val="731C5C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7559C7"/>
    <w:multiLevelType w:val="hybridMultilevel"/>
    <w:tmpl w:val="D29C4A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DC51BD"/>
    <w:multiLevelType w:val="multilevel"/>
    <w:tmpl w:val="B01A6ABE"/>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2" w15:restartNumberingAfterBreak="0">
    <w:nsid w:val="69541125"/>
    <w:multiLevelType w:val="multilevel"/>
    <w:tmpl w:val="348434B4"/>
    <w:styleLink w:val="WFP"/>
    <w:lvl w:ilvl="0">
      <w:start w:val="1"/>
      <w:numFmt w:val="decimal"/>
      <w:pStyle w:val="ItadH2Numbered"/>
      <w:lvlText w:val="%1."/>
      <w:lvlJc w:val="left"/>
      <w:pPr>
        <w:ind w:left="644"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val="0"/>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C055729"/>
    <w:multiLevelType w:val="hybridMultilevel"/>
    <w:tmpl w:val="1B16A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97720A"/>
    <w:multiLevelType w:val="hybridMultilevel"/>
    <w:tmpl w:val="82C42F16"/>
    <w:lvl w:ilvl="0" w:tplc="A880A41E">
      <w:start w:val="1"/>
      <w:numFmt w:val="decimal"/>
      <w:pStyle w:val="BodycopyItadtemplate"/>
      <w:lvlText w:val="%1."/>
      <w:lvlJc w:val="left"/>
      <w:pPr>
        <w:ind w:left="720" w:hanging="360"/>
      </w:pPr>
      <w:rPr>
        <w:rFonts w:asciiTheme="minorHAnsi" w:hAnsiTheme="minorHAnsi" w:cstheme="minorHAnsi"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82CE1"/>
    <w:multiLevelType w:val="multilevel"/>
    <w:tmpl w:val="F07E9E4A"/>
    <w:lvl w:ilvl="0">
      <w:start w:val="1"/>
      <w:numFmt w:val="decimal"/>
      <w:lvlText w:val="%1."/>
      <w:lvlJc w:val="left"/>
      <w:pPr>
        <w:tabs>
          <w:tab w:val="num" w:pos="720"/>
        </w:tabs>
        <w:ind w:left="720" w:hanging="360"/>
      </w:pPr>
      <w:rPr>
        <w:b w:val="0"/>
        <w:bCs w:val="0"/>
      </w:rPr>
    </w:lvl>
    <w:lvl w:ilvl="1">
      <w:start w:val="1"/>
      <w:numFmt w:val="upperLetter"/>
      <w:lvlText w:val="%2)"/>
      <w:lvlJc w:val="left"/>
      <w:pPr>
        <w:ind w:left="1800" w:hanging="720"/>
      </w:pPr>
      <w:rPr>
        <w:rFonts w:hint="default"/>
      </w:rPr>
    </w:lvl>
    <w:lvl w:ilvl="2">
      <w:start w:val="1"/>
      <w:numFmt w:val="bullet"/>
      <w:lvlText w:val=""/>
      <w:lvlJc w:val="left"/>
      <w:pPr>
        <w:ind w:left="2160" w:hanging="360"/>
      </w:pPr>
      <w:rPr>
        <w:rFonts w:ascii="Wingdings" w:hAnsi="Wingdings" w:hint="default"/>
      </w:r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6" w15:restartNumberingAfterBreak="0">
    <w:nsid w:val="7AA85ECD"/>
    <w:multiLevelType w:val="multilevel"/>
    <w:tmpl w:val="DDACD35E"/>
    <w:lvl w:ilvl="0">
      <w:start w:val="1"/>
      <w:numFmt w:val="decimal"/>
      <w:pStyle w:val="Annex"/>
      <w:lvlText w:val="Annex %1"/>
      <w:lvlJc w:val="left"/>
      <w:pPr>
        <w:ind w:left="720" w:hanging="72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7F4B2DDD"/>
    <w:multiLevelType w:val="hybridMultilevel"/>
    <w:tmpl w:val="7B0AA10A"/>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03013619">
    <w:abstractNumId w:val="4"/>
  </w:num>
  <w:num w:numId="2" w16cid:durableId="17241144">
    <w:abstractNumId w:val="0"/>
  </w:num>
  <w:num w:numId="3" w16cid:durableId="1377967338">
    <w:abstractNumId w:val="12"/>
  </w:num>
  <w:num w:numId="4" w16cid:durableId="81807228">
    <w:abstractNumId w:val="14"/>
  </w:num>
  <w:num w:numId="5" w16cid:durableId="1917203119">
    <w:abstractNumId w:val="16"/>
  </w:num>
  <w:num w:numId="6" w16cid:durableId="441725416">
    <w:abstractNumId w:val="3"/>
  </w:num>
  <w:num w:numId="7" w16cid:durableId="20786823">
    <w:abstractNumId w:val="13"/>
  </w:num>
  <w:num w:numId="8" w16cid:durableId="308630537">
    <w:abstractNumId w:val="25"/>
  </w:num>
  <w:num w:numId="9" w16cid:durableId="2099867753">
    <w:abstractNumId w:val="10"/>
  </w:num>
  <w:num w:numId="10" w16cid:durableId="1105734474">
    <w:abstractNumId w:val="23"/>
  </w:num>
  <w:num w:numId="11" w16cid:durableId="110176203">
    <w:abstractNumId w:val="2"/>
  </w:num>
  <w:num w:numId="12" w16cid:durableId="1251084911">
    <w:abstractNumId w:val="20"/>
  </w:num>
  <w:num w:numId="13" w16cid:durableId="2070568920">
    <w:abstractNumId w:val="36"/>
  </w:num>
  <w:num w:numId="14" w16cid:durableId="115030490">
    <w:abstractNumId w:val="26"/>
  </w:num>
  <w:num w:numId="15" w16cid:durableId="930088217">
    <w:abstractNumId w:val="28"/>
  </w:num>
  <w:num w:numId="16" w16cid:durableId="1928734735">
    <w:abstractNumId w:val="5"/>
  </w:num>
  <w:num w:numId="17" w16cid:durableId="1113596826">
    <w:abstractNumId w:val="32"/>
  </w:num>
  <w:num w:numId="18" w16cid:durableId="503282605">
    <w:abstractNumId w:val="35"/>
  </w:num>
  <w:num w:numId="19" w16cid:durableId="1749113947">
    <w:abstractNumId w:val="24"/>
  </w:num>
  <w:num w:numId="20" w16cid:durableId="1133326553">
    <w:abstractNumId w:val="34"/>
  </w:num>
  <w:num w:numId="21" w16cid:durableId="1126970720">
    <w:abstractNumId w:val="21"/>
  </w:num>
  <w:num w:numId="22" w16cid:durableId="1086880289">
    <w:abstractNumId w:val="11"/>
  </w:num>
  <w:num w:numId="23" w16cid:durableId="1795784151">
    <w:abstractNumId w:val="31"/>
  </w:num>
  <w:num w:numId="24" w16cid:durableId="1890189769">
    <w:abstractNumId w:val="31"/>
    <w:lvlOverride w:ilvl="0">
      <w:startOverride w:val="1"/>
    </w:lvlOverride>
  </w:num>
  <w:num w:numId="25" w16cid:durableId="1528517254">
    <w:abstractNumId w:val="22"/>
  </w:num>
  <w:num w:numId="26" w16cid:durableId="1513884452">
    <w:abstractNumId w:val="30"/>
  </w:num>
  <w:num w:numId="27" w16cid:durableId="856850002">
    <w:abstractNumId w:val="29"/>
  </w:num>
  <w:num w:numId="28" w16cid:durableId="647633418">
    <w:abstractNumId w:val="18"/>
  </w:num>
  <w:num w:numId="29" w16cid:durableId="135034477">
    <w:abstractNumId w:val="15"/>
  </w:num>
  <w:num w:numId="30" w16cid:durableId="613173518">
    <w:abstractNumId w:val="37"/>
  </w:num>
  <w:num w:numId="31" w16cid:durableId="37973881">
    <w:abstractNumId w:val="6"/>
  </w:num>
  <w:num w:numId="32" w16cid:durableId="487719356">
    <w:abstractNumId w:val="9"/>
  </w:num>
  <w:num w:numId="33" w16cid:durableId="4931884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8715644">
    <w:abstractNumId w:val="19"/>
  </w:num>
  <w:num w:numId="35" w16cid:durableId="857085463">
    <w:abstractNumId w:val="8"/>
  </w:num>
  <w:num w:numId="36" w16cid:durableId="781536029">
    <w:abstractNumId w:val="1"/>
  </w:num>
  <w:num w:numId="37" w16cid:durableId="177082038">
    <w:abstractNumId w:val="27"/>
  </w:num>
  <w:num w:numId="38" w16cid:durableId="208882448">
    <w:abstractNumId w:val="33"/>
  </w:num>
  <w:num w:numId="39" w16cid:durableId="257716578">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TrueTypeFonts/>
  <w:saveSubsetFonts/>
  <w:activeWritingStyle w:appName="MSWord" w:lang="fr-FR" w:vendorID="64" w:dllVersion="0"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activeWritingStyle w:appName="MSWord" w:lang="en-CA" w:vendorID="64" w:dllVersion="0" w:nlCheck="1" w:checkStyle="0"/>
  <w:activeWritingStyle w:appName="MSWord" w:lang="es-ES" w:vendorID="64" w:dllVersion="0" w:nlCheck="1" w:checkStyle="0"/>
  <w:activeWritingStyle w:appName="MSWord" w:lang="nl-NL" w:vendorID="64" w:dllVersion="0" w:nlCheck="1" w:checkStyle="0"/>
  <w:activeWritingStyle w:appName="MSWord" w:lang="it-IT" w:vendorID="64" w:dllVersion="0" w:nlCheck="1" w:checkStyle="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stylePaneSortMethod w:val="0000"/>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MwMDG3tDQwMTM3MTdX0lEKTi0uzszPAykwtKgFAGC32CotAAAA"/>
  </w:docVars>
  <w:rsids>
    <w:rsidRoot w:val="00952B23"/>
    <w:rsid w:val="000002BE"/>
    <w:rsid w:val="000007AB"/>
    <w:rsid w:val="00000949"/>
    <w:rsid w:val="000009E4"/>
    <w:rsid w:val="00000AD5"/>
    <w:rsid w:val="000010E2"/>
    <w:rsid w:val="00001370"/>
    <w:rsid w:val="00001584"/>
    <w:rsid w:val="00001620"/>
    <w:rsid w:val="00001E42"/>
    <w:rsid w:val="00002127"/>
    <w:rsid w:val="00002235"/>
    <w:rsid w:val="0000229F"/>
    <w:rsid w:val="00002CE7"/>
    <w:rsid w:val="00002D09"/>
    <w:rsid w:val="00002DC3"/>
    <w:rsid w:val="0000306D"/>
    <w:rsid w:val="0000339E"/>
    <w:rsid w:val="00003838"/>
    <w:rsid w:val="00003C44"/>
    <w:rsid w:val="00003D58"/>
    <w:rsid w:val="00004705"/>
    <w:rsid w:val="0000487C"/>
    <w:rsid w:val="000049DF"/>
    <w:rsid w:val="00004A20"/>
    <w:rsid w:val="00004FC7"/>
    <w:rsid w:val="000056A0"/>
    <w:rsid w:val="000058BE"/>
    <w:rsid w:val="000059D5"/>
    <w:rsid w:val="00005C77"/>
    <w:rsid w:val="00005F6F"/>
    <w:rsid w:val="0000633F"/>
    <w:rsid w:val="0000650E"/>
    <w:rsid w:val="000066ED"/>
    <w:rsid w:val="00006848"/>
    <w:rsid w:val="00006DB9"/>
    <w:rsid w:val="00006ED2"/>
    <w:rsid w:val="00006FBB"/>
    <w:rsid w:val="00007059"/>
    <w:rsid w:val="00007661"/>
    <w:rsid w:val="000076ED"/>
    <w:rsid w:val="00010A0D"/>
    <w:rsid w:val="00010B06"/>
    <w:rsid w:val="00012085"/>
    <w:rsid w:val="00012174"/>
    <w:rsid w:val="00012AF4"/>
    <w:rsid w:val="00012E37"/>
    <w:rsid w:val="0001332F"/>
    <w:rsid w:val="000134D3"/>
    <w:rsid w:val="00013942"/>
    <w:rsid w:val="00013953"/>
    <w:rsid w:val="00013E67"/>
    <w:rsid w:val="00013F9C"/>
    <w:rsid w:val="000144FA"/>
    <w:rsid w:val="000146AA"/>
    <w:rsid w:val="00014D14"/>
    <w:rsid w:val="0001516F"/>
    <w:rsid w:val="00015688"/>
    <w:rsid w:val="000156BC"/>
    <w:rsid w:val="000158F2"/>
    <w:rsid w:val="000159D5"/>
    <w:rsid w:val="00015CA8"/>
    <w:rsid w:val="00015EEB"/>
    <w:rsid w:val="00015FB9"/>
    <w:rsid w:val="000167D0"/>
    <w:rsid w:val="000174CE"/>
    <w:rsid w:val="00017854"/>
    <w:rsid w:val="00017901"/>
    <w:rsid w:val="00017A38"/>
    <w:rsid w:val="00017AF2"/>
    <w:rsid w:val="00020355"/>
    <w:rsid w:val="0002048E"/>
    <w:rsid w:val="000204FD"/>
    <w:rsid w:val="00021040"/>
    <w:rsid w:val="000212C4"/>
    <w:rsid w:val="000215A8"/>
    <w:rsid w:val="000219B5"/>
    <w:rsid w:val="00021C84"/>
    <w:rsid w:val="00021EEB"/>
    <w:rsid w:val="000223A5"/>
    <w:rsid w:val="00022755"/>
    <w:rsid w:val="00022E43"/>
    <w:rsid w:val="00023359"/>
    <w:rsid w:val="00023412"/>
    <w:rsid w:val="00023437"/>
    <w:rsid w:val="0002364E"/>
    <w:rsid w:val="00023E40"/>
    <w:rsid w:val="000243E1"/>
    <w:rsid w:val="00024481"/>
    <w:rsid w:val="00024AD3"/>
    <w:rsid w:val="0002584E"/>
    <w:rsid w:val="00025D2A"/>
    <w:rsid w:val="00025E28"/>
    <w:rsid w:val="0002646C"/>
    <w:rsid w:val="00026686"/>
    <w:rsid w:val="00026800"/>
    <w:rsid w:val="000268AF"/>
    <w:rsid w:val="00026BC6"/>
    <w:rsid w:val="00026DF6"/>
    <w:rsid w:val="00026FAF"/>
    <w:rsid w:val="0002727B"/>
    <w:rsid w:val="0002727D"/>
    <w:rsid w:val="0002734F"/>
    <w:rsid w:val="000276C1"/>
    <w:rsid w:val="000276E5"/>
    <w:rsid w:val="00027F57"/>
    <w:rsid w:val="00030280"/>
    <w:rsid w:val="0003032F"/>
    <w:rsid w:val="000309E1"/>
    <w:rsid w:val="00030B70"/>
    <w:rsid w:val="00031060"/>
    <w:rsid w:val="00031F80"/>
    <w:rsid w:val="000325AF"/>
    <w:rsid w:val="000329D1"/>
    <w:rsid w:val="00032AFF"/>
    <w:rsid w:val="00032EE7"/>
    <w:rsid w:val="000330F7"/>
    <w:rsid w:val="000330FB"/>
    <w:rsid w:val="00033228"/>
    <w:rsid w:val="00033253"/>
    <w:rsid w:val="000332CF"/>
    <w:rsid w:val="00033513"/>
    <w:rsid w:val="0003397B"/>
    <w:rsid w:val="00033FCF"/>
    <w:rsid w:val="000340E1"/>
    <w:rsid w:val="0003423B"/>
    <w:rsid w:val="00034577"/>
    <w:rsid w:val="0003478E"/>
    <w:rsid w:val="00034B5B"/>
    <w:rsid w:val="00034CBF"/>
    <w:rsid w:val="00034D9D"/>
    <w:rsid w:val="00034DC0"/>
    <w:rsid w:val="00034EF7"/>
    <w:rsid w:val="00034FD7"/>
    <w:rsid w:val="00035258"/>
    <w:rsid w:val="00035399"/>
    <w:rsid w:val="00035AE2"/>
    <w:rsid w:val="00035EB0"/>
    <w:rsid w:val="00036337"/>
    <w:rsid w:val="000366EF"/>
    <w:rsid w:val="000366F1"/>
    <w:rsid w:val="00037414"/>
    <w:rsid w:val="00037475"/>
    <w:rsid w:val="00037776"/>
    <w:rsid w:val="00037B8C"/>
    <w:rsid w:val="000402B2"/>
    <w:rsid w:val="00040549"/>
    <w:rsid w:val="000405C1"/>
    <w:rsid w:val="000406A0"/>
    <w:rsid w:val="00040A45"/>
    <w:rsid w:val="00040FE9"/>
    <w:rsid w:val="0004106D"/>
    <w:rsid w:val="000410A8"/>
    <w:rsid w:val="00041410"/>
    <w:rsid w:val="0004168F"/>
    <w:rsid w:val="00041A30"/>
    <w:rsid w:val="00041C4F"/>
    <w:rsid w:val="00041D9D"/>
    <w:rsid w:val="00041E9F"/>
    <w:rsid w:val="00041EEC"/>
    <w:rsid w:val="00042401"/>
    <w:rsid w:val="000427DE"/>
    <w:rsid w:val="00042F10"/>
    <w:rsid w:val="000436B2"/>
    <w:rsid w:val="00043858"/>
    <w:rsid w:val="00043B26"/>
    <w:rsid w:val="000441C1"/>
    <w:rsid w:val="00044338"/>
    <w:rsid w:val="000445FD"/>
    <w:rsid w:val="00044B58"/>
    <w:rsid w:val="00044CB3"/>
    <w:rsid w:val="00044D45"/>
    <w:rsid w:val="000458E5"/>
    <w:rsid w:val="00045B92"/>
    <w:rsid w:val="00045BE8"/>
    <w:rsid w:val="00046360"/>
    <w:rsid w:val="0004650A"/>
    <w:rsid w:val="000467F5"/>
    <w:rsid w:val="00046816"/>
    <w:rsid w:val="00047574"/>
    <w:rsid w:val="00047C6E"/>
    <w:rsid w:val="00047D9A"/>
    <w:rsid w:val="00047EBD"/>
    <w:rsid w:val="00047FAB"/>
    <w:rsid w:val="0004AA62"/>
    <w:rsid w:val="0005043E"/>
    <w:rsid w:val="00050A1C"/>
    <w:rsid w:val="00050C9B"/>
    <w:rsid w:val="00051055"/>
    <w:rsid w:val="0005124E"/>
    <w:rsid w:val="00051471"/>
    <w:rsid w:val="000514A8"/>
    <w:rsid w:val="000517E0"/>
    <w:rsid w:val="00051CFD"/>
    <w:rsid w:val="00051E51"/>
    <w:rsid w:val="0005214F"/>
    <w:rsid w:val="0005232C"/>
    <w:rsid w:val="0005299A"/>
    <w:rsid w:val="00052C6A"/>
    <w:rsid w:val="00053066"/>
    <w:rsid w:val="000536D3"/>
    <w:rsid w:val="000539EC"/>
    <w:rsid w:val="00053AB8"/>
    <w:rsid w:val="00053B24"/>
    <w:rsid w:val="00053DA0"/>
    <w:rsid w:val="00054156"/>
    <w:rsid w:val="00054914"/>
    <w:rsid w:val="00056165"/>
    <w:rsid w:val="00056EAF"/>
    <w:rsid w:val="00057155"/>
    <w:rsid w:val="000571E5"/>
    <w:rsid w:val="000576EB"/>
    <w:rsid w:val="000578A4"/>
    <w:rsid w:val="00060A3C"/>
    <w:rsid w:val="00060A65"/>
    <w:rsid w:val="00060B02"/>
    <w:rsid w:val="00060DBB"/>
    <w:rsid w:val="000612D5"/>
    <w:rsid w:val="00061382"/>
    <w:rsid w:val="000613F9"/>
    <w:rsid w:val="00061525"/>
    <w:rsid w:val="00061614"/>
    <w:rsid w:val="00061991"/>
    <w:rsid w:val="00061CCE"/>
    <w:rsid w:val="00061F96"/>
    <w:rsid w:val="00061FD4"/>
    <w:rsid w:val="00062758"/>
    <w:rsid w:val="00062825"/>
    <w:rsid w:val="00062C77"/>
    <w:rsid w:val="00062FB1"/>
    <w:rsid w:val="00063653"/>
    <w:rsid w:val="000640C1"/>
    <w:rsid w:val="00064CEB"/>
    <w:rsid w:val="00064ED1"/>
    <w:rsid w:val="0006506E"/>
    <w:rsid w:val="000650C2"/>
    <w:rsid w:val="000657D0"/>
    <w:rsid w:val="00065CB7"/>
    <w:rsid w:val="0006600F"/>
    <w:rsid w:val="00066257"/>
    <w:rsid w:val="0006660F"/>
    <w:rsid w:val="00066A0D"/>
    <w:rsid w:val="00066AC9"/>
    <w:rsid w:val="00066DE9"/>
    <w:rsid w:val="00066E61"/>
    <w:rsid w:val="0006E951"/>
    <w:rsid w:val="000703DD"/>
    <w:rsid w:val="0007053F"/>
    <w:rsid w:val="00070A5B"/>
    <w:rsid w:val="00070ACA"/>
    <w:rsid w:val="00070CB7"/>
    <w:rsid w:val="00071439"/>
    <w:rsid w:val="000718D6"/>
    <w:rsid w:val="00071D42"/>
    <w:rsid w:val="00071D78"/>
    <w:rsid w:val="00071EA9"/>
    <w:rsid w:val="00072099"/>
    <w:rsid w:val="000723B1"/>
    <w:rsid w:val="0007255A"/>
    <w:rsid w:val="00072707"/>
    <w:rsid w:val="00072716"/>
    <w:rsid w:val="00072867"/>
    <w:rsid w:val="00073165"/>
    <w:rsid w:val="000731DE"/>
    <w:rsid w:val="000731DF"/>
    <w:rsid w:val="0007370C"/>
    <w:rsid w:val="0007378D"/>
    <w:rsid w:val="0007391A"/>
    <w:rsid w:val="00073E0C"/>
    <w:rsid w:val="000743C4"/>
    <w:rsid w:val="000744B7"/>
    <w:rsid w:val="0007473C"/>
    <w:rsid w:val="00075909"/>
    <w:rsid w:val="000760D5"/>
    <w:rsid w:val="000761F2"/>
    <w:rsid w:val="00076294"/>
    <w:rsid w:val="00076660"/>
    <w:rsid w:val="00076F22"/>
    <w:rsid w:val="00077115"/>
    <w:rsid w:val="00077195"/>
    <w:rsid w:val="0007746A"/>
    <w:rsid w:val="00077971"/>
    <w:rsid w:val="00077CD1"/>
    <w:rsid w:val="00077DBC"/>
    <w:rsid w:val="000801D1"/>
    <w:rsid w:val="00080292"/>
    <w:rsid w:val="0008034A"/>
    <w:rsid w:val="000805EC"/>
    <w:rsid w:val="00080C01"/>
    <w:rsid w:val="00080D77"/>
    <w:rsid w:val="000810FA"/>
    <w:rsid w:val="00081F49"/>
    <w:rsid w:val="00081FFD"/>
    <w:rsid w:val="00082779"/>
    <w:rsid w:val="000827A0"/>
    <w:rsid w:val="000828DF"/>
    <w:rsid w:val="00082E38"/>
    <w:rsid w:val="00082EF9"/>
    <w:rsid w:val="000836EA"/>
    <w:rsid w:val="00083898"/>
    <w:rsid w:val="00083D4F"/>
    <w:rsid w:val="00083F82"/>
    <w:rsid w:val="000845D0"/>
    <w:rsid w:val="0008488D"/>
    <w:rsid w:val="00084B92"/>
    <w:rsid w:val="00084D2A"/>
    <w:rsid w:val="000859DC"/>
    <w:rsid w:val="00085C3C"/>
    <w:rsid w:val="000860C7"/>
    <w:rsid w:val="00086BF3"/>
    <w:rsid w:val="00087793"/>
    <w:rsid w:val="00087FE7"/>
    <w:rsid w:val="00090631"/>
    <w:rsid w:val="0009063C"/>
    <w:rsid w:val="000909DA"/>
    <w:rsid w:val="00090DEB"/>
    <w:rsid w:val="000910E3"/>
    <w:rsid w:val="00091F7B"/>
    <w:rsid w:val="0009274D"/>
    <w:rsid w:val="000928BC"/>
    <w:rsid w:val="0009293C"/>
    <w:rsid w:val="0009325F"/>
    <w:rsid w:val="000932B1"/>
    <w:rsid w:val="0009344C"/>
    <w:rsid w:val="000943E8"/>
    <w:rsid w:val="00094A90"/>
    <w:rsid w:val="00094C0F"/>
    <w:rsid w:val="000950EF"/>
    <w:rsid w:val="000954B8"/>
    <w:rsid w:val="000959B2"/>
    <w:rsid w:val="00095E5C"/>
    <w:rsid w:val="00095F08"/>
    <w:rsid w:val="00096002"/>
    <w:rsid w:val="000961EF"/>
    <w:rsid w:val="00096219"/>
    <w:rsid w:val="00096B67"/>
    <w:rsid w:val="00096E6F"/>
    <w:rsid w:val="00096F0C"/>
    <w:rsid w:val="000972FC"/>
    <w:rsid w:val="0009737E"/>
    <w:rsid w:val="00097463"/>
    <w:rsid w:val="0009760A"/>
    <w:rsid w:val="0009783F"/>
    <w:rsid w:val="000978E8"/>
    <w:rsid w:val="000A00BF"/>
    <w:rsid w:val="000A09E4"/>
    <w:rsid w:val="000A1370"/>
    <w:rsid w:val="000A140D"/>
    <w:rsid w:val="000A171D"/>
    <w:rsid w:val="000A1B83"/>
    <w:rsid w:val="000A1F1E"/>
    <w:rsid w:val="000A2917"/>
    <w:rsid w:val="000A29ED"/>
    <w:rsid w:val="000A2BA9"/>
    <w:rsid w:val="000A2BFE"/>
    <w:rsid w:val="000A318C"/>
    <w:rsid w:val="000A3351"/>
    <w:rsid w:val="000A39BC"/>
    <w:rsid w:val="000A3C61"/>
    <w:rsid w:val="000A44CE"/>
    <w:rsid w:val="000A45C3"/>
    <w:rsid w:val="000A4799"/>
    <w:rsid w:val="000A4A61"/>
    <w:rsid w:val="000A4D6E"/>
    <w:rsid w:val="000A4EF2"/>
    <w:rsid w:val="000A591A"/>
    <w:rsid w:val="000A596D"/>
    <w:rsid w:val="000A5C9D"/>
    <w:rsid w:val="000A6009"/>
    <w:rsid w:val="000A6151"/>
    <w:rsid w:val="000A6AFD"/>
    <w:rsid w:val="000A6E34"/>
    <w:rsid w:val="000A714A"/>
    <w:rsid w:val="000A794C"/>
    <w:rsid w:val="000A7E96"/>
    <w:rsid w:val="000A7F3F"/>
    <w:rsid w:val="000B0033"/>
    <w:rsid w:val="000B019A"/>
    <w:rsid w:val="000B062C"/>
    <w:rsid w:val="000B0BC9"/>
    <w:rsid w:val="000B0D87"/>
    <w:rsid w:val="000B1261"/>
    <w:rsid w:val="000B128A"/>
    <w:rsid w:val="000B1659"/>
    <w:rsid w:val="000B17B0"/>
    <w:rsid w:val="000B1BCC"/>
    <w:rsid w:val="000B205B"/>
    <w:rsid w:val="000B21D8"/>
    <w:rsid w:val="000B2A68"/>
    <w:rsid w:val="000B2D8E"/>
    <w:rsid w:val="000B31AA"/>
    <w:rsid w:val="000B335D"/>
    <w:rsid w:val="000B34FF"/>
    <w:rsid w:val="000B3F8B"/>
    <w:rsid w:val="000B5169"/>
    <w:rsid w:val="000B538F"/>
    <w:rsid w:val="000B573E"/>
    <w:rsid w:val="000B60C6"/>
    <w:rsid w:val="000B6401"/>
    <w:rsid w:val="000B666E"/>
    <w:rsid w:val="000B6D0D"/>
    <w:rsid w:val="000B77C2"/>
    <w:rsid w:val="000B77D0"/>
    <w:rsid w:val="000B7830"/>
    <w:rsid w:val="000B783E"/>
    <w:rsid w:val="000B7CEF"/>
    <w:rsid w:val="000C0466"/>
    <w:rsid w:val="000C0837"/>
    <w:rsid w:val="000C0AAA"/>
    <w:rsid w:val="000C0DEC"/>
    <w:rsid w:val="000C122E"/>
    <w:rsid w:val="000C1253"/>
    <w:rsid w:val="000C1295"/>
    <w:rsid w:val="000C1345"/>
    <w:rsid w:val="000C2647"/>
    <w:rsid w:val="000C2A18"/>
    <w:rsid w:val="000C2D7D"/>
    <w:rsid w:val="000C38AD"/>
    <w:rsid w:val="000C3A2B"/>
    <w:rsid w:val="000C3AD2"/>
    <w:rsid w:val="000C3C31"/>
    <w:rsid w:val="000C3CD2"/>
    <w:rsid w:val="000C40E8"/>
    <w:rsid w:val="000C41D9"/>
    <w:rsid w:val="000C4C23"/>
    <w:rsid w:val="000C51F7"/>
    <w:rsid w:val="000C556A"/>
    <w:rsid w:val="000C557E"/>
    <w:rsid w:val="000C55E2"/>
    <w:rsid w:val="000C58AC"/>
    <w:rsid w:val="000C5A05"/>
    <w:rsid w:val="000C5D18"/>
    <w:rsid w:val="000C69B0"/>
    <w:rsid w:val="000C7C51"/>
    <w:rsid w:val="000C7F98"/>
    <w:rsid w:val="000D03F4"/>
    <w:rsid w:val="000D0979"/>
    <w:rsid w:val="000D0B09"/>
    <w:rsid w:val="000D0BDF"/>
    <w:rsid w:val="000D109E"/>
    <w:rsid w:val="000D16D8"/>
    <w:rsid w:val="000D17D2"/>
    <w:rsid w:val="000D17DE"/>
    <w:rsid w:val="000D183D"/>
    <w:rsid w:val="000D25DB"/>
    <w:rsid w:val="000D2664"/>
    <w:rsid w:val="000D293A"/>
    <w:rsid w:val="000D2987"/>
    <w:rsid w:val="000D3342"/>
    <w:rsid w:val="000D339B"/>
    <w:rsid w:val="000D42D8"/>
    <w:rsid w:val="000D46AB"/>
    <w:rsid w:val="000D5151"/>
    <w:rsid w:val="000D556E"/>
    <w:rsid w:val="000D589C"/>
    <w:rsid w:val="000D5B7B"/>
    <w:rsid w:val="000D5C06"/>
    <w:rsid w:val="000D5E0C"/>
    <w:rsid w:val="000D662B"/>
    <w:rsid w:val="000D6661"/>
    <w:rsid w:val="000D673E"/>
    <w:rsid w:val="000D6AC2"/>
    <w:rsid w:val="000D6B3A"/>
    <w:rsid w:val="000D7739"/>
    <w:rsid w:val="000D7984"/>
    <w:rsid w:val="000D7A6D"/>
    <w:rsid w:val="000D7B03"/>
    <w:rsid w:val="000D7EB6"/>
    <w:rsid w:val="000E0650"/>
    <w:rsid w:val="000E11CD"/>
    <w:rsid w:val="000E1EBA"/>
    <w:rsid w:val="000E2706"/>
    <w:rsid w:val="000E271C"/>
    <w:rsid w:val="000E29E8"/>
    <w:rsid w:val="000E2A42"/>
    <w:rsid w:val="000E3114"/>
    <w:rsid w:val="000E3C50"/>
    <w:rsid w:val="000E3EAB"/>
    <w:rsid w:val="000E409B"/>
    <w:rsid w:val="000E4272"/>
    <w:rsid w:val="000E465F"/>
    <w:rsid w:val="000E4A90"/>
    <w:rsid w:val="000E4DC3"/>
    <w:rsid w:val="000E4F6A"/>
    <w:rsid w:val="000E5132"/>
    <w:rsid w:val="000E5680"/>
    <w:rsid w:val="000E5955"/>
    <w:rsid w:val="000E5A07"/>
    <w:rsid w:val="000E5AE1"/>
    <w:rsid w:val="000E61A7"/>
    <w:rsid w:val="000E6226"/>
    <w:rsid w:val="000E6C8B"/>
    <w:rsid w:val="000E6C92"/>
    <w:rsid w:val="000E7188"/>
    <w:rsid w:val="000E7289"/>
    <w:rsid w:val="000E72A3"/>
    <w:rsid w:val="000E7D73"/>
    <w:rsid w:val="000F02C8"/>
    <w:rsid w:val="000F0660"/>
    <w:rsid w:val="000F09CA"/>
    <w:rsid w:val="000F149C"/>
    <w:rsid w:val="000F1BAE"/>
    <w:rsid w:val="000F2470"/>
    <w:rsid w:val="000F27BC"/>
    <w:rsid w:val="000F2D70"/>
    <w:rsid w:val="000F34B8"/>
    <w:rsid w:val="000F34FA"/>
    <w:rsid w:val="000F365A"/>
    <w:rsid w:val="000F3933"/>
    <w:rsid w:val="000F3A0C"/>
    <w:rsid w:val="000F3A38"/>
    <w:rsid w:val="000F458E"/>
    <w:rsid w:val="000F4E60"/>
    <w:rsid w:val="000F51F7"/>
    <w:rsid w:val="000F5417"/>
    <w:rsid w:val="000F592C"/>
    <w:rsid w:val="000F5E1F"/>
    <w:rsid w:val="000F6568"/>
    <w:rsid w:val="000F74AC"/>
    <w:rsid w:val="000F7612"/>
    <w:rsid w:val="000F7A5C"/>
    <w:rsid w:val="000F7BD3"/>
    <w:rsid w:val="000F7CD0"/>
    <w:rsid w:val="000F7FDC"/>
    <w:rsid w:val="00100176"/>
    <w:rsid w:val="001007E6"/>
    <w:rsid w:val="00100975"/>
    <w:rsid w:val="0010097E"/>
    <w:rsid w:val="00100E27"/>
    <w:rsid w:val="00100F75"/>
    <w:rsid w:val="00100F9C"/>
    <w:rsid w:val="001010F0"/>
    <w:rsid w:val="001014C4"/>
    <w:rsid w:val="00101614"/>
    <w:rsid w:val="00101A8B"/>
    <w:rsid w:val="00101B0D"/>
    <w:rsid w:val="00101F2D"/>
    <w:rsid w:val="001021C4"/>
    <w:rsid w:val="00102330"/>
    <w:rsid w:val="00102359"/>
    <w:rsid w:val="00102803"/>
    <w:rsid w:val="001036BA"/>
    <w:rsid w:val="00103BCB"/>
    <w:rsid w:val="00103CB5"/>
    <w:rsid w:val="00103EB6"/>
    <w:rsid w:val="00104089"/>
    <w:rsid w:val="001042C6"/>
    <w:rsid w:val="00104626"/>
    <w:rsid w:val="0010471D"/>
    <w:rsid w:val="001049D5"/>
    <w:rsid w:val="00104A17"/>
    <w:rsid w:val="00104B9B"/>
    <w:rsid w:val="001056F7"/>
    <w:rsid w:val="00105B04"/>
    <w:rsid w:val="00106A1A"/>
    <w:rsid w:val="00106A26"/>
    <w:rsid w:val="00106B67"/>
    <w:rsid w:val="00106EB8"/>
    <w:rsid w:val="001072D0"/>
    <w:rsid w:val="00107323"/>
    <w:rsid w:val="001075FB"/>
    <w:rsid w:val="00107704"/>
    <w:rsid w:val="00110154"/>
    <w:rsid w:val="00110636"/>
    <w:rsid w:val="00110D00"/>
    <w:rsid w:val="00110D0D"/>
    <w:rsid w:val="00110DD7"/>
    <w:rsid w:val="00110FBD"/>
    <w:rsid w:val="001114A7"/>
    <w:rsid w:val="00111642"/>
    <w:rsid w:val="00111663"/>
    <w:rsid w:val="001124FE"/>
    <w:rsid w:val="001127D3"/>
    <w:rsid w:val="001129AA"/>
    <w:rsid w:val="00112D6F"/>
    <w:rsid w:val="001130A1"/>
    <w:rsid w:val="0011310F"/>
    <w:rsid w:val="001131D1"/>
    <w:rsid w:val="001137F6"/>
    <w:rsid w:val="00113EAB"/>
    <w:rsid w:val="00113FD0"/>
    <w:rsid w:val="00114097"/>
    <w:rsid w:val="00114396"/>
    <w:rsid w:val="001144E7"/>
    <w:rsid w:val="00115008"/>
    <w:rsid w:val="00115431"/>
    <w:rsid w:val="0011549F"/>
    <w:rsid w:val="001162FF"/>
    <w:rsid w:val="00116CA0"/>
    <w:rsid w:val="00117BDF"/>
    <w:rsid w:val="00117D61"/>
    <w:rsid w:val="00120139"/>
    <w:rsid w:val="0012025A"/>
    <w:rsid w:val="001205D7"/>
    <w:rsid w:val="001206D9"/>
    <w:rsid w:val="00120928"/>
    <w:rsid w:val="00120CC5"/>
    <w:rsid w:val="00120D60"/>
    <w:rsid w:val="00120D77"/>
    <w:rsid w:val="0012127F"/>
    <w:rsid w:val="00121372"/>
    <w:rsid w:val="001219D9"/>
    <w:rsid w:val="00121ACE"/>
    <w:rsid w:val="00122885"/>
    <w:rsid w:val="00122A1E"/>
    <w:rsid w:val="00122BAB"/>
    <w:rsid w:val="0012349D"/>
    <w:rsid w:val="00123543"/>
    <w:rsid w:val="0012380C"/>
    <w:rsid w:val="00123CD0"/>
    <w:rsid w:val="001240B9"/>
    <w:rsid w:val="0012420C"/>
    <w:rsid w:val="001242EB"/>
    <w:rsid w:val="001244D7"/>
    <w:rsid w:val="00124EA3"/>
    <w:rsid w:val="001254DB"/>
    <w:rsid w:val="001255F3"/>
    <w:rsid w:val="00125DE5"/>
    <w:rsid w:val="001260FC"/>
    <w:rsid w:val="001263E8"/>
    <w:rsid w:val="00126450"/>
    <w:rsid w:val="00126878"/>
    <w:rsid w:val="00126D9B"/>
    <w:rsid w:val="00126EAA"/>
    <w:rsid w:val="00126F1F"/>
    <w:rsid w:val="00126F6B"/>
    <w:rsid w:val="001272B6"/>
    <w:rsid w:val="0012736B"/>
    <w:rsid w:val="00127994"/>
    <w:rsid w:val="00127B0A"/>
    <w:rsid w:val="00128747"/>
    <w:rsid w:val="001304D8"/>
    <w:rsid w:val="0013066F"/>
    <w:rsid w:val="0013080A"/>
    <w:rsid w:val="00130A32"/>
    <w:rsid w:val="00130C9E"/>
    <w:rsid w:val="001311EF"/>
    <w:rsid w:val="00131314"/>
    <w:rsid w:val="00131427"/>
    <w:rsid w:val="001314A8"/>
    <w:rsid w:val="00131B24"/>
    <w:rsid w:val="00131C23"/>
    <w:rsid w:val="00131FCB"/>
    <w:rsid w:val="0013237A"/>
    <w:rsid w:val="00132CAF"/>
    <w:rsid w:val="00133BF3"/>
    <w:rsid w:val="00133E7C"/>
    <w:rsid w:val="001342B2"/>
    <w:rsid w:val="00134F54"/>
    <w:rsid w:val="00135018"/>
    <w:rsid w:val="0013507B"/>
    <w:rsid w:val="001350FC"/>
    <w:rsid w:val="0013512E"/>
    <w:rsid w:val="001351C1"/>
    <w:rsid w:val="001352C2"/>
    <w:rsid w:val="00135D8E"/>
    <w:rsid w:val="00135EBA"/>
    <w:rsid w:val="0013624D"/>
    <w:rsid w:val="00136576"/>
    <w:rsid w:val="0013677D"/>
    <w:rsid w:val="001368E0"/>
    <w:rsid w:val="00136BBA"/>
    <w:rsid w:val="00136D87"/>
    <w:rsid w:val="00137118"/>
    <w:rsid w:val="00137238"/>
    <w:rsid w:val="00137275"/>
    <w:rsid w:val="001372D5"/>
    <w:rsid w:val="00137DDD"/>
    <w:rsid w:val="00137E70"/>
    <w:rsid w:val="00137FB9"/>
    <w:rsid w:val="001402FB"/>
    <w:rsid w:val="001404B8"/>
    <w:rsid w:val="00140BDF"/>
    <w:rsid w:val="00140C1F"/>
    <w:rsid w:val="00141276"/>
    <w:rsid w:val="001418E3"/>
    <w:rsid w:val="00141ADA"/>
    <w:rsid w:val="00142023"/>
    <w:rsid w:val="001421CB"/>
    <w:rsid w:val="001424FF"/>
    <w:rsid w:val="001425FB"/>
    <w:rsid w:val="001428F6"/>
    <w:rsid w:val="00142F84"/>
    <w:rsid w:val="0014316C"/>
    <w:rsid w:val="00143256"/>
    <w:rsid w:val="00143911"/>
    <w:rsid w:val="00143B70"/>
    <w:rsid w:val="001442D9"/>
    <w:rsid w:val="0014488B"/>
    <w:rsid w:val="00145182"/>
    <w:rsid w:val="001451DB"/>
    <w:rsid w:val="0014542A"/>
    <w:rsid w:val="00145BAE"/>
    <w:rsid w:val="00145E61"/>
    <w:rsid w:val="00146219"/>
    <w:rsid w:val="0014642F"/>
    <w:rsid w:val="0014646F"/>
    <w:rsid w:val="00147184"/>
    <w:rsid w:val="001473CD"/>
    <w:rsid w:val="001476BD"/>
    <w:rsid w:val="00147833"/>
    <w:rsid w:val="0014789F"/>
    <w:rsid w:val="00150286"/>
    <w:rsid w:val="001503E4"/>
    <w:rsid w:val="00150510"/>
    <w:rsid w:val="001507B4"/>
    <w:rsid w:val="001508A8"/>
    <w:rsid w:val="00151232"/>
    <w:rsid w:val="001517E0"/>
    <w:rsid w:val="001518BD"/>
    <w:rsid w:val="00151D5B"/>
    <w:rsid w:val="001520D7"/>
    <w:rsid w:val="0015254F"/>
    <w:rsid w:val="00152682"/>
    <w:rsid w:val="00152BAD"/>
    <w:rsid w:val="00152C03"/>
    <w:rsid w:val="001531D8"/>
    <w:rsid w:val="00153A67"/>
    <w:rsid w:val="00153BCB"/>
    <w:rsid w:val="00153DD1"/>
    <w:rsid w:val="0015422F"/>
    <w:rsid w:val="00154607"/>
    <w:rsid w:val="0015470E"/>
    <w:rsid w:val="00154BD5"/>
    <w:rsid w:val="0015532C"/>
    <w:rsid w:val="00155B15"/>
    <w:rsid w:val="00155BE0"/>
    <w:rsid w:val="00155CAA"/>
    <w:rsid w:val="00156111"/>
    <w:rsid w:val="0015635D"/>
    <w:rsid w:val="001569F6"/>
    <w:rsid w:val="00160082"/>
    <w:rsid w:val="00160193"/>
    <w:rsid w:val="001601DC"/>
    <w:rsid w:val="001603FF"/>
    <w:rsid w:val="00160463"/>
    <w:rsid w:val="00160A75"/>
    <w:rsid w:val="00160C06"/>
    <w:rsid w:val="00161754"/>
    <w:rsid w:val="00161AFE"/>
    <w:rsid w:val="00161ED0"/>
    <w:rsid w:val="00162645"/>
    <w:rsid w:val="00162B55"/>
    <w:rsid w:val="00162F41"/>
    <w:rsid w:val="0016312B"/>
    <w:rsid w:val="00163759"/>
    <w:rsid w:val="00163C39"/>
    <w:rsid w:val="00164069"/>
    <w:rsid w:val="001640C6"/>
    <w:rsid w:val="001641B3"/>
    <w:rsid w:val="00164886"/>
    <w:rsid w:val="00164D47"/>
    <w:rsid w:val="001654E6"/>
    <w:rsid w:val="0016579A"/>
    <w:rsid w:val="0016590B"/>
    <w:rsid w:val="00165D28"/>
    <w:rsid w:val="00165E1F"/>
    <w:rsid w:val="00166319"/>
    <w:rsid w:val="0016683D"/>
    <w:rsid w:val="001669B7"/>
    <w:rsid w:val="00166B07"/>
    <w:rsid w:val="00166C9D"/>
    <w:rsid w:val="001670B6"/>
    <w:rsid w:val="0016717F"/>
    <w:rsid w:val="0016776A"/>
    <w:rsid w:val="0017013D"/>
    <w:rsid w:val="001701D4"/>
    <w:rsid w:val="00170296"/>
    <w:rsid w:val="001702D7"/>
    <w:rsid w:val="001705A4"/>
    <w:rsid w:val="00170877"/>
    <w:rsid w:val="00170EB5"/>
    <w:rsid w:val="001713CB"/>
    <w:rsid w:val="001714CF"/>
    <w:rsid w:val="00171E20"/>
    <w:rsid w:val="00172408"/>
    <w:rsid w:val="001724CF"/>
    <w:rsid w:val="0017299F"/>
    <w:rsid w:val="00172A1C"/>
    <w:rsid w:val="00172E3C"/>
    <w:rsid w:val="00173043"/>
    <w:rsid w:val="00173337"/>
    <w:rsid w:val="0017337B"/>
    <w:rsid w:val="001736BF"/>
    <w:rsid w:val="00173BC3"/>
    <w:rsid w:val="00173E05"/>
    <w:rsid w:val="00173EC5"/>
    <w:rsid w:val="0017439E"/>
    <w:rsid w:val="0017450D"/>
    <w:rsid w:val="00174598"/>
    <w:rsid w:val="00175010"/>
    <w:rsid w:val="00175B83"/>
    <w:rsid w:val="00175FD9"/>
    <w:rsid w:val="0017602A"/>
    <w:rsid w:val="00176662"/>
    <w:rsid w:val="00176AE8"/>
    <w:rsid w:val="00176FAC"/>
    <w:rsid w:val="001771F3"/>
    <w:rsid w:val="00177403"/>
    <w:rsid w:val="00177915"/>
    <w:rsid w:val="00177A61"/>
    <w:rsid w:val="00177D75"/>
    <w:rsid w:val="00177F03"/>
    <w:rsid w:val="00180336"/>
    <w:rsid w:val="00180BD3"/>
    <w:rsid w:val="001811AE"/>
    <w:rsid w:val="001816AC"/>
    <w:rsid w:val="00181FED"/>
    <w:rsid w:val="001820A2"/>
    <w:rsid w:val="0018229C"/>
    <w:rsid w:val="001822F8"/>
    <w:rsid w:val="00182DFF"/>
    <w:rsid w:val="00183221"/>
    <w:rsid w:val="0018348E"/>
    <w:rsid w:val="00183941"/>
    <w:rsid w:val="00183BA7"/>
    <w:rsid w:val="00183BC5"/>
    <w:rsid w:val="00183F5F"/>
    <w:rsid w:val="00184EA8"/>
    <w:rsid w:val="00184F59"/>
    <w:rsid w:val="00185692"/>
    <w:rsid w:val="0018584C"/>
    <w:rsid w:val="0018587A"/>
    <w:rsid w:val="001858FC"/>
    <w:rsid w:val="00185A19"/>
    <w:rsid w:val="00185CFC"/>
    <w:rsid w:val="001860A6"/>
    <w:rsid w:val="00186598"/>
    <w:rsid w:val="001866EE"/>
    <w:rsid w:val="00186B71"/>
    <w:rsid w:val="00186ED8"/>
    <w:rsid w:val="001874BC"/>
    <w:rsid w:val="001876F8"/>
    <w:rsid w:val="00187C7A"/>
    <w:rsid w:val="00187D6F"/>
    <w:rsid w:val="00190341"/>
    <w:rsid w:val="00190956"/>
    <w:rsid w:val="00190B7D"/>
    <w:rsid w:val="001911B5"/>
    <w:rsid w:val="00191219"/>
    <w:rsid w:val="0019171B"/>
    <w:rsid w:val="00191881"/>
    <w:rsid w:val="00191A9B"/>
    <w:rsid w:val="00191B73"/>
    <w:rsid w:val="00192109"/>
    <w:rsid w:val="00192634"/>
    <w:rsid w:val="00192679"/>
    <w:rsid w:val="00192A35"/>
    <w:rsid w:val="00192A5E"/>
    <w:rsid w:val="001936C7"/>
    <w:rsid w:val="00193868"/>
    <w:rsid w:val="0019392C"/>
    <w:rsid w:val="00193DDE"/>
    <w:rsid w:val="00193E14"/>
    <w:rsid w:val="00193E3C"/>
    <w:rsid w:val="00194669"/>
    <w:rsid w:val="001947CF"/>
    <w:rsid w:val="001947F2"/>
    <w:rsid w:val="00194801"/>
    <w:rsid w:val="00194CD0"/>
    <w:rsid w:val="00195A02"/>
    <w:rsid w:val="00195CC7"/>
    <w:rsid w:val="00195D4D"/>
    <w:rsid w:val="00195F7E"/>
    <w:rsid w:val="00196153"/>
    <w:rsid w:val="001961C5"/>
    <w:rsid w:val="00196835"/>
    <w:rsid w:val="00196D2C"/>
    <w:rsid w:val="00196DCC"/>
    <w:rsid w:val="001972AA"/>
    <w:rsid w:val="00197456"/>
    <w:rsid w:val="00197603"/>
    <w:rsid w:val="00197649"/>
    <w:rsid w:val="0019783F"/>
    <w:rsid w:val="00197A72"/>
    <w:rsid w:val="00197ECB"/>
    <w:rsid w:val="001A0AA8"/>
    <w:rsid w:val="001A0D59"/>
    <w:rsid w:val="001A0D98"/>
    <w:rsid w:val="001A0F6C"/>
    <w:rsid w:val="001A11E3"/>
    <w:rsid w:val="001A1213"/>
    <w:rsid w:val="001A23D3"/>
    <w:rsid w:val="001A2645"/>
    <w:rsid w:val="001A2BC2"/>
    <w:rsid w:val="001A2CBE"/>
    <w:rsid w:val="001A3003"/>
    <w:rsid w:val="001A34B9"/>
    <w:rsid w:val="001A363F"/>
    <w:rsid w:val="001A3A7B"/>
    <w:rsid w:val="001A3C43"/>
    <w:rsid w:val="001A3C62"/>
    <w:rsid w:val="001A3D3C"/>
    <w:rsid w:val="001A3D95"/>
    <w:rsid w:val="001A4372"/>
    <w:rsid w:val="001A4410"/>
    <w:rsid w:val="001A445F"/>
    <w:rsid w:val="001A46D2"/>
    <w:rsid w:val="001A475B"/>
    <w:rsid w:val="001A482E"/>
    <w:rsid w:val="001A4EBD"/>
    <w:rsid w:val="001A5352"/>
    <w:rsid w:val="001A568A"/>
    <w:rsid w:val="001A6160"/>
    <w:rsid w:val="001A6388"/>
    <w:rsid w:val="001A64DC"/>
    <w:rsid w:val="001A6843"/>
    <w:rsid w:val="001A693C"/>
    <w:rsid w:val="001A6A6C"/>
    <w:rsid w:val="001A6F3B"/>
    <w:rsid w:val="001A6FFB"/>
    <w:rsid w:val="001A7315"/>
    <w:rsid w:val="001A73D1"/>
    <w:rsid w:val="001A77B6"/>
    <w:rsid w:val="001A78A1"/>
    <w:rsid w:val="001B0042"/>
    <w:rsid w:val="001B0103"/>
    <w:rsid w:val="001B0261"/>
    <w:rsid w:val="001B0491"/>
    <w:rsid w:val="001B052B"/>
    <w:rsid w:val="001B0915"/>
    <w:rsid w:val="001B09E5"/>
    <w:rsid w:val="001B0F1E"/>
    <w:rsid w:val="001B1B05"/>
    <w:rsid w:val="001B1B61"/>
    <w:rsid w:val="001B1DF4"/>
    <w:rsid w:val="001B1E4F"/>
    <w:rsid w:val="001B23DA"/>
    <w:rsid w:val="001B241B"/>
    <w:rsid w:val="001B254B"/>
    <w:rsid w:val="001B26BF"/>
    <w:rsid w:val="001B2767"/>
    <w:rsid w:val="001B299F"/>
    <w:rsid w:val="001B2D2E"/>
    <w:rsid w:val="001B2E1A"/>
    <w:rsid w:val="001B2F4C"/>
    <w:rsid w:val="001B3085"/>
    <w:rsid w:val="001B39CE"/>
    <w:rsid w:val="001B3C41"/>
    <w:rsid w:val="001B3DC7"/>
    <w:rsid w:val="001B3E34"/>
    <w:rsid w:val="001B3FC3"/>
    <w:rsid w:val="001B4C33"/>
    <w:rsid w:val="001B5393"/>
    <w:rsid w:val="001B5AB0"/>
    <w:rsid w:val="001B5EC2"/>
    <w:rsid w:val="001B5F4A"/>
    <w:rsid w:val="001B5FC6"/>
    <w:rsid w:val="001B6080"/>
    <w:rsid w:val="001B6137"/>
    <w:rsid w:val="001B62A1"/>
    <w:rsid w:val="001B6A9E"/>
    <w:rsid w:val="001B6B5D"/>
    <w:rsid w:val="001B6C71"/>
    <w:rsid w:val="001B6F34"/>
    <w:rsid w:val="001B6FAD"/>
    <w:rsid w:val="001B74C3"/>
    <w:rsid w:val="001B7D5C"/>
    <w:rsid w:val="001C00BC"/>
    <w:rsid w:val="001C01D0"/>
    <w:rsid w:val="001C0986"/>
    <w:rsid w:val="001C134C"/>
    <w:rsid w:val="001C1881"/>
    <w:rsid w:val="001C1953"/>
    <w:rsid w:val="001C1B6B"/>
    <w:rsid w:val="001C1C69"/>
    <w:rsid w:val="001C20B4"/>
    <w:rsid w:val="001C22B5"/>
    <w:rsid w:val="001C24F9"/>
    <w:rsid w:val="001C27DC"/>
    <w:rsid w:val="001C29F8"/>
    <w:rsid w:val="001C2BCA"/>
    <w:rsid w:val="001C2DFF"/>
    <w:rsid w:val="001C2EDD"/>
    <w:rsid w:val="001C31B5"/>
    <w:rsid w:val="001C3602"/>
    <w:rsid w:val="001C39AB"/>
    <w:rsid w:val="001C3CDF"/>
    <w:rsid w:val="001C3F71"/>
    <w:rsid w:val="001C4182"/>
    <w:rsid w:val="001C4527"/>
    <w:rsid w:val="001C459A"/>
    <w:rsid w:val="001C473F"/>
    <w:rsid w:val="001C49D0"/>
    <w:rsid w:val="001C4B49"/>
    <w:rsid w:val="001C4CA4"/>
    <w:rsid w:val="001C4D3B"/>
    <w:rsid w:val="001C50D8"/>
    <w:rsid w:val="001C51DD"/>
    <w:rsid w:val="001C5593"/>
    <w:rsid w:val="001C570C"/>
    <w:rsid w:val="001C5AA5"/>
    <w:rsid w:val="001C5D07"/>
    <w:rsid w:val="001C5E65"/>
    <w:rsid w:val="001C6034"/>
    <w:rsid w:val="001C64C0"/>
    <w:rsid w:val="001C6C46"/>
    <w:rsid w:val="001C6CEF"/>
    <w:rsid w:val="001C6DAB"/>
    <w:rsid w:val="001C7A72"/>
    <w:rsid w:val="001C7AFA"/>
    <w:rsid w:val="001C7ED2"/>
    <w:rsid w:val="001D03DC"/>
    <w:rsid w:val="001D0459"/>
    <w:rsid w:val="001D055F"/>
    <w:rsid w:val="001D0664"/>
    <w:rsid w:val="001D0AC0"/>
    <w:rsid w:val="001D0B52"/>
    <w:rsid w:val="001D0BC2"/>
    <w:rsid w:val="001D0D29"/>
    <w:rsid w:val="001D0E42"/>
    <w:rsid w:val="001D158D"/>
    <w:rsid w:val="001D1782"/>
    <w:rsid w:val="001D1E86"/>
    <w:rsid w:val="001D218D"/>
    <w:rsid w:val="001D2201"/>
    <w:rsid w:val="001D225D"/>
    <w:rsid w:val="001D25DF"/>
    <w:rsid w:val="001D260D"/>
    <w:rsid w:val="001D2F0C"/>
    <w:rsid w:val="001D302D"/>
    <w:rsid w:val="001D333D"/>
    <w:rsid w:val="001D381D"/>
    <w:rsid w:val="001D3C9F"/>
    <w:rsid w:val="001D3D27"/>
    <w:rsid w:val="001D3F03"/>
    <w:rsid w:val="001D42B1"/>
    <w:rsid w:val="001D4316"/>
    <w:rsid w:val="001D4784"/>
    <w:rsid w:val="001D4875"/>
    <w:rsid w:val="001D498E"/>
    <w:rsid w:val="001D55FB"/>
    <w:rsid w:val="001D588B"/>
    <w:rsid w:val="001D5941"/>
    <w:rsid w:val="001D69E1"/>
    <w:rsid w:val="001D6ACF"/>
    <w:rsid w:val="001D6B23"/>
    <w:rsid w:val="001D6D26"/>
    <w:rsid w:val="001D6DE4"/>
    <w:rsid w:val="001D7850"/>
    <w:rsid w:val="001D78E6"/>
    <w:rsid w:val="001D7EF7"/>
    <w:rsid w:val="001E03BE"/>
    <w:rsid w:val="001E05A7"/>
    <w:rsid w:val="001E06FA"/>
    <w:rsid w:val="001E07D3"/>
    <w:rsid w:val="001E090C"/>
    <w:rsid w:val="001E09CF"/>
    <w:rsid w:val="001E0AF5"/>
    <w:rsid w:val="001E0BA9"/>
    <w:rsid w:val="001E11B0"/>
    <w:rsid w:val="001E15AD"/>
    <w:rsid w:val="001E191C"/>
    <w:rsid w:val="001E197F"/>
    <w:rsid w:val="001E1AF9"/>
    <w:rsid w:val="001E1E8D"/>
    <w:rsid w:val="001E2102"/>
    <w:rsid w:val="001E22E1"/>
    <w:rsid w:val="001E27D4"/>
    <w:rsid w:val="001E2853"/>
    <w:rsid w:val="001E2F15"/>
    <w:rsid w:val="001E319D"/>
    <w:rsid w:val="001E3886"/>
    <w:rsid w:val="001E444F"/>
    <w:rsid w:val="001E47A5"/>
    <w:rsid w:val="001E49C0"/>
    <w:rsid w:val="001E504C"/>
    <w:rsid w:val="001E505E"/>
    <w:rsid w:val="001E52D0"/>
    <w:rsid w:val="001E5771"/>
    <w:rsid w:val="001E631A"/>
    <w:rsid w:val="001E6523"/>
    <w:rsid w:val="001E6F12"/>
    <w:rsid w:val="001E701B"/>
    <w:rsid w:val="001E76B2"/>
    <w:rsid w:val="001E774A"/>
    <w:rsid w:val="001E77CC"/>
    <w:rsid w:val="001E79D0"/>
    <w:rsid w:val="001E7C2A"/>
    <w:rsid w:val="001E7D84"/>
    <w:rsid w:val="001F0005"/>
    <w:rsid w:val="001F02A8"/>
    <w:rsid w:val="001F0397"/>
    <w:rsid w:val="001F04B0"/>
    <w:rsid w:val="001F092F"/>
    <w:rsid w:val="001F0B87"/>
    <w:rsid w:val="001F0C09"/>
    <w:rsid w:val="001F103C"/>
    <w:rsid w:val="001F133A"/>
    <w:rsid w:val="001F1CAE"/>
    <w:rsid w:val="001F226C"/>
    <w:rsid w:val="001F236E"/>
    <w:rsid w:val="001F241E"/>
    <w:rsid w:val="001F2E7D"/>
    <w:rsid w:val="001F2ED5"/>
    <w:rsid w:val="001F3199"/>
    <w:rsid w:val="001F333C"/>
    <w:rsid w:val="001F38C4"/>
    <w:rsid w:val="001F3BFF"/>
    <w:rsid w:val="001F3DD2"/>
    <w:rsid w:val="001F3FE7"/>
    <w:rsid w:val="001F47B3"/>
    <w:rsid w:val="001F4AC8"/>
    <w:rsid w:val="001F4EEE"/>
    <w:rsid w:val="001F4F66"/>
    <w:rsid w:val="001F52D3"/>
    <w:rsid w:val="001F5B7D"/>
    <w:rsid w:val="001F603E"/>
    <w:rsid w:val="001F643F"/>
    <w:rsid w:val="001F683A"/>
    <w:rsid w:val="001F6BA7"/>
    <w:rsid w:val="001F6E2B"/>
    <w:rsid w:val="001F7344"/>
    <w:rsid w:val="001F76DD"/>
    <w:rsid w:val="001F7750"/>
    <w:rsid w:val="001F79FD"/>
    <w:rsid w:val="001F7A6C"/>
    <w:rsid w:val="002001DD"/>
    <w:rsid w:val="0020030D"/>
    <w:rsid w:val="00200903"/>
    <w:rsid w:val="00200D3F"/>
    <w:rsid w:val="00200DC7"/>
    <w:rsid w:val="002011A7"/>
    <w:rsid w:val="00201291"/>
    <w:rsid w:val="00201936"/>
    <w:rsid w:val="00201AB5"/>
    <w:rsid w:val="00202073"/>
    <w:rsid w:val="002020D6"/>
    <w:rsid w:val="0020227D"/>
    <w:rsid w:val="00202746"/>
    <w:rsid w:val="002029EB"/>
    <w:rsid w:val="00202B53"/>
    <w:rsid w:val="00203486"/>
    <w:rsid w:val="00203500"/>
    <w:rsid w:val="00203788"/>
    <w:rsid w:val="00203AB7"/>
    <w:rsid w:val="00203C30"/>
    <w:rsid w:val="002043D1"/>
    <w:rsid w:val="002043DF"/>
    <w:rsid w:val="0020446A"/>
    <w:rsid w:val="00204684"/>
    <w:rsid w:val="0020476B"/>
    <w:rsid w:val="002048BC"/>
    <w:rsid w:val="00204C97"/>
    <w:rsid w:val="00205075"/>
    <w:rsid w:val="002058A9"/>
    <w:rsid w:val="00205996"/>
    <w:rsid w:val="002062B1"/>
    <w:rsid w:val="00206923"/>
    <w:rsid w:val="00207107"/>
    <w:rsid w:val="0020775B"/>
    <w:rsid w:val="00207B97"/>
    <w:rsid w:val="0021001A"/>
    <w:rsid w:val="002104D8"/>
    <w:rsid w:val="002109C9"/>
    <w:rsid w:val="00210C90"/>
    <w:rsid w:val="002111C6"/>
    <w:rsid w:val="0021208C"/>
    <w:rsid w:val="00212621"/>
    <w:rsid w:val="00212759"/>
    <w:rsid w:val="00213018"/>
    <w:rsid w:val="00213578"/>
    <w:rsid w:val="0021385E"/>
    <w:rsid w:val="0021418F"/>
    <w:rsid w:val="00214474"/>
    <w:rsid w:val="0021478C"/>
    <w:rsid w:val="00215282"/>
    <w:rsid w:val="0021556B"/>
    <w:rsid w:val="00215994"/>
    <w:rsid w:val="00215BF7"/>
    <w:rsid w:val="0021706D"/>
    <w:rsid w:val="00217258"/>
    <w:rsid w:val="002176DE"/>
    <w:rsid w:val="00217A11"/>
    <w:rsid w:val="00217CE9"/>
    <w:rsid w:val="00220320"/>
    <w:rsid w:val="00220332"/>
    <w:rsid w:val="002207B0"/>
    <w:rsid w:val="00221226"/>
    <w:rsid w:val="00221622"/>
    <w:rsid w:val="002221D6"/>
    <w:rsid w:val="00222B75"/>
    <w:rsid w:val="002237CF"/>
    <w:rsid w:val="0022399C"/>
    <w:rsid w:val="00223AAE"/>
    <w:rsid w:val="00223BD6"/>
    <w:rsid w:val="00224491"/>
    <w:rsid w:val="0022452B"/>
    <w:rsid w:val="00224632"/>
    <w:rsid w:val="0022480B"/>
    <w:rsid w:val="0022482B"/>
    <w:rsid w:val="002249AF"/>
    <w:rsid w:val="00224C84"/>
    <w:rsid w:val="00224CB5"/>
    <w:rsid w:val="0022572D"/>
    <w:rsid w:val="002259D1"/>
    <w:rsid w:val="00225BB0"/>
    <w:rsid w:val="00225D45"/>
    <w:rsid w:val="00225F13"/>
    <w:rsid w:val="00226279"/>
    <w:rsid w:val="00226292"/>
    <w:rsid w:val="00226340"/>
    <w:rsid w:val="00226867"/>
    <w:rsid w:val="00226CC5"/>
    <w:rsid w:val="002270E8"/>
    <w:rsid w:val="00227852"/>
    <w:rsid w:val="00227C74"/>
    <w:rsid w:val="00231032"/>
    <w:rsid w:val="0023138F"/>
    <w:rsid w:val="00231651"/>
    <w:rsid w:val="002318EC"/>
    <w:rsid w:val="00231BE8"/>
    <w:rsid w:val="00231FFE"/>
    <w:rsid w:val="002322C7"/>
    <w:rsid w:val="002327C5"/>
    <w:rsid w:val="00232E31"/>
    <w:rsid w:val="00233106"/>
    <w:rsid w:val="00234035"/>
    <w:rsid w:val="0023424F"/>
    <w:rsid w:val="0023484C"/>
    <w:rsid w:val="00234B50"/>
    <w:rsid w:val="00234CC9"/>
    <w:rsid w:val="00234D1F"/>
    <w:rsid w:val="0023513B"/>
    <w:rsid w:val="00235434"/>
    <w:rsid w:val="00235ADF"/>
    <w:rsid w:val="00235C2A"/>
    <w:rsid w:val="00235FD9"/>
    <w:rsid w:val="00236060"/>
    <w:rsid w:val="002366C8"/>
    <w:rsid w:val="00236BE9"/>
    <w:rsid w:val="002372E2"/>
    <w:rsid w:val="0023747E"/>
    <w:rsid w:val="002374F0"/>
    <w:rsid w:val="002375B4"/>
    <w:rsid w:val="002375FA"/>
    <w:rsid w:val="00237B9D"/>
    <w:rsid w:val="00237DF5"/>
    <w:rsid w:val="00237F1A"/>
    <w:rsid w:val="00237FA9"/>
    <w:rsid w:val="00240110"/>
    <w:rsid w:val="00240433"/>
    <w:rsid w:val="002407DC"/>
    <w:rsid w:val="002408D2"/>
    <w:rsid w:val="00240D2E"/>
    <w:rsid w:val="002415BE"/>
    <w:rsid w:val="00241D5C"/>
    <w:rsid w:val="00241DE2"/>
    <w:rsid w:val="00241E21"/>
    <w:rsid w:val="00242060"/>
    <w:rsid w:val="002421EB"/>
    <w:rsid w:val="00242408"/>
    <w:rsid w:val="002426B4"/>
    <w:rsid w:val="00242859"/>
    <w:rsid w:val="00242E0E"/>
    <w:rsid w:val="00242F22"/>
    <w:rsid w:val="00242F94"/>
    <w:rsid w:val="0024358B"/>
    <w:rsid w:val="00244212"/>
    <w:rsid w:val="0024432D"/>
    <w:rsid w:val="00244853"/>
    <w:rsid w:val="00244D1C"/>
    <w:rsid w:val="00244F2F"/>
    <w:rsid w:val="002453D2"/>
    <w:rsid w:val="00246336"/>
    <w:rsid w:val="002468CC"/>
    <w:rsid w:val="00246EFC"/>
    <w:rsid w:val="0024759A"/>
    <w:rsid w:val="002475B4"/>
    <w:rsid w:val="002479CF"/>
    <w:rsid w:val="00247ABB"/>
    <w:rsid w:val="00247FD4"/>
    <w:rsid w:val="00250001"/>
    <w:rsid w:val="0025082F"/>
    <w:rsid w:val="00250AC3"/>
    <w:rsid w:val="00250B49"/>
    <w:rsid w:val="00250B83"/>
    <w:rsid w:val="00250BF9"/>
    <w:rsid w:val="002512F2"/>
    <w:rsid w:val="002513CF"/>
    <w:rsid w:val="0025140E"/>
    <w:rsid w:val="00251E8C"/>
    <w:rsid w:val="00252020"/>
    <w:rsid w:val="0025209E"/>
    <w:rsid w:val="002523D3"/>
    <w:rsid w:val="00252496"/>
    <w:rsid w:val="002524A4"/>
    <w:rsid w:val="002527A3"/>
    <w:rsid w:val="00252929"/>
    <w:rsid w:val="00252A25"/>
    <w:rsid w:val="00253061"/>
    <w:rsid w:val="0025334C"/>
    <w:rsid w:val="0025339F"/>
    <w:rsid w:val="002533F1"/>
    <w:rsid w:val="0025384E"/>
    <w:rsid w:val="00253CE6"/>
    <w:rsid w:val="00253EF2"/>
    <w:rsid w:val="002545C3"/>
    <w:rsid w:val="00254C38"/>
    <w:rsid w:val="00254D28"/>
    <w:rsid w:val="0025522C"/>
    <w:rsid w:val="002560B2"/>
    <w:rsid w:val="002565BE"/>
    <w:rsid w:val="00256844"/>
    <w:rsid w:val="002569C6"/>
    <w:rsid w:val="00256A95"/>
    <w:rsid w:val="00256C6B"/>
    <w:rsid w:val="00256ED9"/>
    <w:rsid w:val="002571BA"/>
    <w:rsid w:val="0025766B"/>
    <w:rsid w:val="0025787A"/>
    <w:rsid w:val="00257E0D"/>
    <w:rsid w:val="00257EE2"/>
    <w:rsid w:val="0026033B"/>
    <w:rsid w:val="00260812"/>
    <w:rsid w:val="002609AD"/>
    <w:rsid w:val="002609D9"/>
    <w:rsid w:val="00260FBC"/>
    <w:rsid w:val="0026128C"/>
    <w:rsid w:val="002618B8"/>
    <w:rsid w:val="00261A56"/>
    <w:rsid w:val="002624C4"/>
    <w:rsid w:val="002625C3"/>
    <w:rsid w:val="00262952"/>
    <w:rsid w:val="00262D77"/>
    <w:rsid w:val="00262FD3"/>
    <w:rsid w:val="0026331A"/>
    <w:rsid w:val="0026393B"/>
    <w:rsid w:val="002639C0"/>
    <w:rsid w:val="00263AF8"/>
    <w:rsid w:val="00263D48"/>
    <w:rsid w:val="0026409C"/>
    <w:rsid w:val="002640BE"/>
    <w:rsid w:val="0026435E"/>
    <w:rsid w:val="0026451D"/>
    <w:rsid w:val="002648D2"/>
    <w:rsid w:val="00264B8C"/>
    <w:rsid w:val="00264D01"/>
    <w:rsid w:val="00264E66"/>
    <w:rsid w:val="00264FBF"/>
    <w:rsid w:val="0026517E"/>
    <w:rsid w:val="00265206"/>
    <w:rsid w:val="002656CB"/>
    <w:rsid w:val="002658F0"/>
    <w:rsid w:val="002677F5"/>
    <w:rsid w:val="00267A83"/>
    <w:rsid w:val="00267CC7"/>
    <w:rsid w:val="00267E0E"/>
    <w:rsid w:val="0027045E"/>
    <w:rsid w:val="00270525"/>
    <w:rsid w:val="0027099B"/>
    <w:rsid w:val="00270BD2"/>
    <w:rsid w:val="00270C9C"/>
    <w:rsid w:val="00270D5F"/>
    <w:rsid w:val="0027133F"/>
    <w:rsid w:val="00271D88"/>
    <w:rsid w:val="00271D92"/>
    <w:rsid w:val="002721F4"/>
    <w:rsid w:val="002722F4"/>
    <w:rsid w:val="002723BB"/>
    <w:rsid w:val="0027254F"/>
    <w:rsid w:val="002725EF"/>
    <w:rsid w:val="00272B6F"/>
    <w:rsid w:val="0027329E"/>
    <w:rsid w:val="002733D6"/>
    <w:rsid w:val="00274462"/>
    <w:rsid w:val="002749CB"/>
    <w:rsid w:val="00274B4A"/>
    <w:rsid w:val="00274E13"/>
    <w:rsid w:val="00274EC6"/>
    <w:rsid w:val="002751B0"/>
    <w:rsid w:val="0027529F"/>
    <w:rsid w:val="00275F75"/>
    <w:rsid w:val="002763D2"/>
    <w:rsid w:val="00276777"/>
    <w:rsid w:val="00276781"/>
    <w:rsid w:val="002768E4"/>
    <w:rsid w:val="002770C1"/>
    <w:rsid w:val="00277274"/>
    <w:rsid w:val="002776AB"/>
    <w:rsid w:val="00277744"/>
    <w:rsid w:val="0027776B"/>
    <w:rsid w:val="002777A9"/>
    <w:rsid w:val="00277D0B"/>
    <w:rsid w:val="00277ECD"/>
    <w:rsid w:val="0028057B"/>
    <w:rsid w:val="002805F6"/>
    <w:rsid w:val="0028094D"/>
    <w:rsid w:val="00280AA7"/>
    <w:rsid w:val="00280B74"/>
    <w:rsid w:val="00280BFA"/>
    <w:rsid w:val="00280FC5"/>
    <w:rsid w:val="00281125"/>
    <w:rsid w:val="00281234"/>
    <w:rsid w:val="002813E3"/>
    <w:rsid w:val="00281479"/>
    <w:rsid w:val="00281726"/>
    <w:rsid w:val="00281AD3"/>
    <w:rsid w:val="00281B08"/>
    <w:rsid w:val="00281C75"/>
    <w:rsid w:val="00281E75"/>
    <w:rsid w:val="00282825"/>
    <w:rsid w:val="00282A86"/>
    <w:rsid w:val="00282B89"/>
    <w:rsid w:val="00283294"/>
    <w:rsid w:val="00283946"/>
    <w:rsid w:val="00283AA1"/>
    <w:rsid w:val="00284063"/>
    <w:rsid w:val="00284165"/>
    <w:rsid w:val="002846D9"/>
    <w:rsid w:val="0028483F"/>
    <w:rsid w:val="0028491B"/>
    <w:rsid w:val="002852D8"/>
    <w:rsid w:val="002854FF"/>
    <w:rsid w:val="00285676"/>
    <w:rsid w:val="00285687"/>
    <w:rsid w:val="00285E1A"/>
    <w:rsid w:val="0028600E"/>
    <w:rsid w:val="0028608E"/>
    <w:rsid w:val="0028672A"/>
    <w:rsid w:val="0028679F"/>
    <w:rsid w:val="002867EE"/>
    <w:rsid w:val="00286B46"/>
    <w:rsid w:val="00286F85"/>
    <w:rsid w:val="00287339"/>
    <w:rsid w:val="00287476"/>
    <w:rsid w:val="00287884"/>
    <w:rsid w:val="00287D4A"/>
    <w:rsid w:val="0029015E"/>
    <w:rsid w:val="002905ED"/>
    <w:rsid w:val="00290842"/>
    <w:rsid w:val="00290FC5"/>
    <w:rsid w:val="00291071"/>
    <w:rsid w:val="00291086"/>
    <w:rsid w:val="002915B1"/>
    <w:rsid w:val="00291609"/>
    <w:rsid w:val="00291780"/>
    <w:rsid w:val="00291A77"/>
    <w:rsid w:val="00291C49"/>
    <w:rsid w:val="00291CD6"/>
    <w:rsid w:val="00291E8B"/>
    <w:rsid w:val="00292713"/>
    <w:rsid w:val="00292A1D"/>
    <w:rsid w:val="00292F18"/>
    <w:rsid w:val="002932E6"/>
    <w:rsid w:val="00293A14"/>
    <w:rsid w:val="00293C5A"/>
    <w:rsid w:val="00293C7E"/>
    <w:rsid w:val="00293F48"/>
    <w:rsid w:val="002940DC"/>
    <w:rsid w:val="002945CF"/>
    <w:rsid w:val="002949AE"/>
    <w:rsid w:val="00294E30"/>
    <w:rsid w:val="002953AC"/>
    <w:rsid w:val="002954AC"/>
    <w:rsid w:val="00295699"/>
    <w:rsid w:val="002959C6"/>
    <w:rsid w:val="00295B25"/>
    <w:rsid w:val="00295F96"/>
    <w:rsid w:val="00295FC9"/>
    <w:rsid w:val="0029618B"/>
    <w:rsid w:val="002962A7"/>
    <w:rsid w:val="0029670C"/>
    <w:rsid w:val="002968EE"/>
    <w:rsid w:val="002969CF"/>
    <w:rsid w:val="00296D67"/>
    <w:rsid w:val="00297000"/>
    <w:rsid w:val="0029785A"/>
    <w:rsid w:val="002978FB"/>
    <w:rsid w:val="002979C5"/>
    <w:rsid w:val="002A01A2"/>
    <w:rsid w:val="002A01D8"/>
    <w:rsid w:val="002A049E"/>
    <w:rsid w:val="002A0651"/>
    <w:rsid w:val="002A0918"/>
    <w:rsid w:val="002A0C41"/>
    <w:rsid w:val="002A0D19"/>
    <w:rsid w:val="002A1C02"/>
    <w:rsid w:val="002A222A"/>
    <w:rsid w:val="002A23DF"/>
    <w:rsid w:val="002A2937"/>
    <w:rsid w:val="002A2F3B"/>
    <w:rsid w:val="002A345A"/>
    <w:rsid w:val="002A35AA"/>
    <w:rsid w:val="002A379A"/>
    <w:rsid w:val="002A3904"/>
    <w:rsid w:val="002A3AE3"/>
    <w:rsid w:val="002A4159"/>
    <w:rsid w:val="002A448D"/>
    <w:rsid w:val="002A4755"/>
    <w:rsid w:val="002A496C"/>
    <w:rsid w:val="002A4A76"/>
    <w:rsid w:val="002A501E"/>
    <w:rsid w:val="002A5507"/>
    <w:rsid w:val="002A5686"/>
    <w:rsid w:val="002A5B82"/>
    <w:rsid w:val="002A60F2"/>
    <w:rsid w:val="002A6155"/>
    <w:rsid w:val="002A63C1"/>
    <w:rsid w:val="002A6672"/>
    <w:rsid w:val="002A69B7"/>
    <w:rsid w:val="002A7057"/>
    <w:rsid w:val="002A7249"/>
    <w:rsid w:val="002A74A2"/>
    <w:rsid w:val="002A7661"/>
    <w:rsid w:val="002A7DC2"/>
    <w:rsid w:val="002B117D"/>
    <w:rsid w:val="002B14D8"/>
    <w:rsid w:val="002B27B6"/>
    <w:rsid w:val="002B2A40"/>
    <w:rsid w:val="002B2E61"/>
    <w:rsid w:val="002B40D4"/>
    <w:rsid w:val="002B429F"/>
    <w:rsid w:val="002B44E0"/>
    <w:rsid w:val="002B4557"/>
    <w:rsid w:val="002B4567"/>
    <w:rsid w:val="002B4E01"/>
    <w:rsid w:val="002B4E17"/>
    <w:rsid w:val="002B50D4"/>
    <w:rsid w:val="002B58E6"/>
    <w:rsid w:val="002B5F56"/>
    <w:rsid w:val="002B65EB"/>
    <w:rsid w:val="002B69C2"/>
    <w:rsid w:val="002B6A30"/>
    <w:rsid w:val="002B6A77"/>
    <w:rsid w:val="002B6ADA"/>
    <w:rsid w:val="002B6D53"/>
    <w:rsid w:val="002B75F4"/>
    <w:rsid w:val="002B7815"/>
    <w:rsid w:val="002B7EB3"/>
    <w:rsid w:val="002B7F91"/>
    <w:rsid w:val="002C0044"/>
    <w:rsid w:val="002C0089"/>
    <w:rsid w:val="002C009B"/>
    <w:rsid w:val="002C0814"/>
    <w:rsid w:val="002C0964"/>
    <w:rsid w:val="002C0A3A"/>
    <w:rsid w:val="002C0D2D"/>
    <w:rsid w:val="002C0EB7"/>
    <w:rsid w:val="002C0FEC"/>
    <w:rsid w:val="002C1061"/>
    <w:rsid w:val="002C10DA"/>
    <w:rsid w:val="002C1890"/>
    <w:rsid w:val="002C1C36"/>
    <w:rsid w:val="002C1C7A"/>
    <w:rsid w:val="002C2AEB"/>
    <w:rsid w:val="002C2F32"/>
    <w:rsid w:val="002C3038"/>
    <w:rsid w:val="002C30B7"/>
    <w:rsid w:val="002C30D6"/>
    <w:rsid w:val="002C32D2"/>
    <w:rsid w:val="002C333B"/>
    <w:rsid w:val="002C36BE"/>
    <w:rsid w:val="002C39CC"/>
    <w:rsid w:val="002C3B1F"/>
    <w:rsid w:val="002C43DD"/>
    <w:rsid w:val="002C4A4A"/>
    <w:rsid w:val="002C4D3C"/>
    <w:rsid w:val="002C4F7F"/>
    <w:rsid w:val="002C50D0"/>
    <w:rsid w:val="002C5270"/>
    <w:rsid w:val="002C5AA6"/>
    <w:rsid w:val="002C5ACA"/>
    <w:rsid w:val="002C5BBE"/>
    <w:rsid w:val="002C5F97"/>
    <w:rsid w:val="002C5FF3"/>
    <w:rsid w:val="002C60D9"/>
    <w:rsid w:val="002C628C"/>
    <w:rsid w:val="002C644C"/>
    <w:rsid w:val="002C6683"/>
    <w:rsid w:val="002C6770"/>
    <w:rsid w:val="002C78A5"/>
    <w:rsid w:val="002C790F"/>
    <w:rsid w:val="002C797A"/>
    <w:rsid w:val="002C7B2A"/>
    <w:rsid w:val="002D0511"/>
    <w:rsid w:val="002D10DF"/>
    <w:rsid w:val="002D123C"/>
    <w:rsid w:val="002D127D"/>
    <w:rsid w:val="002D13ED"/>
    <w:rsid w:val="002D1431"/>
    <w:rsid w:val="002D16C7"/>
    <w:rsid w:val="002D1951"/>
    <w:rsid w:val="002D1A3E"/>
    <w:rsid w:val="002D1DA0"/>
    <w:rsid w:val="002D2497"/>
    <w:rsid w:val="002D24D2"/>
    <w:rsid w:val="002D2898"/>
    <w:rsid w:val="002D2AF3"/>
    <w:rsid w:val="002D2AFE"/>
    <w:rsid w:val="002D2B10"/>
    <w:rsid w:val="002D2BBF"/>
    <w:rsid w:val="002D2C0E"/>
    <w:rsid w:val="002D31E6"/>
    <w:rsid w:val="002D34CA"/>
    <w:rsid w:val="002D3843"/>
    <w:rsid w:val="002D3845"/>
    <w:rsid w:val="002D3EE2"/>
    <w:rsid w:val="002D404B"/>
    <w:rsid w:val="002D4617"/>
    <w:rsid w:val="002D46A9"/>
    <w:rsid w:val="002D46D7"/>
    <w:rsid w:val="002D4970"/>
    <w:rsid w:val="002D4BAE"/>
    <w:rsid w:val="002D4E6B"/>
    <w:rsid w:val="002D501E"/>
    <w:rsid w:val="002D5616"/>
    <w:rsid w:val="002D588A"/>
    <w:rsid w:val="002D5A98"/>
    <w:rsid w:val="002D6AAA"/>
    <w:rsid w:val="002D76DD"/>
    <w:rsid w:val="002D77CA"/>
    <w:rsid w:val="002D784F"/>
    <w:rsid w:val="002D793C"/>
    <w:rsid w:val="002E020C"/>
    <w:rsid w:val="002E09A6"/>
    <w:rsid w:val="002E09E3"/>
    <w:rsid w:val="002E1399"/>
    <w:rsid w:val="002E22A6"/>
    <w:rsid w:val="002E2CAF"/>
    <w:rsid w:val="002E2CD3"/>
    <w:rsid w:val="002E2DDB"/>
    <w:rsid w:val="002E309D"/>
    <w:rsid w:val="002E3174"/>
    <w:rsid w:val="002E32B2"/>
    <w:rsid w:val="002E32B8"/>
    <w:rsid w:val="002E3501"/>
    <w:rsid w:val="002E357C"/>
    <w:rsid w:val="002E3AC3"/>
    <w:rsid w:val="002E3F78"/>
    <w:rsid w:val="002E430C"/>
    <w:rsid w:val="002E46AF"/>
    <w:rsid w:val="002E5A95"/>
    <w:rsid w:val="002E5B79"/>
    <w:rsid w:val="002E5C03"/>
    <w:rsid w:val="002E5D49"/>
    <w:rsid w:val="002E6074"/>
    <w:rsid w:val="002E618E"/>
    <w:rsid w:val="002E6516"/>
    <w:rsid w:val="002E67D9"/>
    <w:rsid w:val="002E6D47"/>
    <w:rsid w:val="002E7718"/>
    <w:rsid w:val="002E7916"/>
    <w:rsid w:val="002E7A6C"/>
    <w:rsid w:val="002E7A7A"/>
    <w:rsid w:val="002F02A4"/>
    <w:rsid w:val="002F02A8"/>
    <w:rsid w:val="002F02BE"/>
    <w:rsid w:val="002F0431"/>
    <w:rsid w:val="002F0526"/>
    <w:rsid w:val="002F0888"/>
    <w:rsid w:val="002F0962"/>
    <w:rsid w:val="002F0C98"/>
    <w:rsid w:val="002F0F40"/>
    <w:rsid w:val="002F13A2"/>
    <w:rsid w:val="002F16F7"/>
    <w:rsid w:val="002F1D6E"/>
    <w:rsid w:val="002F2136"/>
    <w:rsid w:val="002F22A0"/>
    <w:rsid w:val="002F264A"/>
    <w:rsid w:val="002F2755"/>
    <w:rsid w:val="002F2763"/>
    <w:rsid w:val="002F2DA7"/>
    <w:rsid w:val="002F2E57"/>
    <w:rsid w:val="002F30B3"/>
    <w:rsid w:val="002F3577"/>
    <w:rsid w:val="002F3818"/>
    <w:rsid w:val="002F385D"/>
    <w:rsid w:val="002F3990"/>
    <w:rsid w:val="002F3C10"/>
    <w:rsid w:val="002F3D60"/>
    <w:rsid w:val="002F4015"/>
    <w:rsid w:val="002F412C"/>
    <w:rsid w:val="002F4383"/>
    <w:rsid w:val="002F48FF"/>
    <w:rsid w:val="002F4C49"/>
    <w:rsid w:val="002F4D9A"/>
    <w:rsid w:val="002F618E"/>
    <w:rsid w:val="002F671A"/>
    <w:rsid w:val="002F674A"/>
    <w:rsid w:val="002F680D"/>
    <w:rsid w:val="002F692D"/>
    <w:rsid w:val="002F6C8C"/>
    <w:rsid w:val="002F6DEB"/>
    <w:rsid w:val="002F703A"/>
    <w:rsid w:val="002F71F6"/>
    <w:rsid w:val="002F720F"/>
    <w:rsid w:val="002F74EA"/>
    <w:rsid w:val="002F7574"/>
    <w:rsid w:val="002F7CE4"/>
    <w:rsid w:val="002F7CEE"/>
    <w:rsid w:val="002F7F0B"/>
    <w:rsid w:val="003001F9"/>
    <w:rsid w:val="00300603"/>
    <w:rsid w:val="003006D6"/>
    <w:rsid w:val="003008A9"/>
    <w:rsid w:val="00300AA4"/>
    <w:rsid w:val="00300AAD"/>
    <w:rsid w:val="00300E37"/>
    <w:rsid w:val="00300F30"/>
    <w:rsid w:val="00300F83"/>
    <w:rsid w:val="00300FFC"/>
    <w:rsid w:val="003013A4"/>
    <w:rsid w:val="003022D3"/>
    <w:rsid w:val="00302A4C"/>
    <w:rsid w:val="00303980"/>
    <w:rsid w:val="00303FF2"/>
    <w:rsid w:val="00304672"/>
    <w:rsid w:val="0030495D"/>
    <w:rsid w:val="0030517F"/>
    <w:rsid w:val="00305653"/>
    <w:rsid w:val="00305B58"/>
    <w:rsid w:val="00305DB3"/>
    <w:rsid w:val="00305F11"/>
    <w:rsid w:val="003062AE"/>
    <w:rsid w:val="003062DD"/>
    <w:rsid w:val="0030686A"/>
    <w:rsid w:val="00306ABE"/>
    <w:rsid w:val="003074EE"/>
    <w:rsid w:val="00307994"/>
    <w:rsid w:val="00307C0D"/>
    <w:rsid w:val="00307C34"/>
    <w:rsid w:val="0031006B"/>
    <w:rsid w:val="0031008C"/>
    <w:rsid w:val="00310D81"/>
    <w:rsid w:val="003110FF"/>
    <w:rsid w:val="0031127A"/>
    <w:rsid w:val="003114FF"/>
    <w:rsid w:val="0031156F"/>
    <w:rsid w:val="003119BA"/>
    <w:rsid w:val="00311D12"/>
    <w:rsid w:val="0031200A"/>
    <w:rsid w:val="00312B18"/>
    <w:rsid w:val="00312D3C"/>
    <w:rsid w:val="003134A0"/>
    <w:rsid w:val="00313CEB"/>
    <w:rsid w:val="00314399"/>
    <w:rsid w:val="003144B5"/>
    <w:rsid w:val="00314877"/>
    <w:rsid w:val="00315270"/>
    <w:rsid w:val="003153FC"/>
    <w:rsid w:val="00315832"/>
    <w:rsid w:val="00315EF8"/>
    <w:rsid w:val="00316449"/>
    <w:rsid w:val="003169E0"/>
    <w:rsid w:val="00316B24"/>
    <w:rsid w:val="003175B8"/>
    <w:rsid w:val="00317CE5"/>
    <w:rsid w:val="00317D17"/>
    <w:rsid w:val="00320A67"/>
    <w:rsid w:val="00320FE8"/>
    <w:rsid w:val="00321339"/>
    <w:rsid w:val="00321382"/>
    <w:rsid w:val="0032178A"/>
    <w:rsid w:val="003218CC"/>
    <w:rsid w:val="00321CA2"/>
    <w:rsid w:val="00322362"/>
    <w:rsid w:val="003226C3"/>
    <w:rsid w:val="00322D87"/>
    <w:rsid w:val="00322E18"/>
    <w:rsid w:val="00323115"/>
    <w:rsid w:val="003236E6"/>
    <w:rsid w:val="00323E21"/>
    <w:rsid w:val="00323E28"/>
    <w:rsid w:val="00324387"/>
    <w:rsid w:val="003245A7"/>
    <w:rsid w:val="00324D45"/>
    <w:rsid w:val="00325542"/>
    <w:rsid w:val="00325548"/>
    <w:rsid w:val="0032557A"/>
    <w:rsid w:val="003258F9"/>
    <w:rsid w:val="00325EF5"/>
    <w:rsid w:val="00326100"/>
    <w:rsid w:val="0032629C"/>
    <w:rsid w:val="003271DE"/>
    <w:rsid w:val="0032760D"/>
    <w:rsid w:val="00327A18"/>
    <w:rsid w:val="00327C8D"/>
    <w:rsid w:val="003291F5"/>
    <w:rsid w:val="00330847"/>
    <w:rsid w:val="0033095B"/>
    <w:rsid w:val="00330B70"/>
    <w:rsid w:val="0033100A"/>
    <w:rsid w:val="00331C4C"/>
    <w:rsid w:val="003321F9"/>
    <w:rsid w:val="0033284A"/>
    <w:rsid w:val="00332870"/>
    <w:rsid w:val="00332ADF"/>
    <w:rsid w:val="0033306D"/>
    <w:rsid w:val="00333563"/>
    <w:rsid w:val="00333564"/>
    <w:rsid w:val="0033357C"/>
    <w:rsid w:val="00333ADB"/>
    <w:rsid w:val="00333B71"/>
    <w:rsid w:val="00333C8C"/>
    <w:rsid w:val="00333CC8"/>
    <w:rsid w:val="00334223"/>
    <w:rsid w:val="003342F2"/>
    <w:rsid w:val="003346F2"/>
    <w:rsid w:val="00334A06"/>
    <w:rsid w:val="00334FE4"/>
    <w:rsid w:val="003353E5"/>
    <w:rsid w:val="003365EE"/>
    <w:rsid w:val="00336901"/>
    <w:rsid w:val="00336B3E"/>
    <w:rsid w:val="00336C4E"/>
    <w:rsid w:val="00336E06"/>
    <w:rsid w:val="00336E92"/>
    <w:rsid w:val="00337780"/>
    <w:rsid w:val="0033F09F"/>
    <w:rsid w:val="00340661"/>
    <w:rsid w:val="003410A4"/>
    <w:rsid w:val="0034112A"/>
    <w:rsid w:val="00341954"/>
    <w:rsid w:val="00342598"/>
    <w:rsid w:val="003429F6"/>
    <w:rsid w:val="00343620"/>
    <w:rsid w:val="00343680"/>
    <w:rsid w:val="003436DB"/>
    <w:rsid w:val="003437AB"/>
    <w:rsid w:val="00343951"/>
    <w:rsid w:val="00343F2C"/>
    <w:rsid w:val="00344119"/>
    <w:rsid w:val="0034412C"/>
    <w:rsid w:val="0034438D"/>
    <w:rsid w:val="003444A3"/>
    <w:rsid w:val="00344CA5"/>
    <w:rsid w:val="00344E06"/>
    <w:rsid w:val="0034519D"/>
    <w:rsid w:val="00345207"/>
    <w:rsid w:val="0034533B"/>
    <w:rsid w:val="00345B35"/>
    <w:rsid w:val="00345F7F"/>
    <w:rsid w:val="003463C8"/>
    <w:rsid w:val="003468E7"/>
    <w:rsid w:val="00346CEF"/>
    <w:rsid w:val="003476A9"/>
    <w:rsid w:val="00347D50"/>
    <w:rsid w:val="003503EB"/>
    <w:rsid w:val="003508F5"/>
    <w:rsid w:val="00350D7C"/>
    <w:rsid w:val="00350E83"/>
    <w:rsid w:val="00350E94"/>
    <w:rsid w:val="00351219"/>
    <w:rsid w:val="00351C5B"/>
    <w:rsid w:val="00351EE8"/>
    <w:rsid w:val="00351FA7"/>
    <w:rsid w:val="00352110"/>
    <w:rsid w:val="0035214B"/>
    <w:rsid w:val="003523AB"/>
    <w:rsid w:val="003529F0"/>
    <w:rsid w:val="00352CC7"/>
    <w:rsid w:val="00353AD1"/>
    <w:rsid w:val="0035421F"/>
    <w:rsid w:val="003546D0"/>
    <w:rsid w:val="003548C7"/>
    <w:rsid w:val="00354909"/>
    <w:rsid w:val="0035597A"/>
    <w:rsid w:val="00355A0F"/>
    <w:rsid w:val="003569D6"/>
    <w:rsid w:val="0035765B"/>
    <w:rsid w:val="00357929"/>
    <w:rsid w:val="00357CD7"/>
    <w:rsid w:val="003602FA"/>
    <w:rsid w:val="003606DB"/>
    <w:rsid w:val="00360738"/>
    <w:rsid w:val="00360A0F"/>
    <w:rsid w:val="00360A69"/>
    <w:rsid w:val="00360C35"/>
    <w:rsid w:val="0036115F"/>
    <w:rsid w:val="003611F2"/>
    <w:rsid w:val="00361C48"/>
    <w:rsid w:val="00361F2A"/>
    <w:rsid w:val="00362224"/>
    <w:rsid w:val="003623FC"/>
    <w:rsid w:val="00362505"/>
    <w:rsid w:val="00362968"/>
    <w:rsid w:val="003629C1"/>
    <w:rsid w:val="00362D5C"/>
    <w:rsid w:val="00363155"/>
    <w:rsid w:val="0036349C"/>
    <w:rsid w:val="00364089"/>
    <w:rsid w:val="0036413C"/>
    <w:rsid w:val="003641E4"/>
    <w:rsid w:val="00364A02"/>
    <w:rsid w:val="00364EEC"/>
    <w:rsid w:val="00364FEE"/>
    <w:rsid w:val="00365404"/>
    <w:rsid w:val="00365676"/>
    <w:rsid w:val="00365B12"/>
    <w:rsid w:val="00365F84"/>
    <w:rsid w:val="00365F9B"/>
    <w:rsid w:val="00366085"/>
    <w:rsid w:val="00366663"/>
    <w:rsid w:val="003668EB"/>
    <w:rsid w:val="00366A81"/>
    <w:rsid w:val="00367005"/>
    <w:rsid w:val="00367470"/>
    <w:rsid w:val="0036792B"/>
    <w:rsid w:val="00367E80"/>
    <w:rsid w:val="00370184"/>
    <w:rsid w:val="003701FB"/>
    <w:rsid w:val="0037070E"/>
    <w:rsid w:val="00370999"/>
    <w:rsid w:val="00370B78"/>
    <w:rsid w:val="00370BCD"/>
    <w:rsid w:val="003712A5"/>
    <w:rsid w:val="003712CD"/>
    <w:rsid w:val="0037135C"/>
    <w:rsid w:val="003714FD"/>
    <w:rsid w:val="003719AF"/>
    <w:rsid w:val="00371F80"/>
    <w:rsid w:val="00372161"/>
    <w:rsid w:val="00372520"/>
    <w:rsid w:val="003726C0"/>
    <w:rsid w:val="00373B6B"/>
    <w:rsid w:val="00374132"/>
    <w:rsid w:val="003741F8"/>
    <w:rsid w:val="0037436E"/>
    <w:rsid w:val="003743EA"/>
    <w:rsid w:val="00374417"/>
    <w:rsid w:val="003744DF"/>
    <w:rsid w:val="0037469C"/>
    <w:rsid w:val="00374736"/>
    <w:rsid w:val="00374813"/>
    <w:rsid w:val="003748EA"/>
    <w:rsid w:val="00374A62"/>
    <w:rsid w:val="00374C59"/>
    <w:rsid w:val="00374DB2"/>
    <w:rsid w:val="00375010"/>
    <w:rsid w:val="003755FA"/>
    <w:rsid w:val="00375906"/>
    <w:rsid w:val="00375BA5"/>
    <w:rsid w:val="00375FAA"/>
    <w:rsid w:val="00375FF0"/>
    <w:rsid w:val="0037667A"/>
    <w:rsid w:val="003768FF"/>
    <w:rsid w:val="00376DEC"/>
    <w:rsid w:val="00377142"/>
    <w:rsid w:val="00377914"/>
    <w:rsid w:val="0037799E"/>
    <w:rsid w:val="00377B3F"/>
    <w:rsid w:val="00377B4A"/>
    <w:rsid w:val="00377D6D"/>
    <w:rsid w:val="00377E05"/>
    <w:rsid w:val="00380698"/>
    <w:rsid w:val="00380A1B"/>
    <w:rsid w:val="00380D21"/>
    <w:rsid w:val="00380E19"/>
    <w:rsid w:val="00380EA2"/>
    <w:rsid w:val="003810F8"/>
    <w:rsid w:val="0038110D"/>
    <w:rsid w:val="0038110F"/>
    <w:rsid w:val="00381989"/>
    <w:rsid w:val="00382017"/>
    <w:rsid w:val="003827FE"/>
    <w:rsid w:val="0038290A"/>
    <w:rsid w:val="00382D69"/>
    <w:rsid w:val="0038306C"/>
    <w:rsid w:val="00383124"/>
    <w:rsid w:val="00383548"/>
    <w:rsid w:val="00383D42"/>
    <w:rsid w:val="0038441A"/>
    <w:rsid w:val="003850B6"/>
    <w:rsid w:val="0038579E"/>
    <w:rsid w:val="00385877"/>
    <w:rsid w:val="00385A3D"/>
    <w:rsid w:val="00385AC8"/>
    <w:rsid w:val="00385EAB"/>
    <w:rsid w:val="00386083"/>
    <w:rsid w:val="003862A6"/>
    <w:rsid w:val="00386E11"/>
    <w:rsid w:val="0038758A"/>
    <w:rsid w:val="00387693"/>
    <w:rsid w:val="00387BC0"/>
    <w:rsid w:val="003906B9"/>
    <w:rsid w:val="0039076A"/>
    <w:rsid w:val="0039083C"/>
    <w:rsid w:val="00390A6B"/>
    <w:rsid w:val="00390CC6"/>
    <w:rsid w:val="00391526"/>
    <w:rsid w:val="00391BBF"/>
    <w:rsid w:val="00391BC7"/>
    <w:rsid w:val="00391E5D"/>
    <w:rsid w:val="003920FE"/>
    <w:rsid w:val="003921F6"/>
    <w:rsid w:val="003922D4"/>
    <w:rsid w:val="003925F7"/>
    <w:rsid w:val="003927E1"/>
    <w:rsid w:val="00392BF9"/>
    <w:rsid w:val="00392C63"/>
    <w:rsid w:val="00392E58"/>
    <w:rsid w:val="0039355C"/>
    <w:rsid w:val="003936E6"/>
    <w:rsid w:val="00394D01"/>
    <w:rsid w:val="0039520A"/>
    <w:rsid w:val="0039563B"/>
    <w:rsid w:val="0039601B"/>
    <w:rsid w:val="00396553"/>
    <w:rsid w:val="00396815"/>
    <w:rsid w:val="00396989"/>
    <w:rsid w:val="0039707E"/>
    <w:rsid w:val="00397A01"/>
    <w:rsid w:val="00397EFA"/>
    <w:rsid w:val="003A0394"/>
    <w:rsid w:val="003A0729"/>
    <w:rsid w:val="003A08CB"/>
    <w:rsid w:val="003A0E5F"/>
    <w:rsid w:val="003A0FEA"/>
    <w:rsid w:val="003A121D"/>
    <w:rsid w:val="003A16F7"/>
    <w:rsid w:val="003A1892"/>
    <w:rsid w:val="003A1C7C"/>
    <w:rsid w:val="003A1CAD"/>
    <w:rsid w:val="003A1F27"/>
    <w:rsid w:val="003A247F"/>
    <w:rsid w:val="003A26B8"/>
    <w:rsid w:val="003A26F1"/>
    <w:rsid w:val="003A2AAE"/>
    <w:rsid w:val="003A2B01"/>
    <w:rsid w:val="003A3367"/>
    <w:rsid w:val="003A33C2"/>
    <w:rsid w:val="003A37BB"/>
    <w:rsid w:val="003A3DA3"/>
    <w:rsid w:val="003A41FE"/>
    <w:rsid w:val="003A4207"/>
    <w:rsid w:val="003A43B6"/>
    <w:rsid w:val="003A487A"/>
    <w:rsid w:val="003A4C0F"/>
    <w:rsid w:val="003A5204"/>
    <w:rsid w:val="003A5571"/>
    <w:rsid w:val="003A561B"/>
    <w:rsid w:val="003A5736"/>
    <w:rsid w:val="003A5F7D"/>
    <w:rsid w:val="003A64F3"/>
    <w:rsid w:val="003A676B"/>
    <w:rsid w:val="003A6D27"/>
    <w:rsid w:val="003A70D1"/>
    <w:rsid w:val="003B0192"/>
    <w:rsid w:val="003B01A3"/>
    <w:rsid w:val="003B0497"/>
    <w:rsid w:val="003B068E"/>
    <w:rsid w:val="003B08E6"/>
    <w:rsid w:val="003B0C05"/>
    <w:rsid w:val="003B0F44"/>
    <w:rsid w:val="003B1857"/>
    <w:rsid w:val="003B1878"/>
    <w:rsid w:val="003B1C26"/>
    <w:rsid w:val="003B219D"/>
    <w:rsid w:val="003B2A27"/>
    <w:rsid w:val="003B2CFF"/>
    <w:rsid w:val="003B3521"/>
    <w:rsid w:val="003B38FE"/>
    <w:rsid w:val="003B3BBA"/>
    <w:rsid w:val="003B3C3E"/>
    <w:rsid w:val="003B3D6C"/>
    <w:rsid w:val="003B401F"/>
    <w:rsid w:val="003B43C0"/>
    <w:rsid w:val="003B5ABB"/>
    <w:rsid w:val="003B5BB6"/>
    <w:rsid w:val="003B61FA"/>
    <w:rsid w:val="003B6277"/>
    <w:rsid w:val="003B6592"/>
    <w:rsid w:val="003B65CF"/>
    <w:rsid w:val="003B6C21"/>
    <w:rsid w:val="003B7536"/>
    <w:rsid w:val="003B79AC"/>
    <w:rsid w:val="003B7C82"/>
    <w:rsid w:val="003C01D1"/>
    <w:rsid w:val="003C0335"/>
    <w:rsid w:val="003C04DC"/>
    <w:rsid w:val="003C0A40"/>
    <w:rsid w:val="003C0AB6"/>
    <w:rsid w:val="003C1B0A"/>
    <w:rsid w:val="003C1B81"/>
    <w:rsid w:val="003C1E82"/>
    <w:rsid w:val="003C2A0A"/>
    <w:rsid w:val="003C2A37"/>
    <w:rsid w:val="003C2E14"/>
    <w:rsid w:val="003C3183"/>
    <w:rsid w:val="003C355D"/>
    <w:rsid w:val="003C3A02"/>
    <w:rsid w:val="003C3A89"/>
    <w:rsid w:val="003C412C"/>
    <w:rsid w:val="003C41A6"/>
    <w:rsid w:val="003C4239"/>
    <w:rsid w:val="003C432A"/>
    <w:rsid w:val="003C4356"/>
    <w:rsid w:val="003C445B"/>
    <w:rsid w:val="003C46C5"/>
    <w:rsid w:val="003C4819"/>
    <w:rsid w:val="003C4AFE"/>
    <w:rsid w:val="003C4F3D"/>
    <w:rsid w:val="003C5167"/>
    <w:rsid w:val="003C5EF3"/>
    <w:rsid w:val="003C60C0"/>
    <w:rsid w:val="003C64DC"/>
    <w:rsid w:val="003C654C"/>
    <w:rsid w:val="003C65F7"/>
    <w:rsid w:val="003C666B"/>
    <w:rsid w:val="003C6778"/>
    <w:rsid w:val="003C684D"/>
    <w:rsid w:val="003C6A17"/>
    <w:rsid w:val="003C6D8C"/>
    <w:rsid w:val="003C79FF"/>
    <w:rsid w:val="003C7BB9"/>
    <w:rsid w:val="003D017A"/>
    <w:rsid w:val="003D0B33"/>
    <w:rsid w:val="003D0D6D"/>
    <w:rsid w:val="003D1530"/>
    <w:rsid w:val="003D1B57"/>
    <w:rsid w:val="003D1F48"/>
    <w:rsid w:val="003D2234"/>
    <w:rsid w:val="003D22DE"/>
    <w:rsid w:val="003D24BC"/>
    <w:rsid w:val="003D273A"/>
    <w:rsid w:val="003D294F"/>
    <w:rsid w:val="003D29BE"/>
    <w:rsid w:val="003D2C96"/>
    <w:rsid w:val="003D2D36"/>
    <w:rsid w:val="003D2ECA"/>
    <w:rsid w:val="003D2F70"/>
    <w:rsid w:val="003D333E"/>
    <w:rsid w:val="003D3345"/>
    <w:rsid w:val="003D33F7"/>
    <w:rsid w:val="003D3853"/>
    <w:rsid w:val="003D39C0"/>
    <w:rsid w:val="003D3B3C"/>
    <w:rsid w:val="003D3E26"/>
    <w:rsid w:val="003D437B"/>
    <w:rsid w:val="003D4A27"/>
    <w:rsid w:val="003D4AB3"/>
    <w:rsid w:val="003D4D73"/>
    <w:rsid w:val="003D52DA"/>
    <w:rsid w:val="003D52EF"/>
    <w:rsid w:val="003D54F4"/>
    <w:rsid w:val="003D597E"/>
    <w:rsid w:val="003D5BAB"/>
    <w:rsid w:val="003D5E9E"/>
    <w:rsid w:val="003D616A"/>
    <w:rsid w:val="003D6171"/>
    <w:rsid w:val="003D6711"/>
    <w:rsid w:val="003D6A04"/>
    <w:rsid w:val="003D715D"/>
    <w:rsid w:val="003D7240"/>
    <w:rsid w:val="003D7984"/>
    <w:rsid w:val="003D7B23"/>
    <w:rsid w:val="003D7B55"/>
    <w:rsid w:val="003D7EC2"/>
    <w:rsid w:val="003E03A1"/>
    <w:rsid w:val="003E0595"/>
    <w:rsid w:val="003E0A02"/>
    <w:rsid w:val="003E0D68"/>
    <w:rsid w:val="003E1534"/>
    <w:rsid w:val="003E1569"/>
    <w:rsid w:val="003E1B94"/>
    <w:rsid w:val="003E25E1"/>
    <w:rsid w:val="003E2805"/>
    <w:rsid w:val="003E31AB"/>
    <w:rsid w:val="003E34CC"/>
    <w:rsid w:val="003E3925"/>
    <w:rsid w:val="003E3D6B"/>
    <w:rsid w:val="003E3FDD"/>
    <w:rsid w:val="003E41D2"/>
    <w:rsid w:val="003E42CF"/>
    <w:rsid w:val="003E48CD"/>
    <w:rsid w:val="003E4A4C"/>
    <w:rsid w:val="003E4B8D"/>
    <w:rsid w:val="003E4CBF"/>
    <w:rsid w:val="003E4FB1"/>
    <w:rsid w:val="003E50F8"/>
    <w:rsid w:val="003E5625"/>
    <w:rsid w:val="003E56FC"/>
    <w:rsid w:val="003E57B9"/>
    <w:rsid w:val="003E5F7A"/>
    <w:rsid w:val="003E6286"/>
    <w:rsid w:val="003E6390"/>
    <w:rsid w:val="003E6960"/>
    <w:rsid w:val="003E6983"/>
    <w:rsid w:val="003E6A2F"/>
    <w:rsid w:val="003E6CFB"/>
    <w:rsid w:val="003E6ED9"/>
    <w:rsid w:val="003E6FBB"/>
    <w:rsid w:val="003E75A9"/>
    <w:rsid w:val="003E77A0"/>
    <w:rsid w:val="003E77FD"/>
    <w:rsid w:val="003E786D"/>
    <w:rsid w:val="003E7D64"/>
    <w:rsid w:val="003E7E86"/>
    <w:rsid w:val="003E7E8C"/>
    <w:rsid w:val="003E7FF3"/>
    <w:rsid w:val="003F0269"/>
    <w:rsid w:val="003F039D"/>
    <w:rsid w:val="003F05C8"/>
    <w:rsid w:val="003F0680"/>
    <w:rsid w:val="003F078D"/>
    <w:rsid w:val="003F08A5"/>
    <w:rsid w:val="003F0F56"/>
    <w:rsid w:val="003F1087"/>
    <w:rsid w:val="003F1183"/>
    <w:rsid w:val="003F1299"/>
    <w:rsid w:val="003F1617"/>
    <w:rsid w:val="003F1A62"/>
    <w:rsid w:val="003F1B0C"/>
    <w:rsid w:val="003F2564"/>
    <w:rsid w:val="003F346F"/>
    <w:rsid w:val="003F364F"/>
    <w:rsid w:val="003F36A1"/>
    <w:rsid w:val="003F40AA"/>
    <w:rsid w:val="003F4172"/>
    <w:rsid w:val="003F4579"/>
    <w:rsid w:val="003F4773"/>
    <w:rsid w:val="003F4AF4"/>
    <w:rsid w:val="003F4B81"/>
    <w:rsid w:val="003F4D5E"/>
    <w:rsid w:val="003F4E59"/>
    <w:rsid w:val="003F50FD"/>
    <w:rsid w:val="003F5486"/>
    <w:rsid w:val="003F5658"/>
    <w:rsid w:val="003F56EA"/>
    <w:rsid w:val="003F5920"/>
    <w:rsid w:val="003F5D0D"/>
    <w:rsid w:val="003F6382"/>
    <w:rsid w:val="003F664D"/>
    <w:rsid w:val="003F6A16"/>
    <w:rsid w:val="003F6B02"/>
    <w:rsid w:val="003F6CC2"/>
    <w:rsid w:val="003F6EA3"/>
    <w:rsid w:val="003F7520"/>
    <w:rsid w:val="003F7774"/>
    <w:rsid w:val="003F7C44"/>
    <w:rsid w:val="003F7F87"/>
    <w:rsid w:val="004004FA"/>
    <w:rsid w:val="0040099C"/>
    <w:rsid w:val="00401506"/>
    <w:rsid w:val="00401B4F"/>
    <w:rsid w:val="00401D88"/>
    <w:rsid w:val="00401E73"/>
    <w:rsid w:val="00402102"/>
    <w:rsid w:val="004021F7"/>
    <w:rsid w:val="00402A1A"/>
    <w:rsid w:val="00402C80"/>
    <w:rsid w:val="00402E24"/>
    <w:rsid w:val="0040352C"/>
    <w:rsid w:val="00403544"/>
    <w:rsid w:val="00403930"/>
    <w:rsid w:val="0040394A"/>
    <w:rsid w:val="00403CCB"/>
    <w:rsid w:val="00403D44"/>
    <w:rsid w:val="0040415F"/>
    <w:rsid w:val="004041BF"/>
    <w:rsid w:val="00404257"/>
    <w:rsid w:val="004048C4"/>
    <w:rsid w:val="00404F1F"/>
    <w:rsid w:val="00404F88"/>
    <w:rsid w:val="00405470"/>
    <w:rsid w:val="004057D8"/>
    <w:rsid w:val="00405807"/>
    <w:rsid w:val="00405D59"/>
    <w:rsid w:val="00405EAF"/>
    <w:rsid w:val="00406702"/>
    <w:rsid w:val="004068C4"/>
    <w:rsid w:val="004068EE"/>
    <w:rsid w:val="00406C13"/>
    <w:rsid w:val="00406C97"/>
    <w:rsid w:val="004070A7"/>
    <w:rsid w:val="00407E39"/>
    <w:rsid w:val="00407E7A"/>
    <w:rsid w:val="00407E83"/>
    <w:rsid w:val="004100F3"/>
    <w:rsid w:val="00410350"/>
    <w:rsid w:val="004105BA"/>
    <w:rsid w:val="004107F8"/>
    <w:rsid w:val="0041082E"/>
    <w:rsid w:val="00410D20"/>
    <w:rsid w:val="004110FC"/>
    <w:rsid w:val="00411172"/>
    <w:rsid w:val="00411270"/>
    <w:rsid w:val="004114B5"/>
    <w:rsid w:val="004114B7"/>
    <w:rsid w:val="00411840"/>
    <w:rsid w:val="0041199F"/>
    <w:rsid w:val="00411DBE"/>
    <w:rsid w:val="0041283A"/>
    <w:rsid w:val="00412ECC"/>
    <w:rsid w:val="004131F9"/>
    <w:rsid w:val="004134B1"/>
    <w:rsid w:val="00413A93"/>
    <w:rsid w:val="00414020"/>
    <w:rsid w:val="004143A9"/>
    <w:rsid w:val="0041471E"/>
    <w:rsid w:val="00414811"/>
    <w:rsid w:val="00414ACF"/>
    <w:rsid w:val="00414C33"/>
    <w:rsid w:val="00414FFE"/>
    <w:rsid w:val="00415257"/>
    <w:rsid w:val="004155ED"/>
    <w:rsid w:val="00415674"/>
    <w:rsid w:val="004157EB"/>
    <w:rsid w:val="00415885"/>
    <w:rsid w:val="004158A1"/>
    <w:rsid w:val="004159F4"/>
    <w:rsid w:val="00415C85"/>
    <w:rsid w:val="004166B9"/>
    <w:rsid w:val="0041690D"/>
    <w:rsid w:val="00416D91"/>
    <w:rsid w:val="00416EB4"/>
    <w:rsid w:val="004173CF"/>
    <w:rsid w:val="00417544"/>
    <w:rsid w:val="0042000C"/>
    <w:rsid w:val="004200C4"/>
    <w:rsid w:val="004208B9"/>
    <w:rsid w:val="00420955"/>
    <w:rsid w:val="00420A07"/>
    <w:rsid w:val="00420F3B"/>
    <w:rsid w:val="004214B6"/>
    <w:rsid w:val="004217ED"/>
    <w:rsid w:val="00421D25"/>
    <w:rsid w:val="00422F25"/>
    <w:rsid w:val="00423256"/>
    <w:rsid w:val="0042364D"/>
    <w:rsid w:val="00423885"/>
    <w:rsid w:val="004238CC"/>
    <w:rsid w:val="00423983"/>
    <w:rsid w:val="00423C3C"/>
    <w:rsid w:val="00423E3F"/>
    <w:rsid w:val="0042450E"/>
    <w:rsid w:val="004248EA"/>
    <w:rsid w:val="0042493D"/>
    <w:rsid w:val="00424B7F"/>
    <w:rsid w:val="00425D50"/>
    <w:rsid w:val="00426404"/>
    <w:rsid w:val="0042678D"/>
    <w:rsid w:val="004267AE"/>
    <w:rsid w:val="00426B8B"/>
    <w:rsid w:val="00426BB1"/>
    <w:rsid w:val="00426DB9"/>
    <w:rsid w:val="00426EE7"/>
    <w:rsid w:val="00426F0C"/>
    <w:rsid w:val="00427092"/>
    <w:rsid w:val="004271E8"/>
    <w:rsid w:val="00427220"/>
    <w:rsid w:val="00427573"/>
    <w:rsid w:val="00427765"/>
    <w:rsid w:val="00427C22"/>
    <w:rsid w:val="00427FBF"/>
    <w:rsid w:val="00430279"/>
    <w:rsid w:val="004306F8"/>
    <w:rsid w:val="00430D34"/>
    <w:rsid w:val="00431371"/>
    <w:rsid w:val="0043171B"/>
    <w:rsid w:val="00431804"/>
    <w:rsid w:val="00431BD2"/>
    <w:rsid w:val="00431E11"/>
    <w:rsid w:val="00431EE3"/>
    <w:rsid w:val="0043211C"/>
    <w:rsid w:val="0043264D"/>
    <w:rsid w:val="004333BE"/>
    <w:rsid w:val="004339E5"/>
    <w:rsid w:val="00433A08"/>
    <w:rsid w:val="00433F3D"/>
    <w:rsid w:val="00433FBA"/>
    <w:rsid w:val="0043407A"/>
    <w:rsid w:val="004341D2"/>
    <w:rsid w:val="00434267"/>
    <w:rsid w:val="00434A1A"/>
    <w:rsid w:val="00434BD8"/>
    <w:rsid w:val="00434FF1"/>
    <w:rsid w:val="00435006"/>
    <w:rsid w:val="00435383"/>
    <w:rsid w:val="00435642"/>
    <w:rsid w:val="004359D8"/>
    <w:rsid w:val="00435B94"/>
    <w:rsid w:val="00435DB0"/>
    <w:rsid w:val="00435DD1"/>
    <w:rsid w:val="00435F4B"/>
    <w:rsid w:val="00436201"/>
    <w:rsid w:val="0043621B"/>
    <w:rsid w:val="00436324"/>
    <w:rsid w:val="00436349"/>
    <w:rsid w:val="004371CF"/>
    <w:rsid w:val="00437576"/>
    <w:rsid w:val="004401E2"/>
    <w:rsid w:val="00440C30"/>
    <w:rsid w:val="004411CF"/>
    <w:rsid w:val="00441548"/>
    <w:rsid w:val="004415AC"/>
    <w:rsid w:val="004416DA"/>
    <w:rsid w:val="00441B49"/>
    <w:rsid w:val="00441BDD"/>
    <w:rsid w:val="00441FBC"/>
    <w:rsid w:val="00442459"/>
    <w:rsid w:val="00442891"/>
    <w:rsid w:val="00442ABE"/>
    <w:rsid w:val="00443031"/>
    <w:rsid w:val="00443159"/>
    <w:rsid w:val="0044361F"/>
    <w:rsid w:val="00443FC3"/>
    <w:rsid w:val="004447BE"/>
    <w:rsid w:val="004447EF"/>
    <w:rsid w:val="00445494"/>
    <w:rsid w:val="00445648"/>
    <w:rsid w:val="00445D06"/>
    <w:rsid w:val="0044612C"/>
    <w:rsid w:val="0044637E"/>
    <w:rsid w:val="004465BA"/>
    <w:rsid w:val="00446791"/>
    <w:rsid w:val="00446C14"/>
    <w:rsid w:val="00446D47"/>
    <w:rsid w:val="00446F75"/>
    <w:rsid w:val="004470F4"/>
    <w:rsid w:val="00447481"/>
    <w:rsid w:val="00447819"/>
    <w:rsid w:val="00447883"/>
    <w:rsid w:val="00450058"/>
    <w:rsid w:val="00450085"/>
    <w:rsid w:val="0045048E"/>
    <w:rsid w:val="004504B7"/>
    <w:rsid w:val="00450611"/>
    <w:rsid w:val="00450AE1"/>
    <w:rsid w:val="00451170"/>
    <w:rsid w:val="00451334"/>
    <w:rsid w:val="0045142B"/>
    <w:rsid w:val="0045151A"/>
    <w:rsid w:val="004518E0"/>
    <w:rsid w:val="00451A4B"/>
    <w:rsid w:val="00451B81"/>
    <w:rsid w:val="00451D2E"/>
    <w:rsid w:val="004526C5"/>
    <w:rsid w:val="00452A42"/>
    <w:rsid w:val="00452E1B"/>
    <w:rsid w:val="004537D4"/>
    <w:rsid w:val="00453D2E"/>
    <w:rsid w:val="00453EC3"/>
    <w:rsid w:val="00453ECC"/>
    <w:rsid w:val="0045418F"/>
    <w:rsid w:val="0045470D"/>
    <w:rsid w:val="0045491E"/>
    <w:rsid w:val="00454C1F"/>
    <w:rsid w:val="00455B90"/>
    <w:rsid w:val="00455DE9"/>
    <w:rsid w:val="00456015"/>
    <w:rsid w:val="004568E5"/>
    <w:rsid w:val="00456C71"/>
    <w:rsid w:val="004575AE"/>
    <w:rsid w:val="004579DB"/>
    <w:rsid w:val="00457BA9"/>
    <w:rsid w:val="00457CE7"/>
    <w:rsid w:val="00457E95"/>
    <w:rsid w:val="00457F50"/>
    <w:rsid w:val="00460044"/>
    <w:rsid w:val="004603C6"/>
    <w:rsid w:val="0046064D"/>
    <w:rsid w:val="00460999"/>
    <w:rsid w:val="00460DA1"/>
    <w:rsid w:val="00460F2E"/>
    <w:rsid w:val="00461420"/>
    <w:rsid w:val="004614F9"/>
    <w:rsid w:val="004616F7"/>
    <w:rsid w:val="004619EC"/>
    <w:rsid w:val="00461C6A"/>
    <w:rsid w:val="00462178"/>
    <w:rsid w:val="0046232A"/>
    <w:rsid w:val="00462843"/>
    <w:rsid w:val="0046296E"/>
    <w:rsid w:val="00462D10"/>
    <w:rsid w:val="004634B7"/>
    <w:rsid w:val="004634D9"/>
    <w:rsid w:val="00463AA1"/>
    <w:rsid w:val="00464253"/>
    <w:rsid w:val="0046494B"/>
    <w:rsid w:val="004649D3"/>
    <w:rsid w:val="004649FF"/>
    <w:rsid w:val="00464C34"/>
    <w:rsid w:val="00465028"/>
    <w:rsid w:val="00465AA0"/>
    <w:rsid w:val="00465ABF"/>
    <w:rsid w:val="00465F01"/>
    <w:rsid w:val="00465F75"/>
    <w:rsid w:val="004663C6"/>
    <w:rsid w:val="00466503"/>
    <w:rsid w:val="00466BE9"/>
    <w:rsid w:val="00466D80"/>
    <w:rsid w:val="00467206"/>
    <w:rsid w:val="00467885"/>
    <w:rsid w:val="00467B58"/>
    <w:rsid w:val="00467D12"/>
    <w:rsid w:val="00470168"/>
    <w:rsid w:val="00470286"/>
    <w:rsid w:val="00470511"/>
    <w:rsid w:val="0047097F"/>
    <w:rsid w:val="00470A84"/>
    <w:rsid w:val="00470AD3"/>
    <w:rsid w:val="00470EE2"/>
    <w:rsid w:val="00471783"/>
    <w:rsid w:val="00471884"/>
    <w:rsid w:val="00471B54"/>
    <w:rsid w:val="0047232D"/>
    <w:rsid w:val="004729D2"/>
    <w:rsid w:val="00472C00"/>
    <w:rsid w:val="00472E3B"/>
    <w:rsid w:val="00472ED3"/>
    <w:rsid w:val="00473208"/>
    <w:rsid w:val="00473B13"/>
    <w:rsid w:val="00473CE5"/>
    <w:rsid w:val="00473F2E"/>
    <w:rsid w:val="004740DC"/>
    <w:rsid w:val="00474D08"/>
    <w:rsid w:val="00474DB5"/>
    <w:rsid w:val="00474EB4"/>
    <w:rsid w:val="004755B7"/>
    <w:rsid w:val="00475888"/>
    <w:rsid w:val="00475ABC"/>
    <w:rsid w:val="00475DDE"/>
    <w:rsid w:val="00475E28"/>
    <w:rsid w:val="004761DB"/>
    <w:rsid w:val="00476340"/>
    <w:rsid w:val="00476885"/>
    <w:rsid w:val="0047692A"/>
    <w:rsid w:val="00476A17"/>
    <w:rsid w:val="00477036"/>
    <w:rsid w:val="004776E7"/>
    <w:rsid w:val="00477B1B"/>
    <w:rsid w:val="00477C22"/>
    <w:rsid w:val="00477CC9"/>
    <w:rsid w:val="00477FA4"/>
    <w:rsid w:val="0048045C"/>
    <w:rsid w:val="00480777"/>
    <w:rsid w:val="00480BE4"/>
    <w:rsid w:val="00480BE7"/>
    <w:rsid w:val="00481078"/>
    <w:rsid w:val="0048157F"/>
    <w:rsid w:val="00481675"/>
    <w:rsid w:val="0048174C"/>
    <w:rsid w:val="004819D1"/>
    <w:rsid w:val="00481C87"/>
    <w:rsid w:val="00481DD1"/>
    <w:rsid w:val="00481EEB"/>
    <w:rsid w:val="0048216F"/>
    <w:rsid w:val="0048248A"/>
    <w:rsid w:val="004825A9"/>
    <w:rsid w:val="004826E8"/>
    <w:rsid w:val="00482EAF"/>
    <w:rsid w:val="00483BDB"/>
    <w:rsid w:val="00483C6D"/>
    <w:rsid w:val="00483C86"/>
    <w:rsid w:val="00484987"/>
    <w:rsid w:val="00484A58"/>
    <w:rsid w:val="00484AFF"/>
    <w:rsid w:val="00484C8F"/>
    <w:rsid w:val="00485013"/>
    <w:rsid w:val="00485580"/>
    <w:rsid w:val="0048590A"/>
    <w:rsid w:val="00486403"/>
    <w:rsid w:val="00486FD3"/>
    <w:rsid w:val="004874C0"/>
    <w:rsid w:val="00487548"/>
    <w:rsid w:val="004875C8"/>
    <w:rsid w:val="00487F03"/>
    <w:rsid w:val="00490537"/>
    <w:rsid w:val="00490966"/>
    <w:rsid w:val="00490BC7"/>
    <w:rsid w:val="004910CB"/>
    <w:rsid w:val="00491207"/>
    <w:rsid w:val="0049137F"/>
    <w:rsid w:val="00491ADC"/>
    <w:rsid w:val="00491B31"/>
    <w:rsid w:val="00492980"/>
    <w:rsid w:val="004929ED"/>
    <w:rsid w:val="00492BCD"/>
    <w:rsid w:val="00492C0C"/>
    <w:rsid w:val="0049328B"/>
    <w:rsid w:val="004935D1"/>
    <w:rsid w:val="004938AD"/>
    <w:rsid w:val="00493C9C"/>
    <w:rsid w:val="00493D9D"/>
    <w:rsid w:val="00493E87"/>
    <w:rsid w:val="0049423E"/>
    <w:rsid w:val="004944B3"/>
    <w:rsid w:val="00494A94"/>
    <w:rsid w:val="00494E39"/>
    <w:rsid w:val="00494E68"/>
    <w:rsid w:val="00495064"/>
    <w:rsid w:val="0049527F"/>
    <w:rsid w:val="004953B5"/>
    <w:rsid w:val="0049593D"/>
    <w:rsid w:val="00495AF3"/>
    <w:rsid w:val="00495B3D"/>
    <w:rsid w:val="00495C65"/>
    <w:rsid w:val="00495CF4"/>
    <w:rsid w:val="00496006"/>
    <w:rsid w:val="004960F0"/>
    <w:rsid w:val="004961D1"/>
    <w:rsid w:val="00496796"/>
    <w:rsid w:val="00496AE6"/>
    <w:rsid w:val="0049713E"/>
    <w:rsid w:val="0049721C"/>
    <w:rsid w:val="0049736D"/>
    <w:rsid w:val="004973A1"/>
    <w:rsid w:val="004973CF"/>
    <w:rsid w:val="004973F5"/>
    <w:rsid w:val="0049740C"/>
    <w:rsid w:val="0049795C"/>
    <w:rsid w:val="004A0003"/>
    <w:rsid w:val="004A02D4"/>
    <w:rsid w:val="004A06CF"/>
    <w:rsid w:val="004A0B95"/>
    <w:rsid w:val="004A0CE7"/>
    <w:rsid w:val="004A0D2A"/>
    <w:rsid w:val="004A15FA"/>
    <w:rsid w:val="004A1922"/>
    <w:rsid w:val="004A1B73"/>
    <w:rsid w:val="004A1EA8"/>
    <w:rsid w:val="004A2091"/>
    <w:rsid w:val="004A2151"/>
    <w:rsid w:val="004A2245"/>
    <w:rsid w:val="004A2316"/>
    <w:rsid w:val="004A23B0"/>
    <w:rsid w:val="004A23EA"/>
    <w:rsid w:val="004A2515"/>
    <w:rsid w:val="004A2543"/>
    <w:rsid w:val="004A3491"/>
    <w:rsid w:val="004A367B"/>
    <w:rsid w:val="004A38E5"/>
    <w:rsid w:val="004A39F6"/>
    <w:rsid w:val="004A3F36"/>
    <w:rsid w:val="004A4354"/>
    <w:rsid w:val="004A43B7"/>
    <w:rsid w:val="004A44DE"/>
    <w:rsid w:val="004A4563"/>
    <w:rsid w:val="004A4CF5"/>
    <w:rsid w:val="004A5037"/>
    <w:rsid w:val="004A55F0"/>
    <w:rsid w:val="004A5726"/>
    <w:rsid w:val="004A587B"/>
    <w:rsid w:val="004A5A49"/>
    <w:rsid w:val="004A5B97"/>
    <w:rsid w:val="004A60D9"/>
    <w:rsid w:val="004A6313"/>
    <w:rsid w:val="004A7210"/>
    <w:rsid w:val="004A79B8"/>
    <w:rsid w:val="004A7EE8"/>
    <w:rsid w:val="004A7F13"/>
    <w:rsid w:val="004AD443"/>
    <w:rsid w:val="004B0849"/>
    <w:rsid w:val="004B090F"/>
    <w:rsid w:val="004B1107"/>
    <w:rsid w:val="004B19B2"/>
    <w:rsid w:val="004B2D93"/>
    <w:rsid w:val="004B2ECA"/>
    <w:rsid w:val="004B300A"/>
    <w:rsid w:val="004B32A0"/>
    <w:rsid w:val="004B3967"/>
    <w:rsid w:val="004B39CF"/>
    <w:rsid w:val="004B3D1D"/>
    <w:rsid w:val="004B3F19"/>
    <w:rsid w:val="004B3FC6"/>
    <w:rsid w:val="004B4044"/>
    <w:rsid w:val="004B4DDF"/>
    <w:rsid w:val="004B4E52"/>
    <w:rsid w:val="004B4F77"/>
    <w:rsid w:val="004B506F"/>
    <w:rsid w:val="004B5224"/>
    <w:rsid w:val="004B5B3E"/>
    <w:rsid w:val="004B5EDB"/>
    <w:rsid w:val="004B6026"/>
    <w:rsid w:val="004B61E3"/>
    <w:rsid w:val="004B6778"/>
    <w:rsid w:val="004B693A"/>
    <w:rsid w:val="004B7204"/>
    <w:rsid w:val="004B76AF"/>
    <w:rsid w:val="004B79F7"/>
    <w:rsid w:val="004B7C5C"/>
    <w:rsid w:val="004C013C"/>
    <w:rsid w:val="004C037C"/>
    <w:rsid w:val="004C05C9"/>
    <w:rsid w:val="004C08D2"/>
    <w:rsid w:val="004C100B"/>
    <w:rsid w:val="004C174A"/>
    <w:rsid w:val="004C1904"/>
    <w:rsid w:val="004C2669"/>
    <w:rsid w:val="004C2C64"/>
    <w:rsid w:val="004C2EE0"/>
    <w:rsid w:val="004C3378"/>
    <w:rsid w:val="004C3AB5"/>
    <w:rsid w:val="004C3D0E"/>
    <w:rsid w:val="004C3D67"/>
    <w:rsid w:val="004C3E80"/>
    <w:rsid w:val="004C3EC8"/>
    <w:rsid w:val="004C3F60"/>
    <w:rsid w:val="004C453B"/>
    <w:rsid w:val="004C4843"/>
    <w:rsid w:val="004C4EE0"/>
    <w:rsid w:val="004C54AC"/>
    <w:rsid w:val="004C5A7C"/>
    <w:rsid w:val="004C5CAB"/>
    <w:rsid w:val="004C6125"/>
    <w:rsid w:val="004C63AB"/>
    <w:rsid w:val="004C66AC"/>
    <w:rsid w:val="004C6AB6"/>
    <w:rsid w:val="004C6D36"/>
    <w:rsid w:val="004C7396"/>
    <w:rsid w:val="004C78A1"/>
    <w:rsid w:val="004C78EB"/>
    <w:rsid w:val="004D013B"/>
    <w:rsid w:val="004D08E8"/>
    <w:rsid w:val="004D095B"/>
    <w:rsid w:val="004D0F69"/>
    <w:rsid w:val="004D1131"/>
    <w:rsid w:val="004D1399"/>
    <w:rsid w:val="004D1808"/>
    <w:rsid w:val="004D187B"/>
    <w:rsid w:val="004D1FC9"/>
    <w:rsid w:val="004D24CF"/>
    <w:rsid w:val="004D282E"/>
    <w:rsid w:val="004D2F09"/>
    <w:rsid w:val="004D2F4A"/>
    <w:rsid w:val="004D2F9F"/>
    <w:rsid w:val="004D37E3"/>
    <w:rsid w:val="004D39BB"/>
    <w:rsid w:val="004D3BAC"/>
    <w:rsid w:val="004D3D06"/>
    <w:rsid w:val="004D3F06"/>
    <w:rsid w:val="004D41DB"/>
    <w:rsid w:val="004D41F9"/>
    <w:rsid w:val="004D4F7A"/>
    <w:rsid w:val="004D5914"/>
    <w:rsid w:val="004D5B5F"/>
    <w:rsid w:val="004D64AF"/>
    <w:rsid w:val="004D6667"/>
    <w:rsid w:val="004D6990"/>
    <w:rsid w:val="004D6CA7"/>
    <w:rsid w:val="004D6EE1"/>
    <w:rsid w:val="004D783C"/>
    <w:rsid w:val="004D7854"/>
    <w:rsid w:val="004D7935"/>
    <w:rsid w:val="004D7B8C"/>
    <w:rsid w:val="004D7FC2"/>
    <w:rsid w:val="004E04A3"/>
    <w:rsid w:val="004E05AD"/>
    <w:rsid w:val="004E079F"/>
    <w:rsid w:val="004E07F3"/>
    <w:rsid w:val="004E095F"/>
    <w:rsid w:val="004E0BAA"/>
    <w:rsid w:val="004E148C"/>
    <w:rsid w:val="004E178C"/>
    <w:rsid w:val="004E27A9"/>
    <w:rsid w:val="004E3313"/>
    <w:rsid w:val="004E3466"/>
    <w:rsid w:val="004E3992"/>
    <w:rsid w:val="004E3BD6"/>
    <w:rsid w:val="004E3ECC"/>
    <w:rsid w:val="004E44FB"/>
    <w:rsid w:val="004E473B"/>
    <w:rsid w:val="004E4A30"/>
    <w:rsid w:val="004E4A5F"/>
    <w:rsid w:val="004E4BDC"/>
    <w:rsid w:val="004E4CD1"/>
    <w:rsid w:val="004E511E"/>
    <w:rsid w:val="004E604A"/>
    <w:rsid w:val="004E6343"/>
    <w:rsid w:val="004E67FB"/>
    <w:rsid w:val="004E6BE1"/>
    <w:rsid w:val="004E6E59"/>
    <w:rsid w:val="004E7209"/>
    <w:rsid w:val="004E74A4"/>
    <w:rsid w:val="004F0466"/>
    <w:rsid w:val="004F0690"/>
    <w:rsid w:val="004F10B5"/>
    <w:rsid w:val="004F13D7"/>
    <w:rsid w:val="004F19B7"/>
    <w:rsid w:val="004F2072"/>
    <w:rsid w:val="004F219F"/>
    <w:rsid w:val="004F3381"/>
    <w:rsid w:val="004F36A6"/>
    <w:rsid w:val="004F372B"/>
    <w:rsid w:val="004F3B6E"/>
    <w:rsid w:val="004F3CB3"/>
    <w:rsid w:val="004F3CF4"/>
    <w:rsid w:val="004F40EF"/>
    <w:rsid w:val="004F46E2"/>
    <w:rsid w:val="004F47F8"/>
    <w:rsid w:val="004F4BD3"/>
    <w:rsid w:val="004F4D56"/>
    <w:rsid w:val="004F549E"/>
    <w:rsid w:val="004F55C4"/>
    <w:rsid w:val="004F5962"/>
    <w:rsid w:val="004F5D89"/>
    <w:rsid w:val="004F6B29"/>
    <w:rsid w:val="004F70A1"/>
    <w:rsid w:val="004F7145"/>
    <w:rsid w:val="004F7308"/>
    <w:rsid w:val="004F7F7A"/>
    <w:rsid w:val="0050078F"/>
    <w:rsid w:val="00500B58"/>
    <w:rsid w:val="00500D5B"/>
    <w:rsid w:val="00501044"/>
    <w:rsid w:val="0050168D"/>
    <w:rsid w:val="00501C6A"/>
    <w:rsid w:val="00501D8F"/>
    <w:rsid w:val="00501DC7"/>
    <w:rsid w:val="00501EEB"/>
    <w:rsid w:val="0050217D"/>
    <w:rsid w:val="0050230A"/>
    <w:rsid w:val="00502753"/>
    <w:rsid w:val="0050323F"/>
    <w:rsid w:val="00503471"/>
    <w:rsid w:val="005039BB"/>
    <w:rsid w:val="00503C9F"/>
    <w:rsid w:val="00504046"/>
    <w:rsid w:val="00504705"/>
    <w:rsid w:val="00504809"/>
    <w:rsid w:val="00504A04"/>
    <w:rsid w:val="00504BF3"/>
    <w:rsid w:val="00504C82"/>
    <w:rsid w:val="00504E18"/>
    <w:rsid w:val="00505907"/>
    <w:rsid w:val="00505E75"/>
    <w:rsid w:val="005061E2"/>
    <w:rsid w:val="0050633F"/>
    <w:rsid w:val="005064D8"/>
    <w:rsid w:val="00506929"/>
    <w:rsid w:val="00506976"/>
    <w:rsid w:val="00506BA9"/>
    <w:rsid w:val="00506FF9"/>
    <w:rsid w:val="00507173"/>
    <w:rsid w:val="0050727C"/>
    <w:rsid w:val="00507775"/>
    <w:rsid w:val="00507831"/>
    <w:rsid w:val="00507A70"/>
    <w:rsid w:val="00510248"/>
    <w:rsid w:val="00510278"/>
    <w:rsid w:val="005107AA"/>
    <w:rsid w:val="005111A0"/>
    <w:rsid w:val="0051122C"/>
    <w:rsid w:val="005122B4"/>
    <w:rsid w:val="00512428"/>
    <w:rsid w:val="0051289B"/>
    <w:rsid w:val="00512957"/>
    <w:rsid w:val="00512C2F"/>
    <w:rsid w:val="00512CFC"/>
    <w:rsid w:val="00512E3E"/>
    <w:rsid w:val="005135A7"/>
    <w:rsid w:val="00513E07"/>
    <w:rsid w:val="00513FAC"/>
    <w:rsid w:val="00514093"/>
    <w:rsid w:val="00514161"/>
    <w:rsid w:val="005141DC"/>
    <w:rsid w:val="00514CA9"/>
    <w:rsid w:val="00515610"/>
    <w:rsid w:val="0051596C"/>
    <w:rsid w:val="00515C4B"/>
    <w:rsid w:val="005160FE"/>
    <w:rsid w:val="005169C1"/>
    <w:rsid w:val="00516B79"/>
    <w:rsid w:val="00516DF8"/>
    <w:rsid w:val="00516E42"/>
    <w:rsid w:val="00516E4D"/>
    <w:rsid w:val="00517410"/>
    <w:rsid w:val="0051773F"/>
    <w:rsid w:val="00517B5F"/>
    <w:rsid w:val="00517D14"/>
    <w:rsid w:val="00517F3E"/>
    <w:rsid w:val="0052085C"/>
    <w:rsid w:val="00520B09"/>
    <w:rsid w:val="0052164D"/>
    <w:rsid w:val="00521E5D"/>
    <w:rsid w:val="00521F29"/>
    <w:rsid w:val="00521F53"/>
    <w:rsid w:val="0052334D"/>
    <w:rsid w:val="005233D2"/>
    <w:rsid w:val="005233EE"/>
    <w:rsid w:val="0052355A"/>
    <w:rsid w:val="0052392D"/>
    <w:rsid w:val="005239FE"/>
    <w:rsid w:val="00523A21"/>
    <w:rsid w:val="00523DB2"/>
    <w:rsid w:val="005241FC"/>
    <w:rsid w:val="00524E4F"/>
    <w:rsid w:val="00524EA0"/>
    <w:rsid w:val="00525165"/>
    <w:rsid w:val="00525522"/>
    <w:rsid w:val="00525F6C"/>
    <w:rsid w:val="0052600B"/>
    <w:rsid w:val="005266D7"/>
    <w:rsid w:val="005266F9"/>
    <w:rsid w:val="0052686F"/>
    <w:rsid w:val="005268BD"/>
    <w:rsid w:val="005275B8"/>
    <w:rsid w:val="005275BD"/>
    <w:rsid w:val="0052788C"/>
    <w:rsid w:val="00527A1B"/>
    <w:rsid w:val="00527C2A"/>
    <w:rsid w:val="0053018E"/>
    <w:rsid w:val="005305F1"/>
    <w:rsid w:val="00530B16"/>
    <w:rsid w:val="00530D4A"/>
    <w:rsid w:val="005311CA"/>
    <w:rsid w:val="00531279"/>
    <w:rsid w:val="0053181A"/>
    <w:rsid w:val="00531974"/>
    <w:rsid w:val="00531AB8"/>
    <w:rsid w:val="00531C7F"/>
    <w:rsid w:val="00532570"/>
    <w:rsid w:val="00532AED"/>
    <w:rsid w:val="00532B00"/>
    <w:rsid w:val="00532C41"/>
    <w:rsid w:val="00532F7F"/>
    <w:rsid w:val="0053301E"/>
    <w:rsid w:val="00533277"/>
    <w:rsid w:val="005332C2"/>
    <w:rsid w:val="00533B67"/>
    <w:rsid w:val="00533FD7"/>
    <w:rsid w:val="00534261"/>
    <w:rsid w:val="005342FB"/>
    <w:rsid w:val="005343EE"/>
    <w:rsid w:val="00534776"/>
    <w:rsid w:val="00534952"/>
    <w:rsid w:val="00534995"/>
    <w:rsid w:val="005349D6"/>
    <w:rsid w:val="00534AF8"/>
    <w:rsid w:val="00534F4E"/>
    <w:rsid w:val="005354BA"/>
    <w:rsid w:val="005355E0"/>
    <w:rsid w:val="005356D8"/>
    <w:rsid w:val="00535853"/>
    <w:rsid w:val="005359FB"/>
    <w:rsid w:val="00535B4C"/>
    <w:rsid w:val="00535B95"/>
    <w:rsid w:val="00535C61"/>
    <w:rsid w:val="00535FF5"/>
    <w:rsid w:val="0053620C"/>
    <w:rsid w:val="00536638"/>
    <w:rsid w:val="0053691C"/>
    <w:rsid w:val="00536C8A"/>
    <w:rsid w:val="00536D33"/>
    <w:rsid w:val="00536E2A"/>
    <w:rsid w:val="0053791F"/>
    <w:rsid w:val="00537A45"/>
    <w:rsid w:val="0054052D"/>
    <w:rsid w:val="00540869"/>
    <w:rsid w:val="00540E7C"/>
    <w:rsid w:val="0054100F"/>
    <w:rsid w:val="005411B2"/>
    <w:rsid w:val="0054259E"/>
    <w:rsid w:val="005425F9"/>
    <w:rsid w:val="005427D3"/>
    <w:rsid w:val="00542B54"/>
    <w:rsid w:val="00542B5E"/>
    <w:rsid w:val="00542D65"/>
    <w:rsid w:val="0054358A"/>
    <w:rsid w:val="00543BD4"/>
    <w:rsid w:val="00543D4B"/>
    <w:rsid w:val="00543E6C"/>
    <w:rsid w:val="00544036"/>
    <w:rsid w:val="00544106"/>
    <w:rsid w:val="005444DF"/>
    <w:rsid w:val="00544863"/>
    <w:rsid w:val="00544CEB"/>
    <w:rsid w:val="00544E57"/>
    <w:rsid w:val="005453DB"/>
    <w:rsid w:val="005454B0"/>
    <w:rsid w:val="00545968"/>
    <w:rsid w:val="00545EDC"/>
    <w:rsid w:val="005460BA"/>
    <w:rsid w:val="0054616D"/>
    <w:rsid w:val="00546229"/>
    <w:rsid w:val="005468C6"/>
    <w:rsid w:val="00546F8E"/>
    <w:rsid w:val="005470E6"/>
    <w:rsid w:val="00547941"/>
    <w:rsid w:val="00547BE4"/>
    <w:rsid w:val="00550873"/>
    <w:rsid w:val="00550D0C"/>
    <w:rsid w:val="005512A4"/>
    <w:rsid w:val="0055175B"/>
    <w:rsid w:val="0055257A"/>
    <w:rsid w:val="00552C06"/>
    <w:rsid w:val="0055321A"/>
    <w:rsid w:val="0055343E"/>
    <w:rsid w:val="005538BA"/>
    <w:rsid w:val="00553ADA"/>
    <w:rsid w:val="005544F4"/>
    <w:rsid w:val="00554581"/>
    <w:rsid w:val="005548AB"/>
    <w:rsid w:val="00554BC6"/>
    <w:rsid w:val="00554BF4"/>
    <w:rsid w:val="00554EE4"/>
    <w:rsid w:val="00554F9B"/>
    <w:rsid w:val="0055511A"/>
    <w:rsid w:val="005557E1"/>
    <w:rsid w:val="00555972"/>
    <w:rsid w:val="005567CC"/>
    <w:rsid w:val="005569E8"/>
    <w:rsid w:val="00556AF6"/>
    <w:rsid w:val="00556D8B"/>
    <w:rsid w:val="00556F23"/>
    <w:rsid w:val="00556F3A"/>
    <w:rsid w:val="00557874"/>
    <w:rsid w:val="00557B39"/>
    <w:rsid w:val="0056003A"/>
    <w:rsid w:val="00560133"/>
    <w:rsid w:val="005601C4"/>
    <w:rsid w:val="0056087B"/>
    <w:rsid w:val="0056126D"/>
    <w:rsid w:val="00561715"/>
    <w:rsid w:val="00561EE5"/>
    <w:rsid w:val="0056226D"/>
    <w:rsid w:val="005625AA"/>
    <w:rsid w:val="0056295F"/>
    <w:rsid w:val="00562F04"/>
    <w:rsid w:val="005630AD"/>
    <w:rsid w:val="00563357"/>
    <w:rsid w:val="0056358C"/>
    <w:rsid w:val="00563CB7"/>
    <w:rsid w:val="00563DAD"/>
    <w:rsid w:val="0056477C"/>
    <w:rsid w:val="00564802"/>
    <w:rsid w:val="0056629D"/>
    <w:rsid w:val="005666BC"/>
    <w:rsid w:val="00566A6F"/>
    <w:rsid w:val="00566C79"/>
    <w:rsid w:val="005670F8"/>
    <w:rsid w:val="005672FB"/>
    <w:rsid w:val="00567700"/>
    <w:rsid w:val="005677E5"/>
    <w:rsid w:val="00570A85"/>
    <w:rsid w:val="005719C3"/>
    <w:rsid w:val="00572057"/>
    <w:rsid w:val="00572191"/>
    <w:rsid w:val="005724BB"/>
    <w:rsid w:val="00572AA6"/>
    <w:rsid w:val="00572B63"/>
    <w:rsid w:val="00572BBE"/>
    <w:rsid w:val="005730CF"/>
    <w:rsid w:val="00573567"/>
    <w:rsid w:val="00573945"/>
    <w:rsid w:val="005743AB"/>
    <w:rsid w:val="00574761"/>
    <w:rsid w:val="0057479D"/>
    <w:rsid w:val="00574C8E"/>
    <w:rsid w:val="005752B7"/>
    <w:rsid w:val="005758B4"/>
    <w:rsid w:val="005759C3"/>
    <w:rsid w:val="005773DE"/>
    <w:rsid w:val="00577463"/>
    <w:rsid w:val="005776A9"/>
    <w:rsid w:val="00577761"/>
    <w:rsid w:val="005778A4"/>
    <w:rsid w:val="0058030D"/>
    <w:rsid w:val="00580F57"/>
    <w:rsid w:val="00581453"/>
    <w:rsid w:val="005814CD"/>
    <w:rsid w:val="00581A10"/>
    <w:rsid w:val="00581D04"/>
    <w:rsid w:val="00581F25"/>
    <w:rsid w:val="00582539"/>
    <w:rsid w:val="00582695"/>
    <w:rsid w:val="005827D5"/>
    <w:rsid w:val="00582C4C"/>
    <w:rsid w:val="005830DC"/>
    <w:rsid w:val="00583497"/>
    <w:rsid w:val="00583611"/>
    <w:rsid w:val="005847AB"/>
    <w:rsid w:val="005849A5"/>
    <w:rsid w:val="00584E00"/>
    <w:rsid w:val="00584F9A"/>
    <w:rsid w:val="00585302"/>
    <w:rsid w:val="00585542"/>
    <w:rsid w:val="00585965"/>
    <w:rsid w:val="00585CAA"/>
    <w:rsid w:val="00585DD1"/>
    <w:rsid w:val="00586B58"/>
    <w:rsid w:val="00586F76"/>
    <w:rsid w:val="0058701D"/>
    <w:rsid w:val="00587134"/>
    <w:rsid w:val="0058721E"/>
    <w:rsid w:val="005872BA"/>
    <w:rsid w:val="00587311"/>
    <w:rsid w:val="00587985"/>
    <w:rsid w:val="00587A42"/>
    <w:rsid w:val="005902D0"/>
    <w:rsid w:val="0059071E"/>
    <w:rsid w:val="0059086C"/>
    <w:rsid w:val="00590AFE"/>
    <w:rsid w:val="00590D53"/>
    <w:rsid w:val="00591197"/>
    <w:rsid w:val="0059124F"/>
    <w:rsid w:val="00591B4B"/>
    <w:rsid w:val="00591C11"/>
    <w:rsid w:val="00591C69"/>
    <w:rsid w:val="00591E55"/>
    <w:rsid w:val="00592556"/>
    <w:rsid w:val="005927A5"/>
    <w:rsid w:val="00592867"/>
    <w:rsid w:val="0059298B"/>
    <w:rsid w:val="00592BBB"/>
    <w:rsid w:val="00592D28"/>
    <w:rsid w:val="00592D61"/>
    <w:rsid w:val="00592F2C"/>
    <w:rsid w:val="00593187"/>
    <w:rsid w:val="0059329B"/>
    <w:rsid w:val="005934FD"/>
    <w:rsid w:val="0059352C"/>
    <w:rsid w:val="005936B2"/>
    <w:rsid w:val="00593859"/>
    <w:rsid w:val="005938D8"/>
    <w:rsid w:val="00594E4E"/>
    <w:rsid w:val="0059508C"/>
    <w:rsid w:val="005954E3"/>
    <w:rsid w:val="00595D3E"/>
    <w:rsid w:val="00595D78"/>
    <w:rsid w:val="00595E21"/>
    <w:rsid w:val="00595FE1"/>
    <w:rsid w:val="005960D4"/>
    <w:rsid w:val="005960FA"/>
    <w:rsid w:val="00596402"/>
    <w:rsid w:val="0059662F"/>
    <w:rsid w:val="00596D01"/>
    <w:rsid w:val="00596E7E"/>
    <w:rsid w:val="00597500"/>
    <w:rsid w:val="00597FBF"/>
    <w:rsid w:val="005A011A"/>
    <w:rsid w:val="005A04B7"/>
    <w:rsid w:val="005A0521"/>
    <w:rsid w:val="005A063F"/>
    <w:rsid w:val="005A0672"/>
    <w:rsid w:val="005A06C4"/>
    <w:rsid w:val="005A0BA7"/>
    <w:rsid w:val="005A0D10"/>
    <w:rsid w:val="005A0DB8"/>
    <w:rsid w:val="005A0FBE"/>
    <w:rsid w:val="005A15B1"/>
    <w:rsid w:val="005A1888"/>
    <w:rsid w:val="005A1ECD"/>
    <w:rsid w:val="005A1FB6"/>
    <w:rsid w:val="005A2176"/>
    <w:rsid w:val="005A21C5"/>
    <w:rsid w:val="005A25D9"/>
    <w:rsid w:val="005A260A"/>
    <w:rsid w:val="005A2AA5"/>
    <w:rsid w:val="005A2B45"/>
    <w:rsid w:val="005A2DA3"/>
    <w:rsid w:val="005A2E0E"/>
    <w:rsid w:val="005A32D5"/>
    <w:rsid w:val="005A32F4"/>
    <w:rsid w:val="005A3745"/>
    <w:rsid w:val="005A3AAD"/>
    <w:rsid w:val="005A41C4"/>
    <w:rsid w:val="005A45A1"/>
    <w:rsid w:val="005A467D"/>
    <w:rsid w:val="005A48A0"/>
    <w:rsid w:val="005A48B4"/>
    <w:rsid w:val="005A5DA6"/>
    <w:rsid w:val="005A5F3C"/>
    <w:rsid w:val="005A6336"/>
    <w:rsid w:val="005A6406"/>
    <w:rsid w:val="005A673C"/>
    <w:rsid w:val="005A7308"/>
    <w:rsid w:val="005A743D"/>
    <w:rsid w:val="005A7766"/>
    <w:rsid w:val="005A7D4C"/>
    <w:rsid w:val="005A7F26"/>
    <w:rsid w:val="005B0191"/>
    <w:rsid w:val="005B041E"/>
    <w:rsid w:val="005B05BE"/>
    <w:rsid w:val="005B08DC"/>
    <w:rsid w:val="005B09F1"/>
    <w:rsid w:val="005B0FCB"/>
    <w:rsid w:val="005B14CC"/>
    <w:rsid w:val="005B162D"/>
    <w:rsid w:val="005B1D89"/>
    <w:rsid w:val="005B1DC6"/>
    <w:rsid w:val="005B2014"/>
    <w:rsid w:val="005B22B0"/>
    <w:rsid w:val="005B2343"/>
    <w:rsid w:val="005B2741"/>
    <w:rsid w:val="005B2753"/>
    <w:rsid w:val="005B2905"/>
    <w:rsid w:val="005B2DCE"/>
    <w:rsid w:val="005B3E0C"/>
    <w:rsid w:val="005B3EAA"/>
    <w:rsid w:val="005B4343"/>
    <w:rsid w:val="005B4365"/>
    <w:rsid w:val="005B48BA"/>
    <w:rsid w:val="005B4AED"/>
    <w:rsid w:val="005B4B48"/>
    <w:rsid w:val="005B4D41"/>
    <w:rsid w:val="005B4E86"/>
    <w:rsid w:val="005B4F7A"/>
    <w:rsid w:val="005B52FA"/>
    <w:rsid w:val="005B5AAF"/>
    <w:rsid w:val="005B5D44"/>
    <w:rsid w:val="005B5F75"/>
    <w:rsid w:val="005B5FB8"/>
    <w:rsid w:val="005B61D1"/>
    <w:rsid w:val="005B6520"/>
    <w:rsid w:val="005B67B6"/>
    <w:rsid w:val="005B687E"/>
    <w:rsid w:val="005B6FF4"/>
    <w:rsid w:val="005B77EB"/>
    <w:rsid w:val="005B7E22"/>
    <w:rsid w:val="005C0166"/>
    <w:rsid w:val="005C0740"/>
    <w:rsid w:val="005C0DE0"/>
    <w:rsid w:val="005C0E00"/>
    <w:rsid w:val="005C0F23"/>
    <w:rsid w:val="005C0F76"/>
    <w:rsid w:val="005C133B"/>
    <w:rsid w:val="005C14EC"/>
    <w:rsid w:val="005C1852"/>
    <w:rsid w:val="005C1943"/>
    <w:rsid w:val="005C21CD"/>
    <w:rsid w:val="005C23AB"/>
    <w:rsid w:val="005C23C1"/>
    <w:rsid w:val="005C2409"/>
    <w:rsid w:val="005C24D4"/>
    <w:rsid w:val="005C2820"/>
    <w:rsid w:val="005C2857"/>
    <w:rsid w:val="005C31D8"/>
    <w:rsid w:val="005C3376"/>
    <w:rsid w:val="005C36FF"/>
    <w:rsid w:val="005C374F"/>
    <w:rsid w:val="005C40AB"/>
    <w:rsid w:val="005C49BE"/>
    <w:rsid w:val="005C4A5C"/>
    <w:rsid w:val="005C5184"/>
    <w:rsid w:val="005C52C6"/>
    <w:rsid w:val="005C5836"/>
    <w:rsid w:val="005C5D14"/>
    <w:rsid w:val="005C5D24"/>
    <w:rsid w:val="005C5D7A"/>
    <w:rsid w:val="005C5F9E"/>
    <w:rsid w:val="005C6649"/>
    <w:rsid w:val="005C6E86"/>
    <w:rsid w:val="005C790C"/>
    <w:rsid w:val="005D03F9"/>
    <w:rsid w:val="005D0809"/>
    <w:rsid w:val="005D085A"/>
    <w:rsid w:val="005D0AB3"/>
    <w:rsid w:val="005D0AD1"/>
    <w:rsid w:val="005D0AD2"/>
    <w:rsid w:val="005D0E2B"/>
    <w:rsid w:val="005D0E36"/>
    <w:rsid w:val="005D13DA"/>
    <w:rsid w:val="005D1649"/>
    <w:rsid w:val="005D1B78"/>
    <w:rsid w:val="005D1C08"/>
    <w:rsid w:val="005D1DC7"/>
    <w:rsid w:val="005D1F29"/>
    <w:rsid w:val="005D2627"/>
    <w:rsid w:val="005D2652"/>
    <w:rsid w:val="005D26FD"/>
    <w:rsid w:val="005D2742"/>
    <w:rsid w:val="005D2967"/>
    <w:rsid w:val="005D2C60"/>
    <w:rsid w:val="005D3451"/>
    <w:rsid w:val="005D3502"/>
    <w:rsid w:val="005D3F50"/>
    <w:rsid w:val="005D40D8"/>
    <w:rsid w:val="005D42AD"/>
    <w:rsid w:val="005D42E2"/>
    <w:rsid w:val="005D4424"/>
    <w:rsid w:val="005D4A69"/>
    <w:rsid w:val="005D4C59"/>
    <w:rsid w:val="005D5374"/>
    <w:rsid w:val="005D53CD"/>
    <w:rsid w:val="005D546A"/>
    <w:rsid w:val="005D5653"/>
    <w:rsid w:val="005D5771"/>
    <w:rsid w:val="005D57BB"/>
    <w:rsid w:val="005D5A1B"/>
    <w:rsid w:val="005D5CE3"/>
    <w:rsid w:val="005D5E4D"/>
    <w:rsid w:val="005D616F"/>
    <w:rsid w:val="005D61D4"/>
    <w:rsid w:val="005D6489"/>
    <w:rsid w:val="005D6695"/>
    <w:rsid w:val="005D6D48"/>
    <w:rsid w:val="005D6EBC"/>
    <w:rsid w:val="005D78FC"/>
    <w:rsid w:val="005E01F0"/>
    <w:rsid w:val="005E02CC"/>
    <w:rsid w:val="005E0BA6"/>
    <w:rsid w:val="005E0C9C"/>
    <w:rsid w:val="005E0CF0"/>
    <w:rsid w:val="005E0EBD"/>
    <w:rsid w:val="005E19F9"/>
    <w:rsid w:val="005E1ACF"/>
    <w:rsid w:val="005E1DF9"/>
    <w:rsid w:val="005E1E92"/>
    <w:rsid w:val="005E27D2"/>
    <w:rsid w:val="005E324E"/>
    <w:rsid w:val="005E366E"/>
    <w:rsid w:val="005E3AD9"/>
    <w:rsid w:val="005E40B7"/>
    <w:rsid w:val="005E416F"/>
    <w:rsid w:val="005E47F7"/>
    <w:rsid w:val="005E50F6"/>
    <w:rsid w:val="005E5865"/>
    <w:rsid w:val="005E5D43"/>
    <w:rsid w:val="005E6836"/>
    <w:rsid w:val="005E6FD0"/>
    <w:rsid w:val="005E79F0"/>
    <w:rsid w:val="005E7A4E"/>
    <w:rsid w:val="005F0177"/>
    <w:rsid w:val="005F0397"/>
    <w:rsid w:val="005F0D83"/>
    <w:rsid w:val="005F1014"/>
    <w:rsid w:val="005F119B"/>
    <w:rsid w:val="005F14A1"/>
    <w:rsid w:val="005F2001"/>
    <w:rsid w:val="005F265E"/>
    <w:rsid w:val="005F296B"/>
    <w:rsid w:val="005F2C71"/>
    <w:rsid w:val="005F30A3"/>
    <w:rsid w:val="005F36E4"/>
    <w:rsid w:val="005F39FD"/>
    <w:rsid w:val="005F4285"/>
    <w:rsid w:val="005F444D"/>
    <w:rsid w:val="005F4499"/>
    <w:rsid w:val="005F46A8"/>
    <w:rsid w:val="005F483D"/>
    <w:rsid w:val="005F4949"/>
    <w:rsid w:val="005F4AFF"/>
    <w:rsid w:val="005F4E13"/>
    <w:rsid w:val="005F50FC"/>
    <w:rsid w:val="005F51C7"/>
    <w:rsid w:val="005F5256"/>
    <w:rsid w:val="005F532E"/>
    <w:rsid w:val="005F54BD"/>
    <w:rsid w:val="005F578D"/>
    <w:rsid w:val="005F59AA"/>
    <w:rsid w:val="005F5EA7"/>
    <w:rsid w:val="005F6059"/>
    <w:rsid w:val="005F60D4"/>
    <w:rsid w:val="005F61D0"/>
    <w:rsid w:val="005F6260"/>
    <w:rsid w:val="005F6381"/>
    <w:rsid w:val="005F646D"/>
    <w:rsid w:val="005F68CC"/>
    <w:rsid w:val="005F6C80"/>
    <w:rsid w:val="005F6F16"/>
    <w:rsid w:val="005F722E"/>
    <w:rsid w:val="005F7290"/>
    <w:rsid w:val="005F7A96"/>
    <w:rsid w:val="005F7AD4"/>
    <w:rsid w:val="005F7F8D"/>
    <w:rsid w:val="00600336"/>
    <w:rsid w:val="00600394"/>
    <w:rsid w:val="006003F5"/>
    <w:rsid w:val="00600726"/>
    <w:rsid w:val="00600CE2"/>
    <w:rsid w:val="00601007"/>
    <w:rsid w:val="0060224E"/>
    <w:rsid w:val="00602317"/>
    <w:rsid w:val="006025FC"/>
    <w:rsid w:val="00602732"/>
    <w:rsid w:val="00602C95"/>
    <w:rsid w:val="00602EF4"/>
    <w:rsid w:val="006031B4"/>
    <w:rsid w:val="006033CE"/>
    <w:rsid w:val="00603455"/>
    <w:rsid w:val="0060347E"/>
    <w:rsid w:val="0060350E"/>
    <w:rsid w:val="00603570"/>
    <w:rsid w:val="006039D8"/>
    <w:rsid w:val="00604116"/>
    <w:rsid w:val="0060422D"/>
    <w:rsid w:val="006043B3"/>
    <w:rsid w:val="00604505"/>
    <w:rsid w:val="0060466A"/>
    <w:rsid w:val="00604895"/>
    <w:rsid w:val="006048A0"/>
    <w:rsid w:val="0060504D"/>
    <w:rsid w:val="00605475"/>
    <w:rsid w:val="006065F2"/>
    <w:rsid w:val="0060689A"/>
    <w:rsid w:val="00606C4E"/>
    <w:rsid w:val="006071A6"/>
    <w:rsid w:val="006075F9"/>
    <w:rsid w:val="006076C9"/>
    <w:rsid w:val="0060793A"/>
    <w:rsid w:val="006079B6"/>
    <w:rsid w:val="00607B3A"/>
    <w:rsid w:val="00607B40"/>
    <w:rsid w:val="00607CDD"/>
    <w:rsid w:val="00610062"/>
    <w:rsid w:val="0061011E"/>
    <w:rsid w:val="0061031B"/>
    <w:rsid w:val="00610825"/>
    <w:rsid w:val="00610A02"/>
    <w:rsid w:val="00610C54"/>
    <w:rsid w:val="00610E1C"/>
    <w:rsid w:val="006112D1"/>
    <w:rsid w:val="0061174E"/>
    <w:rsid w:val="006117DE"/>
    <w:rsid w:val="00611926"/>
    <w:rsid w:val="00611CDD"/>
    <w:rsid w:val="00612061"/>
    <w:rsid w:val="0061258F"/>
    <w:rsid w:val="006126AA"/>
    <w:rsid w:val="006129E7"/>
    <w:rsid w:val="00612F86"/>
    <w:rsid w:val="00613103"/>
    <w:rsid w:val="0061312D"/>
    <w:rsid w:val="00613D18"/>
    <w:rsid w:val="00614461"/>
    <w:rsid w:val="00614892"/>
    <w:rsid w:val="00614DD8"/>
    <w:rsid w:val="00614F47"/>
    <w:rsid w:val="006150C5"/>
    <w:rsid w:val="006151B8"/>
    <w:rsid w:val="006168DD"/>
    <w:rsid w:val="00616B09"/>
    <w:rsid w:val="00616CED"/>
    <w:rsid w:val="00616FC8"/>
    <w:rsid w:val="006174D4"/>
    <w:rsid w:val="00617B3B"/>
    <w:rsid w:val="00617B77"/>
    <w:rsid w:val="00617C49"/>
    <w:rsid w:val="00617C8D"/>
    <w:rsid w:val="006202EF"/>
    <w:rsid w:val="0062039E"/>
    <w:rsid w:val="006203E8"/>
    <w:rsid w:val="006205F2"/>
    <w:rsid w:val="0062138C"/>
    <w:rsid w:val="00621A2F"/>
    <w:rsid w:val="00621D20"/>
    <w:rsid w:val="00622515"/>
    <w:rsid w:val="00622577"/>
    <w:rsid w:val="00622BA6"/>
    <w:rsid w:val="00622EDB"/>
    <w:rsid w:val="0062325A"/>
    <w:rsid w:val="00623288"/>
    <w:rsid w:val="006233EB"/>
    <w:rsid w:val="006235BA"/>
    <w:rsid w:val="006238A2"/>
    <w:rsid w:val="00623BD2"/>
    <w:rsid w:val="00623E47"/>
    <w:rsid w:val="00624006"/>
    <w:rsid w:val="00624089"/>
    <w:rsid w:val="0062420A"/>
    <w:rsid w:val="006243AD"/>
    <w:rsid w:val="006243AE"/>
    <w:rsid w:val="006244D9"/>
    <w:rsid w:val="00624508"/>
    <w:rsid w:val="006246ED"/>
    <w:rsid w:val="00624F35"/>
    <w:rsid w:val="00624FC3"/>
    <w:rsid w:val="00625E48"/>
    <w:rsid w:val="00626129"/>
    <w:rsid w:val="0062623A"/>
    <w:rsid w:val="00626440"/>
    <w:rsid w:val="006267C6"/>
    <w:rsid w:val="00626C40"/>
    <w:rsid w:val="00626EEF"/>
    <w:rsid w:val="006271CC"/>
    <w:rsid w:val="006271E9"/>
    <w:rsid w:val="006275BE"/>
    <w:rsid w:val="00627971"/>
    <w:rsid w:val="00627A4E"/>
    <w:rsid w:val="0063002E"/>
    <w:rsid w:val="006305A1"/>
    <w:rsid w:val="006308A1"/>
    <w:rsid w:val="00630F19"/>
    <w:rsid w:val="00631A3E"/>
    <w:rsid w:val="00631A72"/>
    <w:rsid w:val="00631BCB"/>
    <w:rsid w:val="00631FC7"/>
    <w:rsid w:val="0063202F"/>
    <w:rsid w:val="00632ABF"/>
    <w:rsid w:val="0063317B"/>
    <w:rsid w:val="00633CA8"/>
    <w:rsid w:val="00634087"/>
    <w:rsid w:val="00634961"/>
    <w:rsid w:val="00634E7B"/>
    <w:rsid w:val="00634F88"/>
    <w:rsid w:val="006352CD"/>
    <w:rsid w:val="006352FB"/>
    <w:rsid w:val="006358CC"/>
    <w:rsid w:val="00635A40"/>
    <w:rsid w:val="00635D48"/>
    <w:rsid w:val="00636513"/>
    <w:rsid w:val="00636581"/>
    <w:rsid w:val="00636A01"/>
    <w:rsid w:val="00636AA7"/>
    <w:rsid w:val="00636CCA"/>
    <w:rsid w:val="00636D81"/>
    <w:rsid w:val="00637029"/>
    <w:rsid w:val="0063719D"/>
    <w:rsid w:val="006379AC"/>
    <w:rsid w:val="006379EE"/>
    <w:rsid w:val="00637B40"/>
    <w:rsid w:val="00637B45"/>
    <w:rsid w:val="0063F254"/>
    <w:rsid w:val="006405FB"/>
    <w:rsid w:val="006409AB"/>
    <w:rsid w:val="006410AB"/>
    <w:rsid w:val="00641101"/>
    <w:rsid w:val="0064115F"/>
    <w:rsid w:val="0064137C"/>
    <w:rsid w:val="00641503"/>
    <w:rsid w:val="0064180A"/>
    <w:rsid w:val="006418CC"/>
    <w:rsid w:val="00641B63"/>
    <w:rsid w:val="00642335"/>
    <w:rsid w:val="00642482"/>
    <w:rsid w:val="006425B2"/>
    <w:rsid w:val="006426A3"/>
    <w:rsid w:val="0064284F"/>
    <w:rsid w:val="006429E7"/>
    <w:rsid w:val="00642AA9"/>
    <w:rsid w:val="00642C57"/>
    <w:rsid w:val="00642E37"/>
    <w:rsid w:val="00642F85"/>
    <w:rsid w:val="00643301"/>
    <w:rsid w:val="0064330C"/>
    <w:rsid w:val="006433F8"/>
    <w:rsid w:val="006434D8"/>
    <w:rsid w:val="006434FF"/>
    <w:rsid w:val="00643675"/>
    <w:rsid w:val="00643D21"/>
    <w:rsid w:val="00643E27"/>
    <w:rsid w:val="00643E9F"/>
    <w:rsid w:val="00643F20"/>
    <w:rsid w:val="00643F9C"/>
    <w:rsid w:val="00644678"/>
    <w:rsid w:val="006449FE"/>
    <w:rsid w:val="00644A9C"/>
    <w:rsid w:val="00644CF2"/>
    <w:rsid w:val="00644E7A"/>
    <w:rsid w:val="006455D4"/>
    <w:rsid w:val="0064596C"/>
    <w:rsid w:val="00645A4A"/>
    <w:rsid w:val="00645ACC"/>
    <w:rsid w:val="00645E80"/>
    <w:rsid w:val="00645FDC"/>
    <w:rsid w:val="00646351"/>
    <w:rsid w:val="006463B9"/>
    <w:rsid w:val="00646436"/>
    <w:rsid w:val="006465AD"/>
    <w:rsid w:val="00646A04"/>
    <w:rsid w:val="006477B6"/>
    <w:rsid w:val="006477BD"/>
    <w:rsid w:val="0064780E"/>
    <w:rsid w:val="0065014F"/>
    <w:rsid w:val="00650497"/>
    <w:rsid w:val="006509C6"/>
    <w:rsid w:val="00650B24"/>
    <w:rsid w:val="00650CE3"/>
    <w:rsid w:val="00650E88"/>
    <w:rsid w:val="006512E9"/>
    <w:rsid w:val="00651994"/>
    <w:rsid w:val="00651F02"/>
    <w:rsid w:val="00651F28"/>
    <w:rsid w:val="006523F8"/>
    <w:rsid w:val="00652971"/>
    <w:rsid w:val="00652EDD"/>
    <w:rsid w:val="00653005"/>
    <w:rsid w:val="00653274"/>
    <w:rsid w:val="00653399"/>
    <w:rsid w:val="006541AF"/>
    <w:rsid w:val="0065436A"/>
    <w:rsid w:val="0065495A"/>
    <w:rsid w:val="00654D5D"/>
    <w:rsid w:val="006554FC"/>
    <w:rsid w:val="0065589E"/>
    <w:rsid w:val="00655FD5"/>
    <w:rsid w:val="00656224"/>
    <w:rsid w:val="00656281"/>
    <w:rsid w:val="006567D3"/>
    <w:rsid w:val="006568B3"/>
    <w:rsid w:val="00656FAB"/>
    <w:rsid w:val="00657881"/>
    <w:rsid w:val="00657A1C"/>
    <w:rsid w:val="00657D45"/>
    <w:rsid w:val="00657E1E"/>
    <w:rsid w:val="0066085A"/>
    <w:rsid w:val="0066140D"/>
    <w:rsid w:val="0066145E"/>
    <w:rsid w:val="00661A30"/>
    <w:rsid w:val="00661A8D"/>
    <w:rsid w:val="00661C1B"/>
    <w:rsid w:val="00661C5E"/>
    <w:rsid w:val="00661DED"/>
    <w:rsid w:val="00662044"/>
    <w:rsid w:val="00662AB7"/>
    <w:rsid w:val="00662C9F"/>
    <w:rsid w:val="00663178"/>
    <w:rsid w:val="0066332E"/>
    <w:rsid w:val="0066375E"/>
    <w:rsid w:val="00663A07"/>
    <w:rsid w:val="00663A08"/>
    <w:rsid w:val="00663B6B"/>
    <w:rsid w:val="006640EC"/>
    <w:rsid w:val="00664427"/>
    <w:rsid w:val="006644C0"/>
    <w:rsid w:val="00664936"/>
    <w:rsid w:val="0066499E"/>
    <w:rsid w:val="0066574B"/>
    <w:rsid w:val="006659CE"/>
    <w:rsid w:val="00665BEE"/>
    <w:rsid w:val="00666081"/>
    <w:rsid w:val="00666E12"/>
    <w:rsid w:val="00666EC0"/>
    <w:rsid w:val="00666FE2"/>
    <w:rsid w:val="00667259"/>
    <w:rsid w:val="00667434"/>
    <w:rsid w:val="0066A6BD"/>
    <w:rsid w:val="0067068E"/>
    <w:rsid w:val="00670D84"/>
    <w:rsid w:val="00671042"/>
    <w:rsid w:val="00671938"/>
    <w:rsid w:val="00671ABD"/>
    <w:rsid w:val="00671ACB"/>
    <w:rsid w:val="00671ED1"/>
    <w:rsid w:val="0067264A"/>
    <w:rsid w:val="006726F0"/>
    <w:rsid w:val="0067271F"/>
    <w:rsid w:val="006727DA"/>
    <w:rsid w:val="00672E62"/>
    <w:rsid w:val="006733EB"/>
    <w:rsid w:val="006735EE"/>
    <w:rsid w:val="006738A0"/>
    <w:rsid w:val="00673BEC"/>
    <w:rsid w:val="00673D33"/>
    <w:rsid w:val="006741C7"/>
    <w:rsid w:val="00674396"/>
    <w:rsid w:val="00674903"/>
    <w:rsid w:val="00674B54"/>
    <w:rsid w:val="00674E8E"/>
    <w:rsid w:val="00675402"/>
    <w:rsid w:val="006757CB"/>
    <w:rsid w:val="00675BB6"/>
    <w:rsid w:val="00675C5E"/>
    <w:rsid w:val="006760C4"/>
    <w:rsid w:val="006764EA"/>
    <w:rsid w:val="0067671B"/>
    <w:rsid w:val="00676AC6"/>
    <w:rsid w:val="00676B3E"/>
    <w:rsid w:val="00676B53"/>
    <w:rsid w:val="0067767C"/>
    <w:rsid w:val="00677C89"/>
    <w:rsid w:val="0068043E"/>
    <w:rsid w:val="00680529"/>
    <w:rsid w:val="00680832"/>
    <w:rsid w:val="00680A27"/>
    <w:rsid w:val="00680BD4"/>
    <w:rsid w:val="00680EB7"/>
    <w:rsid w:val="006811AA"/>
    <w:rsid w:val="0068141B"/>
    <w:rsid w:val="006814CE"/>
    <w:rsid w:val="00681825"/>
    <w:rsid w:val="00681880"/>
    <w:rsid w:val="00681B6F"/>
    <w:rsid w:val="00682591"/>
    <w:rsid w:val="00682695"/>
    <w:rsid w:val="00682922"/>
    <w:rsid w:val="00682C39"/>
    <w:rsid w:val="00682C3C"/>
    <w:rsid w:val="00682F30"/>
    <w:rsid w:val="006832F4"/>
    <w:rsid w:val="00683632"/>
    <w:rsid w:val="0068381E"/>
    <w:rsid w:val="00683875"/>
    <w:rsid w:val="00683AF8"/>
    <w:rsid w:val="00683CB8"/>
    <w:rsid w:val="00683E6C"/>
    <w:rsid w:val="00684159"/>
    <w:rsid w:val="00684665"/>
    <w:rsid w:val="0068482B"/>
    <w:rsid w:val="00684CAA"/>
    <w:rsid w:val="0068514A"/>
    <w:rsid w:val="006851BF"/>
    <w:rsid w:val="006852BC"/>
    <w:rsid w:val="006853AE"/>
    <w:rsid w:val="0068573F"/>
    <w:rsid w:val="00685786"/>
    <w:rsid w:val="00685C08"/>
    <w:rsid w:val="00686188"/>
    <w:rsid w:val="006861D0"/>
    <w:rsid w:val="0068623E"/>
    <w:rsid w:val="006863A4"/>
    <w:rsid w:val="00686A90"/>
    <w:rsid w:val="00687285"/>
    <w:rsid w:val="006877A2"/>
    <w:rsid w:val="00687C62"/>
    <w:rsid w:val="00687CCC"/>
    <w:rsid w:val="006903AE"/>
    <w:rsid w:val="00690422"/>
    <w:rsid w:val="00690474"/>
    <w:rsid w:val="0069051D"/>
    <w:rsid w:val="00690A26"/>
    <w:rsid w:val="00690A6E"/>
    <w:rsid w:val="00690C08"/>
    <w:rsid w:val="00690CB0"/>
    <w:rsid w:val="00691D47"/>
    <w:rsid w:val="00692A24"/>
    <w:rsid w:val="00692B6A"/>
    <w:rsid w:val="0069337C"/>
    <w:rsid w:val="00693558"/>
    <w:rsid w:val="006938A2"/>
    <w:rsid w:val="00693D4E"/>
    <w:rsid w:val="00694164"/>
    <w:rsid w:val="006950C4"/>
    <w:rsid w:val="006955CC"/>
    <w:rsid w:val="006956C0"/>
    <w:rsid w:val="006958B4"/>
    <w:rsid w:val="006959C1"/>
    <w:rsid w:val="006966B9"/>
    <w:rsid w:val="00696DA3"/>
    <w:rsid w:val="00697404"/>
    <w:rsid w:val="0069766E"/>
    <w:rsid w:val="006977F5"/>
    <w:rsid w:val="00697D14"/>
    <w:rsid w:val="006A008B"/>
    <w:rsid w:val="006A020E"/>
    <w:rsid w:val="006A0AA1"/>
    <w:rsid w:val="006A0ABC"/>
    <w:rsid w:val="006A0D51"/>
    <w:rsid w:val="006A0D68"/>
    <w:rsid w:val="006A1400"/>
    <w:rsid w:val="006A1473"/>
    <w:rsid w:val="006A1C2D"/>
    <w:rsid w:val="006A21ED"/>
    <w:rsid w:val="006A25ED"/>
    <w:rsid w:val="006A2E47"/>
    <w:rsid w:val="006A2EE9"/>
    <w:rsid w:val="006A3031"/>
    <w:rsid w:val="006A3A04"/>
    <w:rsid w:val="006A3E8E"/>
    <w:rsid w:val="006A44F5"/>
    <w:rsid w:val="006A47C9"/>
    <w:rsid w:val="006A4825"/>
    <w:rsid w:val="006A492F"/>
    <w:rsid w:val="006A4D54"/>
    <w:rsid w:val="006A5206"/>
    <w:rsid w:val="006A5294"/>
    <w:rsid w:val="006A561F"/>
    <w:rsid w:val="006A5669"/>
    <w:rsid w:val="006A5A48"/>
    <w:rsid w:val="006A5F34"/>
    <w:rsid w:val="006A68DA"/>
    <w:rsid w:val="006A6A45"/>
    <w:rsid w:val="006A6B49"/>
    <w:rsid w:val="006A6BA2"/>
    <w:rsid w:val="006A6CF3"/>
    <w:rsid w:val="006A6DE9"/>
    <w:rsid w:val="006A703C"/>
    <w:rsid w:val="006A7CF3"/>
    <w:rsid w:val="006B07E9"/>
    <w:rsid w:val="006B0989"/>
    <w:rsid w:val="006B09D5"/>
    <w:rsid w:val="006B0A3B"/>
    <w:rsid w:val="006B0C55"/>
    <w:rsid w:val="006B1D0A"/>
    <w:rsid w:val="006B2308"/>
    <w:rsid w:val="006B27E8"/>
    <w:rsid w:val="006B2A4A"/>
    <w:rsid w:val="006B32A3"/>
    <w:rsid w:val="006B33BB"/>
    <w:rsid w:val="006B36A2"/>
    <w:rsid w:val="006B370A"/>
    <w:rsid w:val="006B38EB"/>
    <w:rsid w:val="006B3ACC"/>
    <w:rsid w:val="006B3DD5"/>
    <w:rsid w:val="006B4282"/>
    <w:rsid w:val="006B445E"/>
    <w:rsid w:val="006B464D"/>
    <w:rsid w:val="006B51EC"/>
    <w:rsid w:val="006B5262"/>
    <w:rsid w:val="006B54CF"/>
    <w:rsid w:val="006B55C4"/>
    <w:rsid w:val="006B55D4"/>
    <w:rsid w:val="006B5742"/>
    <w:rsid w:val="006B64B6"/>
    <w:rsid w:val="006B67B3"/>
    <w:rsid w:val="006B6D76"/>
    <w:rsid w:val="006B7672"/>
    <w:rsid w:val="006B76BC"/>
    <w:rsid w:val="006B78A2"/>
    <w:rsid w:val="006B7E42"/>
    <w:rsid w:val="006B7FC1"/>
    <w:rsid w:val="006C04A4"/>
    <w:rsid w:val="006C07FC"/>
    <w:rsid w:val="006C0A05"/>
    <w:rsid w:val="006C0E1C"/>
    <w:rsid w:val="006C12DD"/>
    <w:rsid w:val="006C1A08"/>
    <w:rsid w:val="006C1BAF"/>
    <w:rsid w:val="006C1BFF"/>
    <w:rsid w:val="006C1CD6"/>
    <w:rsid w:val="006C1D27"/>
    <w:rsid w:val="006C205A"/>
    <w:rsid w:val="006C25E1"/>
    <w:rsid w:val="006C2A7E"/>
    <w:rsid w:val="006C2FB8"/>
    <w:rsid w:val="006C355B"/>
    <w:rsid w:val="006C373F"/>
    <w:rsid w:val="006C4461"/>
    <w:rsid w:val="006C4960"/>
    <w:rsid w:val="006C4BF7"/>
    <w:rsid w:val="006C4CD4"/>
    <w:rsid w:val="006C4DBB"/>
    <w:rsid w:val="006C52DA"/>
    <w:rsid w:val="006C5A53"/>
    <w:rsid w:val="006C5C4B"/>
    <w:rsid w:val="006C5D73"/>
    <w:rsid w:val="006C6177"/>
    <w:rsid w:val="006C6432"/>
    <w:rsid w:val="006C6507"/>
    <w:rsid w:val="006C654F"/>
    <w:rsid w:val="006C6551"/>
    <w:rsid w:val="006C6750"/>
    <w:rsid w:val="006C6879"/>
    <w:rsid w:val="006C6C1E"/>
    <w:rsid w:val="006C6CA0"/>
    <w:rsid w:val="006C6F3C"/>
    <w:rsid w:val="006C77DF"/>
    <w:rsid w:val="006D02DF"/>
    <w:rsid w:val="006D0B10"/>
    <w:rsid w:val="006D0BC7"/>
    <w:rsid w:val="006D0FCB"/>
    <w:rsid w:val="006D1173"/>
    <w:rsid w:val="006D1977"/>
    <w:rsid w:val="006D2112"/>
    <w:rsid w:val="006D212D"/>
    <w:rsid w:val="006D23E8"/>
    <w:rsid w:val="006D26B3"/>
    <w:rsid w:val="006D2DCB"/>
    <w:rsid w:val="006D3646"/>
    <w:rsid w:val="006D3833"/>
    <w:rsid w:val="006D3A88"/>
    <w:rsid w:val="006D4255"/>
    <w:rsid w:val="006D4806"/>
    <w:rsid w:val="006D4CA1"/>
    <w:rsid w:val="006D4D56"/>
    <w:rsid w:val="006D4E06"/>
    <w:rsid w:val="006D5135"/>
    <w:rsid w:val="006D5273"/>
    <w:rsid w:val="006D53A5"/>
    <w:rsid w:val="006D5506"/>
    <w:rsid w:val="006D5846"/>
    <w:rsid w:val="006D5BD8"/>
    <w:rsid w:val="006D5ECB"/>
    <w:rsid w:val="006D6251"/>
    <w:rsid w:val="006D6267"/>
    <w:rsid w:val="006D66AC"/>
    <w:rsid w:val="006D66B6"/>
    <w:rsid w:val="006D68C5"/>
    <w:rsid w:val="006D6D31"/>
    <w:rsid w:val="006D73D2"/>
    <w:rsid w:val="006D7CF2"/>
    <w:rsid w:val="006E047D"/>
    <w:rsid w:val="006E04AD"/>
    <w:rsid w:val="006E04B0"/>
    <w:rsid w:val="006E0849"/>
    <w:rsid w:val="006E0AC1"/>
    <w:rsid w:val="006E0B51"/>
    <w:rsid w:val="006E0C9F"/>
    <w:rsid w:val="006E0F70"/>
    <w:rsid w:val="006E15E8"/>
    <w:rsid w:val="006E1744"/>
    <w:rsid w:val="006E177B"/>
    <w:rsid w:val="006E1825"/>
    <w:rsid w:val="006E1C07"/>
    <w:rsid w:val="006E1D1B"/>
    <w:rsid w:val="006E2FD7"/>
    <w:rsid w:val="006E31C2"/>
    <w:rsid w:val="006E368E"/>
    <w:rsid w:val="006E3A2E"/>
    <w:rsid w:val="006E3CB7"/>
    <w:rsid w:val="006E3F82"/>
    <w:rsid w:val="006E3F9A"/>
    <w:rsid w:val="006E450D"/>
    <w:rsid w:val="006E4E86"/>
    <w:rsid w:val="006E511B"/>
    <w:rsid w:val="006E5C19"/>
    <w:rsid w:val="006E5FB0"/>
    <w:rsid w:val="006E62C7"/>
    <w:rsid w:val="006E6307"/>
    <w:rsid w:val="006E68C7"/>
    <w:rsid w:val="006E69E7"/>
    <w:rsid w:val="006E6D11"/>
    <w:rsid w:val="006E775B"/>
    <w:rsid w:val="006E7B49"/>
    <w:rsid w:val="006E7B6A"/>
    <w:rsid w:val="006E7F8B"/>
    <w:rsid w:val="006F016B"/>
    <w:rsid w:val="006F018C"/>
    <w:rsid w:val="006F050D"/>
    <w:rsid w:val="006F06B4"/>
    <w:rsid w:val="006F072F"/>
    <w:rsid w:val="006F0867"/>
    <w:rsid w:val="006F0C2A"/>
    <w:rsid w:val="006F0DE0"/>
    <w:rsid w:val="006F0E91"/>
    <w:rsid w:val="006F10BC"/>
    <w:rsid w:val="006F1ADC"/>
    <w:rsid w:val="006F1C20"/>
    <w:rsid w:val="006F1FEF"/>
    <w:rsid w:val="006F26C4"/>
    <w:rsid w:val="006F2DED"/>
    <w:rsid w:val="006F2F6D"/>
    <w:rsid w:val="006F3A08"/>
    <w:rsid w:val="006F3AB8"/>
    <w:rsid w:val="006F3F9E"/>
    <w:rsid w:val="006F43FA"/>
    <w:rsid w:val="006F487D"/>
    <w:rsid w:val="006F4D78"/>
    <w:rsid w:val="006F4F63"/>
    <w:rsid w:val="006F5E49"/>
    <w:rsid w:val="006F6144"/>
    <w:rsid w:val="006F6167"/>
    <w:rsid w:val="006F6229"/>
    <w:rsid w:val="006F6325"/>
    <w:rsid w:val="006F67AC"/>
    <w:rsid w:val="006F7053"/>
    <w:rsid w:val="006F70FC"/>
    <w:rsid w:val="006F7934"/>
    <w:rsid w:val="006F7984"/>
    <w:rsid w:val="006F7C76"/>
    <w:rsid w:val="00700292"/>
    <w:rsid w:val="00700303"/>
    <w:rsid w:val="007008DA"/>
    <w:rsid w:val="00700DA6"/>
    <w:rsid w:val="00701004"/>
    <w:rsid w:val="00701044"/>
    <w:rsid w:val="00701300"/>
    <w:rsid w:val="007015C4"/>
    <w:rsid w:val="00701869"/>
    <w:rsid w:val="007019A0"/>
    <w:rsid w:val="00701AB0"/>
    <w:rsid w:val="00701C45"/>
    <w:rsid w:val="00701D0D"/>
    <w:rsid w:val="00701D78"/>
    <w:rsid w:val="00702361"/>
    <w:rsid w:val="007023B2"/>
    <w:rsid w:val="00702732"/>
    <w:rsid w:val="00702B1D"/>
    <w:rsid w:val="00702F40"/>
    <w:rsid w:val="00702F7F"/>
    <w:rsid w:val="007030AE"/>
    <w:rsid w:val="0070318B"/>
    <w:rsid w:val="007031D0"/>
    <w:rsid w:val="00703734"/>
    <w:rsid w:val="007037B5"/>
    <w:rsid w:val="00703959"/>
    <w:rsid w:val="00704448"/>
    <w:rsid w:val="007044B3"/>
    <w:rsid w:val="0070466C"/>
    <w:rsid w:val="00704758"/>
    <w:rsid w:val="00704AFF"/>
    <w:rsid w:val="00704C6D"/>
    <w:rsid w:val="00704D42"/>
    <w:rsid w:val="00704D82"/>
    <w:rsid w:val="0070544B"/>
    <w:rsid w:val="0070574D"/>
    <w:rsid w:val="00705A99"/>
    <w:rsid w:val="00705BAB"/>
    <w:rsid w:val="00706812"/>
    <w:rsid w:val="00706B69"/>
    <w:rsid w:val="007071BB"/>
    <w:rsid w:val="0070748C"/>
    <w:rsid w:val="007075DE"/>
    <w:rsid w:val="00707A10"/>
    <w:rsid w:val="00707C04"/>
    <w:rsid w:val="00707EA7"/>
    <w:rsid w:val="00707F18"/>
    <w:rsid w:val="007103FD"/>
    <w:rsid w:val="007108A9"/>
    <w:rsid w:val="00710E8E"/>
    <w:rsid w:val="007111D0"/>
    <w:rsid w:val="0071162C"/>
    <w:rsid w:val="00711735"/>
    <w:rsid w:val="0071176E"/>
    <w:rsid w:val="007118A0"/>
    <w:rsid w:val="00711BCC"/>
    <w:rsid w:val="007126A4"/>
    <w:rsid w:val="00712B13"/>
    <w:rsid w:val="00712F0D"/>
    <w:rsid w:val="0071356C"/>
    <w:rsid w:val="00713604"/>
    <w:rsid w:val="00713AA0"/>
    <w:rsid w:val="00713E6C"/>
    <w:rsid w:val="00713FC9"/>
    <w:rsid w:val="007141DE"/>
    <w:rsid w:val="0071500D"/>
    <w:rsid w:val="00715146"/>
    <w:rsid w:val="00715DFA"/>
    <w:rsid w:val="00715F35"/>
    <w:rsid w:val="0071627A"/>
    <w:rsid w:val="0071685F"/>
    <w:rsid w:val="00716920"/>
    <w:rsid w:val="00716CED"/>
    <w:rsid w:val="00716DC0"/>
    <w:rsid w:val="00716DC7"/>
    <w:rsid w:val="007170A1"/>
    <w:rsid w:val="007170BA"/>
    <w:rsid w:val="00717388"/>
    <w:rsid w:val="00717910"/>
    <w:rsid w:val="00717B2A"/>
    <w:rsid w:val="00720006"/>
    <w:rsid w:val="007201D3"/>
    <w:rsid w:val="00720D17"/>
    <w:rsid w:val="00720F34"/>
    <w:rsid w:val="007215F3"/>
    <w:rsid w:val="00721A8C"/>
    <w:rsid w:val="00721C11"/>
    <w:rsid w:val="00721FBF"/>
    <w:rsid w:val="00722330"/>
    <w:rsid w:val="00722653"/>
    <w:rsid w:val="007227D0"/>
    <w:rsid w:val="00722AA3"/>
    <w:rsid w:val="00722F43"/>
    <w:rsid w:val="00723427"/>
    <w:rsid w:val="00723C0D"/>
    <w:rsid w:val="00724062"/>
    <w:rsid w:val="007240F4"/>
    <w:rsid w:val="00724204"/>
    <w:rsid w:val="007247EC"/>
    <w:rsid w:val="00724822"/>
    <w:rsid w:val="0072484B"/>
    <w:rsid w:val="00724D3C"/>
    <w:rsid w:val="00725337"/>
    <w:rsid w:val="0072534B"/>
    <w:rsid w:val="0072581D"/>
    <w:rsid w:val="00725DC9"/>
    <w:rsid w:val="00726225"/>
    <w:rsid w:val="007262C7"/>
    <w:rsid w:val="00726602"/>
    <w:rsid w:val="00726AC6"/>
    <w:rsid w:val="00726E46"/>
    <w:rsid w:val="00726E81"/>
    <w:rsid w:val="0072710E"/>
    <w:rsid w:val="0072713E"/>
    <w:rsid w:val="0072728B"/>
    <w:rsid w:val="00727372"/>
    <w:rsid w:val="00727393"/>
    <w:rsid w:val="007274D5"/>
    <w:rsid w:val="007275E9"/>
    <w:rsid w:val="007275EE"/>
    <w:rsid w:val="0072793F"/>
    <w:rsid w:val="00727976"/>
    <w:rsid w:val="00727F5C"/>
    <w:rsid w:val="007303C4"/>
    <w:rsid w:val="0073146E"/>
    <w:rsid w:val="00731921"/>
    <w:rsid w:val="00731E15"/>
    <w:rsid w:val="00731E4D"/>
    <w:rsid w:val="00731FBD"/>
    <w:rsid w:val="00732068"/>
    <w:rsid w:val="0073246A"/>
    <w:rsid w:val="0073247F"/>
    <w:rsid w:val="007326DC"/>
    <w:rsid w:val="00732A27"/>
    <w:rsid w:val="00733480"/>
    <w:rsid w:val="007335EF"/>
    <w:rsid w:val="007335F3"/>
    <w:rsid w:val="00733839"/>
    <w:rsid w:val="007338EE"/>
    <w:rsid w:val="00734394"/>
    <w:rsid w:val="007349F4"/>
    <w:rsid w:val="00734C3E"/>
    <w:rsid w:val="00735045"/>
    <w:rsid w:val="007353C4"/>
    <w:rsid w:val="007354CF"/>
    <w:rsid w:val="007357E6"/>
    <w:rsid w:val="007360F4"/>
    <w:rsid w:val="0073654D"/>
    <w:rsid w:val="007367EE"/>
    <w:rsid w:val="00736EA8"/>
    <w:rsid w:val="007374F3"/>
    <w:rsid w:val="007375A8"/>
    <w:rsid w:val="0073761F"/>
    <w:rsid w:val="0073780B"/>
    <w:rsid w:val="00737E2C"/>
    <w:rsid w:val="00737F1A"/>
    <w:rsid w:val="00740049"/>
    <w:rsid w:val="0074075B"/>
    <w:rsid w:val="007407BE"/>
    <w:rsid w:val="00740F47"/>
    <w:rsid w:val="00740F81"/>
    <w:rsid w:val="00741075"/>
    <w:rsid w:val="007410EE"/>
    <w:rsid w:val="0074167B"/>
    <w:rsid w:val="00741A49"/>
    <w:rsid w:val="00741EE7"/>
    <w:rsid w:val="007425DD"/>
    <w:rsid w:val="00742862"/>
    <w:rsid w:val="00742B76"/>
    <w:rsid w:val="007431E7"/>
    <w:rsid w:val="00743932"/>
    <w:rsid w:val="00743A81"/>
    <w:rsid w:val="00743DEC"/>
    <w:rsid w:val="007441B2"/>
    <w:rsid w:val="00744522"/>
    <w:rsid w:val="007448D2"/>
    <w:rsid w:val="00744F88"/>
    <w:rsid w:val="007453D8"/>
    <w:rsid w:val="007454DF"/>
    <w:rsid w:val="0074598E"/>
    <w:rsid w:val="00745DB5"/>
    <w:rsid w:val="00745DBB"/>
    <w:rsid w:val="00746AC5"/>
    <w:rsid w:val="00746BFE"/>
    <w:rsid w:val="00746D02"/>
    <w:rsid w:val="00746D97"/>
    <w:rsid w:val="00746E9D"/>
    <w:rsid w:val="00747432"/>
    <w:rsid w:val="007477A7"/>
    <w:rsid w:val="00747818"/>
    <w:rsid w:val="007478E1"/>
    <w:rsid w:val="00747D79"/>
    <w:rsid w:val="00750401"/>
    <w:rsid w:val="0075063B"/>
    <w:rsid w:val="00750B15"/>
    <w:rsid w:val="00751445"/>
    <w:rsid w:val="007514D7"/>
    <w:rsid w:val="00751906"/>
    <w:rsid w:val="00751BDC"/>
    <w:rsid w:val="007531A7"/>
    <w:rsid w:val="00753380"/>
    <w:rsid w:val="007534B1"/>
    <w:rsid w:val="007536C0"/>
    <w:rsid w:val="00753B5F"/>
    <w:rsid w:val="00753F58"/>
    <w:rsid w:val="00754AE7"/>
    <w:rsid w:val="00754CBD"/>
    <w:rsid w:val="00754F81"/>
    <w:rsid w:val="00755007"/>
    <w:rsid w:val="0075545A"/>
    <w:rsid w:val="007558B2"/>
    <w:rsid w:val="00755975"/>
    <w:rsid w:val="00755B65"/>
    <w:rsid w:val="00755D16"/>
    <w:rsid w:val="00755E18"/>
    <w:rsid w:val="00757567"/>
    <w:rsid w:val="007576BE"/>
    <w:rsid w:val="00757F6E"/>
    <w:rsid w:val="0076005B"/>
    <w:rsid w:val="00760ADE"/>
    <w:rsid w:val="00760C5E"/>
    <w:rsid w:val="00761108"/>
    <w:rsid w:val="00761154"/>
    <w:rsid w:val="0076123F"/>
    <w:rsid w:val="007612DB"/>
    <w:rsid w:val="00761766"/>
    <w:rsid w:val="00762303"/>
    <w:rsid w:val="007625D1"/>
    <w:rsid w:val="007628A7"/>
    <w:rsid w:val="00762943"/>
    <w:rsid w:val="007629C6"/>
    <w:rsid w:val="00762EC5"/>
    <w:rsid w:val="00763435"/>
    <w:rsid w:val="007636A5"/>
    <w:rsid w:val="00763730"/>
    <w:rsid w:val="0076423D"/>
    <w:rsid w:val="007642FF"/>
    <w:rsid w:val="00764349"/>
    <w:rsid w:val="007645C4"/>
    <w:rsid w:val="007645CC"/>
    <w:rsid w:val="00764773"/>
    <w:rsid w:val="00764D59"/>
    <w:rsid w:val="007654A4"/>
    <w:rsid w:val="007658F3"/>
    <w:rsid w:val="007659E2"/>
    <w:rsid w:val="00765EE6"/>
    <w:rsid w:val="00766285"/>
    <w:rsid w:val="0076635A"/>
    <w:rsid w:val="007669B2"/>
    <w:rsid w:val="007669F5"/>
    <w:rsid w:val="00766A19"/>
    <w:rsid w:val="00766BA2"/>
    <w:rsid w:val="00767228"/>
    <w:rsid w:val="007672B3"/>
    <w:rsid w:val="007673D4"/>
    <w:rsid w:val="00767470"/>
    <w:rsid w:val="00767622"/>
    <w:rsid w:val="007676FC"/>
    <w:rsid w:val="007705B5"/>
    <w:rsid w:val="00770A0C"/>
    <w:rsid w:val="00770FF2"/>
    <w:rsid w:val="007710D7"/>
    <w:rsid w:val="0077118D"/>
    <w:rsid w:val="0077147E"/>
    <w:rsid w:val="00771566"/>
    <w:rsid w:val="0077161B"/>
    <w:rsid w:val="00771A3D"/>
    <w:rsid w:val="00771A55"/>
    <w:rsid w:val="00771E94"/>
    <w:rsid w:val="00772683"/>
    <w:rsid w:val="007728D2"/>
    <w:rsid w:val="00772DAE"/>
    <w:rsid w:val="00773271"/>
    <w:rsid w:val="007741D4"/>
    <w:rsid w:val="00774B56"/>
    <w:rsid w:val="00775072"/>
    <w:rsid w:val="0077518F"/>
    <w:rsid w:val="007753CF"/>
    <w:rsid w:val="00775534"/>
    <w:rsid w:val="007758BF"/>
    <w:rsid w:val="00776099"/>
    <w:rsid w:val="0077645E"/>
    <w:rsid w:val="00776A89"/>
    <w:rsid w:val="00776D87"/>
    <w:rsid w:val="00777522"/>
    <w:rsid w:val="007776BA"/>
    <w:rsid w:val="0077774F"/>
    <w:rsid w:val="00777D77"/>
    <w:rsid w:val="00780080"/>
    <w:rsid w:val="00780291"/>
    <w:rsid w:val="00780728"/>
    <w:rsid w:val="007809A0"/>
    <w:rsid w:val="00781607"/>
    <w:rsid w:val="007819FA"/>
    <w:rsid w:val="00781CDC"/>
    <w:rsid w:val="00781E88"/>
    <w:rsid w:val="00782282"/>
    <w:rsid w:val="0078233F"/>
    <w:rsid w:val="007826D8"/>
    <w:rsid w:val="007826F4"/>
    <w:rsid w:val="00782928"/>
    <w:rsid w:val="00782950"/>
    <w:rsid w:val="00782C9E"/>
    <w:rsid w:val="007836ED"/>
    <w:rsid w:val="007841ED"/>
    <w:rsid w:val="00784220"/>
    <w:rsid w:val="007845B7"/>
    <w:rsid w:val="00784859"/>
    <w:rsid w:val="00784AC5"/>
    <w:rsid w:val="007850B6"/>
    <w:rsid w:val="00785B7F"/>
    <w:rsid w:val="00785D6B"/>
    <w:rsid w:val="00785EB8"/>
    <w:rsid w:val="007863BB"/>
    <w:rsid w:val="0078699A"/>
    <w:rsid w:val="00786C0A"/>
    <w:rsid w:val="00786D99"/>
    <w:rsid w:val="00787319"/>
    <w:rsid w:val="0078748F"/>
    <w:rsid w:val="007874AC"/>
    <w:rsid w:val="007874B9"/>
    <w:rsid w:val="00787884"/>
    <w:rsid w:val="00787DB9"/>
    <w:rsid w:val="00787F2C"/>
    <w:rsid w:val="0079017E"/>
    <w:rsid w:val="007905B4"/>
    <w:rsid w:val="00790709"/>
    <w:rsid w:val="0079072C"/>
    <w:rsid w:val="00791190"/>
    <w:rsid w:val="0079120C"/>
    <w:rsid w:val="007921FC"/>
    <w:rsid w:val="007922C2"/>
    <w:rsid w:val="007923DD"/>
    <w:rsid w:val="007924B7"/>
    <w:rsid w:val="00792709"/>
    <w:rsid w:val="00792A5B"/>
    <w:rsid w:val="00792A94"/>
    <w:rsid w:val="00793193"/>
    <w:rsid w:val="007931C3"/>
    <w:rsid w:val="0079334C"/>
    <w:rsid w:val="0079370E"/>
    <w:rsid w:val="00793848"/>
    <w:rsid w:val="00793BA8"/>
    <w:rsid w:val="007942A0"/>
    <w:rsid w:val="007947A8"/>
    <w:rsid w:val="00794DAE"/>
    <w:rsid w:val="00794DF1"/>
    <w:rsid w:val="00794E53"/>
    <w:rsid w:val="00795015"/>
    <w:rsid w:val="007950E6"/>
    <w:rsid w:val="00795144"/>
    <w:rsid w:val="007951A5"/>
    <w:rsid w:val="00795234"/>
    <w:rsid w:val="00795935"/>
    <w:rsid w:val="00795B09"/>
    <w:rsid w:val="00795E75"/>
    <w:rsid w:val="0079606B"/>
    <w:rsid w:val="007960D7"/>
    <w:rsid w:val="0079727E"/>
    <w:rsid w:val="00797299"/>
    <w:rsid w:val="007973C4"/>
    <w:rsid w:val="007974BA"/>
    <w:rsid w:val="00797704"/>
    <w:rsid w:val="00797BEB"/>
    <w:rsid w:val="00797D4E"/>
    <w:rsid w:val="00797D76"/>
    <w:rsid w:val="007A0732"/>
    <w:rsid w:val="007A08CE"/>
    <w:rsid w:val="007A1061"/>
    <w:rsid w:val="007A10E5"/>
    <w:rsid w:val="007A12C3"/>
    <w:rsid w:val="007A152D"/>
    <w:rsid w:val="007A18DC"/>
    <w:rsid w:val="007A1BD5"/>
    <w:rsid w:val="007A1DD5"/>
    <w:rsid w:val="007A26CC"/>
    <w:rsid w:val="007A33C2"/>
    <w:rsid w:val="007A349D"/>
    <w:rsid w:val="007A3682"/>
    <w:rsid w:val="007A36B3"/>
    <w:rsid w:val="007A39D2"/>
    <w:rsid w:val="007A39E7"/>
    <w:rsid w:val="007A3B1B"/>
    <w:rsid w:val="007A41AF"/>
    <w:rsid w:val="007A4269"/>
    <w:rsid w:val="007A44FA"/>
    <w:rsid w:val="007A46A3"/>
    <w:rsid w:val="007A4E28"/>
    <w:rsid w:val="007A5CC2"/>
    <w:rsid w:val="007A5E40"/>
    <w:rsid w:val="007A5EAF"/>
    <w:rsid w:val="007A63F6"/>
    <w:rsid w:val="007A671F"/>
    <w:rsid w:val="007A6ABA"/>
    <w:rsid w:val="007A6E0D"/>
    <w:rsid w:val="007A71C6"/>
    <w:rsid w:val="007A7E16"/>
    <w:rsid w:val="007A7F67"/>
    <w:rsid w:val="007B0139"/>
    <w:rsid w:val="007B0295"/>
    <w:rsid w:val="007B0701"/>
    <w:rsid w:val="007B0A37"/>
    <w:rsid w:val="007B0DD8"/>
    <w:rsid w:val="007B0EB7"/>
    <w:rsid w:val="007B1016"/>
    <w:rsid w:val="007B16BB"/>
    <w:rsid w:val="007B1808"/>
    <w:rsid w:val="007B187E"/>
    <w:rsid w:val="007B2413"/>
    <w:rsid w:val="007B259B"/>
    <w:rsid w:val="007B25D6"/>
    <w:rsid w:val="007B2B97"/>
    <w:rsid w:val="007B312F"/>
    <w:rsid w:val="007B337D"/>
    <w:rsid w:val="007B3774"/>
    <w:rsid w:val="007B384A"/>
    <w:rsid w:val="007B3960"/>
    <w:rsid w:val="007B3C37"/>
    <w:rsid w:val="007B3E68"/>
    <w:rsid w:val="007B411B"/>
    <w:rsid w:val="007B48BC"/>
    <w:rsid w:val="007B4939"/>
    <w:rsid w:val="007B4C2B"/>
    <w:rsid w:val="007B4DBE"/>
    <w:rsid w:val="007B4EBF"/>
    <w:rsid w:val="007B5637"/>
    <w:rsid w:val="007B5D90"/>
    <w:rsid w:val="007B674B"/>
    <w:rsid w:val="007B6784"/>
    <w:rsid w:val="007B6CA9"/>
    <w:rsid w:val="007B7047"/>
    <w:rsid w:val="007B7D0B"/>
    <w:rsid w:val="007B7FF1"/>
    <w:rsid w:val="007C0083"/>
    <w:rsid w:val="007C01AA"/>
    <w:rsid w:val="007C026E"/>
    <w:rsid w:val="007C0340"/>
    <w:rsid w:val="007C061A"/>
    <w:rsid w:val="007C0751"/>
    <w:rsid w:val="007C0888"/>
    <w:rsid w:val="007C08B4"/>
    <w:rsid w:val="007C0C4A"/>
    <w:rsid w:val="007C0CB0"/>
    <w:rsid w:val="007C0E77"/>
    <w:rsid w:val="007C0EEF"/>
    <w:rsid w:val="007C105D"/>
    <w:rsid w:val="007C168D"/>
    <w:rsid w:val="007C1779"/>
    <w:rsid w:val="007C1B84"/>
    <w:rsid w:val="007C1BC7"/>
    <w:rsid w:val="007C20FD"/>
    <w:rsid w:val="007C2303"/>
    <w:rsid w:val="007C2450"/>
    <w:rsid w:val="007C25B5"/>
    <w:rsid w:val="007C2C62"/>
    <w:rsid w:val="007C2D0F"/>
    <w:rsid w:val="007C3086"/>
    <w:rsid w:val="007C338E"/>
    <w:rsid w:val="007C3796"/>
    <w:rsid w:val="007C40AD"/>
    <w:rsid w:val="007C4612"/>
    <w:rsid w:val="007C4649"/>
    <w:rsid w:val="007C49FF"/>
    <w:rsid w:val="007C4BB7"/>
    <w:rsid w:val="007C4D6D"/>
    <w:rsid w:val="007C507F"/>
    <w:rsid w:val="007C50A4"/>
    <w:rsid w:val="007C5132"/>
    <w:rsid w:val="007C547A"/>
    <w:rsid w:val="007C58C7"/>
    <w:rsid w:val="007C5B28"/>
    <w:rsid w:val="007C688A"/>
    <w:rsid w:val="007C68FB"/>
    <w:rsid w:val="007C6A11"/>
    <w:rsid w:val="007C6E34"/>
    <w:rsid w:val="007C6F3E"/>
    <w:rsid w:val="007C731D"/>
    <w:rsid w:val="007C753B"/>
    <w:rsid w:val="007C75C8"/>
    <w:rsid w:val="007C76BD"/>
    <w:rsid w:val="007C7946"/>
    <w:rsid w:val="007C7C74"/>
    <w:rsid w:val="007C7D9B"/>
    <w:rsid w:val="007C7F5F"/>
    <w:rsid w:val="007D02E4"/>
    <w:rsid w:val="007D0772"/>
    <w:rsid w:val="007D125A"/>
    <w:rsid w:val="007D1676"/>
    <w:rsid w:val="007D17C2"/>
    <w:rsid w:val="007D1E0C"/>
    <w:rsid w:val="007D32A9"/>
    <w:rsid w:val="007D366E"/>
    <w:rsid w:val="007D37FC"/>
    <w:rsid w:val="007D38DF"/>
    <w:rsid w:val="007D3B2E"/>
    <w:rsid w:val="007D3B5F"/>
    <w:rsid w:val="007D47F2"/>
    <w:rsid w:val="007D486E"/>
    <w:rsid w:val="007D4B16"/>
    <w:rsid w:val="007D4B9D"/>
    <w:rsid w:val="007D4C36"/>
    <w:rsid w:val="007D52CF"/>
    <w:rsid w:val="007D59CE"/>
    <w:rsid w:val="007D5A08"/>
    <w:rsid w:val="007D64ED"/>
    <w:rsid w:val="007D654A"/>
    <w:rsid w:val="007E0697"/>
    <w:rsid w:val="007E0861"/>
    <w:rsid w:val="007E08C2"/>
    <w:rsid w:val="007E0929"/>
    <w:rsid w:val="007E092D"/>
    <w:rsid w:val="007E0966"/>
    <w:rsid w:val="007E0ADB"/>
    <w:rsid w:val="007E0B4E"/>
    <w:rsid w:val="007E0F03"/>
    <w:rsid w:val="007E1321"/>
    <w:rsid w:val="007E157A"/>
    <w:rsid w:val="007E15D0"/>
    <w:rsid w:val="007E1D4A"/>
    <w:rsid w:val="007E1E63"/>
    <w:rsid w:val="007E2166"/>
    <w:rsid w:val="007E2722"/>
    <w:rsid w:val="007E2C3D"/>
    <w:rsid w:val="007E2D69"/>
    <w:rsid w:val="007E2F4B"/>
    <w:rsid w:val="007E3346"/>
    <w:rsid w:val="007E34E6"/>
    <w:rsid w:val="007E380C"/>
    <w:rsid w:val="007E3EBF"/>
    <w:rsid w:val="007E42BD"/>
    <w:rsid w:val="007E481E"/>
    <w:rsid w:val="007E4C0F"/>
    <w:rsid w:val="007E4E5C"/>
    <w:rsid w:val="007E4F23"/>
    <w:rsid w:val="007E5045"/>
    <w:rsid w:val="007E5207"/>
    <w:rsid w:val="007E55E0"/>
    <w:rsid w:val="007E5641"/>
    <w:rsid w:val="007E580C"/>
    <w:rsid w:val="007E5C89"/>
    <w:rsid w:val="007E63EE"/>
    <w:rsid w:val="007E6449"/>
    <w:rsid w:val="007E6500"/>
    <w:rsid w:val="007E667B"/>
    <w:rsid w:val="007E6818"/>
    <w:rsid w:val="007E6980"/>
    <w:rsid w:val="007E6B4E"/>
    <w:rsid w:val="007E6C65"/>
    <w:rsid w:val="007E6E4B"/>
    <w:rsid w:val="007E6E7F"/>
    <w:rsid w:val="007E7809"/>
    <w:rsid w:val="007E7AF0"/>
    <w:rsid w:val="007E7C59"/>
    <w:rsid w:val="007E7CE2"/>
    <w:rsid w:val="007E7D59"/>
    <w:rsid w:val="007E7E86"/>
    <w:rsid w:val="007E7EA5"/>
    <w:rsid w:val="007F0182"/>
    <w:rsid w:val="007F07C2"/>
    <w:rsid w:val="007F086C"/>
    <w:rsid w:val="007F0A01"/>
    <w:rsid w:val="007F0C4E"/>
    <w:rsid w:val="007F1C09"/>
    <w:rsid w:val="007F1D01"/>
    <w:rsid w:val="007F20CB"/>
    <w:rsid w:val="007F2128"/>
    <w:rsid w:val="007F252E"/>
    <w:rsid w:val="007F2E78"/>
    <w:rsid w:val="007F3216"/>
    <w:rsid w:val="007F3497"/>
    <w:rsid w:val="007F38C3"/>
    <w:rsid w:val="007F3B53"/>
    <w:rsid w:val="007F3CC5"/>
    <w:rsid w:val="007F3DA9"/>
    <w:rsid w:val="007F3DDF"/>
    <w:rsid w:val="007F4313"/>
    <w:rsid w:val="007F4545"/>
    <w:rsid w:val="007F50F0"/>
    <w:rsid w:val="007F50F3"/>
    <w:rsid w:val="007F534D"/>
    <w:rsid w:val="007F5353"/>
    <w:rsid w:val="007F63D6"/>
    <w:rsid w:val="007F653C"/>
    <w:rsid w:val="007F69FA"/>
    <w:rsid w:val="007F6AAD"/>
    <w:rsid w:val="007F6D8D"/>
    <w:rsid w:val="007F6DFD"/>
    <w:rsid w:val="007F6F80"/>
    <w:rsid w:val="007F7428"/>
    <w:rsid w:val="007F7837"/>
    <w:rsid w:val="007F7D6F"/>
    <w:rsid w:val="0080049E"/>
    <w:rsid w:val="008005E7"/>
    <w:rsid w:val="00800F7F"/>
    <w:rsid w:val="00800FF5"/>
    <w:rsid w:val="00801013"/>
    <w:rsid w:val="00801756"/>
    <w:rsid w:val="00801EF7"/>
    <w:rsid w:val="00801F3F"/>
    <w:rsid w:val="00802018"/>
    <w:rsid w:val="0080209A"/>
    <w:rsid w:val="0080257B"/>
    <w:rsid w:val="008032CF"/>
    <w:rsid w:val="008038E4"/>
    <w:rsid w:val="0080408A"/>
    <w:rsid w:val="008041DC"/>
    <w:rsid w:val="008042BA"/>
    <w:rsid w:val="008043FB"/>
    <w:rsid w:val="00804678"/>
    <w:rsid w:val="008047C6"/>
    <w:rsid w:val="00804C3A"/>
    <w:rsid w:val="00805933"/>
    <w:rsid w:val="00806777"/>
    <w:rsid w:val="00806B2B"/>
    <w:rsid w:val="00806E75"/>
    <w:rsid w:val="008070B7"/>
    <w:rsid w:val="00807122"/>
    <w:rsid w:val="008072C6"/>
    <w:rsid w:val="008073C4"/>
    <w:rsid w:val="00807995"/>
    <w:rsid w:val="00807AFA"/>
    <w:rsid w:val="00807EA1"/>
    <w:rsid w:val="00810288"/>
    <w:rsid w:val="0081092B"/>
    <w:rsid w:val="00810BD0"/>
    <w:rsid w:val="00810D1A"/>
    <w:rsid w:val="008115F3"/>
    <w:rsid w:val="00811755"/>
    <w:rsid w:val="00811AD0"/>
    <w:rsid w:val="00813054"/>
    <w:rsid w:val="008131E7"/>
    <w:rsid w:val="00813341"/>
    <w:rsid w:val="00813545"/>
    <w:rsid w:val="00813927"/>
    <w:rsid w:val="008139FD"/>
    <w:rsid w:val="00813E9E"/>
    <w:rsid w:val="0081422C"/>
    <w:rsid w:val="008146BE"/>
    <w:rsid w:val="00814AF2"/>
    <w:rsid w:val="00814C7A"/>
    <w:rsid w:val="00814FFE"/>
    <w:rsid w:val="008151F7"/>
    <w:rsid w:val="00815341"/>
    <w:rsid w:val="00815417"/>
    <w:rsid w:val="00815789"/>
    <w:rsid w:val="008158C6"/>
    <w:rsid w:val="00815AFB"/>
    <w:rsid w:val="00815B5C"/>
    <w:rsid w:val="00815DB6"/>
    <w:rsid w:val="00816425"/>
    <w:rsid w:val="008167F7"/>
    <w:rsid w:val="00816D95"/>
    <w:rsid w:val="0081793B"/>
    <w:rsid w:val="00817A95"/>
    <w:rsid w:val="00817BB1"/>
    <w:rsid w:val="00817C35"/>
    <w:rsid w:val="00820C1C"/>
    <w:rsid w:val="00820F4D"/>
    <w:rsid w:val="00821524"/>
    <w:rsid w:val="008217B5"/>
    <w:rsid w:val="00821BB6"/>
    <w:rsid w:val="008225FE"/>
    <w:rsid w:val="0082281F"/>
    <w:rsid w:val="0082287C"/>
    <w:rsid w:val="00822917"/>
    <w:rsid w:val="00822A6E"/>
    <w:rsid w:val="00822A74"/>
    <w:rsid w:val="00822AB3"/>
    <w:rsid w:val="008230EF"/>
    <w:rsid w:val="00823272"/>
    <w:rsid w:val="0082333E"/>
    <w:rsid w:val="0082349C"/>
    <w:rsid w:val="00823AFC"/>
    <w:rsid w:val="00824A8D"/>
    <w:rsid w:val="00824EA2"/>
    <w:rsid w:val="00824EFF"/>
    <w:rsid w:val="0082509F"/>
    <w:rsid w:val="008251B1"/>
    <w:rsid w:val="00825E43"/>
    <w:rsid w:val="0082604D"/>
    <w:rsid w:val="00826194"/>
    <w:rsid w:val="0082688A"/>
    <w:rsid w:val="00826A79"/>
    <w:rsid w:val="00827263"/>
    <w:rsid w:val="0082767F"/>
    <w:rsid w:val="0082796B"/>
    <w:rsid w:val="00827D76"/>
    <w:rsid w:val="00827E47"/>
    <w:rsid w:val="00830936"/>
    <w:rsid w:val="00830BD5"/>
    <w:rsid w:val="00830BF5"/>
    <w:rsid w:val="00830F50"/>
    <w:rsid w:val="0083129D"/>
    <w:rsid w:val="00831C65"/>
    <w:rsid w:val="00831D12"/>
    <w:rsid w:val="008324D4"/>
    <w:rsid w:val="00832AB6"/>
    <w:rsid w:val="00832CDD"/>
    <w:rsid w:val="008331B8"/>
    <w:rsid w:val="00833B99"/>
    <w:rsid w:val="00833EC6"/>
    <w:rsid w:val="008343FD"/>
    <w:rsid w:val="008344A7"/>
    <w:rsid w:val="008357E2"/>
    <w:rsid w:val="00835B04"/>
    <w:rsid w:val="00836364"/>
    <w:rsid w:val="00836BF0"/>
    <w:rsid w:val="008370F0"/>
    <w:rsid w:val="008372B5"/>
    <w:rsid w:val="00837577"/>
    <w:rsid w:val="0083757C"/>
    <w:rsid w:val="008377AE"/>
    <w:rsid w:val="00837D7E"/>
    <w:rsid w:val="00837FD1"/>
    <w:rsid w:val="0083DED7"/>
    <w:rsid w:val="0084000C"/>
    <w:rsid w:val="00840860"/>
    <w:rsid w:val="00840E49"/>
    <w:rsid w:val="00841213"/>
    <w:rsid w:val="008414B6"/>
    <w:rsid w:val="00842278"/>
    <w:rsid w:val="00842331"/>
    <w:rsid w:val="00842A50"/>
    <w:rsid w:val="00843383"/>
    <w:rsid w:val="00843B1F"/>
    <w:rsid w:val="00843DD2"/>
    <w:rsid w:val="00843FA5"/>
    <w:rsid w:val="008443C7"/>
    <w:rsid w:val="0084492F"/>
    <w:rsid w:val="00845510"/>
    <w:rsid w:val="00845967"/>
    <w:rsid w:val="00845C3B"/>
    <w:rsid w:val="00845E46"/>
    <w:rsid w:val="008468E1"/>
    <w:rsid w:val="00846E1C"/>
    <w:rsid w:val="008472D9"/>
    <w:rsid w:val="00847468"/>
    <w:rsid w:val="00847844"/>
    <w:rsid w:val="00847F37"/>
    <w:rsid w:val="0085022A"/>
    <w:rsid w:val="00850232"/>
    <w:rsid w:val="008507C0"/>
    <w:rsid w:val="00850842"/>
    <w:rsid w:val="00850EA0"/>
    <w:rsid w:val="00850EA8"/>
    <w:rsid w:val="00850ED8"/>
    <w:rsid w:val="00851264"/>
    <w:rsid w:val="008513C1"/>
    <w:rsid w:val="00851525"/>
    <w:rsid w:val="008518F8"/>
    <w:rsid w:val="00851CC4"/>
    <w:rsid w:val="00851F5B"/>
    <w:rsid w:val="00852142"/>
    <w:rsid w:val="00852302"/>
    <w:rsid w:val="00852463"/>
    <w:rsid w:val="00852A9D"/>
    <w:rsid w:val="00852BB1"/>
    <w:rsid w:val="00853380"/>
    <w:rsid w:val="0085369A"/>
    <w:rsid w:val="0085392A"/>
    <w:rsid w:val="00853D86"/>
    <w:rsid w:val="0085400A"/>
    <w:rsid w:val="00854143"/>
    <w:rsid w:val="00854617"/>
    <w:rsid w:val="00854698"/>
    <w:rsid w:val="008546F3"/>
    <w:rsid w:val="00854879"/>
    <w:rsid w:val="0085488F"/>
    <w:rsid w:val="008549F5"/>
    <w:rsid w:val="00854F07"/>
    <w:rsid w:val="00854F11"/>
    <w:rsid w:val="00854FD3"/>
    <w:rsid w:val="00855249"/>
    <w:rsid w:val="008554D7"/>
    <w:rsid w:val="008556AC"/>
    <w:rsid w:val="008562CB"/>
    <w:rsid w:val="0085633F"/>
    <w:rsid w:val="008572AE"/>
    <w:rsid w:val="008579B1"/>
    <w:rsid w:val="00857C02"/>
    <w:rsid w:val="0086026E"/>
    <w:rsid w:val="008608E8"/>
    <w:rsid w:val="00860A1A"/>
    <w:rsid w:val="00860CDA"/>
    <w:rsid w:val="00861175"/>
    <w:rsid w:val="00861219"/>
    <w:rsid w:val="008616BC"/>
    <w:rsid w:val="00861DAD"/>
    <w:rsid w:val="00861E9B"/>
    <w:rsid w:val="00861ED7"/>
    <w:rsid w:val="00861F5B"/>
    <w:rsid w:val="00861FB8"/>
    <w:rsid w:val="00862A13"/>
    <w:rsid w:val="00862AC0"/>
    <w:rsid w:val="00862AF5"/>
    <w:rsid w:val="008630E7"/>
    <w:rsid w:val="0086321F"/>
    <w:rsid w:val="00863236"/>
    <w:rsid w:val="008633AE"/>
    <w:rsid w:val="008634C0"/>
    <w:rsid w:val="0086429C"/>
    <w:rsid w:val="00864446"/>
    <w:rsid w:val="00864E7F"/>
    <w:rsid w:val="00865439"/>
    <w:rsid w:val="00865471"/>
    <w:rsid w:val="008654F5"/>
    <w:rsid w:val="0086557C"/>
    <w:rsid w:val="00865A84"/>
    <w:rsid w:val="00865E1D"/>
    <w:rsid w:val="00866099"/>
    <w:rsid w:val="00866307"/>
    <w:rsid w:val="00866A42"/>
    <w:rsid w:val="00867060"/>
    <w:rsid w:val="008671BD"/>
    <w:rsid w:val="00867214"/>
    <w:rsid w:val="00867224"/>
    <w:rsid w:val="00867820"/>
    <w:rsid w:val="008678B4"/>
    <w:rsid w:val="008678FE"/>
    <w:rsid w:val="008701C4"/>
    <w:rsid w:val="00870B4F"/>
    <w:rsid w:val="00871006"/>
    <w:rsid w:val="0087123B"/>
    <w:rsid w:val="008716B7"/>
    <w:rsid w:val="00871A40"/>
    <w:rsid w:val="00871C44"/>
    <w:rsid w:val="00871FF3"/>
    <w:rsid w:val="00872006"/>
    <w:rsid w:val="00872A19"/>
    <w:rsid w:val="00872FB3"/>
    <w:rsid w:val="0087327D"/>
    <w:rsid w:val="008735D9"/>
    <w:rsid w:val="0087373C"/>
    <w:rsid w:val="008740EA"/>
    <w:rsid w:val="00874EC0"/>
    <w:rsid w:val="00874F00"/>
    <w:rsid w:val="00874F61"/>
    <w:rsid w:val="00874FB0"/>
    <w:rsid w:val="00875044"/>
    <w:rsid w:val="00875195"/>
    <w:rsid w:val="00875856"/>
    <w:rsid w:val="00875887"/>
    <w:rsid w:val="0087597B"/>
    <w:rsid w:val="00875E0D"/>
    <w:rsid w:val="00876123"/>
    <w:rsid w:val="008763BE"/>
    <w:rsid w:val="00876722"/>
    <w:rsid w:val="00876985"/>
    <w:rsid w:val="00876F64"/>
    <w:rsid w:val="0087717F"/>
    <w:rsid w:val="00877487"/>
    <w:rsid w:val="008774FC"/>
    <w:rsid w:val="00877BFC"/>
    <w:rsid w:val="00880A69"/>
    <w:rsid w:val="00880D62"/>
    <w:rsid w:val="00880E53"/>
    <w:rsid w:val="00881077"/>
    <w:rsid w:val="008812F4"/>
    <w:rsid w:val="00881B66"/>
    <w:rsid w:val="00881CBD"/>
    <w:rsid w:val="00881D6E"/>
    <w:rsid w:val="00881EAA"/>
    <w:rsid w:val="00881FD6"/>
    <w:rsid w:val="0088210F"/>
    <w:rsid w:val="00882483"/>
    <w:rsid w:val="008824BC"/>
    <w:rsid w:val="00882D74"/>
    <w:rsid w:val="008833BE"/>
    <w:rsid w:val="00883581"/>
    <w:rsid w:val="00883851"/>
    <w:rsid w:val="00883B6E"/>
    <w:rsid w:val="00884684"/>
    <w:rsid w:val="00884E5D"/>
    <w:rsid w:val="00885C9E"/>
    <w:rsid w:val="00886381"/>
    <w:rsid w:val="008864ED"/>
    <w:rsid w:val="008866D0"/>
    <w:rsid w:val="008875F6"/>
    <w:rsid w:val="008878FA"/>
    <w:rsid w:val="00887D8E"/>
    <w:rsid w:val="00890298"/>
    <w:rsid w:val="00890499"/>
    <w:rsid w:val="0089052E"/>
    <w:rsid w:val="0089084D"/>
    <w:rsid w:val="00890A88"/>
    <w:rsid w:val="00890B31"/>
    <w:rsid w:val="008911FA"/>
    <w:rsid w:val="00891759"/>
    <w:rsid w:val="00891C0D"/>
    <w:rsid w:val="00891D50"/>
    <w:rsid w:val="0089289C"/>
    <w:rsid w:val="008928E4"/>
    <w:rsid w:val="00892AE8"/>
    <w:rsid w:val="00892B83"/>
    <w:rsid w:val="00892B84"/>
    <w:rsid w:val="00892C8D"/>
    <w:rsid w:val="00892E41"/>
    <w:rsid w:val="00892EFE"/>
    <w:rsid w:val="00892F4C"/>
    <w:rsid w:val="008936EB"/>
    <w:rsid w:val="008939F4"/>
    <w:rsid w:val="00893D7D"/>
    <w:rsid w:val="008940EB"/>
    <w:rsid w:val="0089431F"/>
    <w:rsid w:val="008947B8"/>
    <w:rsid w:val="00894B1C"/>
    <w:rsid w:val="00894F1E"/>
    <w:rsid w:val="00895147"/>
    <w:rsid w:val="00896108"/>
    <w:rsid w:val="00896507"/>
    <w:rsid w:val="00896961"/>
    <w:rsid w:val="00896B61"/>
    <w:rsid w:val="00897067"/>
    <w:rsid w:val="0089733D"/>
    <w:rsid w:val="0089746A"/>
    <w:rsid w:val="0089751F"/>
    <w:rsid w:val="00897B04"/>
    <w:rsid w:val="00897F11"/>
    <w:rsid w:val="008A0545"/>
    <w:rsid w:val="008A0883"/>
    <w:rsid w:val="008A0CF3"/>
    <w:rsid w:val="008A0E1F"/>
    <w:rsid w:val="008A135C"/>
    <w:rsid w:val="008A1483"/>
    <w:rsid w:val="008A1864"/>
    <w:rsid w:val="008A1F20"/>
    <w:rsid w:val="008A2493"/>
    <w:rsid w:val="008A24FA"/>
    <w:rsid w:val="008A31BE"/>
    <w:rsid w:val="008A346E"/>
    <w:rsid w:val="008A3BD8"/>
    <w:rsid w:val="008A3D4E"/>
    <w:rsid w:val="008A4865"/>
    <w:rsid w:val="008A4991"/>
    <w:rsid w:val="008A4B1B"/>
    <w:rsid w:val="008A4B90"/>
    <w:rsid w:val="008A4C71"/>
    <w:rsid w:val="008A4F69"/>
    <w:rsid w:val="008A51B4"/>
    <w:rsid w:val="008A565D"/>
    <w:rsid w:val="008A5ABF"/>
    <w:rsid w:val="008A5F46"/>
    <w:rsid w:val="008A6547"/>
    <w:rsid w:val="008A690B"/>
    <w:rsid w:val="008A6A15"/>
    <w:rsid w:val="008A6B7B"/>
    <w:rsid w:val="008A6C13"/>
    <w:rsid w:val="008A701F"/>
    <w:rsid w:val="008A7344"/>
    <w:rsid w:val="008A7446"/>
    <w:rsid w:val="008A7A95"/>
    <w:rsid w:val="008A7B01"/>
    <w:rsid w:val="008A7E4C"/>
    <w:rsid w:val="008A7E6F"/>
    <w:rsid w:val="008B008F"/>
    <w:rsid w:val="008B025C"/>
    <w:rsid w:val="008B03C0"/>
    <w:rsid w:val="008B03E9"/>
    <w:rsid w:val="008B06B3"/>
    <w:rsid w:val="008B079E"/>
    <w:rsid w:val="008B0964"/>
    <w:rsid w:val="008B12CF"/>
    <w:rsid w:val="008B168B"/>
    <w:rsid w:val="008B19CD"/>
    <w:rsid w:val="008B20A3"/>
    <w:rsid w:val="008B20BA"/>
    <w:rsid w:val="008B2F84"/>
    <w:rsid w:val="008B2FE3"/>
    <w:rsid w:val="008B3191"/>
    <w:rsid w:val="008B3202"/>
    <w:rsid w:val="008B3252"/>
    <w:rsid w:val="008B38C6"/>
    <w:rsid w:val="008B3B53"/>
    <w:rsid w:val="008B3C5E"/>
    <w:rsid w:val="008B41B0"/>
    <w:rsid w:val="008B46C5"/>
    <w:rsid w:val="008B4905"/>
    <w:rsid w:val="008B4FC6"/>
    <w:rsid w:val="008B57F0"/>
    <w:rsid w:val="008B5C2E"/>
    <w:rsid w:val="008B5E1E"/>
    <w:rsid w:val="008B6A5C"/>
    <w:rsid w:val="008B6DA7"/>
    <w:rsid w:val="008B72E7"/>
    <w:rsid w:val="008B7489"/>
    <w:rsid w:val="008B7535"/>
    <w:rsid w:val="008B7670"/>
    <w:rsid w:val="008B7866"/>
    <w:rsid w:val="008B7D84"/>
    <w:rsid w:val="008B7F52"/>
    <w:rsid w:val="008BD27A"/>
    <w:rsid w:val="008C00B8"/>
    <w:rsid w:val="008C028B"/>
    <w:rsid w:val="008C0747"/>
    <w:rsid w:val="008C0828"/>
    <w:rsid w:val="008C114D"/>
    <w:rsid w:val="008C1B3C"/>
    <w:rsid w:val="008C1C8B"/>
    <w:rsid w:val="008C1E09"/>
    <w:rsid w:val="008C202A"/>
    <w:rsid w:val="008C234D"/>
    <w:rsid w:val="008C2B0D"/>
    <w:rsid w:val="008C2D19"/>
    <w:rsid w:val="008C311D"/>
    <w:rsid w:val="008C4172"/>
    <w:rsid w:val="008C4306"/>
    <w:rsid w:val="008C436C"/>
    <w:rsid w:val="008C4644"/>
    <w:rsid w:val="008C4C94"/>
    <w:rsid w:val="008C4CAF"/>
    <w:rsid w:val="008C4FD7"/>
    <w:rsid w:val="008C519A"/>
    <w:rsid w:val="008C52D3"/>
    <w:rsid w:val="008C5581"/>
    <w:rsid w:val="008C5790"/>
    <w:rsid w:val="008C5CF2"/>
    <w:rsid w:val="008C61C8"/>
    <w:rsid w:val="008C64BD"/>
    <w:rsid w:val="008C679C"/>
    <w:rsid w:val="008C6D37"/>
    <w:rsid w:val="008C6E5A"/>
    <w:rsid w:val="008C7277"/>
    <w:rsid w:val="008C73C4"/>
    <w:rsid w:val="008C77A4"/>
    <w:rsid w:val="008D0150"/>
    <w:rsid w:val="008D048C"/>
    <w:rsid w:val="008D053F"/>
    <w:rsid w:val="008D0D0E"/>
    <w:rsid w:val="008D1656"/>
    <w:rsid w:val="008D1A05"/>
    <w:rsid w:val="008D1BE7"/>
    <w:rsid w:val="008D223C"/>
    <w:rsid w:val="008D2687"/>
    <w:rsid w:val="008D28C4"/>
    <w:rsid w:val="008D2B4F"/>
    <w:rsid w:val="008D3821"/>
    <w:rsid w:val="008D3AF7"/>
    <w:rsid w:val="008D474C"/>
    <w:rsid w:val="008D48F5"/>
    <w:rsid w:val="008D4FCD"/>
    <w:rsid w:val="008D53EB"/>
    <w:rsid w:val="008D540A"/>
    <w:rsid w:val="008D55F5"/>
    <w:rsid w:val="008D5CBC"/>
    <w:rsid w:val="008D5ECF"/>
    <w:rsid w:val="008D603B"/>
    <w:rsid w:val="008D72F3"/>
    <w:rsid w:val="008D7612"/>
    <w:rsid w:val="008D7CCE"/>
    <w:rsid w:val="008D7CFC"/>
    <w:rsid w:val="008D7D7D"/>
    <w:rsid w:val="008E02CA"/>
    <w:rsid w:val="008E0719"/>
    <w:rsid w:val="008E16DD"/>
    <w:rsid w:val="008E19EA"/>
    <w:rsid w:val="008E1B12"/>
    <w:rsid w:val="008E27D7"/>
    <w:rsid w:val="008E310A"/>
    <w:rsid w:val="008E3E5C"/>
    <w:rsid w:val="008E4726"/>
    <w:rsid w:val="008E478D"/>
    <w:rsid w:val="008E4FEE"/>
    <w:rsid w:val="008E50EB"/>
    <w:rsid w:val="008E55FB"/>
    <w:rsid w:val="008E5645"/>
    <w:rsid w:val="008E56A4"/>
    <w:rsid w:val="008E5A0C"/>
    <w:rsid w:val="008E6A9E"/>
    <w:rsid w:val="008E6B7A"/>
    <w:rsid w:val="008E6C7C"/>
    <w:rsid w:val="008E6C7E"/>
    <w:rsid w:val="008E6CD9"/>
    <w:rsid w:val="008E6D7B"/>
    <w:rsid w:val="008E6DB9"/>
    <w:rsid w:val="008E7EF7"/>
    <w:rsid w:val="008F014E"/>
    <w:rsid w:val="008F033F"/>
    <w:rsid w:val="008F04FA"/>
    <w:rsid w:val="008F0973"/>
    <w:rsid w:val="008F0ED0"/>
    <w:rsid w:val="008F11ED"/>
    <w:rsid w:val="008F15F7"/>
    <w:rsid w:val="008F1A05"/>
    <w:rsid w:val="008F1D80"/>
    <w:rsid w:val="008F1DFD"/>
    <w:rsid w:val="008F1E30"/>
    <w:rsid w:val="008F1EB7"/>
    <w:rsid w:val="008F1F2D"/>
    <w:rsid w:val="008F21D2"/>
    <w:rsid w:val="008F238C"/>
    <w:rsid w:val="008F2645"/>
    <w:rsid w:val="008F29B0"/>
    <w:rsid w:val="008F2A94"/>
    <w:rsid w:val="008F2D56"/>
    <w:rsid w:val="008F3F5A"/>
    <w:rsid w:val="008F4064"/>
    <w:rsid w:val="008F4270"/>
    <w:rsid w:val="008F4A9E"/>
    <w:rsid w:val="008F54E7"/>
    <w:rsid w:val="008F5D53"/>
    <w:rsid w:val="008F5EBC"/>
    <w:rsid w:val="008F60D5"/>
    <w:rsid w:val="008F62A0"/>
    <w:rsid w:val="008F6711"/>
    <w:rsid w:val="008F7641"/>
    <w:rsid w:val="008F7900"/>
    <w:rsid w:val="008F7A8D"/>
    <w:rsid w:val="008F7AB8"/>
    <w:rsid w:val="008F7FDC"/>
    <w:rsid w:val="00900C1B"/>
    <w:rsid w:val="00900C38"/>
    <w:rsid w:val="00900C6B"/>
    <w:rsid w:val="00900F83"/>
    <w:rsid w:val="00901C6C"/>
    <w:rsid w:val="00901CCF"/>
    <w:rsid w:val="00902023"/>
    <w:rsid w:val="009023D2"/>
    <w:rsid w:val="009023F6"/>
    <w:rsid w:val="009027B2"/>
    <w:rsid w:val="00902FF1"/>
    <w:rsid w:val="00903624"/>
    <w:rsid w:val="009039D4"/>
    <w:rsid w:val="00903ACE"/>
    <w:rsid w:val="0090451C"/>
    <w:rsid w:val="009045B4"/>
    <w:rsid w:val="00904F07"/>
    <w:rsid w:val="0090500A"/>
    <w:rsid w:val="00906192"/>
    <w:rsid w:val="009064C8"/>
    <w:rsid w:val="00906BE4"/>
    <w:rsid w:val="00906BE5"/>
    <w:rsid w:val="00906F4A"/>
    <w:rsid w:val="00907668"/>
    <w:rsid w:val="00907789"/>
    <w:rsid w:val="009079DB"/>
    <w:rsid w:val="00907A06"/>
    <w:rsid w:val="00907A80"/>
    <w:rsid w:val="00907B83"/>
    <w:rsid w:val="00907E8A"/>
    <w:rsid w:val="00907FCF"/>
    <w:rsid w:val="00910287"/>
    <w:rsid w:val="0091053C"/>
    <w:rsid w:val="009106F3"/>
    <w:rsid w:val="009112D0"/>
    <w:rsid w:val="009113CA"/>
    <w:rsid w:val="009113E4"/>
    <w:rsid w:val="009114D9"/>
    <w:rsid w:val="00911A49"/>
    <w:rsid w:val="00911B12"/>
    <w:rsid w:val="00913082"/>
    <w:rsid w:val="009131FF"/>
    <w:rsid w:val="009136D5"/>
    <w:rsid w:val="00913A23"/>
    <w:rsid w:val="00914258"/>
    <w:rsid w:val="00914904"/>
    <w:rsid w:val="00914B9B"/>
    <w:rsid w:val="0091513D"/>
    <w:rsid w:val="0091575F"/>
    <w:rsid w:val="00915AE3"/>
    <w:rsid w:val="00915AE9"/>
    <w:rsid w:val="00915AED"/>
    <w:rsid w:val="00915E28"/>
    <w:rsid w:val="00915FDA"/>
    <w:rsid w:val="009168F0"/>
    <w:rsid w:val="0091690F"/>
    <w:rsid w:val="00916BF3"/>
    <w:rsid w:val="00916EBF"/>
    <w:rsid w:val="00917338"/>
    <w:rsid w:val="009174DF"/>
    <w:rsid w:val="0091758F"/>
    <w:rsid w:val="00917630"/>
    <w:rsid w:val="0091763D"/>
    <w:rsid w:val="0091796E"/>
    <w:rsid w:val="009179BA"/>
    <w:rsid w:val="00917C9B"/>
    <w:rsid w:val="00917CBB"/>
    <w:rsid w:val="00917FCB"/>
    <w:rsid w:val="009205CE"/>
    <w:rsid w:val="009207A6"/>
    <w:rsid w:val="009208B4"/>
    <w:rsid w:val="00920B2D"/>
    <w:rsid w:val="00920E9E"/>
    <w:rsid w:val="00920F3F"/>
    <w:rsid w:val="0092151F"/>
    <w:rsid w:val="00921D53"/>
    <w:rsid w:val="00921EE3"/>
    <w:rsid w:val="00922051"/>
    <w:rsid w:val="009221B5"/>
    <w:rsid w:val="00922C0B"/>
    <w:rsid w:val="0092353B"/>
    <w:rsid w:val="009241A3"/>
    <w:rsid w:val="009241BF"/>
    <w:rsid w:val="009246F5"/>
    <w:rsid w:val="009247EC"/>
    <w:rsid w:val="009249E0"/>
    <w:rsid w:val="00924F51"/>
    <w:rsid w:val="009250D4"/>
    <w:rsid w:val="0092547E"/>
    <w:rsid w:val="009256F4"/>
    <w:rsid w:val="009257D9"/>
    <w:rsid w:val="00927601"/>
    <w:rsid w:val="00927A6B"/>
    <w:rsid w:val="00927EE3"/>
    <w:rsid w:val="00927FA8"/>
    <w:rsid w:val="009301B1"/>
    <w:rsid w:val="009304D9"/>
    <w:rsid w:val="00930682"/>
    <w:rsid w:val="0093081E"/>
    <w:rsid w:val="00930C2D"/>
    <w:rsid w:val="00931101"/>
    <w:rsid w:val="009311DA"/>
    <w:rsid w:val="009313FE"/>
    <w:rsid w:val="0093182E"/>
    <w:rsid w:val="00931D7D"/>
    <w:rsid w:val="00931F91"/>
    <w:rsid w:val="009321A5"/>
    <w:rsid w:val="009325CF"/>
    <w:rsid w:val="009328A4"/>
    <w:rsid w:val="009328C0"/>
    <w:rsid w:val="00933045"/>
    <w:rsid w:val="0093388C"/>
    <w:rsid w:val="00933C7D"/>
    <w:rsid w:val="00934686"/>
    <w:rsid w:val="00934EE7"/>
    <w:rsid w:val="0093529D"/>
    <w:rsid w:val="009352E0"/>
    <w:rsid w:val="00935421"/>
    <w:rsid w:val="009355AC"/>
    <w:rsid w:val="009358E4"/>
    <w:rsid w:val="00935E3E"/>
    <w:rsid w:val="00935ECB"/>
    <w:rsid w:val="009362FA"/>
    <w:rsid w:val="009365B2"/>
    <w:rsid w:val="00937275"/>
    <w:rsid w:val="009372DD"/>
    <w:rsid w:val="009373A9"/>
    <w:rsid w:val="00937595"/>
    <w:rsid w:val="00940110"/>
    <w:rsid w:val="0094037E"/>
    <w:rsid w:val="00940718"/>
    <w:rsid w:val="00940785"/>
    <w:rsid w:val="009408D0"/>
    <w:rsid w:val="00940A9B"/>
    <w:rsid w:val="00940E53"/>
    <w:rsid w:val="009411A5"/>
    <w:rsid w:val="009411D4"/>
    <w:rsid w:val="009411E0"/>
    <w:rsid w:val="009414E7"/>
    <w:rsid w:val="0094163A"/>
    <w:rsid w:val="00941BB6"/>
    <w:rsid w:val="00941DC4"/>
    <w:rsid w:val="009426FF"/>
    <w:rsid w:val="009429E0"/>
    <w:rsid w:val="00942D3F"/>
    <w:rsid w:val="00942F12"/>
    <w:rsid w:val="009430FC"/>
    <w:rsid w:val="0094351D"/>
    <w:rsid w:val="00943576"/>
    <w:rsid w:val="0094369C"/>
    <w:rsid w:val="009439D7"/>
    <w:rsid w:val="00943B6D"/>
    <w:rsid w:val="00944067"/>
    <w:rsid w:val="009441D7"/>
    <w:rsid w:val="0094421E"/>
    <w:rsid w:val="0094454C"/>
    <w:rsid w:val="00944631"/>
    <w:rsid w:val="00944944"/>
    <w:rsid w:val="00944C7F"/>
    <w:rsid w:val="00944EEB"/>
    <w:rsid w:val="009457EC"/>
    <w:rsid w:val="00945E68"/>
    <w:rsid w:val="00945FB6"/>
    <w:rsid w:val="00946189"/>
    <w:rsid w:val="00946B6C"/>
    <w:rsid w:val="00946D9B"/>
    <w:rsid w:val="009470AD"/>
    <w:rsid w:val="009476B9"/>
    <w:rsid w:val="00947A46"/>
    <w:rsid w:val="00947C62"/>
    <w:rsid w:val="0095001D"/>
    <w:rsid w:val="009504D0"/>
    <w:rsid w:val="009505E1"/>
    <w:rsid w:val="00950909"/>
    <w:rsid w:val="00950B10"/>
    <w:rsid w:val="00950FFA"/>
    <w:rsid w:val="00951130"/>
    <w:rsid w:val="0095149D"/>
    <w:rsid w:val="009517D6"/>
    <w:rsid w:val="00951CF9"/>
    <w:rsid w:val="00951EEC"/>
    <w:rsid w:val="00951F10"/>
    <w:rsid w:val="00951FF2"/>
    <w:rsid w:val="00952495"/>
    <w:rsid w:val="00952B23"/>
    <w:rsid w:val="00953267"/>
    <w:rsid w:val="0095366F"/>
    <w:rsid w:val="009537E3"/>
    <w:rsid w:val="00953BA2"/>
    <w:rsid w:val="00953F05"/>
    <w:rsid w:val="00953F0E"/>
    <w:rsid w:val="00954AD1"/>
    <w:rsid w:val="00954F33"/>
    <w:rsid w:val="009554D8"/>
    <w:rsid w:val="00956050"/>
    <w:rsid w:val="009562C6"/>
    <w:rsid w:val="009562D6"/>
    <w:rsid w:val="00956501"/>
    <w:rsid w:val="0095676E"/>
    <w:rsid w:val="009567C2"/>
    <w:rsid w:val="00956DB4"/>
    <w:rsid w:val="009579FF"/>
    <w:rsid w:val="00957F18"/>
    <w:rsid w:val="009603BB"/>
    <w:rsid w:val="009605A5"/>
    <w:rsid w:val="009610C3"/>
    <w:rsid w:val="00961BF9"/>
    <w:rsid w:val="00961C30"/>
    <w:rsid w:val="00961D15"/>
    <w:rsid w:val="00961DF0"/>
    <w:rsid w:val="0096242E"/>
    <w:rsid w:val="00962A98"/>
    <w:rsid w:val="00962E81"/>
    <w:rsid w:val="009637E8"/>
    <w:rsid w:val="00963E0C"/>
    <w:rsid w:val="00963EC2"/>
    <w:rsid w:val="009641D7"/>
    <w:rsid w:val="00964A81"/>
    <w:rsid w:val="0096531E"/>
    <w:rsid w:val="00965430"/>
    <w:rsid w:val="00965582"/>
    <w:rsid w:val="009655C7"/>
    <w:rsid w:val="0096592E"/>
    <w:rsid w:val="00965CBD"/>
    <w:rsid w:val="00965E08"/>
    <w:rsid w:val="00966BD6"/>
    <w:rsid w:val="00966CF6"/>
    <w:rsid w:val="00966FC9"/>
    <w:rsid w:val="00967378"/>
    <w:rsid w:val="0096745B"/>
    <w:rsid w:val="00967499"/>
    <w:rsid w:val="00967577"/>
    <w:rsid w:val="00967AA4"/>
    <w:rsid w:val="00967EDE"/>
    <w:rsid w:val="009701CB"/>
    <w:rsid w:val="00970247"/>
    <w:rsid w:val="0097064F"/>
    <w:rsid w:val="00971004"/>
    <w:rsid w:val="00971009"/>
    <w:rsid w:val="009711A2"/>
    <w:rsid w:val="0097128D"/>
    <w:rsid w:val="00971339"/>
    <w:rsid w:val="00971440"/>
    <w:rsid w:val="009714C6"/>
    <w:rsid w:val="00972001"/>
    <w:rsid w:val="00972D0C"/>
    <w:rsid w:val="00972EF5"/>
    <w:rsid w:val="0097312A"/>
    <w:rsid w:val="00973171"/>
    <w:rsid w:val="00973298"/>
    <w:rsid w:val="0097373F"/>
    <w:rsid w:val="00973881"/>
    <w:rsid w:val="00973A3E"/>
    <w:rsid w:val="00973A53"/>
    <w:rsid w:val="00973C1A"/>
    <w:rsid w:val="00973F3F"/>
    <w:rsid w:val="00974402"/>
    <w:rsid w:val="009746B4"/>
    <w:rsid w:val="00975CEA"/>
    <w:rsid w:val="00975EDD"/>
    <w:rsid w:val="009760FE"/>
    <w:rsid w:val="00976404"/>
    <w:rsid w:val="009765FB"/>
    <w:rsid w:val="00976CAA"/>
    <w:rsid w:val="00976FEA"/>
    <w:rsid w:val="009775CD"/>
    <w:rsid w:val="00977D27"/>
    <w:rsid w:val="00980530"/>
    <w:rsid w:val="009805DF"/>
    <w:rsid w:val="00980655"/>
    <w:rsid w:val="00980745"/>
    <w:rsid w:val="009807F1"/>
    <w:rsid w:val="00980A2E"/>
    <w:rsid w:val="00980E8C"/>
    <w:rsid w:val="00981B62"/>
    <w:rsid w:val="00981C91"/>
    <w:rsid w:val="009826A1"/>
    <w:rsid w:val="00982DCB"/>
    <w:rsid w:val="00982DD3"/>
    <w:rsid w:val="009830B7"/>
    <w:rsid w:val="00983B72"/>
    <w:rsid w:val="00983C34"/>
    <w:rsid w:val="00984282"/>
    <w:rsid w:val="009843C0"/>
    <w:rsid w:val="009849A4"/>
    <w:rsid w:val="009855D5"/>
    <w:rsid w:val="00985C78"/>
    <w:rsid w:val="00985CC2"/>
    <w:rsid w:val="00986146"/>
    <w:rsid w:val="00986685"/>
    <w:rsid w:val="009867CF"/>
    <w:rsid w:val="00986DAB"/>
    <w:rsid w:val="0098709F"/>
    <w:rsid w:val="009873FB"/>
    <w:rsid w:val="00987B7C"/>
    <w:rsid w:val="00987E04"/>
    <w:rsid w:val="00987E06"/>
    <w:rsid w:val="00987F5A"/>
    <w:rsid w:val="0099068E"/>
    <w:rsid w:val="00990CF1"/>
    <w:rsid w:val="00990EB5"/>
    <w:rsid w:val="00990F34"/>
    <w:rsid w:val="00991006"/>
    <w:rsid w:val="009910C2"/>
    <w:rsid w:val="0099111F"/>
    <w:rsid w:val="009913EE"/>
    <w:rsid w:val="009914B8"/>
    <w:rsid w:val="00991545"/>
    <w:rsid w:val="00991ADF"/>
    <w:rsid w:val="00991CA7"/>
    <w:rsid w:val="00992827"/>
    <w:rsid w:val="009928C8"/>
    <w:rsid w:val="0099297D"/>
    <w:rsid w:val="00993372"/>
    <w:rsid w:val="00993919"/>
    <w:rsid w:val="00994773"/>
    <w:rsid w:val="009947A9"/>
    <w:rsid w:val="00994EDB"/>
    <w:rsid w:val="009950E1"/>
    <w:rsid w:val="00995777"/>
    <w:rsid w:val="00995E62"/>
    <w:rsid w:val="00996133"/>
    <w:rsid w:val="009969AC"/>
    <w:rsid w:val="00996B34"/>
    <w:rsid w:val="00997833"/>
    <w:rsid w:val="00997AE0"/>
    <w:rsid w:val="00997D4F"/>
    <w:rsid w:val="00997EFA"/>
    <w:rsid w:val="009A0017"/>
    <w:rsid w:val="009A029E"/>
    <w:rsid w:val="009A081D"/>
    <w:rsid w:val="009A0F2E"/>
    <w:rsid w:val="009A1267"/>
    <w:rsid w:val="009A15F5"/>
    <w:rsid w:val="009A1611"/>
    <w:rsid w:val="009A1987"/>
    <w:rsid w:val="009A1AB5"/>
    <w:rsid w:val="009A1FAE"/>
    <w:rsid w:val="009A20F9"/>
    <w:rsid w:val="009A23DF"/>
    <w:rsid w:val="009A25D0"/>
    <w:rsid w:val="009A265A"/>
    <w:rsid w:val="009A2D24"/>
    <w:rsid w:val="009A2D5B"/>
    <w:rsid w:val="009A300B"/>
    <w:rsid w:val="009A38F7"/>
    <w:rsid w:val="009A3BA0"/>
    <w:rsid w:val="009A4023"/>
    <w:rsid w:val="009A466E"/>
    <w:rsid w:val="009A4B51"/>
    <w:rsid w:val="009A4E54"/>
    <w:rsid w:val="009A4F73"/>
    <w:rsid w:val="009A5113"/>
    <w:rsid w:val="009A58BA"/>
    <w:rsid w:val="009A597F"/>
    <w:rsid w:val="009A60E9"/>
    <w:rsid w:val="009A61AB"/>
    <w:rsid w:val="009A6206"/>
    <w:rsid w:val="009A73FA"/>
    <w:rsid w:val="009A742E"/>
    <w:rsid w:val="009A9D37"/>
    <w:rsid w:val="009B0440"/>
    <w:rsid w:val="009B05FB"/>
    <w:rsid w:val="009B0E11"/>
    <w:rsid w:val="009B13CC"/>
    <w:rsid w:val="009B1DB3"/>
    <w:rsid w:val="009B1F9E"/>
    <w:rsid w:val="009B2274"/>
    <w:rsid w:val="009B2419"/>
    <w:rsid w:val="009B248A"/>
    <w:rsid w:val="009B2532"/>
    <w:rsid w:val="009B2896"/>
    <w:rsid w:val="009B2D62"/>
    <w:rsid w:val="009B3301"/>
    <w:rsid w:val="009B3732"/>
    <w:rsid w:val="009B3A4A"/>
    <w:rsid w:val="009B3C10"/>
    <w:rsid w:val="009B3E40"/>
    <w:rsid w:val="009B4F53"/>
    <w:rsid w:val="009B5764"/>
    <w:rsid w:val="009B58DC"/>
    <w:rsid w:val="009B5A8F"/>
    <w:rsid w:val="009B6279"/>
    <w:rsid w:val="009B6539"/>
    <w:rsid w:val="009B6A85"/>
    <w:rsid w:val="009B7F02"/>
    <w:rsid w:val="009C01B4"/>
    <w:rsid w:val="009C01E7"/>
    <w:rsid w:val="009C0AA5"/>
    <w:rsid w:val="009C0CCB"/>
    <w:rsid w:val="009C0EDE"/>
    <w:rsid w:val="009C1753"/>
    <w:rsid w:val="009C1B26"/>
    <w:rsid w:val="009C24FA"/>
    <w:rsid w:val="009C2873"/>
    <w:rsid w:val="009C2AB7"/>
    <w:rsid w:val="009C35A3"/>
    <w:rsid w:val="009C37B3"/>
    <w:rsid w:val="009C37EB"/>
    <w:rsid w:val="009C389B"/>
    <w:rsid w:val="009C40C7"/>
    <w:rsid w:val="009C40E2"/>
    <w:rsid w:val="009C435A"/>
    <w:rsid w:val="009C4A52"/>
    <w:rsid w:val="009C4D40"/>
    <w:rsid w:val="009C4F3D"/>
    <w:rsid w:val="009C510E"/>
    <w:rsid w:val="009C51D0"/>
    <w:rsid w:val="009C54BB"/>
    <w:rsid w:val="009C5521"/>
    <w:rsid w:val="009C5611"/>
    <w:rsid w:val="009C6717"/>
    <w:rsid w:val="009C685C"/>
    <w:rsid w:val="009C6898"/>
    <w:rsid w:val="009C6C1C"/>
    <w:rsid w:val="009C700C"/>
    <w:rsid w:val="009C7332"/>
    <w:rsid w:val="009C7463"/>
    <w:rsid w:val="009C7F55"/>
    <w:rsid w:val="009D0877"/>
    <w:rsid w:val="009D09B7"/>
    <w:rsid w:val="009D0BA0"/>
    <w:rsid w:val="009D0DA7"/>
    <w:rsid w:val="009D1017"/>
    <w:rsid w:val="009D1380"/>
    <w:rsid w:val="009D1489"/>
    <w:rsid w:val="009D191A"/>
    <w:rsid w:val="009D1C74"/>
    <w:rsid w:val="009D1D42"/>
    <w:rsid w:val="009D1D8C"/>
    <w:rsid w:val="009D224D"/>
    <w:rsid w:val="009D2CEF"/>
    <w:rsid w:val="009D2E10"/>
    <w:rsid w:val="009D2E35"/>
    <w:rsid w:val="009D323F"/>
    <w:rsid w:val="009D3AA4"/>
    <w:rsid w:val="009D3B0F"/>
    <w:rsid w:val="009D49CC"/>
    <w:rsid w:val="009D4BC3"/>
    <w:rsid w:val="009D4CF3"/>
    <w:rsid w:val="009D5037"/>
    <w:rsid w:val="009D51CA"/>
    <w:rsid w:val="009D52D7"/>
    <w:rsid w:val="009D53BC"/>
    <w:rsid w:val="009D58D6"/>
    <w:rsid w:val="009D59D5"/>
    <w:rsid w:val="009D5ACE"/>
    <w:rsid w:val="009D5CB5"/>
    <w:rsid w:val="009D61EA"/>
    <w:rsid w:val="009D65C2"/>
    <w:rsid w:val="009D6727"/>
    <w:rsid w:val="009D673B"/>
    <w:rsid w:val="009D67B9"/>
    <w:rsid w:val="009D6851"/>
    <w:rsid w:val="009D6C75"/>
    <w:rsid w:val="009D6E0D"/>
    <w:rsid w:val="009D70DD"/>
    <w:rsid w:val="009D71E0"/>
    <w:rsid w:val="009D7300"/>
    <w:rsid w:val="009D7F74"/>
    <w:rsid w:val="009E013C"/>
    <w:rsid w:val="009E0618"/>
    <w:rsid w:val="009E09CD"/>
    <w:rsid w:val="009E0A04"/>
    <w:rsid w:val="009E0AE4"/>
    <w:rsid w:val="009E0DBD"/>
    <w:rsid w:val="009E0EBF"/>
    <w:rsid w:val="009E1229"/>
    <w:rsid w:val="009E1A20"/>
    <w:rsid w:val="009E1FA0"/>
    <w:rsid w:val="009E2142"/>
    <w:rsid w:val="009E232C"/>
    <w:rsid w:val="009E250D"/>
    <w:rsid w:val="009E2985"/>
    <w:rsid w:val="009E2F55"/>
    <w:rsid w:val="009E301A"/>
    <w:rsid w:val="009E339C"/>
    <w:rsid w:val="009E344D"/>
    <w:rsid w:val="009E38EF"/>
    <w:rsid w:val="009E41CF"/>
    <w:rsid w:val="009E4714"/>
    <w:rsid w:val="009E4DE3"/>
    <w:rsid w:val="009E5115"/>
    <w:rsid w:val="009E55DF"/>
    <w:rsid w:val="009E58D8"/>
    <w:rsid w:val="009E5A6C"/>
    <w:rsid w:val="009E5C64"/>
    <w:rsid w:val="009E68B6"/>
    <w:rsid w:val="009E6BFB"/>
    <w:rsid w:val="009E6DC8"/>
    <w:rsid w:val="009E6DF9"/>
    <w:rsid w:val="009E7B14"/>
    <w:rsid w:val="009E7B39"/>
    <w:rsid w:val="009F010F"/>
    <w:rsid w:val="009F014D"/>
    <w:rsid w:val="009F01A0"/>
    <w:rsid w:val="009F0372"/>
    <w:rsid w:val="009F0CEE"/>
    <w:rsid w:val="009F0EC8"/>
    <w:rsid w:val="009F0ED0"/>
    <w:rsid w:val="009F108F"/>
    <w:rsid w:val="009F17EF"/>
    <w:rsid w:val="009F188B"/>
    <w:rsid w:val="009F19F0"/>
    <w:rsid w:val="009F1C65"/>
    <w:rsid w:val="009F23F4"/>
    <w:rsid w:val="009F2D31"/>
    <w:rsid w:val="009F2E1E"/>
    <w:rsid w:val="009F342E"/>
    <w:rsid w:val="009F3574"/>
    <w:rsid w:val="009F35ED"/>
    <w:rsid w:val="009F3727"/>
    <w:rsid w:val="009F3B02"/>
    <w:rsid w:val="009F3C86"/>
    <w:rsid w:val="009F3D47"/>
    <w:rsid w:val="009F412F"/>
    <w:rsid w:val="009F435B"/>
    <w:rsid w:val="009F443B"/>
    <w:rsid w:val="009F4CC6"/>
    <w:rsid w:val="009F4F54"/>
    <w:rsid w:val="009F5059"/>
    <w:rsid w:val="009F525D"/>
    <w:rsid w:val="009F5A8C"/>
    <w:rsid w:val="009F5AAE"/>
    <w:rsid w:val="009F5CCB"/>
    <w:rsid w:val="009F614C"/>
    <w:rsid w:val="009F63EE"/>
    <w:rsid w:val="009F6591"/>
    <w:rsid w:val="009F6677"/>
    <w:rsid w:val="009F6724"/>
    <w:rsid w:val="009F6B9A"/>
    <w:rsid w:val="009F74A7"/>
    <w:rsid w:val="009F781D"/>
    <w:rsid w:val="009F7B89"/>
    <w:rsid w:val="009F7CAA"/>
    <w:rsid w:val="00A003DF"/>
    <w:rsid w:val="00A00431"/>
    <w:rsid w:val="00A013D3"/>
    <w:rsid w:val="00A0162E"/>
    <w:rsid w:val="00A018DA"/>
    <w:rsid w:val="00A02396"/>
    <w:rsid w:val="00A0273F"/>
    <w:rsid w:val="00A036D5"/>
    <w:rsid w:val="00A036DF"/>
    <w:rsid w:val="00A036EA"/>
    <w:rsid w:val="00A03763"/>
    <w:rsid w:val="00A03994"/>
    <w:rsid w:val="00A03B32"/>
    <w:rsid w:val="00A04F79"/>
    <w:rsid w:val="00A04FB1"/>
    <w:rsid w:val="00A050C9"/>
    <w:rsid w:val="00A05234"/>
    <w:rsid w:val="00A05B6C"/>
    <w:rsid w:val="00A05CD2"/>
    <w:rsid w:val="00A05D11"/>
    <w:rsid w:val="00A06017"/>
    <w:rsid w:val="00A062A1"/>
    <w:rsid w:val="00A064B3"/>
    <w:rsid w:val="00A06742"/>
    <w:rsid w:val="00A06971"/>
    <w:rsid w:val="00A069DF"/>
    <w:rsid w:val="00A06A01"/>
    <w:rsid w:val="00A06B37"/>
    <w:rsid w:val="00A06B9B"/>
    <w:rsid w:val="00A06D86"/>
    <w:rsid w:val="00A07028"/>
    <w:rsid w:val="00A07309"/>
    <w:rsid w:val="00A074C8"/>
    <w:rsid w:val="00A07595"/>
    <w:rsid w:val="00A078C8"/>
    <w:rsid w:val="00A07A07"/>
    <w:rsid w:val="00A10EB3"/>
    <w:rsid w:val="00A1154C"/>
    <w:rsid w:val="00A11B37"/>
    <w:rsid w:val="00A11B64"/>
    <w:rsid w:val="00A11E94"/>
    <w:rsid w:val="00A11EF8"/>
    <w:rsid w:val="00A11F98"/>
    <w:rsid w:val="00A12344"/>
    <w:rsid w:val="00A12750"/>
    <w:rsid w:val="00A12D45"/>
    <w:rsid w:val="00A1333F"/>
    <w:rsid w:val="00A13525"/>
    <w:rsid w:val="00A136FA"/>
    <w:rsid w:val="00A13DB3"/>
    <w:rsid w:val="00A13EF6"/>
    <w:rsid w:val="00A13F24"/>
    <w:rsid w:val="00A146A3"/>
    <w:rsid w:val="00A14A59"/>
    <w:rsid w:val="00A15690"/>
    <w:rsid w:val="00A15BB4"/>
    <w:rsid w:val="00A1609C"/>
    <w:rsid w:val="00A164B2"/>
    <w:rsid w:val="00A1666D"/>
    <w:rsid w:val="00A16E46"/>
    <w:rsid w:val="00A171BE"/>
    <w:rsid w:val="00A173B0"/>
    <w:rsid w:val="00A173F5"/>
    <w:rsid w:val="00A177C7"/>
    <w:rsid w:val="00A201EA"/>
    <w:rsid w:val="00A20639"/>
    <w:rsid w:val="00A20998"/>
    <w:rsid w:val="00A20BDB"/>
    <w:rsid w:val="00A213DA"/>
    <w:rsid w:val="00A213DF"/>
    <w:rsid w:val="00A215B3"/>
    <w:rsid w:val="00A2163E"/>
    <w:rsid w:val="00A217A0"/>
    <w:rsid w:val="00A21C6D"/>
    <w:rsid w:val="00A21E5A"/>
    <w:rsid w:val="00A227BB"/>
    <w:rsid w:val="00A22897"/>
    <w:rsid w:val="00A22C35"/>
    <w:rsid w:val="00A22C7D"/>
    <w:rsid w:val="00A22E3A"/>
    <w:rsid w:val="00A2303E"/>
    <w:rsid w:val="00A23048"/>
    <w:rsid w:val="00A2368F"/>
    <w:rsid w:val="00A23F64"/>
    <w:rsid w:val="00A24198"/>
    <w:rsid w:val="00A2428B"/>
    <w:rsid w:val="00A24322"/>
    <w:rsid w:val="00A2433F"/>
    <w:rsid w:val="00A245D9"/>
    <w:rsid w:val="00A245DF"/>
    <w:rsid w:val="00A24956"/>
    <w:rsid w:val="00A24989"/>
    <w:rsid w:val="00A251FB"/>
    <w:rsid w:val="00A25B9D"/>
    <w:rsid w:val="00A25C3D"/>
    <w:rsid w:val="00A25C83"/>
    <w:rsid w:val="00A25E58"/>
    <w:rsid w:val="00A2646D"/>
    <w:rsid w:val="00A26819"/>
    <w:rsid w:val="00A26FA4"/>
    <w:rsid w:val="00A2713B"/>
    <w:rsid w:val="00A27C0D"/>
    <w:rsid w:val="00A31939"/>
    <w:rsid w:val="00A323EE"/>
    <w:rsid w:val="00A3248C"/>
    <w:rsid w:val="00A325C6"/>
    <w:rsid w:val="00A3263B"/>
    <w:rsid w:val="00A327D3"/>
    <w:rsid w:val="00A32CDF"/>
    <w:rsid w:val="00A32ED0"/>
    <w:rsid w:val="00A32EEF"/>
    <w:rsid w:val="00A33034"/>
    <w:rsid w:val="00A330FB"/>
    <w:rsid w:val="00A33176"/>
    <w:rsid w:val="00A332C2"/>
    <w:rsid w:val="00A3362F"/>
    <w:rsid w:val="00A341C4"/>
    <w:rsid w:val="00A34632"/>
    <w:rsid w:val="00A348EB"/>
    <w:rsid w:val="00A34B85"/>
    <w:rsid w:val="00A34EDE"/>
    <w:rsid w:val="00A351F4"/>
    <w:rsid w:val="00A355BA"/>
    <w:rsid w:val="00A35737"/>
    <w:rsid w:val="00A35DA3"/>
    <w:rsid w:val="00A35DF3"/>
    <w:rsid w:val="00A35DFE"/>
    <w:rsid w:val="00A35FFC"/>
    <w:rsid w:val="00A363FE"/>
    <w:rsid w:val="00A36EA4"/>
    <w:rsid w:val="00A36F43"/>
    <w:rsid w:val="00A36F5E"/>
    <w:rsid w:val="00A374DD"/>
    <w:rsid w:val="00A37502"/>
    <w:rsid w:val="00A37534"/>
    <w:rsid w:val="00A37635"/>
    <w:rsid w:val="00A37648"/>
    <w:rsid w:val="00A3790C"/>
    <w:rsid w:val="00A37B3F"/>
    <w:rsid w:val="00A37E24"/>
    <w:rsid w:val="00A4058B"/>
    <w:rsid w:val="00A40679"/>
    <w:rsid w:val="00A40753"/>
    <w:rsid w:val="00A409B0"/>
    <w:rsid w:val="00A40A81"/>
    <w:rsid w:val="00A40F6C"/>
    <w:rsid w:val="00A41231"/>
    <w:rsid w:val="00A41432"/>
    <w:rsid w:val="00A4152E"/>
    <w:rsid w:val="00A41A88"/>
    <w:rsid w:val="00A41BC0"/>
    <w:rsid w:val="00A41FB2"/>
    <w:rsid w:val="00A41FE8"/>
    <w:rsid w:val="00A421B9"/>
    <w:rsid w:val="00A422EA"/>
    <w:rsid w:val="00A425D2"/>
    <w:rsid w:val="00A42759"/>
    <w:rsid w:val="00A42F7A"/>
    <w:rsid w:val="00A4316F"/>
    <w:rsid w:val="00A432C7"/>
    <w:rsid w:val="00A438A5"/>
    <w:rsid w:val="00A439B4"/>
    <w:rsid w:val="00A4452E"/>
    <w:rsid w:val="00A449B6"/>
    <w:rsid w:val="00A44C53"/>
    <w:rsid w:val="00A44E4E"/>
    <w:rsid w:val="00A4547B"/>
    <w:rsid w:val="00A45F4F"/>
    <w:rsid w:val="00A46057"/>
    <w:rsid w:val="00A460B9"/>
    <w:rsid w:val="00A46458"/>
    <w:rsid w:val="00A4658B"/>
    <w:rsid w:val="00A46851"/>
    <w:rsid w:val="00A46B2F"/>
    <w:rsid w:val="00A4727E"/>
    <w:rsid w:val="00A475D1"/>
    <w:rsid w:val="00A47999"/>
    <w:rsid w:val="00A47BFD"/>
    <w:rsid w:val="00A502CD"/>
    <w:rsid w:val="00A5039A"/>
    <w:rsid w:val="00A5039C"/>
    <w:rsid w:val="00A50577"/>
    <w:rsid w:val="00A50BC1"/>
    <w:rsid w:val="00A50C0E"/>
    <w:rsid w:val="00A50C6C"/>
    <w:rsid w:val="00A51138"/>
    <w:rsid w:val="00A512C8"/>
    <w:rsid w:val="00A51EB8"/>
    <w:rsid w:val="00A523F7"/>
    <w:rsid w:val="00A52A34"/>
    <w:rsid w:val="00A53098"/>
    <w:rsid w:val="00A53569"/>
    <w:rsid w:val="00A53D47"/>
    <w:rsid w:val="00A53DAD"/>
    <w:rsid w:val="00A53FF6"/>
    <w:rsid w:val="00A541FA"/>
    <w:rsid w:val="00A543C1"/>
    <w:rsid w:val="00A554C8"/>
    <w:rsid w:val="00A5565B"/>
    <w:rsid w:val="00A55861"/>
    <w:rsid w:val="00A5591B"/>
    <w:rsid w:val="00A55B72"/>
    <w:rsid w:val="00A55C19"/>
    <w:rsid w:val="00A55F2D"/>
    <w:rsid w:val="00A56180"/>
    <w:rsid w:val="00A565EC"/>
    <w:rsid w:val="00A568EE"/>
    <w:rsid w:val="00A56C25"/>
    <w:rsid w:val="00A56EDA"/>
    <w:rsid w:val="00A56FC9"/>
    <w:rsid w:val="00A5766B"/>
    <w:rsid w:val="00A60603"/>
    <w:rsid w:val="00A60C53"/>
    <w:rsid w:val="00A60C54"/>
    <w:rsid w:val="00A60D18"/>
    <w:rsid w:val="00A60D4D"/>
    <w:rsid w:val="00A60FD6"/>
    <w:rsid w:val="00A6132E"/>
    <w:rsid w:val="00A617A6"/>
    <w:rsid w:val="00A6186C"/>
    <w:rsid w:val="00A618DE"/>
    <w:rsid w:val="00A61A7C"/>
    <w:rsid w:val="00A61FE7"/>
    <w:rsid w:val="00A62C67"/>
    <w:rsid w:val="00A62E5A"/>
    <w:rsid w:val="00A62FE6"/>
    <w:rsid w:val="00A63339"/>
    <w:rsid w:val="00A6354C"/>
    <w:rsid w:val="00A63E48"/>
    <w:rsid w:val="00A6422A"/>
    <w:rsid w:val="00A64244"/>
    <w:rsid w:val="00A64397"/>
    <w:rsid w:val="00A65306"/>
    <w:rsid w:val="00A65B95"/>
    <w:rsid w:val="00A65DE0"/>
    <w:rsid w:val="00A65EDA"/>
    <w:rsid w:val="00A66045"/>
    <w:rsid w:val="00A6629C"/>
    <w:rsid w:val="00A667CA"/>
    <w:rsid w:val="00A66A35"/>
    <w:rsid w:val="00A66A4D"/>
    <w:rsid w:val="00A66D81"/>
    <w:rsid w:val="00A6713B"/>
    <w:rsid w:val="00A6715F"/>
    <w:rsid w:val="00A675A0"/>
    <w:rsid w:val="00A67D04"/>
    <w:rsid w:val="00A70093"/>
    <w:rsid w:val="00A700DE"/>
    <w:rsid w:val="00A7088F"/>
    <w:rsid w:val="00A70D6F"/>
    <w:rsid w:val="00A7127E"/>
    <w:rsid w:val="00A715AC"/>
    <w:rsid w:val="00A71A81"/>
    <w:rsid w:val="00A71B62"/>
    <w:rsid w:val="00A72018"/>
    <w:rsid w:val="00A72035"/>
    <w:rsid w:val="00A72142"/>
    <w:rsid w:val="00A72234"/>
    <w:rsid w:val="00A72262"/>
    <w:rsid w:val="00A7228E"/>
    <w:rsid w:val="00A72DF7"/>
    <w:rsid w:val="00A7331C"/>
    <w:rsid w:val="00A73DCA"/>
    <w:rsid w:val="00A7419F"/>
    <w:rsid w:val="00A74677"/>
    <w:rsid w:val="00A7470D"/>
    <w:rsid w:val="00A747C6"/>
    <w:rsid w:val="00A74805"/>
    <w:rsid w:val="00A74DCF"/>
    <w:rsid w:val="00A76D05"/>
    <w:rsid w:val="00A76D80"/>
    <w:rsid w:val="00A76DBC"/>
    <w:rsid w:val="00A76FA6"/>
    <w:rsid w:val="00A77007"/>
    <w:rsid w:val="00A772EF"/>
    <w:rsid w:val="00A77585"/>
    <w:rsid w:val="00A777B1"/>
    <w:rsid w:val="00A77B55"/>
    <w:rsid w:val="00A77BD8"/>
    <w:rsid w:val="00A77D85"/>
    <w:rsid w:val="00A8098B"/>
    <w:rsid w:val="00A80BAB"/>
    <w:rsid w:val="00A80D1A"/>
    <w:rsid w:val="00A80D5B"/>
    <w:rsid w:val="00A80DB3"/>
    <w:rsid w:val="00A811C2"/>
    <w:rsid w:val="00A812D3"/>
    <w:rsid w:val="00A81C6A"/>
    <w:rsid w:val="00A82177"/>
    <w:rsid w:val="00A8251C"/>
    <w:rsid w:val="00A825BB"/>
    <w:rsid w:val="00A82A8B"/>
    <w:rsid w:val="00A82D91"/>
    <w:rsid w:val="00A832AC"/>
    <w:rsid w:val="00A83A93"/>
    <w:rsid w:val="00A83BFE"/>
    <w:rsid w:val="00A83C29"/>
    <w:rsid w:val="00A84592"/>
    <w:rsid w:val="00A8495D"/>
    <w:rsid w:val="00A84C0A"/>
    <w:rsid w:val="00A84D3D"/>
    <w:rsid w:val="00A84E88"/>
    <w:rsid w:val="00A850F2"/>
    <w:rsid w:val="00A851C2"/>
    <w:rsid w:val="00A85337"/>
    <w:rsid w:val="00A8556E"/>
    <w:rsid w:val="00A856BF"/>
    <w:rsid w:val="00A85A89"/>
    <w:rsid w:val="00A85F68"/>
    <w:rsid w:val="00A8610F"/>
    <w:rsid w:val="00A863D3"/>
    <w:rsid w:val="00A868FE"/>
    <w:rsid w:val="00A86E4B"/>
    <w:rsid w:val="00A86EB9"/>
    <w:rsid w:val="00A87222"/>
    <w:rsid w:val="00A873AF"/>
    <w:rsid w:val="00A8755F"/>
    <w:rsid w:val="00A878C6"/>
    <w:rsid w:val="00A8797E"/>
    <w:rsid w:val="00A87A46"/>
    <w:rsid w:val="00A87D0A"/>
    <w:rsid w:val="00A87D59"/>
    <w:rsid w:val="00A87DA8"/>
    <w:rsid w:val="00A87DB1"/>
    <w:rsid w:val="00A900AE"/>
    <w:rsid w:val="00A90217"/>
    <w:rsid w:val="00A9026B"/>
    <w:rsid w:val="00A904AF"/>
    <w:rsid w:val="00A905E5"/>
    <w:rsid w:val="00A918BC"/>
    <w:rsid w:val="00A91E09"/>
    <w:rsid w:val="00A9235B"/>
    <w:rsid w:val="00A926C9"/>
    <w:rsid w:val="00A92ABD"/>
    <w:rsid w:val="00A92DF1"/>
    <w:rsid w:val="00A92EDA"/>
    <w:rsid w:val="00A9347A"/>
    <w:rsid w:val="00A934D2"/>
    <w:rsid w:val="00A93514"/>
    <w:rsid w:val="00A937CB"/>
    <w:rsid w:val="00A937D5"/>
    <w:rsid w:val="00A939C2"/>
    <w:rsid w:val="00A93C14"/>
    <w:rsid w:val="00A944EE"/>
    <w:rsid w:val="00A94A9E"/>
    <w:rsid w:val="00A94B35"/>
    <w:rsid w:val="00A94E13"/>
    <w:rsid w:val="00A95893"/>
    <w:rsid w:val="00A95D3B"/>
    <w:rsid w:val="00A9657C"/>
    <w:rsid w:val="00A965C7"/>
    <w:rsid w:val="00A966A7"/>
    <w:rsid w:val="00A966CC"/>
    <w:rsid w:val="00A96721"/>
    <w:rsid w:val="00A96779"/>
    <w:rsid w:val="00A96782"/>
    <w:rsid w:val="00A9754B"/>
    <w:rsid w:val="00A97CE8"/>
    <w:rsid w:val="00AA063B"/>
    <w:rsid w:val="00AA0AB2"/>
    <w:rsid w:val="00AA0CDA"/>
    <w:rsid w:val="00AA0F3E"/>
    <w:rsid w:val="00AA104B"/>
    <w:rsid w:val="00AA1682"/>
    <w:rsid w:val="00AA186E"/>
    <w:rsid w:val="00AA1E64"/>
    <w:rsid w:val="00AA2439"/>
    <w:rsid w:val="00AA2508"/>
    <w:rsid w:val="00AA2E22"/>
    <w:rsid w:val="00AA31D2"/>
    <w:rsid w:val="00AA3486"/>
    <w:rsid w:val="00AA34E2"/>
    <w:rsid w:val="00AA36F5"/>
    <w:rsid w:val="00AA3725"/>
    <w:rsid w:val="00AA3C3A"/>
    <w:rsid w:val="00AA421A"/>
    <w:rsid w:val="00AA439E"/>
    <w:rsid w:val="00AA4582"/>
    <w:rsid w:val="00AA47B9"/>
    <w:rsid w:val="00AA49CB"/>
    <w:rsid w:val="00AA4BC9"/>
    <w:rsid w:val="00AA4FD4"/>
    <w:rsid w:val="00AA524C"/>
    <w:rsid w:val="00AA55A8"/>
    <w:rsid w:val="00AA566C"/>
    <w:rsid w:val="00AA5696"/>
    <w:rsid w:val="00AA569B"/>
    <w:rsid w:val="00AA5754"/>
    <w:rsid w:val="00AA58CF"/>
    <w:rsid w:val="00AA5A1C"/>
    <w:rsid w:val="00AA5B55"/>
    <w:rsid w:val="00AA5BB1"/>
    <w:rsid w:val="00AA5D3B"/>
    <w:rsid w:val="00AA624C"/>
    <w:rsid w:val="00AA65AD"/>
    <w:rsid w:val="00AA6829"/>
    <w:rsid w:val="00AA68AD"/>
    <w:rsid w:val="00AA69B4"/>
    <w:rsid w:val="00AA6A92"/>
    <w:rsid w:val="00AA6BC2"/>
    <w:rsid w:val="00AA6E76"/>
    <w:rsid w:val="00AA76D3"/>
    <w:rsid w:val="00AB02EE"/>
    <w:rsid w:val="00AB07C5"/>
    <w:rsid w:val="00AB07D6"/>
    <w:rsid w:val="00AB0A80"/>
    <w:rsid w:val="00AB0CA4"/>
    <w:rsid w:val="00AB0DEB"/>
    <w:rsid w:val="00AB0FBA"/>
    <w:rsid w:val="00AB157B"/>
    <w:rsid w:val="00AB17BF"/>
    <w:rsid w:val="00AB1FC4"/>
    <w:rsid w:val="00AB20CB"/>
    <w:rsid w:val="00AB27C0"/>
    <w:rsid w:val="00AB3572"/>
    <w:rsid w:val="00AB3AB0"/>
    <w:rsid w:val="00AB44E3"/>
    <w:rsid w:val="00AB4C54"/>
    <w:rsid w:val="00AB5090"/>
    <w:rsid w:val="00AB56BD"/>
    <w:rsid w:val="00AB579C"/>
    <w:rsid w:val="00AB5D05"/>
    <w:rsid w:val="00AB5E70"/>
    <w:rsid w:val="00AB68AB"/>
    <w:rsid w:val="00AB6A24"/>
    <w:rsid w:val="00AB6CB6"/>
    <w:rsid w:val="00AB7037"/>
    <w:rsid w:val="00AC0286"/>
    <w:rsid w:val="00AC033A"/>
    <w:rsid w:val="00AC034D"/>
    <w:rsid w:val="00AC0523"/>
    <w:rsid w:val="00AC058E"/>
    <w:rsid w:val="00AC0714"/>
    <w:rsid w:val="00AC09C0"/>
    <w:rsid w:val="00AC0DF7"/>
    <w:rsid w:val="00AC0FEF"/>
    <w:rsid w:val="00AC16C5"/>
    <w:rsid w:val="00AC1772"/>
    <w:rsid w:val="00AC1905"/>
    <w:rsid w:val="00AC2758"/>
    <w:rsid w:val="00AC275F"/>
    <w:rsid w:val="00AC2E09"/>
    <w:rsid w:val="00AC3872"/>
    <w:rsid w:val="00AC3ABB"/>
    <w:rsid w:val="00AC3F38"/>
    <w:rsid w:val="00AC48D7"/>
    <w:rsid w:val="00AC4AF3"/>
    <w:rsid w:val="00AC4BDC"/>
    <w:rsid w:val="00AC5104"/>
    <w:rsid w:val="00AC52FA"/>
    <w:rsid w:val="00AC5532"/>
    <w:rsid w:val="00AC5BCD"/>
    <w:rsid w:val="00AC64DC"/>
    <w:rsid w:val="00AC6519"/>
    <w:rsid w:val="00AC66DD"/>
    <w:rsid w:val="00AC6D7A"/>
    <w:rsid w:val="00AC6E48"/>
    <w:rsid w:val="00AC6EC3"/>
    <w:rsid w:val="00AC7201"/>
    <w:rsid w:val="00AC76B1"/>
    <w:rsid w:val="00AC78FE"/>
    <w:rsid w:val="00AD065D"/>
    <w:rsid w:val="00AD0753"/>
    <w:rsid w:val="00AD09F9"/>
    <w:rsid w:val="00AD0A09"/>
    <w:rsid w:val="00AD0BDE"/>
    <w:rsid w:val="00AD0F4C"/>
    <w:rsid w:val="00AD1061"/>
    <w:rsid w:val="00AD159D"/>
    <w:rsid w:val="00AD19EF"/>
    <w:rsid w:val="00AD1B96"/>
    <w:rsid w:val="00AD1E21"/>
    <w:rsid w:val="00AD208A"/>
    <w:rsid w:val="00AD268F"/>
    <w:rsid w:val="00AD2785"/>
    <w:rsid w:val="00AD278A"/>
    <w:rsid w:val="00AD2AA6"/>
    <w:rsid w:val="00AD30F5"/>
    <w:rsid w:val="00AD46A3"/>
    <w:rsid w:val="00AD47EB"/>
    <w:rsid w:val="00AD4D49"/>
    <w:rsid w:val="00AD53B2"/>
    <w:rsid w:val="00AD56FD"/>
    <w:rsid w:val="00AD5702"/>
    <w:rsid w:val="00AD5792"/>
    <w:rsid w:val="00AD5B39"/>
    <w:rsid w:val="00AD5C78"/>
    <w:rsid w:val="00AD605F"/>
    <w:rsid w:val="00AD6693"/>
    <w:rsid w:val="00AD6881"/>
    <w:rsid w:val="00AD6E96"/>
    <w:rsid w:val="00AD718D"/>
    <w:rsid w:val="00AD727D"/>
    <w:rsid w:val="00AD76A7"/>
    <w:rsid w:val="00AD7F7C"/>
    <w:rsid w:val="00AD88CB"/>
    <w:rsid w:val="00AE0037"/>
    <w:rsid w:val="00AE026E"/>
    <w:rsid w:val="00AE0B73"/>
    <w:rsid w:val="00AE0B95"/>
    <w:rsid w:val="00AE0BA4"/>
    <w:rsid w:val="00AE10A6"/>
    <w:rsid w:val="00AE15EF"/>
    <w:rsid w:val="00AE281B"/>
    <w:rsid w:val="00AE2C04"/>
    <w:rsid w:val="00AE2CCE"/>
    <w:rsid w:val="00AE2E67"/>
    <w:rsid w:val="00AE2F29"/>
    <w:rsid w:val="00AE30CB"/>
    <w:rsid w:val="00AE3135"/>
    <w:rsid w:val="00AE34C6"/>
    <w:rsid w:val="00AE353D"/>
    <w:rsid w:val="00AE3559"/>
    <w:rsid w:val="00AE3CF0"/>
    <w:rsid w:val="00AE3D2C"/>
    <w:rsid w:val="00AE40C6"/>
    <w:rsid w:val="00AE44EE"/>
    <w:rsid w:val="00AE458D"/>
    <w:rsid w:val="00AE49EC"/>
    <w:rsid w:val="00AE4A80"/>
    <w:rsid w:val="00AE4C01"/>
    <w:rsid w:val="00AE4EFC"/>
    <w:rsid w:val="00AE58EF"/>
    <w:rsid w:val="00AE6142"/>
    <w:rsid w:val="00AE670C"/>
    <w:rsid w:val="00AE6797"/>
    <w:rsid w:val="00AE6F29"/>
    <w:rsid w:val="00AE6F90"/>
    <w:rsid w:val="00AE71DB"/>
    <w:rsid w:val="00AE721F"/>
    <w:rsid w:val="00AE7837"/>
    <w:rsid w:val="00AE7E46"/>
    <w:rsid w:val="00AF076B"/>
    <w:rsid w:val="00AF0BD9"/>
    <w:rsid w:val="00AF1027"/>
    <w:rsid w:val="00AF173B"/>
    <w:rsid w:val="00AF19FA"/>
    <w:rsid w:val="00AF1DB4"/>
    <w:rsid w:val="00AF1FE6"/>
    <w:rsid w:val="00AF2346"/>
    <w:rsid w:val="00AF26AF"/>
    <w:rsid w:val="00AF2A23"/>
    <w:rsid w:val="00AF2D36"/>
    <w:rsid w:val="00AF36A2"/>
    <w:rsid w:val="00AF3992"/>
    <w:rsid w:val="00AF3D20"/>
    <w:rsid w:val="00AF4554"/>
    <w:rsid w:val="00AF4569"/>
    <w:rsid w:val="00AF4C2F"/>
    <w:rsid w:val="00AF4E72"/>
    <w:rsid w:val="00AF51B7"/>
    <w:rsid w:val="00AF5261"/>
    <w:rsid w:val="00AF56F7"/>
    <w:rsid w:val="00AF576C"/>
    <w:rsid w:val="00AF5AAB"/>
    <w:rsid w:val="00AF6316"/>
    <w:rsid w:val="00AF6935"/>
    <w:rsid w:val="00AF6B28"/>
    <w:rsid w:val="00AF6E91"/>
    <w:rsid w:val="00AF73CB"/>
    <w:rsid w:val="00AF73EB"/>
    <w:rsid w:val="00AF767A"/>
    <w:rsid w:val="00AF7973"/>
    <w:rsid w:val="00AF7B97"/>
    <w:rsid w:val="00AF7C4D"/>
    <w:rsid w:val="00B004D0"/>
    <w:rsid w:val="00B005C4"/>
    <w:rsid w:val="00B00BC6"/>
    <w:rsid w:val="00B01382"/>
    <w:rsid w:val="00B01455"/>
    <w:rsid w:val="00B017DE"/>
    <w:rsid w:val="00B01B26"/>
    <w:rsid w:val="00B01B34"/>
    <w:rsid w:val="00B01F7F"/>
    <w:rsid w:val="00B022B8"/>
    <w:rsid w:val="00B02574"/>
    <w:rsid w:val="00B0257B"/>
    <w:rsid w:val="00B03B2A"/>
    <w:rsid w:val="00B03B77"/>
    <w:rsid w:val="00B040C1"/>
    <w:rsid w:val="00B0425C"/>
    <w:rsid w:val="00B0486E"/>
    <w:rsid w:val="00B04889"/>
    <w:rsid w:val="00B04B1F"/>
    <w:rsid w:val="00B05298"/>
    <w:rsid w:val="00B05596"/>
    <w:rsid w:val="00B055E3"/>
    <w:rsid w:val="00B05FC3"/>
    <w:rsid w:val="00B063AF"/>
    <w:rsid w:val="00B065A4"/>
    <w:rsid w:val="00B06788"/>
    <w:rsid w:val="00B06B27"/>
    <w:rsid w:val="00B06E0E"/>
    <w:rsid w:val="00B06F24"/>
    <w:rsid w:val="00B0705F"/>
    <w:rsid w:val="00B07346"/>
    <w:rsid w:val="00B0794D"/>
    <w:rsid w:val="00B07C2F"/>
    <w:rsid w:val="00B07E1E"/>
    <w:rsid w:val="00B07E8C"/>
    <w:rsid w:val="00B10164"/>
    <w:rsid w:val="00B10529"/>
    <w:rsid w:val="00B10535"/>
    <w:rsid w:val="00B10669"/>
    <w:rsid w:val="00B10E25"/>
    <w:rsid w:val="00B1177B"/>
    <w:rsid w:val="00B11853"/>
    <w:rsid w:val="00B11A8A"/>
    <w:rsid w:val="00B11CA0"/>
    <w:rsid w:val="00B1211A"/>
    <w:rsid w:val="00B1213B"/>
    <w:rsid w:val="00B121AE"/>
    <w:rsid w:val="00B1258D"/>
    <w:rsid w:val="00B126F3"/>
    <w:rsid w:val="00B12EF4"/>
    <w:rsid w:val="00B13033"/>
    <w:rsid w:val="00B130F2"/>
    <w:rsid w:val="00B1333E"/>
    <w:rsid w:val="00B134FC"/>
    <w:rsid w:val="00B136A2"/>
    <w:rsid w:val="00B136FF"/>
    <w:rsid w:val="00B13740"/>
    <w:rsid w:val="00B13B6A"/>
    <w:rsid w:val="00B13BF1"/>
    <w:rsid w:val="00B13ED0"/>
    <w:rsid w:val="00B143FB"/>
    <w:rsid w:val="00B148F0"/>
    <w:rsid w:val="00B14A16"/>
    <w:rsid w:val="00B1533B"/>
    <w:rsid w:val="00B15478"/>
    <w:rsid w:val="00B1553D"/>
    <w:rsid w:val="00B155CF"/>
    <w:rsid w:val="00B157A6"/>
    <w:rsid w:val="00B157B7"/>
    <w:rsid w:val="00B15F87"/>
    <w:rsid w:val="00B166FB"/>
    <w:rsid w:val="00B16C6E"/>
    <w:rsid w:val="00B173D5"/>
    <w:rsid w:val="00B1748D"/>
    <w:rsid w:val="00B1772E"/>
    <w:rsid w:val="00B17B38"/>
    <w:rsid w:val="00B17D01"/>
    <w:rsid w:val="00B2071F"/>
    <w:rsid w:val="00B20770"/>
    <w:rsid w:val="00B207FE"/>
    <w:rsid w:val="00B20C74"/>
    <w:rsid w:val="00B211CC"/>
    <w:rsid w:val="00B21356"/>
    <w:rsid w:val="00B21858"/>
    <w:rsid w:val="00B2187F"/>
    <w:rsid w:val="00B21E9D"/>
    <w:rsid w:val="00B2203E"/>
    <w:rsid w:val="00B23054"/>
    <w:rsid w:val="00B2323D"/>
    <w:rsid w:val="00B2333B"/>
    <w:rsid w:val="00B23F9D"/>
    <w:rsid w:val="00B245E5"/>
    <w:rsid w:val="00B24D3A"/>
    <w:rsid w:val="00B251F7"/>
    <w:rsid w:val="00B254F1"/>
    <w:rsid w:val="00B25CC3"/>
    <w:rsid w:val="00B26022"/>
    <w:rsid w:val="00B2613D"/>
    <w:rsid w:val="00B26653"/>
    <w:rsid w:val="00B267FB"/>
    <w:rsid w:val="00B26EFB"/>
    <w:rsid w:val="00B272B9"/>
    <w:rsid w:val="00B27BF5"/>
    <w:rsid w:val="00B27C91"/>
    <w:rsid w:val="00B27D02"/>
    <w:rsid w:val="00B30EA4"/>
    <w:rsid w:val="00B314F5"/>
    <w:rsid w:val="00B31501"/>
    <w:rsid w:val="00B31C14"/>
    <w:rsid w:val="00B31F49"/>
    <w:rsid w:val="00B31FAC"/>
    <w:rsid w:val="00B320B6"/>
    <w:rsid w:val="00B32108"/>
    <w:rsid w:val="00B32532"/>
    <w:rsid w:val="00B338EB"/>
    <w:rsid w:val="00B339D1"/>
    <w:rsid w:val="00B33F13"/>
    <w:rsid w:val="00B34946"/>
    <w:rsid w:val="00B34A40"/>
    <w:rsid w:val="00B34DD9"/>
    <w:rsid w:val="00B35367"/>
    <w:rsid w:val="00B35439"/>
    <w:rsid w:val="00B3554F"/>
    <w:rsid w:val="00B35A7E"/>
    <w:rsid w:val="00B36375"/>
    <w:rsid w:val="00B367C3"/>
    <w:rsid w:val="00B36C39"/>
    <w:rsid w:val="00B37851"/>
    <w:rsid w:val="00B3793C"/>
    <w:rsid w:val="00B37F23"/>
    <w:rsid w:val="00B40002"/>
    <w:rsid w:val="00B40054"/>
    <w:rsid w:val="00B40251"/>
    <w:rsid w:val="00B403FA"/>
    <w:rsid w:val="00B40731"/>
    <w:rsid w:val="00B4073F"/>
    <w:rsid w:val="00B414AE"/>
    <w:rsid w:val="00B4162C"/>
    <w:rsid w:val="00B418F4"/>
    <w:rsid w:val="00B41ABB"/>
    <w:rsid w:val="00B41B3E"/>
    <w:rsid w:val="00B41F38"/>
    <w:rsid w:val="00B4297D"/>
    <w:rsid w:val="00B42D8A"/>
    <w:rsid w:val="00B42E3E"/>
    <w:rsid w:val="00B436DB"/>
    <w:rsid w:val="00B43C21"/>
    <w:rsid w:val="00B43CBE"/>
    <w:rsid w:val="00B44594"/>
    <w:rsid w:val="00B4459E"/>
    <w:rsid w:val="00B445B4"/>
    <w:rsid w:val="00B449EC"/>
    <w:rsid w:val="00B44C36"/>
    <w:rsid w:val="00B44DCB"/>
    <w:rsid w:val="00B457CA"/>
    <w:rsid w:val="00B45A93"/>
    <w:rsid w:val="00B45AEA"/>
    <w:rsid w:val="00B45F41"/>
    <w:rsid w:val="00B461AD"/>
    <w:rsid w:val="00B46377"/>
    <w:rsid w:val="00B4647C"/>
    <w:rsid w:val="00B465D7"/>
    <w:rsid w:val="00B46750"/>
    <w:rsid w:val="00B46765"/>
    <w:rsid w:val="00B467EB"/>
    <w:rsid w:val="00B46B20"/>
    <w:rsid w:val="00B46CFE"/>
    <w:rsid w:val="00B46D7E"/>
    <w:rsid w:val="00B471AD"/>
    <w:rsid w:val="00B4732A"/>
    <w:rsid w:val="00B473B1"/>
    <w:rsid w:val="00B47438"/>
    <w:rsid w:val="00B47649"/>
    <w:rsid w:val="00B4766E"/>
    <w:rsid w:val="00B47D96"/>
    <w:rsid w:val="00B50093"/>
    <w:rsid w:val="00B5057F"/>
    <w:rsid w:val="00B50674"/>
    <w:rsid w:val="00B50935"/>
    <w:rsid w:val="00B50E95"/>
    <w:rsid w:val="00B510B5"/>
    <w:rsid w:val="00B51769"/>
    <w:rsid w:val="00B51DB1"/>
    <w:rsid w:val="00B51E07"/>
    <w:rsid w:val="00B523E3"/>
    <w:rsid w:val="00B527AA"/>
    <w:rsid w:val="00B529C1"/>
    <w:rsid w:val="00B52B45"/>
    <w:rsid w:val="00B52DA8"/>
    <w:rsid w:val="00B52E4B"/>
    <w:rsid w:val="00B5313A"/>
    <w:rsid w:val="00B5402C"/>
    <w:rsid w:val="00B54534"/>
    <w:rsid w:val="00B54982"/>
    <w:rsid w:val="00B549C6"/>
    <w:rsid w:val="00B54B4D"/>
    <w:rsid w:val="00B55306"/>
    <w:rsid w:val="00B55CE5"/>
    <w:rsid w:val="00B56524"/>
    <w:rsid w:val="00B5657F"/>
    <w:rsid w:val="00B56669"/>
    <w:rsid w:val="00B567C8"/>
    <w:rsid w:val="00B56AF1"/>
    <w:rsid w:val="00B56AF8"/>
    <w:rsid w:val="00B56BCF"/>
    <w:rsid w:val="00B576D0"/>
    <w:rsid w:val="00B5785A"/>
    <w:rsid w:val="00B579EF"/>
    <w:rsid w:val="00B57F3B"/>
    <w:rsid w:val="00B5C9A4"/>
    <w:rsid w:val="00B6061F"/>
    <w:rsid w:val="00B60CB7"/>
    <w:rsid w:val="00B61434"/>
    <w:rsid w:val="00B6178E"/>
    <w:rsid w:val="00B617BC"/>
    <w:rsid w:val="00B61DE2"/>
    <w:rsid w:val="00B61E09"/>
    <w:rsid w:val="00B61E53"/>
    <w:rsid w:val="00B6285D"/>
    <w:rsid w:val="00B62990"/>
    <w:rsid w:val="00B62ACF"/>
    <w:rsid w:val="00B62BC9"/>
    <w:rsid w:val="00B62EED"/>
    <w:rsid w:val="00B63465"/>
    <w:rsid w:val="00B63BA1"/>
    <w:rsid w:val="00B64843"/>
    <w:rsid w:val="00B64844"/>
    <w:rsid w:val="00B64CD1"/>
    <w:rsid w:val="00B64D7D"/>
    <w:rsid w:val="00B6516A"/>
    <w:rsid w:val="00B6527B"/>
    <w:rsid w:val="00B65858"/>
    <w:rsid w:val="00B65A8C"/>
    <w:rsid w:val="00B65C47"/>
    <w:rsid w:val="00B66359"/>
    <w:rsid w:val="00B667AB"/>
    <w:rsid w:val="00B66E91"/>
    <w:rsid w:val="00B67340"/>
    <w:rsid w:val="00B67542"/>
    <w:rsid w:val="00B675A2"/>
    <w:rsid w:val="00B67A3B"/>
    <w:rsid w:val="00B67AB0"/>
    <w:rsid w:val="00B67E8A"/>
    <w:rsid w:val="00B67FD2"/>
    <w:rsid w:val="00B70286"/>
    <w:rsid w:val="00B7046A"/>
    <w:rsid w:val="00B70F9A"/>
    <w:rsid w:val="00B7144E"/>
    <w:rsid w:val="00B71847"/>
    <w:rsid w:val="00B71AFF"/>
    <w:rsid w:val="00B71C7D"/>
    <w:rsid w:val="00B71D60"/>
    <w:rsid w:val="00B72243"/>
    <w:rsid w:val="00B72757"/>
    <w:rsid w:val="00B72BFE"/>
    <w:rsid w:val="00B72C7D"/>
    <w:rsid w:val="00B7401E"/>
    <w:rsid w:val="00B7409E"/>
    <w:rsid w:val="00B74390"/>
    <w:rsid w:val="00B74B70"/>
    <w:rsid w:val="00B74D28"/>
    <w:rsid w:val="00B74DBC"/>
    <w:rsid w:val="00B75051"/>
    <w:rsid w:val="00B75BBA"/>
    <w:rsid w:val="00B75E2B"/>
    <w:rsid w:val="00B761AA"/>
    <w:rsid w:val="00B765E5"/>
    <w:rsid w:val="00B76817"/>
    <w:rsid w:val="00B76BE9"/>
    <w:rsid w:val="00B77201"/>
    <w:rsid w:val="00B77E12"/>
    <w:rsid w:val="00B80279"/>
    <w:rsid w:val="00B802F5"/>
    <w:rsid w:val="00B80493"/>
    <w:rsid w:val="00B804B3"/>
    <w:rsid w:val="00B80716"/>
    <w:rsid w:val="00B80B5B"/>
    <w:rsid w:val="00B81A9E"/>
    <w:rsid w:val="00B81D45"/>
    <w:rsid w:val="00B81F41"/>
    <w:rsid w:val="00B82094"/>
    <w:rsid w:val="00B8234C"/>
    <w:rsid w:val="00B82644"/>
    <w:rsid w:val="00B82669"/>
    <w:rsid w:val="00B826B7"/>
    <w:rsid w:val="00B8287F"/>
    <w:rsid w:val="00B8299E"/>
    <w:rsid w:val="00B82B29"/>
    <w:rsid w:val="00B830A6"/>
    <w:rsid w:val="00B83895"/>
    <w:rsid w:val="00B84D4D"/>
    <w:rsid w:val="00B84E67"/>
    <w:rsid w:val="00B84F97"/>
    <w:rsid w:val="00B85036"/>
    <w:rsid w:val="00B856C9"/>
    <w:rsid w:val="00B85769"/>
    <w:rsid w:val="00B857D1"/>
    <w:rsid w:val="00B86115"/>
    <w:rsid w:val="00B8620F"/>
    <w:rsid w:val="00B865D2"/>
    <w:rsid w:val="00B86601"/>
    <w:rsid w:val="00B86D57"/>
    <w:rsid w:val="00B86EDA"/>
    <w:rsid w:val="00B87364"/>
    <w:rsid w:val="00B8772D"/>
    <w:rsid w:val="00B879C2"/>
    <w:rsid w:val="00B904ED"/>
    <w:rsid w:val="00B9054D"/>
    <w:rsid w:val="00B90776"/>
    <w:rsid w:val="00B90E08"/>
    <w:rsid w:val="00B90F0D"/>
    <w:rsid w:val="00B9139F"/>
    <w:rsid w:val="00B915D9"/>
    <w:rsid w:val="00B919FA"/>
    <w:rsid w:val="00B91A51"/>
    <w:rsid w:val="00B92322"/>
    <w:rsid w:val="00B93110"/>
    <w:rsid w:val="00B933F1"/>
    <w:rsid w:val="00B939F4"/>
    <w:rsid w:val="00B93A31"/>
    <w:rsid w:val="00B94894"/>
    <w:rsid w:val="00B94B58"/>
    <w:rsid w:val="00B950AB"/>
    <w:rsid w:val="00B95154"/>
    <w:rsid w:val="00B95852"/>
    <w:rsid w:val="00B95986"/>
    <w:rsid w:val="00B95B3A"/>
    <w:rsid w:val="00B95BB5"/>
    <w:rsid w:val="00B95DB4"/>
    <w:rsid w:val="00B969AD"/>
    <w:rsid w:val="00B96F97"/>
    <w:rsid w:val="00B970E0"/>
    <w:rsid w:val="00B97338"/>
    <w:rsid w:val="00B97AD7"/>
    <w:rsid w:val="00B97D99"/>
    <w:rsid w:val="00BA01A0"/>
    <w:rsid w:val="00BA0324"/>
    <w:rsid w:val="00BA07DB"/>
    <w:rsid w:val="00BA0A4A"/>
    <w:rsid w:val="00BA0B27"/>
    <w:rsid w:val="00BA0D64"/>
    <w:rsid w:val="00BA0E58"/>
    <w:rsid w:val="00BA138C"/>
    <w:rsid w:val="00BA166F"/>
    <w:rsid w:val="00BA1708"/>
    <w:rsid w:val="00BA1810"/>
    <w:rsid w:val="00BA1AC5"/>
    <w:rsid w:val="00BA23D9"/>
    <w:rsid w:val="00BA3491"/>
    <w:rsid w:val="00BA34AF"/>
    <w:rsid w:val="00BA362D"/>
    <w:rsid w:val="00BA3AD3"/>
    <w:rsid w:val="00BA4576"/>
    <w:rsid w:val="00BA4787"/>
    <w:rsid w:val="00BA4D1F"/>
    <w:rsid w:val="00BA513F"/>
    <w:rsid w:val="00BA5639"/>
    <w:rsid w:val="00BA5809"/>
    <w:rsid w:val="00BA58B7"/>
    <w:rsid w:val="00BA5A2C"/>
    <w:rsid w:val="00BA5A95"/>
    <w:rsid w:val="00BA62D9"/>
    <w:rsid w:val="00BA632F"/>
    <w:rsid w:val="00BA654D"/>
    <w:rsid w:val="00BA786B"/>
    <w:rsid w:val="00BA7A06"/>
    <w:rsid w:val="00BB07DE"/>
    <w:rsid w:val="00BB0EE2"/>
    <w:rsid w:val="00BB0FE1"/>
    <w:rsid w:val="00BB1725"/>
    <w:rsid w:val="00BB19AD"/>
    <w:rsid w:val="00BB1C7F"/>
    <w:rsid w:val="00BB20BF"/>
    <w:rsid w:val="00BB278F"/>
    <w:rsid w:val="00BB287E"/>
    <w:rsid w:val="00BB2B68"/>
    <w:rsid w:val="00BB3497"/>
    <w:rsid w:val="00BB35C1"/>
    <w:rsid w:val="00BB3619"/>
    <w:rsid w:val="00BB3832"/>
    <w:rsid w:val="00BB3EA4"/>
    <w:rsid w:val="00BB409F"/>
    <w:rsid w:val="00BB411A"/>
    <w:rsid w:val="00BB4364"/>
    <w:rsid w:val="00BB4681"/>
    <w:rsid w:val="00BB470A"/>
    <w:rsid w:val="00BB4D31"/>
    <w:rsid w:val="00BB53A6"/>
    <w:rsid w:val="00BB5485"/>
    <w:rsid w:val="00BB55D1"/>
    <w:rsid w:val="00BB5B4B"/>
    <w:rsid w:val="00BB5BA3"/>
    <w:rsid w:val="00BB5D0C"/>
    <w:rsid w:val="00BB643D"/>
    <w:rsid w:val="00BB6461"/>
    <w:rsid w:val="00BB6992"/>
    <w:rsid w:val="00BB6D43"/>
    <w:rsid w:val="00BB6E97"/>
    <w:rsid w:val="00BB6F2A"/>
    <w:rsid w:val="00BB70C6"/>
    <w:rsid w:val="00BB7E1D"/>
    <w:rsid w:val="00BC0291"/>
    <w:rsid w:val="00BC089B"/>
    <w:rsid w:val="00BC0AC2"/>
    <w:rsid w:val="00BC0E72"/>
    <w:rsid w:val="00BC1177"/>
    <w:rsid w:val="00BC1480"/>
    <w:rsid w:val="00BC155B"/>
    <w:rsid w:val="00BC1AA6"/>
    <w:rsid w:val="00BC1DB2"/>
    <w:rsid w:val="00BC246D"/>
    <w:rsid w:val="00BC2630"/>
    <w:rsid w:val="00BC2F9E"/>
    <w:rsid w:val="00BC3CD1"/>
    <w:rsid w:val="00BC3CFF"/>
    <w:rsid w:val="00BC40A5"/>
    <w:rsid w:val="00BC40A6"/>
    <w:rsid w:val="00BC5308"/>
    <w:rsid w:val="00BC5634"/>
    <w:rsid w:val="00BC573C"/>
    <w:rsid w:val="00BC5B53"/>
    <w:rsid w:val="00BC5F1C"/>
    <w:rsid w:val="00BC6234"/>
    <w:rsid w:val="00BC67C2"/>
    <w:rsid w:val="00BC74A9"/>
    <w:rsid w:val="00BC7848"/>
    <w:rsid w:val="00BC7ED4"/>
    <w:rsid w:val="00BC7FDB"/>
    <w:rsid w:val="00BD0142"/>
    <w:rsid w:val="00BD02C2"/>
    <w:rsid w:val="00BD06B8"/>
    <w:rsid w:val="00BD0958"/>
    <w:rsid w:val="00BD0C2E"/>
    <w:rsid w:val="00BD0F16"/>
    <w:rsid w:val="00BD0F38"/>
    <w:rsid w:val="00BD1032"/>
    <w:rsid w:val="00BD1174"/>
    <w:rsid w:val="00BD1455"/>
    <w:rsid w:val="00BD1475"/>
    <w:rsid w:val="00BD17CB"/>
    <w:rsid w:val="00BD1FE1"/>
    <w:rsid w:val="00BD23B9"/>
    <w:rsid w:val="00BD2B88"/>
    <w:rsid w:val="00BD2C60"/>
    <w:rsid w:val="00BD30FC"/>
    <w:rsid w:val="00BD31E3"/>
    <w:rsid w:val="00BD357A"/>
    <w:rsid w:val="00BD3678"/>
    <w:rsid w:val="00BD3707"/>
    <w:rsid w:val="00BD390E"/>
    <w:rsid w:val="00BD4086"/>
    <w:rsid w:val="00BD4868"/>
    <w:rsid w:val="00BD494D"/>
    <w:rsid w:val="00BD4996"/>
    <w:rsid w:val="00BD4E82"/>
    <w:rsid w:val="00BD5132"/>
    <w:rsid w:val="00BD522F"/>
    <w:rsid w:val="00BD5E40"/>
    <w:rsid w:val="00BD62D6"/>
    <w:rsid w:val="00BD636C"/>
    <w:rsid w:val="00BD64EB"/>
    <w:rsid w:val="00BD6772"/>
    <w:rsid w:val="00BD6B58"/>
    <w:rsid w:val="00BD6E0A"/>
    <w:rsid w:val="00BD7116"/>
    <w:rsid w:val="00BD758D"/>
    <w:rsid w:val="00BD77FE"/>
    <w:rsid w:val="00BD7DE5"/>
    <w:rsid w:val="00BD7F13"/>
    <w:rsid w:val="00BE0068"/>
    <w:rsid w:val="00BE04C3"/>
    <w:rsid w:val="00BE071B"/>
    <w:rsid w:val="00BE0844"/>
    <w:rsid w:val="00BE0D0B"/>
    <w:rsid w:val="00BE0F50"/>
    <w:rsid w:val="00BE13C1"/>
    <w:rsid w:val="00BE13D8"/>
    <w:rsid w:val="00BE17B8"/>
    <w:rsid w:val="00BE1A54"/>
    <w:rsid w:val="00BE1D24"/>
    <w:rsid w:val="00BE1E9A"/>
    <w:rsid w:val="00BE1F84"/>
    <w:rsid w:val="00BE202C"/>
    <w:rsid w:val="00BE2993"/>
    <w:rsid w:val="00BE300D"/>
    <w:rsid w:val="00BE31AC"/>
    <w:rsid w:val="00BE3297"/>
    <w:rsid w:val="00BE39E9"/>
    <w:rsid w:val="00BE41A3"/>
    <w:rsid w:val="00BE483D"/>
    <w:rsid w:val="00BE48AB"/>
    <w:rsid w:val="00BE4C4D"/>
    <w:rsid w:val="00BE4D51"/>
    <w:rsid w:val="00BE4E22"/>
    <w:rsid w:val="00BE5199"/>
    <w:rsid w:val="00BE53AD"/>
    <w:rsid w:val="00BE5497"/>
    <w:rsid w:val="00BE606D"/>
    <w:rsid w:val="00BE658C"/>
    <w:rsid w:val="00BE6D1E"/>
    <w:rsid w:val="00BE6DAA"/>
    <w:rsid w:val="00BE70C7"/>
    <w:rsid w:val="00BE752D"/>
    <w:rsid w:val="00BE7741"/>
    <w:rsid w:val="00BE7747"/>
    <w:rsid w:val="00BF02A5"/>
    <w:rsid w:val="00BF15A2"/>
    <w:rsid w:val="00BF1935"/>
    <w:rsid w:val="00BF196A"/>
    <w:rsid w:val="00BF19DD"/>
    <w:rsid w:val="00BF1FC6"/>
    <w:rsid w:val="00BF1FCF"/>
    <w:rsid w:val="00BF23E2"/>
    <w:rsid w:val="00BF27BE"/>
    <w:rsid w:val="00BF290A"/>
    <w:rsid w:val="00BF2D1A"/>
    <w:rsid w:val="00BF39E7"/>
    <w:rsid w:val="00BF3A0E"/>
    <w:rsid w:val="00BF444D"/>
    <w:rsid w:val="00BF4CE1"/>
    <w:rsid w:val="00BF4DFD"/>
    <w:rsid w:val="00BF5110"/>
    <w:rsid w:val="00BF537D"/>
    <w:rsid w:val="00BF5510"/>
    <w:rsid w:val="00BF57B1"/>
    <w:rsid w:val="00BF5929"/>
    <w:rsid w:val="00BF5C32"/>
    <w:rsid w:val="00BF5D79"/>
    <w:rsid w:val="00BF5DF0"/>
    <w:rsid w:val="00BF62FA"/>
    <w:rsid w:val="00BF6675"/>
    <w:rsid w:val="00BF6A46"/>
    <w:rsid w:val="00BF6CDB"/>
    <w:rsid w:val="00BF6D2B"/>
    <w:rsid w:val="00BF6D2C"/>
    <w:rsid w:val="00BF6EEE"/>
    <w:rsid w:val="00BF6F73"/>
    <w:rsid w:val="00BF735C"/>
    <w:rsid w:val="00BF7365"/>
    <w:rsid w:val="00BF79DA"/>
    <w:rsid w:val="00BF7C98"/>
    <w:rsid w:val="00C00925"/>
    <w:rsid w:val="00C00CC3"/>
    <w:rsid w:val="00C0117F"/>
    <w:rsid w:val="00C016C5"/>
    <w:rsid w:val="00C017BD"/>
    <w:rsid w:val="00C01C68"/>
    <w:rsid w:val="00C01E8F"/>
    <w:rsid w:val="00C01F55"/>
    <w:rsid w:val="00C02319"/>
    <w:rsid w:val="00C02351"/>
    <w:rsid w:val="00C02643"/>
    <w:rsid w:val="00C02849"/>
    <w:rsid w:val="00C02BB3"/>
    <w:rsid w:val="00C02BC2"/>
    <w:rsid w:val="00C02E0F"/>
    <w:rsid w:val="00C0318A"/>
    <w:rsid w:val="00C032DC"/>
    <w:rsid w:val="00C034C1"/>
    <w:rsid w:val="00C03F4C"/>
    <w:rsid w:val="00C041D8"/>
    <w:rsid w:val="00C04254"/>
    <w:rsid w:val="00C042C3"/>
    <w:rsid w:val="00C04A5F"/>
    <w:rsid w:val="00C04B58"/>
    <w:rsid w:val="00C04CD6"/>
    <w:rsid w:val="00C04D81"/>
    <w:rsid w:val="00C04ECB"/>
    <w:rsid w:val="00C04FD4"/>
    <w:rsid w:val="00C052B7"/>
    <w:rsid w:val="00C0555D"/>
    <w:rsid w:val="00C059B2"/>
    <w:rsid w:val="00C05DBF"/>
    <w:rsid w:val="00C05E20"/>
    <w:rsid w:val="00C06164"/>
    <w:rsid w:val="00C0669B"/>
    <w:rsid w:val="00C066D5"/>
    <w:rsid w:val="00C06BAA"/>
    <w:rsid w:val="00C06BEF"/>
    <w:rsid w:val="00C06C61"/>
    <w:rsid w:val="00C06EF2"/>
    <w:rsid w:val="00C07492"/>
    <w:rsid w:val="00C076A8"/>
    <w:rsid w:val="00C07F45"/>
    <w:rsid w:val="00C1025E"/>
    <w:rsid w:val="00C1042D"/>
    <w:rsid w:val="00C1091E"/>
    <w:rsid w:val="00C10D73"/>
    <w:rsid w:val="00C10E54"/>
    <w:rsid w:val="00C10F14"/>
    <w:rsid w:val="00C111F4"/>
    <w:rsid w:val="00C115CE"/>
    <w:rsid w:val="00C116BB"/>
    <w:rsid w:val="00C11BFA"/>
    <w:rsid w:val="00C11C32"/>
    <w:rsid w:val="00C11E78"/>
    <w:rsid w:val="00C11FF1"/>
    <w:rsid w:val="00C120DA"/>
    <w:rsid w:val="00C1233B"/>
    <w:rsid w:val="00C12667"/>
    <w:rsid w:val="00C128C9"/>
    <w:rsid w:val="00C12A6E"/>
    <w:rsid w:val="00C13060"/>
    <w:rsid w:val="00C1377C"/>
    <w:rsid w:val="00C13CA5"/>
    <w:rsid w:val="00C13F78"/>
    <w:rsid w:val="00C13FA6"/>
    <w:rsid w:val="00C14CD9"/>
    <w:rsid w:val="00C15737"/>
    <w:rsid w:val="00C160E0"/>
    <w:rsid w:val="00C16220"/>
    <w:rsid w:val="00C163A8"/>
    <w:rsid w:val="00C164D6"/>
    <w:rsid w:val="00C169A9"/>
    <w:rsid w:val="00C16CD0"/>
    <w:rsid w:val="00C16D4C"/>
    <w:rsid w:val="00C17070"/>
    <w:rsid w:val="00C17300"/>
    <w:rsid w:val="00C1744D"/>
    <w:rsid w:val="00C17503"/>
    <w:rsid w:val="00C175AC"/>
    <w:rsid w:val="00C17829"/>
    <w:rsid w:val="00C17DE3"/>
    <w:rsid w:val="00C2036B"/>
    <w:rsid w:val="00C2079A"/>
    <w:rsid w:val="00C20F84"/>
    <w:rsid w:val="00C219EF"/>
    <w:rsid w:val="00C21C04"/>
    <w:rsid w:val="00C2259C"/>
    <w:rsid w:val="00C22968"/>
    <w:rsid w:val="00C2297E"/>
    <w:rsid w:val="00C23B45"/>
    <w:rsid w:val="00C2424B"/>
    <w:rsid w:val="00C2427C"/>
    <w:rsid w:val="00C24478"/>
    <w:rsid w:val="00C24773"/>
    <w:rsid w:val="00C2482A"/>
    <w:rsid w:val="00C2491A"/>
    <w:rsid w:val="00C253AC"/>
    <w:rsid w:val="00C2560C"/>
    <w:rsid w:val="00C256EC"/>
    <w:rsid w:val="00C257A1"/>
    <w:rsid w:val="00C25B4E"/>
    <w:rsid w:val="00C25D14"/>
    <w:rsid w:val="00C25D87"/>
    <w:rsid w:val="00C25EE1"/>
    <w:rsid w:val="00C26045"/>
    <w:rsid w:val="00C260F3"/>
    <w:rsid w:val="00C2613E"/>
    <w:rsid w:val="00C2660F"/>
    <w:rsid w:val="00C26ACD"/>
    <w:rsid w:val="00C26C1A"/>
    <w:rsid w:val="00C27190"/>
    <w:rsid w:val="00C2768A"/>
    <w:rsid w:val="00C3030B"/>
    <w:rsid w:val="00C30FB9"/>
    <w:rsid w:val="00C31239"/>
    <w:rsid w:val="00C31245"/>
    <w:rsid w:val="00C315D8"/>
    <w:rsid w:val="00C319A3"/>
    <w:rsid w:val="00C31F9A"/>
    <w:rsid w:val="00C321A5"/>
    <w:rsid w:val="00C322F7"/>
    <w:rsid w:val="00C32338"/>
    <w:rsid w:val="00C323F4"/>
    <w:rsid w:val="00C32864"/>
    <w:rsid w:val="00C3299F"/>
    <w:rsid w:val="00C32C85"/>
    <w:rsid w:val="00C334F3"/>
    <w:rsid w:val="00C3353E"/>
    <w:rsid w:val="00C336CB"/>
    <w:rsid w:val="00C33771"/>
    <w:rsid w:val="00C33D1E"/>
    <w:rsid w:val="00C33D65"/>
    <w:rsid w:val="00C33E49"/>
    <w:rsid w:val="00C34332"/>
    <w:rsid w:val="00C35162"/>
    <w:rsid w:val="00C35297"/>
    <w:rsid w:val="00C352C0"/>
    <w:rsid w:val="00C35410"/>
    <w:rsid w:val="00C355F7"/>
    <w:rsid w:val="00C35B76"/>
    <w:rsid w:val="00C35E7E"/>
    <w:rsid w:val="00C3678B"/>
    <w:rsid w:val="00C36DAF"/>
    <w:rsid w:val="00C37075"/>
    <w:rsid w:val="00C37144"/>
    <w:rsid w:val="00C3772B"/>
    <w:rsid w:val="00C400C0"/>
    <w:rsid w:val="00C40169"/>
    <w:rsid w:val="00C407DB"/>
    <w:rsid w:val="00C41237"/>
    <w:rsid w:val="00C4153F"/>
    <w:rsid w:val="00C417B0"/>
    <w:rsid w:val="00C418E2"/>
    <w:rsid w:val="00C41ACB"/>
    <w:rsid w:val="00C41D1A"/>
    <w:rsid w:val="00C42176"/>
    <w:rsid w:val="00C422D6"/>
    <w:rsid w:val="00C428E1"/>
    <w:rsid w:val="00C433AD"/>
    <w:rsid w:val="00C43690"/>
    <w:rsid w:val="00C438A4"/>
    <w:rsid w:val="00C439CC"/>
    <w:rsid w:val="00C44145"/>
    <w:rsid w:val="00C44625"/>
    <w:rsid w:val="00C4468C"/>
    <w:rsid w:val="00C44CA2"/>
    <w:rsid w:val="00C44FFE"/>
    <w:rsid w:val="00C45C2B"/>
    <w:rsid w:val="00C45E0A"/>
    <w:rsid w:val="00C46147"/>
    <w:rsid w:val="00C46473"/>
    <w:rsid w:val="00C4679A"/>
    <w:rsid w:val="00C47731"/>
    <w:rsid w:val="00C47934"/>
    <w:rsid w:val="00C47CE9"/>
    <w:rsid w:val="00C502D7"/>
    <w:rsid w:val="00C504D1"/>
    <w:rsid w:val="00C50627"/>
    <w:rsid w:val="00C5098C"/>
    <w:rsid w:val="00C509C0"/>
    <w:rsid w:val="00C509DB"/>
    <w:rsid w:val="00C50D7E"/>
    <w:rsid w:val="00C50DDF"/>
    <w:rsid w:val="00C51150"/>
    <w:rsid w:val="00C51637"/>
    <w:rsid w:val="00C5170A"/>
    <w:rsid w:val="00C51771"/>
    <w:rsid w:val="00C518DC"/>
    <w:rsid w:val="00C51E2E"/>
    <w:rsid w:val="00C5262A"/>
    <w:rsid w:val="00C52B6F"/>
    <w:rsid w:val="00C52DC3"/>
    <w:rsid w:val="00C530A8"/>
    <w:rsid w:val="00C53415"/>
    <w:rsid w:val="00C53A36"/>
    <w:rsid w:val="00C540DD"/>
    <w:rsid w:val="00C54178"/>
    <w:rsid w:val="00C54639"/>
    <w:rsid w:val="00C54DD3"/>
    <w:rsid w:val="00C55406"/>
    <w:rsid w:val="00C554E0"/>
    <w:rsid w:val="00C558F2"/>
    <w:rsid w:val="00C56253"/>
    <w:rsid w:val="00C56515"/>
    <w:rsid w:val="00C56F95"/>
    <w:rsid w:val="00C570AD"/>
    <w:rsid w:val="00C57394"/>
    <w:rsid w:val="00C57398"/>
    <w:rsid w:val="00C57B81"/>
    <w:rsid w:val="00C57DFD"/>
    <w:rsid w:val="00C57EFD"/>
    <w:rsid w:val="00C57FBA"/>
    <w:rsid w:val="00C602A9"/>
    <w:rsid w:val="00C6098D"/>
    <w:rsid w:val="00C6178C"/>
    <w:rsid w:val="00C618F6"/>
    <w:rsid w:val="00C61C3A"/>
    <w:rsid w:val="00C61D67"/>
    <w:rsid w:val="00C61D82"/>
    <w:rsid w:val="00C623A1"/>
    <w:rsid w:val="00C629BE"/>
    <w:rsid w:val="00C62A29"/>
    <w:rsid w:val="00C6350A"/>
    <w:rsid w:val="00C63A14"/>
    <w:rsid w:val="00C63DDF"/>
    <w:rsid w:val="00C64146"/>
    <w:rsid w:val="00C6438E"/>
    <w:rsid w:val="00C64612"/>
    <w:rsid w:val="00C64C90"/>
    <w:rsid w:val="00C64CA7"/>
    <w:rsid w:val="00C64D08"/>
    <w:rsid w:val="00C64D16"/>
    <w:rsid w:val="00C65102"/>
    <w:rsid w:val="00C65A56"/>
    <w:rsid w:val="00C66062"/>
    <w:rsid w:val="00C6617E"/>
    <w:rsid w:val="00C66858"/>
    <w:rsid w:val="00C66919"/>
    <w:rsid w:val="00C66CF4"/>
    <w:rsid w:val="00C66F06"/>
    <w:rsid w:val="00C6727B"/>
    <w:rsid w:val="00C67488"/>
    <w:rsid w:val="00C67BF5"/>
    <w:rsid w:val="00C67C41"/>
    <w:rsid w:val="00C700F5"/>
    <w:rsid w:val="00C7060A"/>
    <w:rsid w:val="00C70873"/>
    <w:rsid w:val="00C70A2F"/>
    <w:rsid w:val="00C71543"/>
    <w:rsid w:val="00C7180F"/>
    <w:rsid w:val="00C71BB8"/>
    <w:rsid w:val="00C71E82"/>
    <w:rsid w:val="00C7214C"/>
    <w:rsid w:val="00C72BE5"/>
    <w:rsid w:val="00C72F94"/>
    <w:rsid w:val="00C73113"/>
    <w:rsid w:val="00C734B6"/>
    <w:rsid w:val="00C73734"/>
    <w:rsid w:val="00C73922"/>
    <w:rsid w:val="00C74985"/>
    <w:rsid w:val="00C74B24"/>
    <w:rsid w:val="00C74D15"/>
    <w:rsid w:val="00C7543B"/>
    <w:rsid w:val="00C755FD"/>
    <w:rsid w:val="00C75959"/>
    <w:rsid w:val="00C7619F"/>
    <w:rsid w:val="00C7624A"/>
    <w:rsid w:val="00C763FA"/>
    <w:rsid w:val="00C76AF9"/>
    <w:rsid w:val="00C77243"/>
    <w:rsid w:val="00C803DB"/>
    <w:rsid w:val="00C804EA"/>
    <w:rsid w:val="00C80587"/>
    <w:rsid w:val="00C805C7"/>
    <w:rsid w:val="00C80781"/>
    <w:rsid w:val="00C80B15"/>
    <w:rsid w:val="00C80B7B"/>
    <w:rsid w:val="00C80C6C"/>
    <w:rsid w:val="00C80D78"/>
    <w:rsid w:val="00C80EC7"/>
    <w:rsid w:val="00C81488"/>
    <w:rsid w:val="00C8164E"/>
    <w:rsid w:val="00C818D5"/>
    <w:rsid w:val="00C81AA1"/>
    <w:rsid w:val="00C81CA6"/>
    <w:rsid w:val="00C81DE5"/>
    <w:rsid w:val="00C81FE4"/>
    <w:rsid w:val="00C82095"/>
    <w:rsid w:val="00C820C7"/>
    <w:rsid w:val="00C82847"/>
    <w:rsid w:val="00C82B0D"/>
    <w:rsid w:val="00C8304C"/>
    <w:rsid w:val="00C836AC"/>
    <w:rsid w:val="00C83B5E"/>
    <w:rsid w:val="00C83BA4"/>
    <w:rsid w:val="00C83BB1"/>
    <w:rsid w:val="00C83BBB"/>
    <w:rsid w:val="00C84275"/>
    <w:rsid w:val="00C8442E"/>
    <w:rsid w:val="00C84495"/>
    <w:rsid w:val="00C84618"/>
    <w:rsid w:val="00C84783"/>
    <w:rsid w:val="00C84EC6"/>
    <w:rsid w:val="00C84F15"/>
    <w:rsid w:val="00C85C19"/>
    <w:rsid w:val="00C8632C"/>
    <w:rsid w:val="00C86AE3"/>
    <w:rsid w:val="00C86BFC"/>
    <w:rsid w:val="00C86C32"/>
    <w:rsid w:val="00C870BA"/>
    <w:rsid w:val="00C87284"/>
    <w:rsid w:val="00C873C9"/>
    <w:rsid w:val="00C879D9"/>
    <w:rsid w:val="00C87A9E"/>
    <w:rsid w:val="00C87C4A"/>
    <w:rsid w:val="00C87F33"/>
    <w:rsid w:val="00C9028B"/>
    <w:rsid w:val="00C905B9"/>
    <w:rsid w:val="00C90815"/>
    <w:rsid w:val="00C909A5"/>
    <w:rsid w:val="00C90BC6"/>
    <w:rsid w:val="00C91ABD"/>
    <w:rsid w:val="00C9264A"/>
    <w:rsid w:val="00C92A8A"/>
    <w:rsid w:val="00C92C1F"/>
    <w:rsid w:val="00C92C9C"/>
    <w:rsid w:val="00C92CDD"/>
    <w:rsid w:val="00C93814"/>
    <w:rsid w:val="00C93919"/>
    <w:rsid w:val="00C94774"/>
    <w:rsid w:val="00C94D04"/>
    <w:rsid w:val="00C95525"/>
    <w:rsid w:val="00C955C4"/>
    <w:rsid w:val="00C958E8"/>
    <w:rsid w:val="00C95B2D"/>
    <w:rsid w:val="00C95B2F"/>
    <w:rsid w:val="00C95E37"/>
    <w:rsid w:val="00C96534"/>
    <w:rsid w:val="00C96AF4"/>
    <w:rsid w:val="00C96BBE"/>
    <w:rsid w:val="00C96C4B"/>
    <w:rsid w:val="00C970AD"/>
    <w:rsid w:val="00C97887"/>
    <w:rsid w:val="00C97E41"/>
    <w:rsid w:val="00C9A0BD"/>
    <w:rsid w:val="00CA0E40"/>
    <w:rsid w:val="00CA0F05"/>
    <w:rsid w:val="00CA1334"/>
    <w:rsid w:val="00CA13CF"/>
    <w:rsid w:val="00CA1BCB"/>
    <w:rsid w:val="00CA1D8F"/>
    <w:rsid w:val="00CA1E55"/>
    <w:rsid w:val="00CA2D73"/>
    <w:rsid w:val="00CA3235"/>
    <w:rsid w:val="00CA33AE"/>
    <w:rsid w:val="00CA3C4B"/>
    <w:rsid w:val="00CA3C56"/>
    <w:rsid w:val="00CA4069"/>
    <w:rsid w:val="00CA4231"/>
    <w:rsid w:val="00CA4900"/>
    <w:rsid w:val="00CA4C40"/>
    <w:rsid w:val="00CA4F3E"/>
    <w:rsid w:val="00CA5B84"/>
    <w:rsid w:val="00CA5D8D"/>
    <w:rsid w:val="00CA5E07"/>
    <w:rsid w:val="00CA6880"/>
    <w:rsid w:val="00CA693F"/>
    <w:rsid w:val="00CA6F93"/>
    <w:rsid w:val="00CA70E1"/>
    <w:rsid w:val="00CA71CF"/>
    <w:rsid w:val="00CA723C"/>
    <w:rsid w:val="00CA7EA8"/>
    <w:rsid w:val="00CA7F75"/>
    <w:rsid w:val="00CB00A0"/>
    <w:rsid w:val="00CB032F"/>
    <w:rsid w:val="00CB0332"/>
    <w:rsid w:val="00CB055C"/>
    <w:rsid w:val="00CB0729"/>
    <w:rsid w:val="00CB08CA"/>
    <w:rsid w:val="00CB0B09"/>
    <w:rsid w:val="00CB114E"/>
    <w:rsid w:val="00CB1451"/>
    <w:rsid w:val="00CB145F"/>
    <w:rsid w:val="00CB16DD"/>
    <w:rsid w:val="00CB16E3"/>
    <w:rsid w:val="00CB1BC9"/>
    <w:rsid w:val="00CB1BF6"/>
    <w:rsid w:val="00CB2140"/>
    <w:rsid w:val="00CB2889"/>
    <w:rsid w:val="00CB2AAB"/>
    <w:rsid w:val="00CB2B42"/>
    <w:rsid w:val="00CB2C56"/>
    <w:rsid w:val="00CB2C9F"/>
    <w:rsid w:val="00CB3A03"/>
    <w:rsid w:val="00CB3B52"/>
    <w:rsid w:val="00CB3BAF"/>
    <w:rsid w:val="00CB3F6B"/>
    <w:rsid w:val="00CB40BE"/>
    <w:rsid w:val="00CB48F6"/>
    <w:rsid w:val="00CB4924"/>
    <w:rsid w:val="00CB4C9D"/>
    <w:rsid w:val="00CB5028"/>
    <w:rsid w:val="00CB52D0"/>
    <w:rsid w:val="00CB5460"/>
    <w:rsid w:val="00CB55B2"/>
    <w:rsid w:val="00CB5680"/>
    <w:rsid w:val="00CB5ED5"/>
    <w:rsid w:val="00CB624D"/>
    <w:rsid w:val="00CB649D"/>
    <w:rsid w:val="00CB65C5"/>
    <w:rsid w:val="00CB6606"/>
    <w:rsid w:val="00CB6793"/>
    <w:rsid w:val="00CB71BB"/>
    <w:rsid w:val="00CB734B"/>
    <w:rsid w:val="00CB75B2"/>
    <w:rsid w:val="00CBA414"/>
    <w:rsid w:val="00CC036F"/>
    <w:rsid w:val="00CC04DB"/>
    <w:rsid w:val="00CC084C"/>
    <w:rsid w:val="00CC0CD9"/>
    <w:rsid w:val="00CC0DEC"/>
    <w:rsid w:val="00CC0E25"/>
    <w:rsid w:val="00CC0F34"/>
    <w:rsid w:val="00CC0FAA"/>
    <w:rsid w:val="00CC1170"/>
    <w:rsid w:val="00CC1BE9"/>
    <w:rsid w:val="00CC1C8E"/>
    <w:rsid w:val="00CC23A4"/>
    <w:rsid w:val="00CC25FC"/>
    <w:rsid w:val="00CC2609"/>
    <w:rsid w:val="00CC2A6E"/>
    <w:rsid w:val="00CC2CC2"/>
    <w:rsid w:val="00CC36E1"/>
    <w:rsid w:val="00CC41BB"/>
    <w:rsid w:val="00CC4502"/>
    <w:rsid w:val="00CC47CD"/>
    <w:rsid w:val="00CC496B"/>
    <w:rsid w:val="00CC4987"/>
    <w:rsid w:val="00CC4CB1"/>
    <w:rsid w:val="00CC5303"/>
    <w:rsid w:val="00CC54DE"/>
    <w:rsid w:val="00CC5532"/>
    <w:rsid w:val="00CC5AEF"/>
    <w:rsid w:val="00CC637B"/>
    <w:rsid w:val="00CC66A2"/>
    <w:rsid w:val="00CC6884"/>
    <w:rsid w:val="00CC6B20"/>
    <w:rsid w:val="00CC6FF2"/>
    <w:rsid w:val="00CC744D"/>
    <w:rsid w:val="00CC752E"/>
    <w:rsid w:val="00CC76A9"/>
    <w:rsid w:val="00CC7889"/>
    <w:rsid w:val="00CCE10D"/>
    <w:rsid w:val="00CD001B"/>
    <w:rsid w:val="00CD01F1"/>
    <w:rsid w:val="00CD0225"/>
    <w:rsid w:val="00CD04B0"/>
    <w:rsid w:val="00CD0542"/>
    <w:rsid w:val="00CD080A"/>
    <w:rsid w:val="00CD0871"/>
    <w:rsid w:val="00CD0A44"/>
    <w:rsid w:val="00CD0D6C"/>
    <w:rsid w:val="00CD0F33"/>
    <w:rsid w:val="00CD11FA"/>
    <w:rsid w:val="00CD17CB"/>
    <w:rsid w:val="00CD188B"/>
    <w:rsid w:val="00CD2474"/>
    <w:rsid w:val="00CD26AA"/>
    <w:rsid w:val="00CD295B"/>
    <w:rsid w:val="00CD2EAE"/>
    <w:rsid w:val="00CD2FF1"/>
    <w:rsid w:val="00CD2FF9"/>
    <w:rsid w:val="00CD3114"/>
    <w:rsid w:val="00CD3603"/>
    <w:rsid w:val="00CD3655"/>
    <w:rsid w:val="00CD37E7"/>
    <w:rsid w:val="00CD3CD4"/>
    <w:rsid w:val="00CD3F2F"/>
    <w:rsid w:val="00CD3F8C"/>
    <w:rsid w:val="00CD427B"/>
    <w:rsid w:val="00CD46B4"/>
    <w:rsid w:val="00CD4BF4"/>
    <w:rsid w:val="00CD4C0C"/>
    <w:rsid w:val="00CD4CEF"/>
    <w:rsid w:val="00CD4D18"/>
    <w:rsid w:val="00CD4F85"/>
    <w:rsid w:val="00CD5303"/>
    <w:rsid w:val="00CD58CD"/>
    <w:rsid w:val="00CD5AD3"/>
    <w:rsid w:val="00CD5CAA"/>
    <w:rsid w:val="00CD5E68"/>
    <w:rsid w:val="00CD6023"/>
    <w:rsid w:val="00CD652C"/>
    <w:rsid w:val="00CD6832"/>
    <w:rsid w:val="00CD68E5"/>
    <w:rsid w:val="00CD6A3B"/>
    <w:rsid w:val="00CD6BC0"/>
    <w:rsid w:val="00CD6F2B"/>
    <w:rsid w:val="00CD6FA2"/>
    <w:rsid w:val="00CD7653"/>
    <w:rsid w:val="00CD76CA"/>
    <w:rsid w:val="00CD76E1"/>
    <w:rsid w:val="00CD76FB"/>
    <w:rsid w:val="00CD7832"/>
    <w:rsid w:val="00CD7D11"/>
    <w:rsid w:val="00CD7D5F"/>
    <w:rsid w:val="00CE02FA"/>
    <w:rsid w:val="00CE0E04"/>
    <w:rsid w:val="00CE0E62"/>
    <w:rsid w:val="00CE0F23"/>
    <w:rsid w:val="00CE1027"/>
    <w:rsid w:val="00CE1ADF"/>
    <w:rsid w:val="00CE2108"/>
    <w:rsid w:val="00CE2390"/>
    <w:rsid w:val="00CE2A6D"/>
    <w:rsid w:val="00CE2AC4"/>
    <w:rsid w:val="00CE331B"/>
    <w:rsid w:val="00CE352E"/>
    <w:rsid w:val="00CE3658"/>
    <w:rsid w:val="00CE385D"/>
    <w:rsid w:val="00CE3A07"/>
    <w:rsid w:val="00CE3AD5"/>
    <w:rsid w:val="00CE3B38"/>
    <w:rsid w:val="00CE3F71"/>
    <w:rsid w:val="00CE4688"/>
    <w:rsid w:val="00CE534C"/>
    <w:rsid w:val="00CE5414"/>
    <w:rsid w:val="00CE546C"/>
    <w:rsid w:val="00CE56D1"/>
    <w:rsid w:val="00CE6861"/>
    <w:rsid w:val="00CE6961"/>
    <w:rsid w:val="00CE6C11"/>
    <w:rsid w:val="00CE6C49"/>
    <w:rsid w:val="00CE719B"/>
    <w:rsid w:val="00CE7476"/>
    <w:rsid w:val="00CE75DB"/>
    <w:rsid w:val="00CE76F3"/>
    <w:rsid w:val="00CE7823"/>
    <w:rsid w:val="00CE7981"/>
    <w:rsid w:val="00CE7D1B"/>
    <w:rsid w:val="00CE7D20"/>
    <w:rsid w:val="00CE7EB0"/>
    <w:rsid w:val="00CF0070"/>
    <w:rsid w:val="00CF0706"/>
    <w:rsid w:val="00CF0A6F"/>
    <w:rsid w:val="00CF1181"/>
    <w:rsid w:val="00CF1AAA"/>
    <w:rsid w:val="00CF297A"/>
    <w:rsid w:val="00CF2E51"/>
    <w:rsid w:val="00CF3056"/>
    <w:rsid w:val="00CF3A65"/>
    <w:rsid w:val="00CF3C65"/>
    <w:rsid w:val="00CF40D3"/>
    <w:rsid w:val="00CF4706"/>
    <w:rsid w:val="00CF4B00"/>
    <w:rsid w:val="00CF4B51"/>
    <w:rsid w:val="00CF50DC"/>
    <w:rsid w:val="00CF5627"/>
    <w:rsid w:val="00CF5704"/>
    <w:rsid w:val="00CF5BD6"/>
    <w:rsid w:val="00CF5D43"/>
    <w:rsid w:val="00CF5DE6"/>
    <w:rsid w:val="00CF706B"/>
    <w:rsid w:val="00CF7413"/>
    <w:rsid w:val="00CF746D"/>
    <w:rsid w:val="00CF7757"/>
    <w:rsid w:val="00CF7AF6"/>
    <w:rsid w:val="00D00612"/>
    <w:rsid w:val="00D00A50"/>
    <w:rsid w:val="00D00A78"/>
    <w:rsid w:val="00D00CEF"/>
    <w:rsid w:val="00D00DED"/>
    <w:rsid w:val="00D00E87"/>
    <w:rsid w:val="00D018E5"/>
    <w:rsid w:val="00D01A4A"/>
    <w:rsid w:val="00D02315"/>
    <w:rsid w:val="00D02927"/>
    <w:rsid w:val="00D02BB2"/>
    <w:rsid w:val="00D02C46"/>
    <w:rsid w:val="00D03345"/>
    <w:rsid w:val="00D03372"/>
    <w:rsid w:val="00D0344B"/>
    <w:rsid w:val="00D03868"/>
    <w:rsid w:val="00D03888"/>
    <w:rsid w:val="00D03A3C"/>
    <w:rsid w:val="00D03EC6"/>
    <w:rsid w:val="00D04174"/>
    <w:rsid w:val="00D04420"/>
    <w:rsid w:val="00D0460A"/>
    <w:rsid w:val="00D04693"/>
    <w:rsid w:val="00D04B81"/>
    <w:rsid w:val="00D04E12"/>
    <w:rsid w:val="00D05062"/>
    <w:rsid w:val="00D05413"/>
    <w:rsid w:val="00D05571"/>
    <w:rsid w:val="00D056A9"/>
    <w:rsid w:val="00D056B3"/>
    <w:rsid w:val="00D05AFC"/>
    <w:rsid w:val="00D05B1D"/>
    <w:rsid w:val="00D05B6B"/>
    <w:rsid w:val="00D05E0B"/>
    <w:rsid w:val="00D05FE0"/>
    <w:rsid w:val="00D0604A"/>
    <w:rsid w:val="00D066F7"/>
    <w:rsid w:val="00D06A74"/>
    <w:rsid w:val="00D06AED"/>
    <w:rsid w:val="00D06D6E"/>
    <w:rsid w:val="00D06EDB"/>
    <w:rsid w:val="00D0773F"/>
    <w:rsid w:val="00D079CB"/>
    <w:rsid w:val="00D10189"/>
    <w:rsid w:val="00D102A1"/>
    <w:rsid w:val="00D1030E"/>
    <w:rsid w:val="00D10853"/>
    <w:rsid w:val="00D10886"/>
    <w:rsid w:val="00D10AB8"/>
    <w:rsid w:val="00D10FAC"/>
    <w:rsid w:val="00D10FDF"/>
    <w:rsid w:val="00D11083"/>
    <w:rsid w:val="00D1137B"/>
    <w:rsid w:val="00D11549"/>
    <w:rsid w:val="00D11638"/>
    <w:rsid w:val="00D11CC6"/>
    <w:rsid w:val="00D127CF"/>
    <w:rsid w:val="00D127E5"/>
    <w:rsid w:val="00D12D0E"/>
    <w:rsid w:val="00D13264"/>
    <w:rsid w:val="00D13320"/>
    <w:rsid w:val="00D13929"/>
    <w:rsid w:val="00D139B0"/>
    <w:rsid w:val="00D13D65"/>
    <w:rsid w:val="00D13FCD"/>
    <w:rsid w:val="00D14039"/>
    <w:rsid w:val="00D1451A"/>
    <w:rsid w:val="00D147A3"/>
    <w:rsid w:val="00D147DF"/>
    <w:rsid w:val="00D14CD4"/>
    <w:rsid w:val="00D14FEC"/>
    <w:rsid w:val="00D150F9"/>
    <w:rsid w:val="00D1522D"/>
    <w:rsid w:val="00D1577D"/>
    <w:rsid w:val="00D15CCB"/>
    <w:rsid w:val="00D15D83"/>
    <w:rsid w:val="00D1617B"/>
    <w:rsid w:val="00D16A84"/>
    <w:rsid w:val="00D17211"/>
    <w:rsid w:val="00D177B0"/>
    <w:rsid w:val="00D17E2D"/>
    <w:rsid w:val="00D17E8A"/>
    <w:rsid w:val="00D2074A"/>
    <w:rsid w:val="00D20867"/>
    <w:rsid w:val="00D20DF6"/>
    <w:rsid w:val="00D20FDF"/>
    <w:rsid w:val="00D214FA"/>
    <w:rsid w:val="00D215C2"/>
    <w:rsid w:val="00D215F3"/>
    <w:rsid w:val="00D2196B"/>
    <w:rsid w:val="00D223E6"/>
    <w:rsid w:val="00D23080"/>
    <w:rsid w:val="00D23368"/>
    <w:rsid w:val="00D236CD"/>
    <w:rsid w:val="00D2370D"/>
    <w:rsid w:val="00D2376D"/>
    <w:rsid w:val="00D238C7"/>
    <w:rsid w:val="00D23BFC"/>
    <w:rsid w:val="00D242DB"/>
    <w:rsid w:val="00D24645"/>
    <w:rsid w:val="00D2503F"/>
    <w:rsid w:val="00D256DC"/>
    <w:rsid w:val="00D25CCD"/>
    <w:rsid w:val="00D264BE"/>
    <w:rsid w:val="00D264CE"/>
    <w:rsid w:val="00D269B0"/>
    <w:rsid w:val="00D26E94"/>
    <w:rsid w:val="00D26EDB"/>
    <w:rsid w:val="00D27182"/>
    <w:rsid w:val="00D27909"/>
    <w:rsid w:val="00D27A19"/>
    <w:rsid w:val="00D30CB7"/>
    <w:rsid w:val="00D30EA5"/>
    <w:rsid w:val="00D3103F"/>
    <w:rsid w:val="00D3115B"/>
    <w:rsid w:val="00D31364"/>
    <w:rsid w:val="00D318E4"/>
    <w:rsid w:val="00D31A21"/>
    <w:rsid w:val="00D31EE9"/>
    <w:rsid w:val="00D32232"/>
    <w:rsid w:val="00D3280B"/>
    <w:rsid w:val="00D32EC8"/>
    <w:rsid w:val="00D330D9"/>
    <w:rsid w:val="00D33114"/>
    <w:rsid w:val="00D33246"/>
    <w:rsid w:val="00D33379"/>
    <w:rsid w:val="00D33DF4"/>
    <w:rsid w:val="00D34161"/>
    <w:rsid w:val="00D34C33"/>
    <w:rsid w:val="00D34DB9"/>
    <w:rsid w:val="00D34F1E"/>
    <w:rsid w:val="00D351F5"/>
    <w:rsid w:val="00D351FC"/>
    <w:rsid w:val="00D3522E"/>
    <w:rsid w:val="00D35276"/>
    <w:rsid w:val="00D3550C"/>
    <w:rsid w:val="00D35D29"/>
    <w:rsid w:val="00D35D7C"/>
    <w:rsid w:val="00D363F1"/>
    <w:rsid w:val="00D36598"/>
    <w:rsid w:val="00D367BF"/>
    <w:rsid w:val="00D368B3"/>
    <w:rsid w:val="00D36EE8"/>
    <w:rsid w:val="00D374EA"/>
    <w:rsid w:val="00D3764C"/>
    <w:rsid w:val="00D37C83"/>
    <w:rsid w:val="00D37DAC"/>
    <w:rsid w:val="00D37F51"/>
    <w:rsid w:val="00D4010B"/>
    <w:rsid w:val="00D405A1"/>
    <w:rsid w:val="00D406FE"/>
    <w:rsid w:val="00D407B4"/>
    <w:rsid w:val="00D40DB2"/>
    <w:rsid w:val="00D4123A"/>
    <w:rsid w:val="00D4154D"/>
    <w:rsid w:val="00D41792"/>
    <w:rsid w:val="00D426A5"/>
    <w:rsid w:val="00D42760"/>
    <w:rsid w:val="00D42893"/>
    <w:rsid w:val="00D42A06"/>
    <w:rsid w:val="00D42A62"/>
    <w:rsid w:val="00D42E99"/>
    <w:rsid w:val="00D4378E"/>
    <w:rsid w:val="00D43A39"/>
    <w:rsid w:val="00D44729"/>
    <w:rsid w:val="00D4484D"/>
    <w:rsid w:val="00D44C2C"/>
    <w:rsid w:val="00D45705"/>
    <w:rsid w:val="00D45904"/>
    <w:rsid w:val="00D45A3A"/>
    <w:rsid w:val="00D4601D"/>
    <w:rsid w:val="00D4649E"/>
    <w:rsid w:val="00D465B8"/>
    <w:rsid w:val="00D466C9"/>
    <w:rsid w:val="00D46DCC"/>
    <w:rsid w:val="00D46FD7"/>
    <w:rsid w:val="00D47145"/>
    <w:rsid w:val="00D4768E"/>
    <w:rsid w:val="00D476C8"/>
    <w:rsid w:val="00D476F9"/>
    <w:rsid w:val="00D47B99"/>
    <w:rsid w:val="00D47D9D"/>
    <w:rsid w:val="00D47DD8"/>
    <w:rsid w:val="00D50D41"/>
    <w:rsid w:val="00D51031"/>
    <w:rsid w:val="00D510B3"/>
    <w:rsid w:val="00D5129B"/>
    <w:rsid w:val="00D5160B"/>
    <w:rsid w:val="00D51AF0"/>
    <w:rsid w:val="00D51C1E"/>
    <w:rsid w:val="00D51C3B"/>
    <w:rsid w:val="00D52246"/>
    <w:rsid w:val="00D52838"/>
    <w:rsid w:val="00D529F8"/>
    <w:rsid w:val="00D52B80"/>
    <w:rsid w:val="00D52FCA"/>
    <w:rsid w:val="00D52FCD"/>
    <w:rsid w:val="00D52FEF"/>
    <w:rsid w:val="00D53015"/>
    <w:rsid w:val="00D531CB"/>
    <w:rsid w:val="00D533AE"/>
    <w:rsid w:val="00D5372E"/>
    <w:rsid w:val="00D53C20"/>
    <w:rsid w:val="00D54398"/>
    <w:rsid w:val="00D54492"/>
    <w:rsid w:val="00D54766"/>
    <w:rsid w:val="00D54820"/>
    <w:rsid w:val="00D54C67"/>
    <w:rsid w:val="00D54F5A"/>
    <w:rsid w:val="00D556E3"/>
    <w:rsid w:val="00D559E8"/>
    <w:rsid w:val="00D55C95"/>
    <w:rsid w:val="00D56104"/>
    <w:rsid w:val="00D56674"/>
    <w:rsid w:val="00D567FF"/>
    <w:rsid w:val="00D569F4"/>
    <w:rsid w:val="00D56C48"/>
    <w:rsid w:val="00D56E4D"/>
    <w:rsid w:val="00D570FA"/>
    <w:rsid w:val="00D575B0"/>
    <w:rsid w:val="00D57668"/>
    <w:rsid w:val="00D57948"/>
    <w:rsid w:val="00D57A72"/>
    <w:rsid w:val="00D57D1C"/>
    <w:rsid w:val="00D57D5A"/>
    <w:rsid w:val="00D60FB7"/>
    <w:rsid w:val="00D6120B"/>
    <w:rsid w:val="00D6131E"/>
    <w:rsid w:val="00D61382"/>
    <w:rsid w:val="00D617CE"/>
    <w:rsid w:val="00D619D7"/>
    <w:rsid w:val="00D61BBA"/>
    <w:rsid w:val="00D62970"/>
    <w:rsid w:val="00D62B5F"/>
    <w:rsid w:val="00D62BEA"/>
    <w:rsid w:val="00D62EFB"/>
    <w:rsid w:val="00D62F25"/>
    <w:rsid w:val="00D630B0"/>
    <w:rsid w:val="00D63333"/>
    <w:rsid w:val="00D63C36"/>
    <w:rsid w:val="00D63CA8"/>
    <w:rsid w:val="00D64526"/>
    <w:rsid w:val="00D64C1D"/>
    <w:rsid w:val="00D64D25"/>
    <w:rsid w:val="00D64D43"/>
    <w:rsid w:val="00D64E91"/>
    <w:rsid w:val="00D64F16"/>
    <w:rsid w:val="00D65557"/>
    <w:rsid w:val="00D65CC2"/>
    <w:rsid w:val="00D663B0"/>
    <w:rsid w:val="00D667CF"/>
    <w:rsid w:val="00D6691E"/>
    <w:rsid w:val="00D66EE3"/>
    <w:rsid w:val="00D66EF8"/>
    <w:rsid w:val="00D67127"/>
    <w:rsid w:val="00D675B7"/>
    <w:rsid w:val="00D675D3"/>
    <w:rsid w:val="00D6762A"/>
    <w:rsid w:val="00D6791F"/>
    <w:rsid w:val="00D67CD9"/>
    <w:rsid w:val="00D689FB"/>
    <w:rsid w:val="00D70405"/>
    <w:rsid w:val="00D70906"/>
    <w:rsid w:val="00D70A20"/>
    <w:rsid w:val="00D70E7C"/>
    <w:rsid w:val="00D716E0"/>
    <w:rsid w:val="00D71BB9"/>
    <w:rsid w:val="00D72298"/>
    <w:rsid w:val="00D72532"/>
    <w:rsid w:val="00D7283E"/>
    <w:rsid w:val="00D72986"/>
    <w:rsid w:val="00D72BC5"/>
    <w:rsid w:val="00D72DA4"/>
    <w:rsid w:val="00D72F39"/>
    <w:rsid w:val="00D730B4"/>
    <w:rsid w:val="00D735A6"/>
    <w:rsid w:val="00D73A0B"/>
    <w:rsid w:val="00D73AFB"/>
    <w:rsid w:val="00D73E7B"/>
    <w:rsid w:val="00D73F3D"/>
    <w:rsid w:val="00D745ED"/>
    <w:rsid w:val="00D750CA"/>
    <w:rsid w:val="00D752EF"/>
    <w:rsid w:val="00D756EC"/>
    <w:rsid w:val="00D75970"/>
    <w:rsid w:val="00D7687F"/>
    <w:rsid w:val="00D7693D"/>
    <w:rsid w:val="00D76D84"/>
    <w:rsid w:val="00D76F20"/>
    <w:rsid w:val="00D7706E"/>
    <w:rsid w:val="00D7739B"/>
    <w:rsid w:val="00D7739D"/>
    <w:rsid w:val="00D77771"/>
    <w:rsid w:val="00D77A40"/>
    <w:rsid w:val="00D77BCF"/>
    <w:rsid w:val="00D77D2B"/>
    <w:rsid w:val="00D77DD6"/>
    <w:rsid w:val="00D77F7A"/>
    <w:rsid w:val="00D78739"/>
    <w:rsid w:val="00D80EF4"/>
    <w:rsid w:val="00D81297"/>
    <w:rsid w:val="00D81434"/>
    <w:rsid w:val="00D8148E"/>
    <w:rsid w:val="00D81705"/>
    <w:rsid w:val="00D81E0D"/>
    <w:rsid w:val="00D82825"/>
    <w:rsid w:val="00D82D11"/>
    <w:rsid w:val="00D82F7E"/>
    <w:rsid w:val="00D830F2"/>
    <w:rsid w:val="00D83406"/>
    <w:rsid w:val="00D837D5"/>
    <w:rsid w:val="00D8382F"/>
    <w:rsid w:val="00D83B5F"/>
    <w:rsid w:val="00D84276"/>
    <w:rsid w:val="00D846FF"/>
    <w:rsid w:val="00D852F8"/>
    <w:rsid w:val="00D85DDB"/>
    <w:rsid w:val="00D86183"/>
    <w:rsid w:val="00D862D5"/>
    <w:rsid w:val="00D8676B"/>
    <w:rsid w:val="00D87075"/>
    <w:rsid w:val="00D87419"/>
    <w:rsid w:val="00D87741"/>
    <w:rsid w:val="00D87ACD"/>
    <w:rsid w:val="00D900EA"/>
    <w:rsid w:val="00D90405"/>
    <w:rsid w:val="00D9050C"/>
    <w:rsid w:val="00D9070F"/>
    <w:rsid w:val="00D907B3"/>
    <w:rsid w:val="00D90831"/>
    <w:rsid w:val="00D9092B"/>
    <w:rsid w:val="00D909D2"/>
    <w:rsid w:val="00D9117F"/>
    <w:rsid w:val="00D91244"/>
    <w:rsid w:val="00D91685"/>
    <w:rsid w:val="00D91AD4"/>
    <w:rsid w:val="00D91E24"/>
    <w:rsid w:val="00D92746"/>
    <w:rsid w:val="00D92F4C"/>
    <w:rsid w:val="00D93768"/>
    <w:rsid w:val="00D93CE6"/>
    <w:rsid w:val="00D93DC2"/>
    <w:rsid w:val="00D943DD"/>
    <w:rsid w:val="00D94B20"/>
    <w:rsid w:val="00D94B4C"/>
    <w:rsid w:val="00D94C52"/>
    <w:rsid w:val="00D94F8C"/>
    <w:rsid w:val="00D9579D"/>
    <w:rsid w:val="00D95ABC"/>
    <w:rsid w:val="00D95ECB"/>
    <w:rsid w:val="00D95F6D"/>
    <w:rsid w:val="00D969FF"/>
    <w:rsid w:val="00D96AD1"/>
    <w:rsid w:val="00D97558"/>
    <w:rsid w:val="00D97D5A"/>
    <w:rsid w:val="00D97E89"/>
    <w:rsid w:val="00D997AB"/>
    <w:rsid w:val="00DA0331"/>
    <w:rsid w:val="00DA03A9"/>
    <w:rsid w:val="00DA0587"/>
    <w:rsid w:val="00DA0731"/>
    <w:rsid w:val="00DA08C3"/>
    <w:rsid w:val="00DA0E80"/>
    <w:rsid w:val="00DA1331"/>
    <w:rsid w:val="00DA1427"/>
    <w:rsid w:val="00DA1645"/>
    <w:rsid w:val="00DA1BC4"/>
    <w:rsid w:val="00DA1C45"/>
    <w:rsid w:val="00DA20B8"/>
    <w:rsid w:val="00DA2160"/>
    <w:rsid w:val="00DA2435"/>
    <w:rsid w:val="00DA2622"/>
    <w:rsid w:val="00DA2B9E"/>
    <w:rsid w:val="00DA2BFD"/>
    <w:rsid w:val="00DA2E47"/>
    <w:rsid w:val="00DA2F7A"/>
    <w:rsid w:val="00DA31C6"/>
    <w:rsid w:val="00DA4F7B"/>
    <w:rsid w:val="00DA5495"/>
    <w:rsid w:val="00DA6000"/>
    <w:rsid w:val="00DA6259"/>
    <w:rsid w:val="00DA77F2"/>
    <w:rsid w:val="00DB0002"/>
    <w:rsid w:val="00DB0395"/>
    <w:rsid w:val="00DB03F2"/>
    <w:rsid w:val="00DB09F6"/>
    <w:rsid w:val="00DB09F9"/>
    <w:rsid w:val="00DB0F8A"/>
    <w:rsid w:val="00DB10B8"/>
    <w:rsid w:val="00DB148D"/>
    <w:rsid w:val="00DB1FDF"/>
    <w:rsid w:val="00DB217F"/>
    <w:rsid w:val="00DB283F"/>
    <w:rsid w:val="00DB3061"/>
    <w:rsid w:val="00DB381F"/>
    <w:rsid w:val="00DB3AEF"/>
    <w:rsid w:val="00DB3C5B"/>
    <w:rsid w:val="00DB418A"/>
    <w:rsid w:val="00DB4B34"/>
    <w:rsid w:val="00DB4B9F"/>
    <w:rsid w:val="00DB4C3B"/>
    <w:rsid w:val="00DB53C8"/>
    <w:rsid w:val="00DB5507"/>
    <w:rsid w:val="00DB5A93"/>
    <w:rsid w:val="00DB5CCB"/>
    <w:rsid w:val="00DB6881"/>
    <w:rsid w:val="00DB6A46"/>
    <w:rsid w:val="00DB6A89"/>
    <w:rsid w:val="00DB6FD7"/>
    <w:rsid w:val="00DB7247"/>
    <w:rsid w:val="00DB7352"/>
    <w:rsid w:val="00DB7E40"/>
    <w:rsid w:val="00DB7F10"/>
    <w:rsid w:val="00DC0399"/>
    <w:rsid w:val="00DC044F"/>
    <w:rsid w:val="00DC063D"/>
    <w:rsid w:val="00DC0D5B"/>
    <w:rsid w:val="00DC17D2"/>
    <w:rsid w:val="00DC1BA5"/>
    <w:rsid w:val="00DC20EE"/>
    <w:rsid w:val="00DC2241"/>
    <w:rsid w:val="00DC277B"/>
    <w:rsid w:val="00DC296C"/>
    <w:rsid w:val="00DC29F3"/>
    <w:rsid w:val="00DC2DAF"/>
    <w:rsid w:val="00DC31B6"/>
    <w:rsid w:val="00DC33FD"/>
    <w:rsid w:val="00DC396B"/>
    <w:rsid w:val="00DC3A29"/>
    <w:rsid w:val="00DC3C76"/>
    <w:rsid w:val="00DC3D0C"/>
    <w:rsid w:val="00DC49CE"/>
    <w:rsid w:val="00DC4B4C"/>
    <w:rsid w:val="00DC4C1A"/>
    <w:rsid w:val="00DC4CC2"/>
    <w:rsid w:val="00DC4F9B"/>
    <w:rsid w:val="00DC515E"/>
    <w:rsid w:val="00DC5313"/>
    <w:rsid w:val="00DC54AE"/>
    <w:rsid w:val="00DC5802"/>
    <w:rsid w:val="00DC62F1"/>
    <w:rsid w:val="00DC64C7"/>
    <w:rsid w:val="00DC676E"/>
    <w:rsid w:val="00DC69B1"/>
    <w:rsid w:val="00DC6D76"/>
    <w:rsid w:val="00DC6E1D"/>
    <w:rsid w:val="00DC6F24"/>
    <w:rsid w:val="00DC7256"/>
    <w:rsid w:val="00DC73A8"/>
    <w:rsid w:val="00DC7468"/>
    <w:rsid w:val="00DC7503"/>
    <w:rsid w:val="00DC7689"/>
    <w:rsid w:val="00DC799B"/>
    <w:rsid w:val="00DC7EC8"/>
    <w:rsid w:val="00DC7FF5"/>
    <w:rsid w:val="00DD00B0"/>
    <w:rsid w:val="00DD028F"/>
    <w:rsid w:val="00DD03BC"/>
    <w:rsid w:val="00DD0657"/>
    <w:rsid w:val="00DD0FA3"/>
    <w:rsid w:val="00DD14BB"/>
    <w:rsid w:val="00DD18B4"/>
    <w:rsid w:val="00DD1B9C"/>
    <w:rsid w:val="00DD2787"/>
    <w:rsid w:val="00DD279F"/>
    <w:rsid w:val="00DD28E1"/>
    <w:rsid w:val="00DD2FD0"/>
    <w:rsid w:val="00DD39CB"/>
    <w:rsid w:val="00DD436F"/>
    <w:rsid w:val="00DD4EAB"/>
    <w:rsid w:val="00DD4ED4"/>
    <w:rsid w:val="00DD5096"/>
    <w:rsid w:val="00DD55FA"/>
    <w:rsid w:val="00DD6CEB"/>
    <w:rsid w:val="00DD6D08"/>
    <w:rsid w:val="00DD7C2E"/>
    <w:rsid w:val="00DD7CD9"/>
    <w:rsid w:val="00DD7F45"/>
    <w:rsid w:val="00DE004B"/>
    <w:rsid w:val="00DE00E0"/>
    <w:rsid w:val="00DE034A"/>
    <w:rsid w:val="00DE05C3"/>
    <w:rsid w:val="00DE0F15"/>
    <w:rsid w:val="00DE12E0"/>
    <w:rsid w:val="00DE1616"/>
    <w:rsid w:val="00DE16CC"/>
    <w:rsid w:val="00DE1734"/>
    <w:rsid w:val="00DE1CCE"/>
    <w:rsid w:val="00DE224D"/>
    <w:rsid w:val="00DE24F4"/>
    <w:rsid w:val="00DE29C4"/>
    <w:rsid w:val="00DE2A33"/>
    <w:rsid w:val="00DE2ED6"/>
    <w:rsid w:val="00DE3AA0"/>
    <w:rsid w:val="00DE3D04"/>
    <w:rsid w:val="00DE4CCE"/>
    <w:rsid w:val="00DE4E98"/>
    <w:rsid w:val="00DE4EB9"/>
    <w:rsid w:val="00DE5020"/>
    <w:rsid w:val="00DE5354"/>
    <w:rsid w:val="00DE5952"/>
    <w:rsid w:val="00DE5CEA"/>
    <w:rsid w:val="00DE5D30"/>
    <w:rsid w:val="00DE6067"/>
    <w:rsid w:val="00DE6719"/>
    <w:rsid w:val="00DE6837"/>
    <w:rsid w:val="00DE6E35"/>
    <w:rsid w:val="00DE6F71"/>
    <w:rsid w:val="00DE7460"/>
    <w:rsid w:val="00DE76D1"/>
    <w:rsid w:val="00DE78BE"/>
    <w:rsid w:val="00DF0035"/>
    <w:rsid w:val="00DF0228"/>
    <w:rsid w:val="00DF0384"/>
    <w:rsid w:val="00DF03D1"/>
    <w:rsid w:val="00DF08B1"/>
    <w:rsid w:val="00DF097F"/>
    <w:rsid w:val="00DF0BC4"/>
    <w:rsid w:val="00DF0BD7"/>
    <w:rsid w:val="00DF0C86"/>
    <w:rsid w:val="00DF0CE3"/>
    <w:rsid w:val="00DF10FC"/>
    <w:rsid w:val="00DF1407"/>
    <w:rsid w:val="00DF1551"/>
    <w:rsid w:val="00DF25F0"/>
    <w:rsid w:val="00DF286B"/>
    <w:rsid w:val="00DF2B16"/>
    <w:rsid w:val="00DF2D2C"/>
    <w:rsid w:val="00DF2D85"/>
    <w:rsid w:val="00DF33A2"/>
    <w:rsid w:val="00DF3851"/>
    <w:rsid w:val="00DF4A66"/>
    <w:rsid w:val="00DF4C29"/>
    <w:rsid w:val="00DF4C7D"/>
    <w:rsid w:val="00DF4F6A"/>
    <w:rsid w:val="00DF59B3"/>
    <w:rsid w:val="00DF5B73"/>
    <w:rsid w:val="00DF5DA1"/>
    <w:rsid w:val="00DF68F1"/>
    <w:rsid w:val="00DF6ACE"/>
    <w:rsid w:val="00DF7112"/>
    <w:rsid w:val="00DF7131"/>
    <w:rsid w:val="00DF72FE"/>
    <w:rsid w:val="00DF75B5"/>
    <w:rsid w:val="00DF77A8"/>
    <w:rsid w:val="00DF77B3"/>
    <w:rsid w:val="00DF77F3"/>
    <w:rsid w:val="00DF7D7F"/>
    <w:rsid w:val="00DF7F09"/>
    <w:rsid w:val="00E00489"/>
    <w:rsid w:val="00E0049E"/>
    <w:rsid w:val="00E0073C"/>
    <w:rsid w:val="00E00B37"/>
    <w:rsid w:val="00E00D80"/>
    <w:rsid w:val="00E00F0C"/>
    <w:rsid w:val="00E01233"/>
    <w:rsid w:val="00E01248"/>
    <w:rsid w:val="00E01C21"/>
    <w:rsid w:val="00E01DB6"/>
    <w:rsid w:val="00E02080"/>
    <w:rsid w:val="00E021FE"/>
    <w:rsid w:val="00E0234A"/>
    <w:rsid w:val="00E02361"/>
    <w:rsid w:val="00E027FB"/>
    <w:rsid w:val="00E02827"/>
    <w:rsid w:val="00E02CE6"/>
    <w:rsid w:val="00E02EC6"/>
    <w:rsid w:val="00E031FA"/>
    <w:rsid w:val="00E0322F"/>
    <w:rsid w:val="00E03523"/>
    <w:rsid w:val="00E037B7"/>
    <w:rsid w:val="00E03B0C"/>
    <w:rsid w:val="00E03B33"/>
    <w:rsid w:val="00E04026"/>
    <w:rsid w:val="00E04079"/>
    <w:rsid w:val="00E045AE"/>
    <w:rsid w:val="00E04631"/>
    <w:rsid w:val="00E04659"/>
    <w:rsid w:val="00E0483A"/>
    <w:rsid w:val="00E0493A"/>
    <w:rsid w:val="00E04C56"/>
    <w:rsid w:val="00E05555"/>
    <w:rsid w:val="00E05C50"/>
    <w:rsid w:val="00E05D15"/>
    <w:rsid w:val="00E05EA5"/>
    <w:rsid w:val="00E05FDB"/>
    <w:rsid w:val="00E064C1"/>
    <w:rsid w:val="00E067B7"/>
    <w:rsid w:val="00E068E0"/>
    <w:rsid w:val="00E06A18"/>
    <w:rsid w:val="00E06A98"/>
    <w:rsid w:val="00E06AE9"/>
    <w:rsid w:val="00E06B5B"/>
    <w:rsid w:val="00E06BBC"/>
    <w:rsid w:val="00E07053"/>
    <w:rsid w:val="00E073F8"/>
    <w:rsid w:val="00E0751E"/>
    <w:rsid w:val="00E07645"/>
    <w:rsid w:val="00E10718"/>
    <w:rsid w:val="00E10A2F"/>
    <w:rsid w:val="00E10F06"/>
    <w:rsid w:val="00E1185B"/>
    <w:rsid w:val="00E11C8F"/>
    <w:rsid w:val="00E11F96"/>
    <w:rsid w:val="00E11FFC"/>
    <w:rsid w:val="00E127F2"/>
    <w:rsid w:val="00E128A0"/>
    <w:rsid w:val="00E12B32"/>
    <w:rsid w:val="00E1367C"/>
    <w:rsid w:val="00E13C9B"/>
    <w:rsid w:val="00E13D31"/>
    <w:rsid w:val="00E13DB6"/>
    <w:rsid w:val="00E1456B"/>
    <w:rsid w:val="00E145ED"/>
    <w:rsid w:val="00E14C33"/>
    <w:rsid w:val="00E14D47"/>
    <w:rsid w:val="00E14D4A"/>
    <w:rsid w:val="00E14E85"/>
    <w:rsid w:val="00E154DA"/>
    <w:rsid w:val="00E156C1"/>
    <w:rsid w:val="00E158F3"/>
    <w:rsid w:val="00E15A24"/>
    <w:rsid w:val="00E15A42"/>
    <w:rsid w:val="00E163D1"/>
    <w:rsid w:val="00E1695C"/>
    <w:rsid w:val="00E16AC8"/>
    <w:rsid w:val="00E1754A"/>
    <w:rsid w:val="00E17722"/>
    <w:rsid w:val="00E17A35"/>
    <w:rsid w:val="00E17B9F"/>
    <w:rsid w:val="00E17F43"/>
    <w:rsid w:val="00E202BD"/>
    <w:rsid w:val="00E20644"/>
    <w:rsid w:val="00E20BA6"/>
    <w:rsid w:val="00E20C8D"/>
    <w:rsid w:val="00E20CED"/>
    <w:rsid w:val="00E216CA"/>
    <w:rsid w:val="00E228DA"/>
    <w:rsid w:val="00E23A48"/>
    <w:rsid w:val="00E23B0C"/>
    <w:rsid w:val="00E240E1"/>
    <w:rsid w:val="00E24163"/>
    <w:rsid w:val="00E244C9"/>
    <w:rsid w:val="00E24544"/>
    <w:rsid w:val="00E24C35"/>
    <w:rsid w:val="00E24D1B"/>
    <w:rsid w:val="00E24D6F"/>
    <w:rsid w:val="00E24EE6"/>
    <w:rsid w:val="00E24F1A"/>
    <w:rsid w:val="00E25214"/>
    <w:rsid w:val="00E2523C"/>
    <w:rsid w:val="00E255A4"/>
    <w:rsid w:val="00E25B19"/>
    <w:rsid w:val="00E26205"/>
    <w:rsid w:val="00E26221"/>
    <w:rsid w:val="00E262DE"/>
    <w:rsid w:val="00E26303"/>
    <w:rsid w:val="00E265D6"/>
    <w:rsid w:val="00E266DE"/>
    <w:rsid w:val="00E26F4C"/>
    <w:rsid w:val="00E2745E"/>
    <w:rsid w:val="00E2750B"/>
    <w:rsid w:val="00E27A7E"/>
    <w:rsid w:val="00E27E1E"/>
    <w:rsid w:val="00E300B9"/>
    <w:rsid w:val="00E30303"/>
    <w:rsid w:val="00E30985"/>
    <w:rsid w:val="00E30EA8"/>
    <w:rsid w:val="00E313C8"/>
    <w:rsid w:val="00E316A9"/>
    <w:rsid w:val="00E31DA5"/>
    <w:rsid w:val="00E31DB2"/>
    <w:rsid w:val="00E32769"/>
    <w:rsid w:val="00E328B9"/>
    <w:rsid w:val="00E32923"/>
    <w:rsid w:val="00E32DB2"/>
    <w:rsid w:val="00E3370C"/>
    <w:rsid w:val="00E33C74"/>
    <w:rsid w:val="00E33FD0"/>
    <w:rsid w:val="00E34488"/>
    <w:rsid w:val="00E34683"/>
    <w:rsid w:val="00E347B7"/>
    <w:rsid w:val="00E3484E"/>
    <w:rsid w:val="00E348A2"/>
    <w:rsid w:val="00E348C8"/>
    <w:rsid w:val="00E34D72"/>
    <w:rsid w:val="00E34F09"/>
    <w:rsid w:val="00E35999"/>
    <w:rsid w:val="00E35A41"/>
    <w:rsid w:val="00E35BB4"/>
    <w:rsid w:val="00E35BFB"/>
    <w:rsid w:val="00E35E76"/>
    <w:rsid w:val="00E3603F"/>
    <w:rsid w:val="00E36493"/>
    <w:rsid w:val="00E36725"/>
    <w:rsid w:val="00E368A9"/>
    <w:rsid w:val="00E378B8"/>
    <w:rsid w:val="00E37F1D"/>
    <w:rsid w:val="00E37F63"/>
    <w:rsid w:val="00E40166"/>
    <w:rsid w:val="00E4038E"/>
    <w:rsid w:val="00E408F7"/>
    <w:rsid w:val="00E40982"/>
    <w:rsid w:val="00E411A5"/>
    <w:rsid w:val="00E4134C"/>
    <w:rsid w:val="00E41607"/>
    <w:rsid w:val="00E42296"/>
    <w:rsid w:val="00E422E1"/>
    <w:rsid w:val="00E42603"/>
    <w:rsid w:val="00E42C12"/>
    <w:rsid w:val="00E42D5A"/>
    <w:rsid w:val="00E433BE"/>
    <w:rsid w:val="00E435AF"/>
    <w:rsid w:val="00E43949"/>
    <w:rsid w:val="00E43BEF"/>
    <w:rsid w:val="00E43DEF"/>
    <w:rsid w:val="00E4405C"/>
    <w:rsid w:val="00E441D4"/>
    <w:rsid w:val="00E44307"/>
    <w:rsid w:val="00E446B8"/>
    <w:rsid w:val="00E4479B"/>
    <w:rsid w:val="00E44925"/>
    <w:rsid w:val="00E44B87"/>
    <w:rsid w:val="00E44CDA"/>
    <w:rsid w:val="00E44E40"/>
    <w:rsid w:val="00E44ED8"/>
    <w:rsid w:val="00E45025"/>
    <w:rsid w:val="00E4509B"/>
    <w:rsid w:val="00E4524F"/>
    <w:rsid w:val="00E45279"/>
    <w:rsid w:val="00E45A06"/>
    <w:rsid w:val="00E45AA3"/>
    <w:rsid w:val="00E45D44"/>
    <w:rsid w:val="00E46FB6"/>
    <w:rsid w:val="00E4750B"/>
    <w:rsid w:val="00E478FE"/>
    <w:rsid w:val="00E47946"/>
    <w:rsid w:val="00E50C51"/>
    <w:rsid w:val="00E50D40"/>
    <w:rsid w:val="00E50EAD"/>
    <w:rsid w:val="00E50F5B"/>
    <w:rsid w:val="00E5105D"/>
    <w:rsid w:val="00E51575"/>
    <w:rsid w:val="00E5186F"/>
    <w:rsid w:val="00E5195D"/>
    <w:rsid w:val="00E51D4D"/>
    <w:rsid w:val="00E5212C"/>
    <w:rsid w:val="00E522B5"/>
    <w:rsid w:val="00E524FC"/>
    <w:rsid w:val="00E5279F"/>
    <w:rsid w:val="00E52D32"/>
    <w:rsid w:val="00E53336"/>
    <w:rsid w:val="00E53742"/>
    <w:rsid w:val="00E543BA"/>
    <w:rsid w:val="00E54663"/>
    <w:rsid w:val="00E55224"/>
    <w:rsid w:val="00E554B5"/>
    <w:rsid w:val="00E5553A"/>
    <w:rsid w:val="00E559A8"/>
    <w:rsid w:val="00E55DA5"/>
    <w:rsid w:val="00E5657E"/>
    <w:rsid w:val="00E56894"/>
    <w:rsid w:val="00E56A37"/>
    <w:rsid w:val="00E56BB9"/>
    <w:rsid w:val="00E56C68"/>
    <w:rsid w:val="00E5714E"/>
    <w:rsid w:val="00E5761E"/>
    <w:rsid w:val="00E57789"/>
    <w:rsid w:val="00E57914"/>
    <w:rsid w:val="00E6023A"/>
    <w:rsid w:val="00E604D4"/>
    <w:rsid w:val="00E60C35"/>
    <w:rsid w:val="00E60E38"/>
    <w:rsid w:val="00E61597"/>
    <w:rsid w:val="00E6168C"/>
    <w:rsid w:val="00E61901"/>
    <w:rsid w:val="00E619EC"/>
    <w:rsid w:val="00E61C8D"/>
    <w:rsid w:val="00E624F2"/>
    <w:rsid w:val="00E62731"/>
    <w:rsid w:val="00E62A58"/>
    <w:rsid w:val="00E62A81"/>
    <w:rsid w:val="00E62FDF"/>
    <w:rsid w:val="00E63270"/>
    <w:rsid w:val="00E632CA"/>
    <w:rsid w:val="00E6484F"/>
    <w:rsid w:val="00E65290"/>
    <w:rsid w:val="00E653FB"/>
    <w:rsid w:val="00E65B65"/>
    <w:rsid w:val="00E65CD6"/>
    <w:rsid w:val="00E65EAA"/>
    <w:rsid w:val="00E6659E"/>
    <w:rsid w:val="00E66728"/>
    <w:rsid w:val="00E667C7"/>
    <w:rsid w:val="00E66874"/>
    <w:rsid w:val="00E66BEC"/>
    <w:rsid w:val="00E6701A"/>
    <w:rsid w:val="00E672A0"/>
    <w:rsid w:val="00E67803"/>
    <w:rsid w:val="00E700C7"/>
    <w:rsid w:val="00E70271"/>
    <w:rsid w:val="00E707D6"/>
    <w:rsid w:val="00E70ADF"/>
    <w:rsid w:val="00E70CCD"/>
    <w:rsid w:val="00E70EEE"/>
    <w:rsid w:val="00E71384"/>
    <w:rsid w:val="00E71D9A"/>
    <w:rsid w:val="00E71DAC"/>
    <w:rsid w:val="00E72042"/>
    <w:rsid w:val="00E726A6"/>
    <w:rsid w:val="00E72731"/>
    <w:rsid w:val="00E72E91"/>
    <w:rsid w:val="00E72F58"/>
    <w:rsid w:val="00E730C4"/>
    <w:rsid w:val="00E738DF"/>
    <w:rsid w:val="00E73AC6"/>
    <w:rsid w:val="00E73C53"/>
    <w:rsid w:val="00E7440C"/>
    <w:rsid w:val="00E747B3"/>
    <w:rsid w:val="00E74A43"/>
    <w:rsid w:val="00E7503F"/>
    <w:rsid w:val="00E7534B"/>
    <w:rsid w:val="00E75A4B"/>
    <w:rsid w:val="00E75CA5"/>
    <w:rsid w:val="00E75FB8"/>
    <w:rsid w:val="00E760DA"/>
    <w:rsid w:val="00E76338"/>
    <w:rsid w:val="00E76351"/>
    <w:rsid w:val="00E76555"/>
    <w:rsid w:val="00E76A30"/>
    <w:rsid w:val="00E76B46"/>
    <w:rsid w:val="00E76EEE"/>
    <w:rsid w:val="00E77372"/>
    <w:rsid w:val="00E77443"/>
    <w:rsid w:val="00E77529"/>
    <w:rsid w:val="00E775DB"/>
    <w:rsid w:val="00E7760E"/>
    <w:rsid w:val="00E77B60"/>
    <w:rsid w:val="00E77D0D"/>
    <w:rsid w:val="00E77E87"/>
    <w:rsid w:val="00E80763"/>
    <w:rsid w:val="00E80EB0"/>
    <w:rsid w:val="00E80F30"/>
    <w:rsid w:val="00E80F50"/>
    <w:rsid w:val="00E8120F"/>
    <w:rsid w:val="00E81E4B"/>
    <w:rsid w:val="00E821C5"/>
    <w:rsid w:val="00E822B7"/>
    <w:rsid w:val="00E82AAB"/>
    <w:rsid w:val="00E82BE7"/>
    <w:rsid w:val="00E83F11"/>
    <w:rsid w:val="00E846D0"/>
    <w:rsid w:val="00E847EA"/>
    <w:rsid w:val="00E84CB9"/>
    <w:rsid w:val="00E84CDA"/>
    <w:rsid w:val="00E84E43"/>
    <w:rsid w:val="00E8503B"/>
    <w:rsid w:val="00E854FC"/>
    <w:rsid w:val="00E86093"/>
    <w:rsid w:val="00E8651C"/>
    <w:rsid w:val="00E87604"/>
    <w:rsid w:val="00E87A8A"/>
    <w:rsid w:val="00E87AB9"/>
    <w:rsid w:val="00E87B1A"/>
    <w:rsid w:val="00E87B22"/>
    <w:rsid w:val="00E90134"/>
    <w:rsid w:val="00E9031E"/>
    <w:rsid w:val="00E903C5"/>
    <w:rsid w:val="00E90689"/>
    <w:rsid w:val="00E90FFB"/>
    <w:rsid w:val="00E9112D"/>
    <w:rsid w:val="00E914C3"/>
    <w:rsid w:val="00E915C6"/>
    <w:rsid w:val="00E91813"/>
    <w:rsid w:val="00E9191D"/>
    <w:rsid w:val="00E920C1"/>
    <w:rsid w:val="00E926D1"/>
    <w:rsid w:val="00E92A17"/>
    <w:rsid w:val="00E92C13"/>
    <w:rsid w:val="00E92E3A"/>
    <w:rsid w:val="00E93115"/>
    <w:rsid w:val="00E935A8"/>
    <w:rsid w:val="00E938CC"/>
    <w:rsid w:val="00E93A06"/>
    <w:rsid w:val="00E93CD7"/>
    <w:rsid w:val="00E93DAE"/>
    <w:rsid w:val="00E94578"/>
    <w:rsid w:val="00E94BC6"/>
    <w:rsid w:val="00E94C04"/>
    <w:rsid w:val="00E94E8F"/>
    <w:rsid w:val="00E94F29"/>
    <w:rsid w:val="00E951AB"/>
    <w:rsid w:val="00E951DB"/>
    <w:rsid w:val="00E95391"/>
    <w:rsid w:val="00E95917"/>
    <w:rsid w:val="00E959A6"/>
    <w:rsid w:val="00E95C32"/>
    <w:rsid w:val="00E95CD4"/>
    <w:rsid w:val="00E95CE1"/>
    <w:rsid w:val="00E95D9A"/>
    <w:rsid w:val="00E9652D"/>
    <w:rsid w:val="00E96F5A"/>
    <w:rsid w:val="00E97A8B"/>
    <w:rsid w:val="00EA0781"/>
    <w:rsid w:val="00EA07DD"/>
    <w:rsid w:val="00EA086D"/>
    <w:rsid w:val="00EA114D"/>
    <w:rsid w:val="00EA11F1"/>
    <w:rsid w:val="00EA12B6"/>
    <w:rsid w:val="00EA1605"/>
    <w:rsid w:val="00EA1745"/>
    <w:rsid w:val="00EA1901"/>
    <w:rsid w:val="00EA21B9"/>
    <w:rsid w:val="00EA220B"/>
    <w:rsid w:val="00EA2368"/>
    <w:rsid w:val="00EA23C4"/>
    <w:rsid w:val="00EA28DF"/>
    <w:rsid w:val="00EA2C67"/>
    <w:rsid w:val="00EA2EF2"/>
    <w:rsid w:val="00EA33D7"/>
    <w:rsid w:val="00EA365D"/>
    <w:rsid w:val="00EA3766"/>
    <w:rsid w:val="00EA38D8"/>
    <w:rsid w:val="00EA3961"/>
    <w:rsid w:val="00EA3E9E"/>
    <w:rsid w:val="00EA4041"/>
    <w:rsid w:val="00EA40ED"/>
    <w:rsid w:val="00EA4277"/>
    <w:rsid w:val="00EA4319"/>
    <w:rsid w:val="00EA498F"/>
    <w:rsid w:val="00EA50A9"/>
    <w:rsid w:val="00EA5271"/>
    <w:rsid w:val="00EA54A7"/>
    <w:rsid w:val="00EA55E6"/>
    <w:rsid w:val="00EA593B"/>
    <w:rsid w:val="00EA6254"/>
    <w:rsid w:val="00EA62A3"/>
    <w:rsid w:val="00EA68E1"/>
    <w:rsid w:val="00EA6B83"/>
    <w:rsid w:val="00EA74E7"/>
    <w:rsid w:val="00EB0291"/>
    <w:rsid w:val="00EB0305"/>
    <w:rsid w:val="00EB0405"/>
    <w:rsid w:val="00EB083A"/>
    <w:rsid w:val="00EB08A6"/>
    <w:rsid w:val="00EB0C1F"/>
    <w:rsid w:val="00EB0D5E"/>
    <w:rsid w:val="00EB14C3"/>
    <w:rsid w:val="00EB1587"/>
    <w:rsid w:val="00EB1989"/>
    <w:rsid w:val="00EB25BF"/>
    <w:rsid w:val="00EB2BAE"/>
    <w:rsid w:val="00EB2BDE"/>
    <w:rsid w:val="00EB313C"/>
    <w:rsid w:val="00EB3446"/>
    <w:rsid w:val="00EB36A7"/>
    <w:rsid w:val="00EB3838"/>
    <w:rsid w:val="00EB3EF4"/>
    <w:rsid w:val="00EB40E0"/>
    <w:rsid w:val="00EB440A"/>
    <w:rsid w:val="00EB486D"/>
    <w:rsid w:val="00EB48BA"/>
    <w:rsid w:val="00EB529F"/>
    <w:rsid w:val="00EB5328"/>
    <w:rsid w:val="00EB543C"/>
    <w:rsid w:val="00EB5963"/>
    <w:rsid w:val="00EB651D"/>
    <w:rsid w:val="00EB65AF"/>
    <w:rsid w:val="00EB67C3"/>
    <w:rsid w:val="00EB76FF"/>
    <w:rsid w:val="00EB7836"/>
    <w:rsid w:val="00EB7BA8"/>
    <w:rsid w:val="00EC040C"/>
    <w:rsid w:val="00EC044A"/>
    <w:rsid w:val="00EC0BDA"/>
    <w:rsid w:val="00EC0FD1"/>
    <w:rsid w:val="00EC115A"/>
    <w:rsid w:val="00EC1429"/>
    <w:rsid w:val="00EC1764"/>
    <w:rsid w:val="00EC1C2D"/>
    <w:rsid w:val="00EC1CB4"/>
    <w:rsid w:val="00EC20CD"/>
    <w:rsid w:val="00EC25A1"/>
    <w:rsid w:val="00EC28CB"/>
    <w:rsid w:val="00EC2A30"/>
    <w:rsid w:val="00EC2A39"/>
    <w:rsid w:val="00EC2AFC"/>
    <w:rsid w:val="00EC2F11"/>
    <w:rsid w:val="00EC3104"/>
    <w:rsid w:val="00EC4555"/>
    <w:rsid w:val="00EC486A"/>
    <w:rsid w:val="00EC4988"/>
    <w:rsid w:val="00EC4DB9"/>
    <w:rsid w:val="00EC4FBD"/>
    <w:rsid w:val="00EC504B"/>
    <w:rsid w:val="00EC5194"/>
    <w:rsid w:val="00EC52F2"/>
    <w:rsid w:val="00EC53D9"/>
    <w:rsid w:val="00EC57EA"/>
    <w:rsid w:val="00EC5DF7"/>
    <w:rsid w:val="00EC5E2A"/>
    <w:rsid w:val="00EC65AB"/>
    <w:rsid w:val="00EC69B8"/>
    <w:rsid w:val="00EC6C13"/>
    <w:rsid w:val="00EC6EB0"/>
    <w:rsid w:val="00EC70F9"/>
    <w:rsid w:val="00EC76B7"/>
    <w:rsid w:val="00EC7E23"/>
    <w:rsid w:val="00EC7F12"/>
    <w:rsid w:val="00EC7F27"/>
    <w:rsid w:val="00EC8606"/>
    <w:rsid w:val="00ED01EC"/>
    <w:rsid w:val="00ED07D6"/>
    <w:rsid w:val="00ED0F54"/>
    <w:rsid w:val="00ED1124"/>
    <w:rsid w:val="00ED13CE"/>
    <w:rsid w:val="00ED1408"/>
    <w:rsid w:val="00ED1DB4"/>
    <w:rsid w:val="00ED1FA7"/>
    <w:rsid w:val="00ED2055"/>
    <w:rsid w:val="00ED25E0"/>
    <w:rsid w:val="00ED25FE"/>
    <w:rsid w:val="00ED28F6"/>
    <w:rsid w:val="00ED2918"/>
    <w:rsid w:val="00ED2C56"/>
    <w:rsid w:val="00ED349D"/>
    <w:rsid w:val="00ED34DE"/>
    <w:rsid w:val="00ED3559"/>
    <w:rsid w:val="00ED379B"/>
    <w:rsid w:val="00ED3B54"/>
    <w:rsid w:val="00ED421E"/>
    <w:rsid w:val="00ED475C"/>
    <w:rsid w:val="00ED4F9E"/>
    <w:rsid w:val="00ED4FE8"/>
    <w:rsid w:val="00ED53EA"/>
    <w:rsid w:val="00ED5430"/>
    <w:rsid w:val="00ED5C54"/>
    <w:rsid w:val="00ED5C6A"/>
    <w:rsid w:val="00ED603B"/>
    <w:rsid w:val="00ED66D5"/>
    <w:rsid w:val="00ED6810"/>
    <w:rsid w:val="00ED6BB3"/>
    <w:rsid w:val="00ED6C28"/>
    <w:rsid w:val="00ED6D39"/>
    <w:rsid w:val="00ED6E69"/>
    <w:rsid w:val="00ED72A1"/>
    <w:rsid w:val="00ED7AF5"/>
    <w:rsid w:val="00ED7B42"/>
    <w:rsid w:val="00ED7B55"/>
    <w:rsid w:val="00ED7DE6"/>
    <w:rsid w:val="00ED7F04"/>
    <w:rsid w:val="00EE0273"/>
    <w:rsid w:val="00EE069C"/>
    <w:rsid w:val="00EE0C7A"/>
    <w:rsid w:val="00EE0E0C"/>
    <w:rsid w:val="00EE197F"/>
    <w:rsid w:val="00EE1CA6"/>
    <w:rsid w:val="00EE2062"/>
    <w:rsid w:val="00EE2178"/>
    <w:rsid w:val="00EE27BF"/>
    <w:rsid w:val="00EE2BE9"/>
    <w:rsid w:val="00EE2D0C"/>
    <w:rsid w:val="00EE2DFD"/>
    <w:rsid w:val="00EE2E6C"/>
    <w:rsid w:val="00EE3283"/>
    <w:rsid w:val="00EE32AE"/>
    <w:rsid w:val="00EE3714"/>
    <w:rsid w:val="00EE3AE7"/>
    <w:rsid w:val="00EE3E81"/>
    <w:rsid w:val="00EE3F73"/>
    <w:rsid w:val="00EE3FA4"/>
    <w:rsid w:val="00EE4308"/>
    <w:rsid w:val="00EE4F05"/>
    <w:rsid w:val="00EE5405"/>
    <w:rsid w:val="00EE578A"/>
    <w:rsid w:val="00EE5A89"/>
    <w:rsid w:val="00EE5BDF"/>
    <w:rsid w:val="00EE5D2F"/>
    <w:rsid w:val="00EE6658"/>
    <w:rsid w:val="00EE673F"/>
    <w:rsid w:val="00EE69C7"/>
    <w:rsid w:val="00EE69DE"/>
    <w:rsid w:val="00EE6E7E"/>
    <w:rsid w:val="00EE782B"/>
    <w:rsid w:val="00EE7C49"/>
    <w:rsid w:val="00EE7FAC"/>
    <w:rsid w:val="00EEE003"/>
    <w:rsid w:val="00EF0000"/>
    <w:rsid w:val="00EF000F"/>
    <w:rsid w:val="00EF0340"/>
    <w:rsid w:val="00EF038E"/>
    <w:rsid w:val="00EF03CF"/>
    <w:rsid w:val="00EF0676"/>
    <w:rsid w:val="00EF082D"/>
    <w:rsid w:val="00EF09AE"/>
    <w:rsid w:val="00EF1363"/>
    <w:rsid w:val="00EF1882"/>
    <w:rsid w:val="00EF1E7B"/>
    <w:rsid w:val="00EF228E"/>
    <w:rsid w:val="00EF297E"/>
    <w:rsid w:val="00EF2D42"/>
    <w:rsid w:val="00EF341F"/>
    <w:rsid w:val="00EF3980"/>
    <w:rsid w:val="00EF4067"/>
    <w:rsid w:val="00EF43C1"/>
    <w:rsid w:val="00EF4575"/>
    <w:rsid w:val="00EF4C92"/>
    <w:rsid w:val="00EF4D88"/>
    <w:rsid w:val="00EF4ECF"/>
    <w:rsid w:val="00EF4F9A"/>
    <w:rsid w:val="00EF530F"/>
    <w:rsid w:val="00EF5443"/>
    <w:rsid w:val="00EF5AC3"/>
    <w:rsid w:val="00EF62AC"/>
    <w:rsid w:val="00EF6685"/>
    <w:rsid w:val="00EF6835"/>
    <w:rsid w:val="00EF6F3F"/>
    <w:rsid w:val="00EF7078"/>
    <w:rsid w:val="00EF73A8"/>
    <w:rsid w:val="00EF73BC"/>
    <w:rsid w:val="00EF75AB"/>
    <w:rsid w:val="00EF7E23"/>
    <w:rsid w:val="00EF7EBA"/>
    <w:rsid w:val="00EF7EE4"/>
    <w:rsid w:val="00F00136"/>
    <w:rsid w:val="00F00178"/>
    <w:rsid w:val="00F003C2"/>
    <w:rsid w:val="00F0046F"/>
    <w:rsid w:val="00F0048C"/>
    <w:rsid w:val="00F009C7"/>
    <w:rsid w:val="00F00A36"/>
    <w:rsid w:val="00F00A67"/>
    <w:rsid w:val="00F00D4F"/>
    <w:rsid w:val="00F0111D"/>
    <w:rsid w:val="00F01C56"/>
    <w:rsid w:val="00F01E05"/>
    <w:rsid w:val="00F024C3"/>
    <w:rsid w:val="00F026D3"/>
    <w:rsid w:val="00F029E2"/>
    <w:rsid w:val="00F02A4A"/>
    <w:rsid w:val="00F02B2F"/>
    <w:rsid w:val="00F02C39"/>
    <w:rsid w:val="00F03020"/>
    <w:rsid w:val="00F030ED"/>
    <w:rsid w:val="00F031EE"/>
    <w:rsid w:val="00F035A1"/>
    <w:rsid w:val="00F03CCC"/>
    <w:rsid w:val="00F03DDD"/>
    <w:rsid w:val="00F03F45"/>
    <w:rsid w:val="00F040C2"/>
    <w:rsid w:val="00F04291"/>
    <w:rsid w:val="00F04523"/>
    <w:rsid w:val="00F050F3"/>
    <w:rsid w:val="00F05190"/>
    <w:rsid w:val="00F05296"/>
    <w:rsid w:val="00F0585E"/>
    <w:rsid w:val="00F0586C"/>
    <w:rsid w:val="00F058B3"/>
    <w:rsid w:val="00F069C6"/>
    <w:rsid w:val="00F06B3E"/>
    <w:rsid w:val="00F06C4D"/>
    <w:rsid w:val="00F06D1A"/>
    <w:rsid w:val="00F06E15"/>
    <w:rsid w:val="00F06F2B"/>
    <w:rsid w:val="00F074E2"/>
    <w:rsid w:val="00F07520"/>
    <w:rsid w:val="00F07525"/>
    <w:rsid w:val="00F0775D"/>
    <w:rsid w:val="00F07801"/>
    <w:rsid w:val="00F078CD"/>
    <w:rsid w:val="00F0798F"/>
    <w:rsid w:val="00F07BE5"/>
    <w:rsid w:val="00F07C27"/>
    <w:rsid w:val="00F07D9F"/>
    <w:rsid w:val="00F1011A"/>
    <w:rsid w:val="00F101AF"/>
    <w:rsid w:val="00F1085E"/>
    <w:rsid w:val="00F10CAE"/>
    <w:rsid w:val="00F10CFA"/>
    <w:rsid w:val="00F10E33"/>
    <w:rsid w:val="00F10F06"/>
    <w:rsid w:val="00F11617"/>
    <w:rsid w:val="00F11770"/>
    <w:rsid w:val="00F117A7"/>
    <w:rsid w:val="00F119A9"/>
    <w:rsid w:val="00F11E32"/>
    <w:rsid w:val="00F11E81"/>
    <w:rsid w:val="00F11EAD"/>
    <w:rsid w:val="00F1234F"/>
    <w:rsid w:val="00F12707"/>
    <w:rsid w:val="00F1274B"/>
    <w:rsid w:val="00F12841"/>
    <w:rsid w:val="00F12D34"/>
    <w:rsid w:val="00F12DD6"/>
    <w:rsid w:val="00F12E67"/>
    <w:rsid w:val="00F12E7B"/>
    <w:rsid w:val="00F12F71"/>
    <w:rsid w:val="00F1323B"/>
    <w:rsid w:val="00F133E2"/>
    <w:rsid w:val="00F1355A"/>
    <w:rsid w:val="00F13A81"/>
    <w:rsid w:val="00F13C86"/>
    <w:rsid w:val="00F13C8A"/>
    <w:rsid w:val="00F13FD6"/>
    <w:rsid w:val="00F14671"/>
    <w:rsid w:val="00F14922"/>
    <w:rsid w:val="00F14F32"/>
    <w:rsid w:val="00F15146"/>
    <w:rsid w:val="00F159E8"/>
    <w:rsid w:val="00F15BB5"/>
    <w:rsid w:val="00F15D77"/>
    <w:rsid w:val="00F16698"/>
    <w:rsid w:val="00F16B9C"/>
    <w:rsid w:val="00F16DCF"/>
    <w:rsid w:val="00F16F1E"/>
    <w:rsid w:val="00F1708C"/>
    <w:rsid w:val="00F17164"/>
    <w:rsid w:val="00F17180"/>
    <w:rsid w:val="00F1722B"/>
    <w:rsid w:val="00F17307"/>
    <w:rsid w:val="00F17590"/>
    <w:rsid w:val="00F1778B"/>
    <w:rsid w:val="00F178A5"/>
    <w:rsid w:val="00F178CB"/>
    <w:rsid w:val="00F17A7A"/>
    <w:rsid w:val="00F20023"/>
    <w:rsid w:val="00F200AC"/>
    <w:rsid w:val="00F20203"/>
    <w:rsid w:val="00F20CD6"/>
    <w:rsid w:val="00F20D34"/>
    <w:rsid w:val="00F20FDB"/>
    <w:rsid w:val="00F21221"/>
    <w:rsid w:val="00F2144B"/>
    <w:rsid w:val="00F216AA"/>
    <w:rsid w:val="00F218C9"/>
    <w:rsid w:val="00F21A30"/>
    <w:rsid w:val="00F2245E"/>
    <w:rsid w:val="00F22560"/>
    <w:rsid w:val="00F22A2E"/>
    <w:rsid w:val="00F22F2A"/>
    <w:rsid w:val="00F23B0D"/>
    <w:rsid w:val="00F23C46"/>
    <w:rsid w:val="00F23D8F"/>
    <w:rsid w:val="00F24351"/>
    <w:rsid w:val="00F24465"/>
    <w:rsid w:val="00F24642"/>
    <w:rsid w:val="00F24B75"/>
    <w:rsid w:val="00F24F24"/>
    <w:rsid w:val="00F25C21"/>
    <w:rsid w:val="00F25F14"/>
    <w:rsid w:val="00F25F45"/>
    <w:rsid w:val="00F2632A"/>
    <w:rsid w:val="00F263B3"/>
    <w:rsid w:val="00F2663A"/>
    <w:rsid w:val="00F26704"/>
    <w:rsid w:val="00F26A25"/>
    <w:rsid w:val="00F26D40"/>
    <w:rsid w:val="00F26E37"/>
    <w:rsid w:val="00F26FCD"/>
    <w:rsid w:val="00F27157"/>
    <w:rsid w:val="00F277D5"/>
    <w:rsid w:val="00F2796F"/>
    <w:rsid w:val="00F27BD7"/>
    <w:rsid w:val="00F27FA2"/>
    <w:rsid w:val="00F309AD"/>
    <w:rsid w:val="00F3164B"/>
    <w:rsid w:val="00F31918"/>
    <w:rsid w:val="00F320DA"/>
    <w:rsid w:val="00F32495"/>
    <w:rsid w:val="00F32DF3"/>
    <w:rsid w:val="00F33612"/>
    <w:rsid w:val="00F33679"/>
    <w:rsid w:val="00F33DED"/>
    <w:rsid w:val="00F33EE6"/>
    <w:rsid w:val="00F343DF"/>
    <w:rsid w:val="00F34C57"/>
    <w:rsid w:val="00F34DA3"/>
    <w:rsid w:val="00F34FD9"/>
    <w:rsid w:val="00F35136"/>
    <w:rsid w:val="00F3573C"/>
    <w:rsid w:val="00F359CB"/>
    <w:rsid w:val="00F35D8F"/>
    <w:rsid w:val="00F36440"/>
    <w:rsid w:val="00F3647C"/>
    <w:rsid w:val="00F364D2"/>
    <w:rsid w:val="00F3650E"/>
    <w:rsid w:val="00F36898"/>
    <w:rsid w:val="00F36DFD"/>
    <w:rsid w:val="00F37307"/>
    <w:rsid w:val="00F375CB"/>
    <w:rsid w:val="00F376A7"/>
    <w:rsid w:val="00F37F0A"/>
    <w:rsid w:val="00F407B8"/>
    <w:rsid w:val="00F40939"/>
    <w:rsid w:val="00F40AB4"/>
    <w:rsid w:val="00F40CCF"/>
    <w:rsid w:val="00F414EF"/>
    <w:rsid w:val="00F4159A"/>
    <w:rsid w:val="00F41758"/>
    <w:rsid w:val="00F41C9A"/>
    <w:rsid w:val="00F42880"/>
    <w:rsid w:val="00F42AD0"/>
    <w:rsid w:val="00F42B7C"/>
    <w:rsid w:val="00F42F36"/>
    <w:rsid w:val="00F4319B"/>
    <w:rsid w:val="00F4336F"/>
    <w:rsid w:val="00F437B0"/>
    <w:rsid w:val="00F43E68"/>
    <w:rsid w:val="00F43E98"/>
    <w:rsid w:val="00F43FE1"/>
    <w:rsid w:val="00F43FFB"/>
    <w:rsid w:val="00F4439D"/>
    <w:rsid w:val="00F445EF"/>
    <w:rsid w:val="00F44822"/>
    <w:rsid w:val="00F44B68"/>
    <w:rsid w:val="00F45736"/>
    <w:rsid w:val="00F457C5"/>
    <w:rsid w:val="00F45AF6"/>
    <w:rsid w:val="00F46449"/>
    <w:rsid w:val="00F46612"/>
    <w:rsid w:val="00F46C79"/>
    <w:rsid w:val="00F46C8C"/>
    <w:rsid w:val="00F46ED8"/>
    <w:rsid w:val="00F47574"/>
    <w:rsid w:val="00F477CC"/>
    <w:rsid w:val="00F47A7C"/>
    <w:rsid w:val="00F509B0"/>
    <w:rsid w:val="00F50E32"/>
    <w:rsid w:val="00F512B7"/>
    <w:rsid w:val="00F516A8"/>
    <w:rsid w:val="00F51C20"/>
    <w:rsid w:val="00F51CC8"/>
    <w:rsid w:val="00F520A6"/>
    <w:rsid w:val="00F5245A"/>
    <w:rsid w:val="00F525E2"/>
    <w:rsid w:val="00F52915"/>
    <w:rsid w:val="00F530E8"/>
    <w:rsid w:val="00F53235"/>
    <w:rsid w:val="00F53454"/>
    <w:rsid w:val="00F53896"/>
    <w:rsid w:val="00F53A5C"/>
    <w:rsid w:val="00F53B93"/>
    <w:rsid w:val="00F54094"/>
    <w:rsid w:val="00F5409D"/>
    <w:rsid w:val="00F54691"/>
    <w:rsid w:val="00F54A1B"/>
    <w:rsid w:val="00F54BAA"/>
    <w:rsid w:val="00F54FFF"/>
    <w:rsid w:val="00F556A9"/>
    <w:rsid w:val="00F5573D"/>
    <w:rsid w:val="00F557F5"/>
    <w:rsid w:val="00F55CE0"/>
    <w:rsid w:val="00F5608D"/>
    <w:rsid w:val="00F561BA"/>
    <w:rsid w:val="00F5658C"/>
    <w:rsid w:val="00F567A0"/>
    <w:rsid w:val="00F56970"/>
    <w:rsid w:val="00F56A14"/>
    <w:rsid w:val="00F56B6C"/>
    <w:rsid w:val="00F570D6"/>
    <w:rsid w:val="00F571A1"/>
    <w:rsid w:val="00F573A6"/>
    <w:rsid w:val="00F57409"/>
    <w:rsid w:val="00F575FB"/>
    <w:rsid w:val="00F603DA"/>
    <w:rsid w:val="00F60471"/>
    <w:rsid w:val="00F6078B"/>
    <w:rsid w:val="00F60F69"/>
    <w:rsid w:val="00F612E7"/>
    <w:rsid w:val="00F6149F"/>
    <w:rsid w:val="00F614E6"/>
    <w:rsid w:val="00F617A2"/>
    <w:rsid w:val="00F620B5"/>
    <w:rsid w:val="00F6218B"/>
    <w:rsid w:val="00F622E5"/>
    <w:rsid w:val="00F62959"/>
    <w:rsid w:val="00F634E5"/>
    <w:rsid w:val="00F63602"/>
    <w:rsid w:val="00F63FC3"/>
    <w:rsid w:val="00F64B37"/>
    <w:rsid w:val="00F64D31"/>
    <w:rsid w:val="00F650C2"/>
    <w:rsid w:val="00F65441"/>
    <w:rsid w:val="00F6554E"/>
    <w:rsid w:val="00F655B6"/>
    <w:rsid w:val="00F6567A"/>
    <w:rsid w:val="00F65AFD"/>
    <w:rsid w:val="00F66185"/>
    <w:rsid w:val="00F66317"/>
    <w:rsid w:val="00F66D7A"/>
    <w:rsid w:val="00F66F72"/>
    <w:rsid w:val="00F67241"/>
    <w:rsid w:val="00F676AF"/>
    <w:rsid w:val="00F67708"/>
    <w:rsid w:val="00F67D02"/>
    <w:rsid w:val="00F700C5"/>
    <w:rsid w:val="00F70681"/>
    <w:rsid w:val="00F70727"/>
    <w:rsid w:val="00F7126E"/>
    <w:rsid w:val="00F71429"/>
    <w:rsid w:val="00F71938"/>
    <w:rsid w:val="00F71A39"/>
    <w:rsid w:val="00F71E1B"/>
    <w:rsid w:val="00F723D5"/>
    <w:rsid w:val="00F7243A"/>
    <w:rsid w:val="00F7249E"/>
    <w:rsid w:val="00F72D9A"/>
    <w:rsid w:val="00F73907"/>
    <w:rsid w:val="00F7396E"/>
    <w:rsid w:val="00F73AD1"/>
    <w:rsid w:val="00F73DC8"/>
    <w:rsid w:val="00F73F39"/>
    <w:rsid w:val="00F73F86"/>
    <w:rsid w:val="00F741D2"/>
    <w:rsid w:val="00F7446C"/>
    <w:rsid w:val="00F7475D"/>
    <w:rsid w:val="00F74D20"/>
    <w:rsid w:val="00F750E5"/>
    <w:rsid w:val="00F75746"/>
    <w:rsid w:val="00F7658E"/>
    <w:rsid w:val="00F76D86"/>
    <w:rsid w:val="00F7706A"/>
    <w:rsid w:val="00F7767B"/>
    <w:rsid w:val="00F77793"/>
    <w:rsid w:val="00F779B2"/>
    <w:rsid w:val="00F77B4D"/>
    <w:rsid w:val="00F800AE"/>
    <w:rsid w:val="00F801DC"/>
    <w:rsid w:val="00F805A7"/>
    <w:rsid w:val="00F80815"/>
    <w:rsid w:val="00F80F34"/>
    <w:rsid w:val="00F81500"/>
    <w:rsid w:val="00F81633"/>
    <w:rsid w:val="00F82058"/>
    <w:rsid w:val="00F82179"/>
    <w:rsid w:val="00F8272A"/>
    <w:rsid w:val="00F82DF8"/>
    <w:rsid w:val="00F82E23"/>
    <w:rsid w:val="00F830AC"/>
    <w:rsid w:val="00F83476"/>
    <w:rsid w:val="00F83AED"/>
    <w:rsid w:val="00F83FCB"/>
    <w:rsid w:val="00F84671"/>
    <w:rsid w:val="00F84C8D"/>
    <w:rsid w:val="00F84F0C"/>
    <w:rsid w:val="00F8547C"/>
    <w:rsid w:val="00F859F8"/>
    <w:rsid w:val="00F86039"/>
    <w:rsid w:val="00F86BFC"/>
    <w:rsid w:val="00F87008"/>
    <w:rsid w:val="00F8742F"/>
    <w:rsid w:val="00F877BA"/>
    <w:rsid w:val="00F87945"/>
    <w:rsid w:val="00F8796A"/>
    <w:rsid w:val="00F87A11"/>
    <w:rsid w:val="00F87E20"/>
    <w:rsid w:val="00F90534"/>
    <w:rsid w:val="00F90A34"/>
    <w:rsid w:val="00F91042"/>
    <w:rsid w:val="00F91299"/>
    <w:rsid w:val="00F91300"/>
    <w:rsid w:val="00F91439"/>
    <w:rsid w:val="00F917F7"/>
    <w:rsid w:val="00F91A49"/>
    <w:rsid w:val="00F91AC0"/>
    <w:rsid w:val="00F92592"/>
    <w:rsid w:val="00F9298B"/>
    <w:rsid w:val="00F92C16"/>
    <w:rsid w:val="00F932C7"/>
    <w:rsid w:val="00F93695"/>
    <w:rsid w:val="00F93C00"/>
    <w:rsid w:val="00F944D6"/>
    <w:rsid w:val="00F944F5"/>
    <w:rsid w:val="00F94BBE"/>
    <w:rsid w:val="00F96006"/>
    <w:rsid w:val="00F9608C"/>
    <w:rsid w:val="00F963E9"/>
    <w:rsid w:val="00F96424"/>
    <w:rsid w:val="00F9654A"/>
    <w:rsid w:val="00F96562"/>
    <w:rsid w:val="00F96A38"/>
    <w:rsid w:val="00F96A77"/>
    <w:rsid w:val="00F96C73"/>
    <w:rsid w:val="00F975A7"/>
    <w:rsid w:val="00F97E3F"/>
    <w:rsid w:val="00FA0A07"/>
    <w:rsid w:val="00FA0AD9"/>
    <w:rsid w:val="00FA1185"/>
    <w:rsid w:val="00FA11BA"/>
    <w:rsid w:val="00FA122A"/>
    <w:rsid w:val="00FA130E"/>
    <w:rsid w:val="00FA14C9"/>
    <w:rsid w:val="00FA1C6A"/>
    <w:rsid w:val="00FA263D"/>
    <w:rsid w:val="00FA2CBC"/>
    <w:rsid w:val="00FA2DF0"/>
    <w:rsid w:val="00FA2E20"/>
    <w:rsid w:val="00FA31E3"/>
    <w:rsid w:val="00FA3489"/>
    <w:rsid w:val="00FA34FD"/>
    <w:rsid w:val="00FA42B6"/>
    <w:rsid w:val="00FA5020"/>
    <w:rsid w:val="00FA5265"/>
    <w:rsid w:val="00FA5974"/>
    <w:rsid w:val="00FA5FD6"/>
    <w:rsid w:val="00FA63C2"/>
    <w:rsid w:val="00FA6AEE"/>
    <w:rsid w:val="00FA6D0D"/>
    <w:rsid w:val="00FA79BC"/>
    <w:rsid w:val="00FA7D96"/>
    <w:rsid w:val="00FA7F52"/>
    <w:rsid w:val="00FB00E5"/>
    <w:rsid w:val="00FB0402"/>
    <w:rsid w:val="00FB0C6C"/>
    <w:rsid w:val="00FB190E"/>
    <w:rsid w:val="00FB1E3B"/>
    <w:rsid w:val="00FB26F0"/>
    <w:rsid w:val="00FB26FE"/>
    <w:rsid w:val="00FB29B1"/>
    <w:rsid w:val="00FB2A74"/>
    <w:rsid w:val="00FB2D6A"/>
    <w:rsid w:val="00FB3898"/>
    <w:rsid w:val="00FB38DE"/>
    <w:rsid w:val="00FB3AC2"/>
    <w:rsid w:val="00FB3C9E"/>
    <w:rsid w:val="00FB4106"/>
    <w:rsid w:val="00FB446E"/>
    <w:rsid w:val="00FB4524"/>
    <w:rsid w:val="00FB478B"/>
    <w:rsid w:val="00FB49EF"/>
    <w:rsid w:val="00FB4D4B"/>
    <w:rsid w:val="00FB50DB"/>
    <w:rsid w:val="00FB52DA"/>
    <w:rsid w:val="00FB56C9"/>
    <w:rsid w:val="00FB67B6"/>
    <w:rsid w:val="00FB6A22"/>
    <w:rsid w:val="00FB6AA8"/>
    <w:rsid w:val="00FB6CA4"/>
    <w:rsid w:val="00FB7021"/>
    <w:rsid w:val="00FB72D5"/>
    <w:rsid w:val="00FB77C5"/>
    <w:rsid w:val="00FC02FD"/>
    <w:rsid w:val="00FC09C8"/>
    <w:rsid w:val="00FC0BC4"/>
    <w:rsid w:val="00FC12AC"/>
    <w:rsid w:val="00FC14A4"/>
    <w:rsid w:val="00FC1A3E"/>
    <w:rsid w:val="00FC1C29"/>
    <w:rsid w:val="00FC1D2E"/>
    <w:rsid w:val="00FC1DB1"/>
    <w:rsid w:val="00FC2098"/>
    <w:rsid w:val="00FC28E9"/>
    <w:rsid w:val="00FC2D70"/>
    <w:rsid w:val="00FC2DDE"/>
    <w:rsid w:val="00FC2E12"/>
    <w:rsid w:val="00FC354F"/>
    <w:rsid w:val="00FC37AC"/>
    <w:rsid w:val="00FC39C7"/>
    <w:rsid w:val="00FC3DD7"/>
    <w:rsid w:val="00FC40F3"/>
    <w:rsid w:val="00FC4690"/>
    <w:rsid w:val="00FC4A8E"/>
    <w:rsid w:val="00FC4B00"/>
    <w:rsid w:val="00FC4CDF"/>
    <w:rsid w:val="00FC4F5A"/>
    <w:rsid w:val="00FC5381"/>
    <w:rsid w:val="00FC54BD"/>
    <w:rsid w:val="00FC551E"/>
    <w:rsid w:val="00FC5734"/>
    <w:rsid w:val="00FC576B"/>
    <w:rsid w:val="00FC579B"/>
    <w:rsid w:val="00FC5BF3"/>
    <w:rsid w:val="00FC5EEE"/>
    <w:rsid w:val="00FC5F7E"/>
    <w:rsid w:val="00FC5FD5"/>
    <w:rsid w:val="00FC6261"/>
    <w:rsid w:val="00FC666A"/>
    <w:rsid w:val="00FC6672"/>
    <w:rsid w:val="00FC66F6"/>
    <w:rsid w:val="00FC6C58"/>
    <w:rsid w:val="00FC754C"/>
    <w:rsid w:val="00FC763A"/>
    <w:rsid w:val="00FC768E"/>
    <w:rsid w:val="00FC78AA"/>
    <w:rsid w:val="00FC7C8D"/>
    <w:rsid w:val="00FC7D0F"/>
    <w:rsid w:val="00FC7F32"/>
    <w:rsid w:val="00FD09C0"/>
    <w:rsid w:val="00FD0A24"/>
    <w:rsid w:val="00FD0A7D"/>
    <w:rsid w:val="00FD0DF9"/>
    <w:rsid w:val="00FD189A"/>
    <w:rsid w:val="00FD226A"/>
    <w:rsid w:val="00FD2415"/>
    <w:rsid w:val="00FD288E"/>
    <w:rsid w:val="00FD28D0"/>
    <w:rsid w:val="00FD2987"/>
    <w:rsid w:val="00FD29EC"/>
    <w:rsid w:val="00FD2F3C"/>
    <w:rsid w:val="00FD34E7"/>
    <w:rsid w:val="00FD459B"/>
    <w:rsid w:val="00FD484C"/>
    <w:rsid w:val="00FD5819"/>
    <w:rsid w:val="00FD5BF3"/>
    <w:rsid w:val="00FD5DDE"/>
    <w:rsid w:val="00FD6518"/>
    <w:rsid w:val="00FD6899"/>
    <w:rsid w:val="00FD691B"/>
    <w:rsid w:val="00FD6C34"/>
    <w:rsid w:val="00FD6CA3"/>
    <w:rsid w:val="00FD6D44"/>
    <w:rsid w:val="00FD7301"/>
    <w:rsid w:val="00FD7775"/>
    <w:rsid w:val="00FD7A84"/>
    <w:rsid w:val="00FD7C4C"/>
    <w:rsid w:val="00FD7EFC"/>
    <w:rsid w:val="00FE00CB"/>
    <w:rsid w:val="00FE0723"/>
    <w:rsid w:val="00FE0E4C"/>
    <w:rsid w:val="00FE1889"/>
    <w:rsid w:val="00FE1A80"/>
    <w:rsid w:val="00FE218E"/>
    <w:rsid w:val="00FE280C"/>
    <w:rsid w:val="00FE2B0C"/>
    <w:rsid w:val="00FE35F8"/>
    <w:rsid w:val="00FE3A4B"/>
    <w:rsid w:val="00FE3EC5"/>
    <w:rsid w:val="00FE43BB"/>
    <w:rsid w:val="00FE4775"/>
    <w:rsid w:val="00FE4A3A"/>
    <w:rsid w:val="00FE4FE4"/>
    <w:rsid w:val="00FE5038"/>
    <w:rsid w:val="00FE50F1"/>
    <w:rsid w:val="00FE53F8"/>
    <w:rsid w:val="00FE5442"/>
    <w:rsid w:val="00FE582A"/>
    <w:rsid w:val="00FE595E"/>
    <w:rsid w:val="00FE60D1"/>
    <w:rsid w:val="00FE68C8"/>
    <w:rsid w:val="00FE6B00"/>
    <w:rsid w:val="00FE6C49"/>
    <w:rsid w:val="00FE6CC8"/>
    <w:rsid w:val="00FE71C8"/>
    <w:rsid w:val="00FE73C6"/>
    <w:rsid w:val="00FE7DC6"/>
    <w:rsid w:val="00FEC27B"/>
    <w:rsid w:val="00FF0046"/>
    <w:rsid w:val="00FF00D7"/>
    <w:rsid w:val="00FF01D6"/>
    <w:rsid w:val="00FF03A1"/>
    <w:rsid w:val="00FF03FB"/>
    <w:rsid w:val="00FF07EC"/>
    <w:rsid w:val="00FF09BD"/>
    <w:rsid w:val="00FF0E25"/>
    <w:rsid w:val="00FF0EEA"/>
    <w:rsid w:val="00FF0F2F"/>
    <w:rsid w:val="00FF119B"/>
    <w:rsid w:val="00FF11AF"/>
    <w:rsid w:val="00FF12F9"/>
    <w:rsid w:val="00FF141F"/>
    <w:rsid w:val="00FF1570"/>
    <w:rsid w:val="00FF1ACB"/>
    <w:rsid w:val="00FF1B29"/>
    <w:rsid w:val="00FF1CF1"/>
    <w:rsid w:val="00FF1EAE"/>
    <w:rsid w:val="00FF2205"/>
    <w:rsid w:val="00FF31C0"/>
    <w:rsid w:val="00FF3444"/>
    <w:rsid w:val="00FF394B"/>
    <w:rsid w:val="00FF3973"/>
    <w:rsid w:val="00FF3DAE"/>
    <w:rsid w:val="00FF3DE6"/>
    <w:rsid w:val="00FF4473"/>
    <w:rsid w:val="00FF4EAD"/>
    <w:rsid w:val="00FF4EEB"/>
    <w:rsid w:val="00FF500F"/>
    <w:rsid w:val="00FF5344"/>
    <w:rsid w:val="00FF5696"/>
    <w:rsid w:val="00FF5916"/>
    <w:rsid w:val="00FF5BDA"/>
    <w:rsid w:val="00FF5E10"/>
    <w:rsid w:val="00FF5E5D"/>
    <w:rsid w:val="00FF6489"/>
    <w:rsid w:val="00FF6773"/>
    <w:rsid w:val="00FF685E"/>
    <w:rsid w:val="00FF69D9"/>
    <w:rsid w:val="00FF6A5B"/>
    <w:rsid w:val="00FF78AC"/>
    <w:rsid w:val="00FF7963"/>
    <w:rsid w:val="00FF7EBA"/>
    <w:rsid w:val="01051AD9"/>
    <w:rsid w:val="010FF512"/>
    <w:rsid w:val="011F3681"/>
    <w:rsid w:val="01240B27"/>
    <w:rsid w:val="01401DE5"/>
    <w:rsid w:val="0147147B"/>
    <w:rsid w:val="01489605"/>
    <w:rsid w:val="01493CBF"/>
    <w:rsid w:val="014B8CB4"/>
    <w:rsid w:val="014BE855"/>
    <w:rsid w:val="01561BAC"/>
    <w:rsid w:val="015A77EE"/>
    <w:rsid w:val="01613DD3"/>
    <w:rsid w:val="01631AC4"/>
    <w:rsid w:val="0163614A"/>
    <w:rsid w:val="0168E4F2"/>
    <w:rsid w:val="016D9868"/>
    <w:rsid w:val="016DA13A"/>
    <w:rsid w:val="017123D5"/>
    <w:rsid w:val="01719FEF"/>
    <w:rsid w:val="0174C053"/>
    <w:rsid w:val="017DD93A"/>
    <w:rsid w:val="01833583"/>
    <w:rsid w:val="01834FE2"/>
    <w:rsid w:val="01899C50"/>
    <w:rsid w:val="0190DA33"/>
    <w:rsid w:val="0191B086"/>
    <w:rsid w:val="0197753D"/>
    <w:rsid w:val="01982F52"/>
    <w:rsid w:val="019A4DCE"/>
    <w:rsid w:val="019C5193"/>
    <w:rsid w:val="01A7D8EB"/>
    <w:rsid w:val="01B55BAF"/>
    <w:rsid w:val="01BE5CF5"/>
    <w:rsid w:val="01C1F3BE"/>
    <w:rsid w:val="01C3E6BB"/>
    <w:rsid w:val="01C401D7"/>
    <w:rsid w:val="01C7B831"/>
    <w:rsid w:val="01D82BCB"/>
    <w:rsid w:val="01D98CA6"/>
    <w:rsid w:val="01DB5B81"/>
    <w:rsid w:val="01DDB11A"/>
    <w:rsid w:val="01E90892"/>
    <w:rsid w:val="01ECA600"/>
    <w:rsid w:val="01EE5868"/>
    <w:rsid w:val="01EE5DF0"/>
    <w:rsid w:val="01FBDA7D"/>
    <w:rsid w:val="0201A34C"/>
    <w:rsid w:val="021621F9"/>
    <w:rsid w:val="02171A2E"/>
    <w:rsid w:val="02281EFC"/>
    <w:rsid w:val="022A24A5"/>
    <w:rsid w:val="022E0898"/>
    <w:rsid w:val="02318F57"/>
    <w:rsid w:val="0236719B"/>
    <w:rsid w:val="023CC1ED"/>
    <w:rsid w:val="0242EBFA"/>
    <w:rsid w:val="02446FA7"/>
    <w:rsid w:val="02573E53"/>
    <w:rsid w:val="025DCF6E"/>
    <w:rsid w:val="025ECC03"/>
    <w:rsid w:val="025F3C27"/>
    <w:rsid w:val="02741A15"/>
    <w:rsid w:val="027D63E6"/>
    <w:rsid w:val="0282211B"/>
    <w:rsid w:val="028BBDFC"/>
    <w:rsid w:val="0290FF4F"/>
    <w:rsid w:val="029DFCA4"/>
    <w:rsid w:val="02A70F47"/>
    <w:rsid w:val="02A9E84F"/>
    <w:rsid w:val="02AC5E0E"/>
    <w:rsid w:val="02C9D1BA"/>
    <w:rsid w:val="02CCB4B5"/>
    <w:rsid w:val="02D33013"/>
    <w:rsid w:val="02D7E490"/>
    <w:rsid w:val="02DB518F"/>
    <w:rsid w:val="02E3FF88"/>
    <w:rsid w:val="02E5181A"/>
    <w:rsid w:val="02EF60E1"/>
    <w:rsid w:val="02F39C9D"/>
    <w:rsid w:val="02F435C8"/>
    <w:rsid w:val="02FC0A23"/>
    <w:rsid w:val="02FF00B7"/>
    <w:rsid w:val="0301C045"/>
    <w:rsid w:val="0302F804"/>
    <w:rsid w:val="030C43B4"/>
    <w:rsid w:val="030CA623"/>
    <w:rsid w:val="030CECE7"/>
    <w:rsid w:val="030D92F8"/>
    <w:rsid w:val="030EBA3F"/>
    <w:rsid w:val="0316D369"/>
    <w:rsid w:val="031770D0"/>
    <w:rsid w:val="0317DB4F"/>
    <w:rsid w:val="0319F013"/>
    <w:rsid w:val="0326B8B5"/>
    <w:rsid w:val="032C1FC5"/>
    <w:rsid w:val="033F526D"/>
    <w:rsid w:val="03442440"/>
    <w:rsid w:val="0365906D"/>
    <w:rsid w:val="036C62A5"/>
    <w:rsid w:val="03754613"/>
    <w:rsid w:val="038929E0"/>
    <w:rsid w:val="039DAB42"/>
    <w:rsid w:val="039F4AA2"/>
    <w:rsid w:val="03A20BF8"/>
    <w:rsid w:val="03A8BB0B"/>
    <w:rsid w:val="03B1B0C4"/>
    <w:rsid w:val="03B3CC98"/>
    <w:rsid w:val="03C1BA58"/>
    <w:rsid w:val="03C30BB4"/>
    <w:rsid w:val="03CF72E0"/>
    <w:rsid w:val="03D407A4"/>
    <w:rsid w:val="03D6B50B"/>
    <w:rsid w:val="03D9B172"/>
    <w:rsid w:val="03D9CE7F"/>
    <w:rsid w:val="03E0A415"/>
    <w:rsid w:val="03E63DAF"/>
    <w:rsid w:val="03EA1813"/>
    <w:rsid w:val="03EA2CA4"/>
    <w:rsid w:val="03EF5B0F"/>
    <w:rsid w:val="03F08AC0"/>
    <w:rsid w:val="03F9CC01"/>
    <w:rsid w:val="03FFBA0F"/>
    <w:rsid w:val="03FFC29D"/>
    <w:rsid w:val="040DB306"/>
    <w:rsid w:val="0414D923"/>
    <w:rsid w:val="04154350"/>
    <w:rsid w:val="04159A5D"/>
    <w:rsid w:val="041EC921"/>
    <w:rsid w:val="042698B8"/>
    <w:rsid w:val="04275BD4"/>
    <w:rsid w:val="042A1619"/>
    <w:rsid w:val="042CCFB0"/>
    <w:rsid w:val="04370764"/>
    <w:rsid w:val="043F6DCA"/>
    <w:rsid w:val="044797AA"/>
    <w:rsid w:val="044B3367"/>
    <w:rsid w:val="044D5DFF"/>
    <w:rsid w:val="04567198"/>
    <w:rsid w:val="045BA070"/>
    <w:rsid w:val="047A3D23"/>
    <w:rsid w:val="0482D139"/>
    <w:rsid w:val="0483C683"/>
    <w:rsid w:val="048D779E"/>
    <w:rsid w:val="048F44DE"/>
    <w:rsid w:val="0492DC77"/>
    <w:rsid w:val="0492EDD2"/>
    <w:rsid w:val="04980355"/>
    <w:rsid w:val="04A03762"/>
    <w:rsid w:val="04A7F2E4"/>
    <w:rsid w:val="04AC43C1"/>
    <w:rsid w:val="04B31EBC"/>
    <w:rsid w:val="04B3A565"/>
    <w:rsid w:val="04B83384"/>
    <w:rsid w:val="04C578C1"/>
    <w:rsid w:val="04C658F3"/>
    <w:rsid w:val="04C9E0CD"/>
    <w:rsid w:val="04CE4DBD"/>
    <w:rsid w:val="04CEE8D1"/>
    <w:rsid w:val="04D3E453"/>
    <w:rsid w:val="0504B63C"/>
    <w:rsid w:val="050A8B7E"/>
    <w:rsid w:val="050C5E9A"/>
    <w:rsid w:val="051551DC"/>
    <w:rsid w:val="05196F47"/>
    <w:rsid w:val="052162A9"/>
    <w:rsid w:val="052573FB"/>
    <w:rsid w:val="05261684"/>
    <w:rsid w:val="052798C5"/>
    <w:rsid w:val="052ABE5E"/>
    <w:rsid w:val="0536C2E2"/>
    <w:rsid w:val="0536E087"/>
    <w:rsid w:val="05384D46"/>
    <w:rsid w:val="053BD144"/>
    <w:rsid w:val="053F1451"/>
    <w:rsid w:val="05456D98"/>
    <w:rsid w:val="05489322"/>
    <w:rsid w:val="054B5B81"/>
    <w:rsid w:val="054CBDDE"/>
    <w:rsid w:val="0553ECC0"/>
    <w:rsid w:val="055D6452"/>
    <w:rsid w:val="0565278B"/>
    <w:rsid w:val="0566CE62"/>
    <w:rsid w:val="056B4341"/>
    <w:rsid w:val="056D96E0"/>
    <w:rsid w:val="0570556A"/>
    <w:rsid w:val="057078A3"/>
    <w:rsid w:val="0578609A"/>
    <w:rsid w:val="05806068"/>
    <w:rsid w:val="058FE05F"/>
    <w:rsid w:val="05906ECF"/>
    <w:rsid w:val="0591FCBB"/>
    <w:rsid w:val="05984537"/>
    <w:rsid w:val="059A0A7F"/>
    <w:rsid w:val="059B8A70"/>
    <w:rsid w:val="05A080D9"/>
    <w:rsid w:val="05A8091E"/>
    <w:rsid w:val="05AB691C"/>
    <w:rsid w:val="05BABE3E"/>
    <w:rsid w:val="05C1C587"/>
    <w:rsid w:val="05CD6ECA"/>
    <w:rsid w:val="05DED124"/>
    <w:rsid w:val="05E43CEC"/>
    <w:rsid w:val="05F122DB"/>
    <w:rsid w:val="05F173BD"/>
    <w:rsid w:val="05F8E35C"/>
    <w:rsid w:val="05FA775A"/>
    <w:rsid w:val="05FA7886"/>
    <w:rsid w:val="05FF4FEC"/>
    <w:rsid w:val="060242CD"/>
    <w:rsid w:val="06050228"/>
    <w:rsid w:val="060C28B3"/>
    <w:rsid w:val="061C6FB8"/>
    <w:rsid w:val="061F5843"/>
    <w:rsid w:val="0624CB2A"/>
    <w:rsid w:val="062929B7"/>
    <w:rsid w:val="0630717F"/>
    <w:rsid w:val="06335B7C"/>
    <w:rsid w:val="06350F4B"/>
    <w:rsid w:val="0638481C"/>
    <w:rsid w:val="06388DA3"/>
    <w:rsid w:val="0639AE3B"/>
    <w:rsid w:val="063F52E7"/>
    <w:rsid w:val="064B66EB"/>
    <w:rsid w:val="064C93CA"/>
    <w:rsid w:val="0659FBFE"/>
    <w:rsid w:val="0662030F"/>
    <w:rsid w:val="06642C8B"/>
    <w:rsid w:val="066BCAB0"/>
    <w:rsid w:val="0675F83B"/>
    <w:rsid w:val="067DFA83"/>
    <w:rsid w:val="067E8392"/>
    <w:rsid w:val="06919FA1"/>
    <w:rsid w:val="0694AD40"/>
    <w:rsid w:val="06B1094A"/>
    <w:rsid w:val="06B5A622"/>
    <w:rsid w:val="06B78FC2"/>
    <w:rsid w:val="06BAF64C"/>
    <w:rsid w:val="06BBA794"/>
    <w:rsid w:val="06C94587"/>
    <w:rsid w:val="06CC4DDB"/>
    <w:rsid w:val="06CFABD2"/>
    <w:rsid w:val="06E44FC0"/>
    <w:rsid w:val="06E881A5"/>
    <w:rsid w:val="06EE4A14"/>
    <w:rsid w:val="06F82C6A"/>
    <w:rsid w:val="06FAE404"/>
    <w:rsid w:val="06FB04D8"/>
    <w:rsid w:val="06FE54C1"/>
    <w:rsid w:val="06FEF110"/>
    <w:rsid w:val="070A6113"/>
    <w:rsid w:val="070BD7F0"/>
    <w:rsid w:val="07124D6B"/>
    <w:rsid w:val="07136892"/>
    <w:rsid w:val="07263F01"/>
    <w:rsid w:val="072DD67B"/>
    <w:rsid w:val="072DEA06"/>
    <w:rsid w:val="072F2F8D"/>
    <w:rsid w:val="0730E230"/>
    <w:rsid w:val="0734FD0F"/>
    <w:rsid w:val="073B62E6"/>
    <w:rsid w:val="073D2CE5"/>
    <w:rsid w:val="0743636A"/>
    <w:rsid w:val="07446903"/>
    <w:rsid w:val="07548BDA"/>
    <w:rsid w:val="0755B728"/>
    <w:rsid w:val="0757572B"/>
    <w:rsid w:val="076348C2"/>
    <w:rsid w:val="0767E22D"/>
    <w:rsid w:val="076A58FF"/>
    <w:rsid w:val="07767367"/>
    <w:rsid w:val="077E6D78"/>
    <w:rsid w:val="0784835A"/>
    <w:rsid w:val="078A0AF2"/>
    <w:rsid w:val="07949DAA"/>
    <w:rsid w:val="07954F66"/>
    <w:rsid w:val="0796B3A5"/>
    <w:rsid w:val="07B24D12"/>
    <w:rsid w:val="07B27115"/>
    <w:rsid w:val="07B4FFE1"/>
    <w:rsid w:val="07B56188"/>
    <w:rsid w:val="07BF4F12"/>
    <w:rsid w:val="07C7226A"/>
    <w:rsid w:val="07C7C511"/>
    <w:rsid w:val="07CDF3A3"/>
    <w:rsid w:val="07CECB69"/>
    <w:rsid w:val="07D5943D"/>
    <w:rsid w:val="07DC4A73"/>
    <w:rsid w:val="07E10E03"/>
    <w:rsid w:val="07E187C5"/>
    <w:rsid w:val="07E237E5"/>
    <w:rsid w:val="07EABB3D"/>
    <w:rsid w:val="07FC3140"/>
    <w:rsid w:val="08064AC1"/>
    <w:rsid w:val="08069051"/>
    <w:rsid w:val="0809EAEA"/>
    <w:rsid w:val="08103B90"/>
    <w:rsid w:val="081C98AE"/>
    <w:rsid w:val="081DAB07"/>
    <w:rsid w:val="082090C7"/>
    <w:rsid w:val="0835B224"/>
    <w:rsid w:val="0837F80B"/>
    <w:rsid w:val="083B129D"/>
    <w:rsid w:val="083C6C0A"/>
    <w:rsid w:val="084A0851"/>
    <w:rsid w:val="084F2C9F"/>
    <w:rsid w:val="08592084"/>
    <w:rsid w:val="0864084A"/>
    <w:rsid w:val="0864295E"/>
    <w:rsid w:val="0864AB19"/>
    <w:rsid w:val="08715F2F"/>
    <w:rsid w:val="087FD57E"/>
    <w:rsid w:val="088BA7E4"/>
    <w:rsid w:val="088FEC67"/>
    <w:rsid w:val="0894415D"/>
    <w:rsid w:val="0898BDC8"/>
    <w:rsid w:val="08AB1ED9"/>
    <w:rsid w:val="08B0DFA8"/>
    <w:rsid w:val="08B295D1"/>
    <w:rsid w:val="08B55D57"/>
    <w:rsid w:val="08BC9CE1"/>
    <w:rsid w:val="08BCCB56"/>
    <w:rsid w:val="08BD9213"/>
    <w:rsid w:val="08BF94CA"/>
    <w:rsid w:val="08BFD51F"/>
    <w:rsid w:val="08C34699"/>
    <w:rsid w:val="08C710A0"/>
    <w:rsid w:val="08C958B4"/>
    <w:rsid w:val="08F69134"/>
    <w:rsid w:val="08FAABC0"/>
    <w:rsid w:val="08FECF4E"/>
    <w:rsid w:val="08FFF81A"/>
    <w:rsid w:val="0907C3CE"/>
    <w:rsid w:val="090C11F8"/>
    <w:rsid w:val="0930167F"/>
    <w:rsid w:val="0940A440"/>
    <w:rsid w:val="09421657"/>
    <w:rsid w:val="09434CB9"/>
    <w:rsid w:val="094390CB"/>
    <w:rsid w:val="0949BBDF"/>
    <w:rsid w:val="094CD3C7"/>
    <w:rsid w:val="094F083C"/>
    <w:rsid w:val="0950E176"/>
    <w:rsid w:val="0953B784"/>
    <w:rsid w:val="09580C13"/>
    <w:rsid w:val="095ACE7A"/>
    <w:rsid w:val="09615288"/>
    <w:rsid w:val="096E9D01"/>
    <w:rsid w:val="0973F6D7"/>
    <w:rsid w:val="097666CF"/>
    <w:rsid w:val="0979E731"/>
    <w:rsid w:val="097B88CA"/>
    <w:rsid w:val="097C1474"/>
    <w:rsid w:val="097CB734"/>
    <w:rsid w:val="097F6284"/>
    <w:rsid w:val="0983E28A"/>
    <w:rsid w:val="09855BEE"/>
    <w:rsid w:val="098CB767"/>
    <w:rsid w:val="0993F06D"/>
    <w:rsid w:val="09A246A0"/>
    <w:rsid w:val="09A4F754"/>
    <w:rsid w:val="09B85FCE"/>
    <w:rsid w:val="09C43A29"/>
    <w:rsid w:val="09C54E40"/>
    <w:rsid w:val="09CAC18C"/>
    <w:rsid w:val="09D4FE4A"/>
    <w:rsid w:val="09ED2CC9"/>
    <w:rsid w:val="09EE2D38"/>
    <w:rsid w:val="09EF2273"/>
    <w:rsid w:val="09F39123"/>
    <w:rsid w:val="09F54E8A"/>
    <w:rsid w:val="09F8F818"/>
    <w:rsid w:val="09FA2086"/>
    <w:rsid w:val="0A00A51D"/>
    <w:rsid w:val="0A01EF81"/>
    <w:rsid w:val="0A01F6B4"/>
    <w:rsid w:val="0A0212FE"/>
    <w:rsid w:val="0A072E85"/>
    <w:rsid w:val="0A09180D"/>
    <w:rsid w:val="0A093309"/>
    <w:rsid w:val="0A0B6A71"/>
    <w:rsid w:val="0A104A39"/>
    <w:rsid w:val="0A10DB61"/>
    <w:rsid w:val="0A15A9E9"/>
    <w:rsid w:val="0A195F42"/>
    <w:rsid w:val="0A2BE757"/>
    <w:rsid w:val="0A2D60D5"/>
    <w:rsid w:val="0A3A88DB"/>
    <w:rsid w:val="0A3F0EFC"/>
    <w:rsid w:val="0A440286"/>
    <w:rsid w:val="0A48F211"/>
    <w:rsid w:val="0A528E88"/>
    <w:rsid w:val="0A5CAF91"/>
    <w:rsid w:val="0A5D41F7"/>
    <w:rsid w:val="0A7703D4"/>
    <w:rsid w:val="0A88EE66"/>
    <w:rsid w:val="0A8A5726"/>
    <w:rsid w:val="0A9726F2"/>
    <w:rsid w:val="0A9D6687"/>
    <w:rsid w:val="0AA0CBCE"/>
    <w:rsid w:val="0AA2A8BF"/>
    <w:rsid w:val="0AA9D457"/>
    <w:rsid w:val="0AB27CCD"/>
    <w:rsid w:val="0AD1428C"/>
    <w:rsid w:val="0AD92BEB"/>
    <w:rsid w:val="0ADF8E8F"/>
    <w:rsid w:val="0AE2FF6F"/>
    <w:rsid w:val="0B074ABF"/>
    <w:rsid w:val="0B0DE538"/>
    <w:rsid w:val="0B1D9690"/>
    <w:rsid w:val="0B247CA3"/>
    <w:rsid w:val="0B3B9B67"/>
    <w:rsid w:val="0B3C492E"/>
    <w:rsid w:val="0B5B6EBE"/>
    <w:rsid w:val="0B624B9D"/>
    <w:rsid w:val="0B64613B"/>
    <w:rsid w:val="0B65FB61"/>
    <w:rsid w:val="0B691DF9"/>
    <w:rsid w:val="0B7F0E11"/>
    <w:rsid w:val="0B7FE808"/>
    <w:rsid w:val="0B842184"/>
    <w:rsid w:val="0B85CE51"/>
    <w:rsid w:val="0B8F9B3D"/>
    <w:rsid w:val="0B9174F3"/>
    <w:rsid w:val="0BA93423"/>
    <w:rsid w:val="0BB21714"/>
    <w:rsid w:val="0BB549DE"/>
    <w:rsid w:val="0BB5E14A"/>
    <w:rsid w:val="0BB5EFCF"/>
    <w:rsid w:val="0BBD4452"/>
    <w:rsid w:val="0BC85D18"/>
    <w:rsid w:val="0BD08FF4"/>
    <w:rsid w:val="0BD97872"/>
    <w:rsid w:val="0BDB7039"/>
    <w:rsid w:val="0BDD6264"/>
    <w:rsid w:val="0BE3A433"/>
    <w:rsid w:val="0BEEDCB2"/>
    <w:rsid w:val="0BFB772C"/>
    <w:rsid w:val="0BFFD296"/>
    <w:rsid w:val="0C08EAA4"/>
    <w:rsid w:val="0C1066EC"/>
    <w:rsid w:val="0C137E0F"/>
    <w:rsid w:val="0C1446BF"/>
    <w:rsid w:val="0C17ECDF"/>
    <w:rsid w:val="0C23190F"/>
    <w:rsid w:val="0C24A1C5"/>
    <w:rsid w:val="0C29B4B1"/>
    <w:rsid w:val="0C34427C"/>
    <w:rsid w:val="0C346058"/>
    <w:rsid w:val="0C346CA8"/>
    <w:rsid w:val="0C46233B"/>
    <w:rsid w:val="0C53FEE6"/>
    <w:rsid w:val="0C59AFAE"/>
    <w:rsid w:val="0C5E26D2"/>
    <w:rsid w:val="0C60117B"/>
    <w:rsid w:val="0C636E75"/>
    <w:rsid w:val="0C6CFDA8"/>
    <w:rsid w:val="0C735761"/>
    <w:rsid w:val="0C767C5B"/>
    <w:rsid w:val="0C7AE3CD"/>
    <w:rsid w:val="0C7F1550"/>
    <w:rsid w:val="0C84E5D2"/>
    <w:rsid w:val="0C859C0F"/>
    <w:rsid w:val="0C8653B6"/>
    <w:rsid w:val="0C88573E"/>
    <w:rsid w:val="0C8B90B7"/>
    <w:rsid w:val="0C8DBFB9"/>
    <w:rsid w:val="0CA898A7"/>
    <w:rsid w:val="0CAD1F89"/>
    <w:rsid w:val="0CAEAD2A"/>
    <w:rsid w:val="0CAEE42D"/>
    <w:rsid w:val="0CB0A030"/>
    <w:rsid w:val="0CB2A2C9"/>
    <w:rsid w:val="0CBEEE1E"/>
    <w:rsid w:val="0CC14D1A"/>
    <w:rsid w:val="0CC57F94"/>
    <w:rsid w:val="0CC6882B"/>
    <w:rsid w:val="0CD162B1"/>
    <w:rsid w:val="0CDC044A"/>
    <w:rsid w:val="0CDEF50D"/>
    <w:rsid w:val="0CE48566"/>
    <w:rsid w:val="0CEC777B"/>
    <w:rsid w:val="0CF5DDE4"/>
    <w:rsid w:val="0CFC22EA"/>
    <w:rsid w:val="0D0D3FB4"/>
    <w:rsid w:val="0D1E9D8D"/>
    <w:rsid w:val="0D22BE37"/>
    <w:rsid w:val="0D249BAD"/>
    <w:rsid w:val="0D2853F1"/>
    <w:rsid w:val="0D2BF9C2"/>
    <w:rsid w:val="0D30F53C"/>
    <w:rsid w:val="0D35F637"/>
    <w:rsid w:val="0D3F35CF"/>
    <w:rsid w:val="0D3F3BBE"/>
    <w:rsid w:val="0D448D88"/>
    <w:rsid w:val="0D487BD7"/>
    <w:rsid w:val="0D4BD307"/>
    <w:rsid w:val="0D554EB1"/>
    <w:rsid w:val="0D6B2F71"/>
    <w:rsid w:val="0D6DF7C2"/>
    <w:rsid w:val="0D79239B"/>
    <w:rsid w:val="0D8A8C27"/>
    <w:rsid w:val="0D91671C"/>
    <w:rsid w:val="0D9C715D"/>
    <w:rsid w:val="0DA1E033"/>
    <w:rsid w:val="0DA3A8A5"/>
    <w:rsid w:val="0DB05A0F"/>
    <w:rsid w:val="0DB91D01"/>
    <w:rsid w:val="0DBBC7C8"/>
    <w:rsid w:val="0DBC5F40"/>
    <w:rsid w:val="0DBF88AF"/>
    <w:rsid w:val="0DC36B71"/>
    <w:rsid w:val="0DCC1892"/>
    <w:rsid w:val="0DCFFA0B"/>
    <w:rsid w:val="0DDB8DE9"/>
    <w:rsid w:val="0DDD8FD9"/>
    <w:rsid w:val="0DE398F3"/>
    <w:rsid w:val="0DE3A488"/>
    <w:rsid w:val="0DE3CCC4"/>
    <w:rsid w:val="0DECC7DF"/>
    <w:rsid w:val="0DEF1044"/>
    <w:rsid w:val="0DF8C79F"/>
    <w:rsid w:val="0E04AA68"/>
    <w:rsid w:val="0E10F689"/>
    <w:rsid w:val="0E12AF63"/>
    <w:rsid w:val="0E16B253"/>
    <w:rsid w:val="0E189C76"/>
    <w:rsid w:val="0E1DB7D5"/>
    <w:rsid w:val="0E1FCC7B"/>
    <w:rsid w:val="0E2692C2"/>
    <w:rsid w:val="0E2F6078"/>
    <w:rsid w:val="0E30E679"/>
    <w:rsid w:val="0E34B74C"/>
    <w:rsid w:val="0E385597"/>
    <w:rsid w:val="0E3D7374"/>
    <w:rsid w:val="0E47A417"/>
    <w:rsid w:val="0E4B5CC5"/>
    <w:rsid w:val="0E4FF0C5"/>
    <w:rsid w:val="0E525364"/>
    <w:rsid w:val="0E529018"/>
    <w:rsid w:val="0E676792"/>
    <w:rsid w:val="0E6934B4"/>
    <w:rsid w:val="0E69F7B3"/>
    <w:rsid w:val="0E6B216F"/>
    <w:rsid w:val="0E6BF90C"/>
    <w:rsid w:val="0E8007DD"/>
    <w:rsid w:val="0E85A33A"/>
    <w:rsid w:val="0E8E7033"/>
    <w:rsid w:val="0EB42965"/>
    <w:rsid w:val="0EBB7AC7"/>
    <w:rsid w:val="0EC2627F"/>
    <w:rsid w:val="0EC64B48"/>
    <w:rsid w:val="0EC85C7D"/>
    <w:rsid w:val="0EC8BE38"/>
    <w:rsid w:val="0ECB4EB6"/>
    <w:rsid w:val="0ED57FA7"/>
    <w:rsid w:val="0ED7D7AC"/>
    <w:rsid w:val="0EDDF06B"/>
    <w:rsid w:val="0EE81AA3"/>
    <w:rsid w:val="0EF11AED"/>
    <w:rsid w:val="0EF127B0"/>
    <w:rsid w:val="0EF5D491"/>
    <w:rsid w:val="0EFBAE2A"/>
    <w:rsid w:val="0EFBBD48"/>
    <w:rsid w:val="0EFCA8A2"/>
    <w:rsid w:val="0F01A21F"/>
    <w:rsid w:val="0F021C98"/>
    <w:rsid w:val="0F03201B"/>
    <w:rsid w:val="0F0D1948"/>
    <w:rsid w:val="0F19D680"/>
    <w:rsid w:val="0F1BBCFD"/>
    <w:rsid w:val="0F294F9C"/>
    <w:rsid w:val="0F2C4AE2"/>
    <w:rsid w:val="0F36F412"/>
    <w:rsid w:val="0F392217"/>
    <w:rsid w:val="0F3F70FF"/>
    <w:rsid w:val="0F4012AA"/>
    <w:rsid w:val="0F445063"/>
    <w:rsid w:val="0F4EE487"/>
    <w:rsid w:val="0F500FAF"/>
    <w:rsid w:val="0F58620F"/>
    <w:rsid w:val="0F596986"/>
    <w:rsid w:val="0F5CC9DD"/>
    <w:rsid w:val="0F615CCA"/>
    <w:rsid w:val="0F65D807"/>
    <w:rsid w:val="0F69D569"/>
    <w:rsid w:val="0F6F5825"/>
    <w:rsid w:val="0F6FB8F1"/>
    <w:rsid w:val="0F8C931A"/>
    <w:rsid w:val="0F8CF61C"/>
    <w:rsid w:val="0F9186D2"/>
    <w:rsid w:val="0F93CFED"/>
    <w:rsid w:val="0F999853"/>
    <w:rsid w:val="0F9CA92C"/>
    <w:rsid w:val="0FAB261F"/>
    <w:rsid w:val="0FABE2FE"/>
    <w:rsid w:val="0FAF1E97"/>
    <w:rsid w:val="0FAFABAA"/>
    <w:rsid w:val="0FB0913D"/>
    <w:rsid w:val="0FB0FB5D"/>
    <w:rsid w:val="0FC3A8DC"/>
    <w:rsid w:val="0FC5E595"/>
    <w:rsid w:val="0FE8342F"/>
    <w:rsid w:val="0FE86453"/>
    <w:rsid w:val="0FE945BC"/>
    <w:rsid w:val="0FF914FA"/>
    <w:rsid w:val="1001739B"/>
    <w:rsid w:val="1007CC6D"/>
    <w:rsid w:val="1011A236"/>
    <w:rsid w:val="10141EA2"/>
    <w:rsid w:val="1018257B"/>
    <w:rsid w:val="1018E8AA"/>
    <w:rsid w:val="1020440A"/>
    <w:rsid w:val="102140A1"/>
    <w:rsid w:val="1027C017"/>
    <w:rsid w:val="103BE98D"/>
    <w:rsid w:val="103DA8AC"/>
    <w:rsid w:val="10410D16"/>
    <w:rsid w:val="1057E244"/>
    <w:rsid w:val="105A9C62"/>
    <w:rsid w:val="105FF209"/>
    <w:rsid w:val="10601606"/>
    <w:rsid w:val="1071B2A4"/>
    <w:rsid w:val="1079A872"/>
    <w:rsid w:val="107D1550"/>
    <w:rsid w:val="10888B25"/>
    <w:rsid w:val="10997945"/>
    <w:rsid w:val="109B8117"/>
    <w:rsid w:val="109DEF3A"/>
    <w:rsid w:val="109EA765"/>
    <w:rsid w:val="10A9697A"/>
    <w:rsid w:val="10B0E61F"/>
    <w:rsid w:val="10B63B2F"/>
    <w:rsid w:val="10BD880D"/>
    <w:rsid w:val="10BE8D13"/>
    <w:rsid w:val="10BEF954"/>
    <w:rsid w:val="10CBE36F"/>
    <w:rsid w:val="10D12730"/>
    <w:rsid w:val="10D663B8"/>
    <w:rsid w:val="10D6ACFC"/>
    <w:rsid w:val="10D6FB4E"/>
    <w:rsid w:val="10D8EA2B"/>
    <w:rsid w:val="10DDBEE3"/>
    <w:rsid w:val="10DECA46"/>
    <w:rsid w:val="10E42724"/>
    <w:rsid w:val="10EA4815"/>
    <w:rsid w:val="10F36D9D"/>
    <w:rsid w:val="10F9F4B9"/>
    <w:rsid w:val="10FDA7C2"/>
    <w:rsid w:val="1101251C"/>
    <w:rsid w:val="11016916"/>
    <w:rsid w:val="11126A41"/>
    <w:rsid w:val="1114005D"/>
    <w:rsid w:val="111B6D86"/>
    <w:rsid w:val="111EAA8B"/>
    <w:rsid w:val="1126149B"/>
    <w:rsid w:val="112A4822"/>
    <w:rsid w:val="112FFB2A"/>
    <w:rsid w:val="1136930B"/>
    <w:rsid w:val="113B5F7D"/>
    <w:rsid w:val="113E8BD1"/>
    <w:rsid w:val="114F71BA"/>
    <w:rsid w:val="115347B9"/>
    <w:rsid w:val="115402A8"/>
    <w:rsid w:val="115A098F"/>
    <w:rsid w:val="115C5478"/>
    <w:rsid w:val="116AF6CD"/>
    <w:rsid w:val="11707D05"/>
    <w:rsid w:val="117426C7"/>
    <w:rsid w:val="1180DB74"/>
    <w:rsid w:val="1180E150"/>
    <w:rsid w:val="1183DA19"/>
    <w:rsid w:val="11893CC8"/>
    <w:rsid w:val="119F5CBD"/>
    <w:rsid w:val="11A2254F"/>
    <w:rsid w:val="11B53DFE"/>
    <w:rsid w:val="11B55E72"/>
    <w:rsid w:val="11B64A7D"/>
    <w:rsid w:val="11B99897"/>
    <w:rsid w:val="11B9D4C7"/>
    <w:rsid w:val="11BEA46D"/>
    <w:rsid w:val="11C2915C"/>
    <w:rsid w:val="11CE3A14"/>
    <w:rsid w:val="11D2B1DB"/>
    <w:rsid w:val="11D2EEC1"/>
    <w:rsid w:val="11F5660C"/>
    <w:rsid w:val="1204578C"/>
    <w:rsid w:val="1207C2F7"/>
    <w:rsid w:val="12101125"/>
    <w:rsid w:val="121D5115"/>
    <w:rsid w:val="1221366D"/>
    <w:rsid w:val="122889FB"/>
    <w:rsid w:val="1234A59E"/>
    <w:rsid w:val="1241513E"/>
    <w:rsid w:val="1243747D"/>
    <w:rsid w:val="12472923"/>
    <w:rsid w:val="12479C43"/>
    <w:rsid w:val="12598899"/>
    <w:rsid w:val="12631BBD"/>
    <w:rsid w:val="1268E8AD"/>
    <w:rsid w:val="12694D52"/>
    <w:rsid w:val="126F93CF"/>
    <w:rsid w:val="127C4BEA"/>
    <w:rsid w:val="12811809"/>
    <w:rsid w:val="1284FB96"/>
    <w:rsid w:val="12887EBB"/>
    <w:rsid w:val="12989EAE"/>
    <w:rsid w:val="12AA068A"/>
    <w:rsid w:val="12ABEA08"/>
    <w:rsid w:val="12ADCDE9"/>
    <w:rsid w:val="12AE6719"/>
    <w:rsid w:val="12C1664E"/>
    <w:rsid w:val="12C5CAB4"/>
    <w:rsid w:val="12D81C05"/>
    <w:rsid w:val="12DAD44F"/>
    <w:rsid w:val="12DE2BCD"/>
    <w:rsid w:val="12E0C00B"/>
    <w:rsid w:val="12E42551"/>
    <w:rsid w:val="12E6C3E6"/>
    <w:rsid w:val="12E8F60F"/>
    <w:rsid w:val="12EE2A4A"/>
    <w:rsid w:val="12EEB5C9"/>
    <w:rsid w:val="12F8B4CC"/>
    <w:rsid w:val="1305CB2F"/>
    <w:rsid w:val="1311862A"/>
    <w:rsid w:val="1313BF8D"/>
    <w:rsid w:val="1319D3BD"/>
    <w:rsid w:val="131F040A"/>
    <w:rsid w:val="1320BA51"/>
    <w:rsid w:val="13254514"/>
    <w:rsid w:val="132AB21C"/>
    <w:rsid w:val="132B7958"/>
    <w:rsid w:val="132B79DE"/>
    <w:rsid w:val="1338C360"/>
    <w:rsid w:val="1341F44F"/>
    <w:rsid w:val="1344AFED"/>
    <w:rsid w:val="1345DD43"/>
    <w:rsid w:val="1349AC92"/>
    <w:rsid w:val="1349EA89"/>
    <w:rsid w:val="134B18DA"/>
    <w:rsid w:val="13529518"/>
    <w:rsid w:val="1355B254"/>
    <w:rsid w:val="13659530"/>
    <w:rsid w:val="13738A4F"/>
    <w:rsid w:val="1374DD77"/>
    <w:rsid w:val="137552C2"/>
    <w:rsid w:val="1375C38D"/>
    <w:rsid w:val="137E6A6E"/>
    <w:rsid w:val="138C4626"/>
    <w:rsid w:val="138D0AF7"/>
    <w:rsid w:val="139DE41E"/>
    <w:rsid w:val="13A53486"/>
    <w:rsid w:val="13A803F6"/>
    <w:rsid w:val="13ACB1D2"/>
    <w:rsid w:val="13B0D675"/>
    <w:rsid w:val="13D8F80D"/>
    <w:rsid w:val="13DC123C"/>
    <w:rsid w:val="13DE1417"/>
    <w:rsid w:val="13E238B5"/>
    <w:rsid w:val="13E5DD32"/>
    <w:rsid w:val="13E92FD6"/>
    <w:rsid w:val="13EC77BF"/>
    <w:rsid w:val="13ECE59B"/>
    <w:rsid w:val="13F30F30"/>
    <w:rsid w:val="13F438CE"/>
    <w:rsid w:val="13FE812C"/>
    <w:rsid w:val="13FF6D67"/>
    <w:rsid w:val="13FFF871"/>
    <w:rsid w:val="1406A38F"/>
    <w:rsid w:val="1409C8D0"/>
    <w:rsid w:val="1417B87B"/>
    <w:rsid w:val="141E0195"/>
    <w:rsid w:val="142A3604"/>
    <w:rsid w:val="142A4F34"/>
    <w:rsid w:val="143AF5D7"/>
    <w:rsid w:val="143CAAFC"/>
    <w:rsid w:val="144FC47A"/>
    <w:rsid w:val="145738D9"/>
    <w:rsid w:val="145F6301"/>
    <w:rsid w:val="1462B91C"/>
    <w:rsid w:val="146D0954"/>
    <w:rsid w:val="146D6236"/>
    <w:rsid w:val="147554D4"/>
    <w:rsid w:val="14761B15"/>
    <w:rsid w:val="148895C3"/>
    <w:rsid w:val="148ABB58"/>
    <w:rsid w:val="149C2753"/>
    <w:rsid w:val="149ED71E"/>
    <w:rsid w:val="14A44DC9"/>
    <w:rsid w:val="14A5D929"/>
    <w:rsid w:val="14A86053"/>
    <w:rsid w:val="14AC5D3B"/>
    <w:rsid w:val="14ACAA1F"/>
    <w:rsid w:val="14BFB180"/>
    <w:rsid w:val="14C284DF"/>
    <w:rsid w:val="14C2C67B"/>
    <w:rsid w:val="14C37FE0"/>
    <w:rsid w:val="14C80E24"/>
    <w:rsid w:val="14CFCF45"/>
    <w:rsid w:val="14D3986C"/>
    <w:rsid w:val="14D5A3DC"/>
    <w:rsid w:val="14D7B3EA"/>
    <w:rsid w:val="14E7FBB6"/>
    <w:rsid w:val="14EB19DE"/>
    <w:rsid w:val="14F174F7"/>
    <w:rsid w:val="14F3DAD0"/>
    <w:rsid w:val="14F49F0E"/>
    <w:rsid w:val="14FA0EF1"/>
    <w:rsid w:val="14FE16CB"/>
    <w:rsid w:val="15035885"/>
    <w:rsid w:val="1504A32F"/>
    <w:rsid w:val="150A3F31"/>
    <w:rsid w:val="150B95C1"/>
    <w:rsid w:val="150CFDC2"/>
    <w:rsid w:val="150D16EC"/>
    <w:rsid w:val="15122F57"/>
    <w:rsid w:val="151B162B"/>
    <w:rsid w:val="151D219C"/>
    <w:rsid w:val="15304AF6"/>
    <w:rsid w:val="1538C40A"/>
    <w:rsid w:val="1543A95F"/>
    <w:rsid w:val="155136F3"/>
    <w:rsid w:val="155493AB"/>
    <w:rsid w:val="15583241"/>
    <w:rsid w:val="155D1C19"/>
    <w:rsid w:val="156694EB"/>
    <w:rsid w:val="1582294E"/>
    <w:rsid w:val="1582C0ED"/>
    <w:rsid w:val="1588790D"/>
    <w:rsid w:val="159201DE"/>
    <w:rsid w:val="15943804"/>
    <w:rsid w:val="1595A387"/>
    <w:rsid w:val="15A7E45A"/>
    <w:rsid w:val="15A7E6B2"/>
    <w:rsid w:val="15AA1E1F"/>
    <w:rsid w:val="15B2DBF4"/>
    <w:rsid w:val="15BE952A"/>
    <w:rsid w:val="15BFA731"/>
    <w:rsid w:val="15C8864F"/>
    <w:rsid w:val="15C8C6B8"/>
    <w:rsid w:val="15D708A1"/>
    <w:rsid w:val="15E536DA"/>
    <w:rsid w:val="15EFE7F8"/>
    <w:rsid w:val="15F0813D"/>
    <w:rsid w:val="15F2BC11"/>
    <w:rsid w:val="15F40FC8"/>
    <w:rsid w:val="15F4CB63"/>
    <w:rsid w:val="15F5614F"/>
    <w:rsid w:val="15F6F0B4"/>
    <w:rsid w:val="15FB4807"/>
    <w:rsid w:val="1617A8C3"/>
    <w:rsid w:val="161E7311"/>
    <w:rsid w:val="16218C31"/>
    <w:rsid w:val="1628D600"/>
    <w:rsid w:val="1629AD9D"/>
    <w:rsid w:val="162B51FE"/>
    <w:rsid w:val="162BF17B"/>
    <w:rsid w:val="162FE800"/>
    <w:rsid w:val="1631664F"/>
    <w:rsid w:val="163B74DA"/>
    <w:rsid w:val="16427783"/>
    <w:rsid w:val="16448B9C"/>
    <w:rsid w:val="16454218"/>
    <w:rsid w:val="164A8F95"/>
    <w:rsid w:val="16555D4E"/>
    <w:rsid w:val="1657A654"/>
    <w:rsid w:val="165A4521"/>
    <w:rsid w:val="165AA0E5"/>
    <w:rsid w:val="165E13F5"/>
    <w:rsid w:val="1660C313"/>
    <w:rsid w:val="16621661"/>
    <w:rsid w:val="1666A913"/>
    <w:rsid w:val="1666FE13"/>
    <w:rsid w:val="1667B49F"/>
    <w:rsid w:val="1670E133"/>
    <w:rsid w:val="1675BBB9"/>
    <w:rsid w:val="16839D8F"/>
    <w:rsid w:val="1686A3EB"/>
    <w:rsid w:val="16893F78"/>
    <w:rsid w:val="168ED902"/>
    <w:rsid w:val="169A7682"/>
    <w:rsid w:val="16A053C6"/>
    <w:rsid w:val="16A50A50"/>
    <w:rsid w:val="16AD644F"/>
    <w:rsid w:val="16ADEB7B"/>
    <w:rsid w:val="16AEAA38"/>
    <w:rsid w:val="16B02BD0"/>
    <w:rsid w:val="16B851D6"/>
    <w:rsid w:val="16BA3F06"/>
    <w:rsid w:val="16C03428"/>
    <w:rsid w:val="16C9AB44"/>
    <w:rsid w:val="16CE0D53"/>
    <w:rsid w:val="16CFBC18"/>
    <w:rsid w:val="16D28303"/>
    <w:rsid w:val="16D78CD7"/>
    <w:rsid w:val="16DE7A4F"/>
    <w:rsid w:val="16E31915"/>
    <w:rsid w:val="16F5447D"/>
    <w:rsid w:val="17013282"/>
    <w:rsid w:val="17034389"/>
    <w:rsid w:val="170BF8DC"/>
    <w:rsid w:val="170E5F19"/>
    <w:rsid w:val="1711FCFE"/>
    <w:rsid w:val="1714B135"/>
    <w:rsid w:val="171AF74B"/>
    <w:rsid w:val="171C4327"/>
    <w:rsid w:val="171C94EA"/>
    <w:rsid w:val="17202A90"/>
    <w:rsid w:val="173790CB"/>
    <w:rsid w:val="173AF11C"/>
    <w:rsid w:val="173E4C64"/>
    <w:rsid w:val="17424F35"/>
    <w:rsid w:val="17430375"/>
    <w:rsid w:val="1747D6B4"/>
    <w:rsid w:val="175058A8"/>
    <w:rsid w:val="1753F559"/>
    <w:rsid w:val="175CD111"/>
    <w:rsid w:val="1761C74C"/>
    <w:rsid w:val="1763136F"/>
    <w:rsid w:val="17641AE6"/>
    <w:rsid w:val="176467B4"/>
    <w:rsid w:val="176CCA0A"/>
    <w:rsid w:val="17739463"/>
    <w:rsid w:val="17778CDC"/>
    <w:rsid w:val="1779FF95"/>
    <w:rsid w:val="17804AC3"/>
    <w:rsid w:val="17990B9F"/>
    <w:rsid w:val="179AD44D"/>
    <w:rsid w:val="179D576F"/>
    <w:rsid w:val="17A3B3BA"/>
    <w:rsid w:val="17A99915"/>
    <w:rsid w:val="17B0731A"/>
    <w:rsid w:val="17B1303D"/>
    <w:rsid w:val="17B982A6"/>
    <w:rsid w:val="17BAFDDD"/>
    <w:rsid w:val="17C8BB21"/>
    <w:rsid w:val="17DF5622"/>
    <w:rsid w:val="17E9106D"/>
    <w:rsid w:val="17EA6E3E"/>
    <w:rsid w:val="17EAAA81"/>
    <w:rsid w:val="17EAC510"/>
    <w:rsid w:val="17F220A3"/>
    <w:rsid w:val="17F5AD7C"/>
    <w:rsid w:val="17F74771"/>
    <w:rsid w:val="17F8750F"/>
    <w:rsid w:val="17F9DE57"/>
    <w:rsid w:val="17FB0FE4"/>
    <w:rsid w:val="18061430"/>
    <w:rsid w:val="180B1CE6"/>
    <w:rsid w:val="1812EB1A"/>
    <w:rsid w:val="1820FB2D"/>
    <w:rsid w:val="18210BAB"/>
    <w:rsid w:val="18253133"/>
    <w:rsid w:val="1826B494"/>
    <w:rsid w:val="182BAF1C"/>
    <w:rsid w:val="183E99AB"/>
    <w:rsid w:val="18474CFF"/>
    <w:rsid w:val="1850729C"/>
    <w:rsid w:val="185229B8"/>
    <w:rsid w:val="185B2A96"/>
    <w:rsid w:val="186943C7"/>
    <w:rsid w:val="186A19C3"/>
    <w:rsid w:val="186ABF41"/>
    <w:rsid w:val="187325E8"/>
    <w:rsid w:val="18759F61"/>
    <w:rsid w:val="1875D48C"/>
    <w:rsid w:val="187D2E3C"/>
    <w:rsid w:val="188243B5"/>
    <w:rsid w:val="188D319B"/>
    <w:rsid w:val="188F0B15"/>
    <w:rsid w:val="189D8A63"/>
    <w:rsid w:val="18A1EC6F"/>
    <w:rsid w:val="18A5E528"/>
    <w:rsid w:val="18AF2F77"/>
    <w:rsid w:val="18B00B01"/>
    <w:rsid w:val="18B22BE3"/>
    <w:rsid w:val="18B8654B"/>
    <w:rsid w:val="18BFA8BC"/>
    <w:rsid w:val="18C5DC8D"/>
    <w:rsid w:val="18CACAF2"/>
    <w:rsid w:val="18D14E81"/>
    <w:rsid w:val="18D1C27B"/>
    <w:rsid w:val="18D37541"/>
    <w:rsid w:val="18D5AB18"/>
    <w:rsid w:val="18E7E555"/>
    <w:rsid w:val="18ECC6DD"/>
    <w:rsid w:val="18F265F0"/>
    <w:rsid w:val="19024B7B"/>
    <w:rsid w:val="1902FC39"/>
    <w:rsid w:val="190375C0"/>
    <w:rsid w:val="1910A9B9"/>
    <w:rsid w:val="1918B96A"/>
    <w:rsid w:val="191BB9E2"/>
    <w:rsid w:val="19261133"/>
    <w:rsid w:val="192E04F7"/>
    <w:rsid w:val="19330BB8"/>
    <w:rsid w:val="19406265"/>
    <w:rsid w:val="195550E4"/>
    <w:rsid w:val="1956D95B"/>
    <w:rsid w:val="196019A5"/>
    <w:rsid w:val="197BC6B6"/>
    <w:rsid w:val="1980D88F"/>
    <w:rsid w:val="19856060"/>
    <w:rsid w:val="19931C36"/>
    <w:rsid w:val="199508A4"/>
    <w:rsid w:val="19A742E7"/>
    <w:rsid w:val="19AB8D3E"/>
    <w:rsid w:val="19B17DE6"/>
    <w:rsid w:val="19B766DC"/>
    <w:rsid w:val="19B77640"/>
    <w:rsid w:val="19B93E7E"/>
    <w:rsid w:val="19C24AA4"/>
    <w:rsid w:val="19CD2A7C"/>
    <w:rsid w:val="19CE9638"/>
    <w:rsid w:val="19D04D67"/>
    <w:rsid w:val="19E97180"/>
    <w:rsid w:val="19EEE1F0"/>
    <w:rsid w:val="19F2C866"/>
    <w:rsid w:val="19F7FF82"/>
    <w:rsid w:val="19F987E8"/>
    <w:rsid w:val="19F99A17"/>
    <w:rsid w:val="1A0077F1"/>
    <w:rsid w:val="1A02584F"/>
    <w:rsid w:val="1A0498D8"/>
    <w:rsid w:val="1A0BDA39"/>
    <w:rsid w:val="1A0C3629"/>
    <w:rsid w:val="1A0EA943"/>
    <w:rsid w:val="1A28FB96"/>
    <w:rsid w:val="1A317667"/>
    <w:rsid w:val="1A38A39F"/>
    <w:rsid w:val="1A3CDB70"/>
    <w:rsid w:val="1A3D0A96"/>
    <w:rsid w:val="1A3D6E66"/>
    <w:rsid w:val="1A3FF95C"/>
    <w:rsid w:val="1A4098CB"/>
    <w:rsid w:val="1A4469FE"/>
    <w:rsid w:val="1A4E90D3"/>
    <w:rsid w:val="1A6D92DC"/>
    <w:rsid w:val="1A709867"/>
    <w:rsid w:val="1A72C32E"/>
    <w:rsid w:val="1A76EC2D"/>
    <w:rsid w:val="1A7DCA99"/>
    <w:rsid w:val="1A841DA8"/>
    <w:rsid w:val="1A8456E5"/>
    <w:rsid w:val="1A89C1A1"/>
    <w:rsid w:val="1A8F5D02"/>
    <w:rsid w:val="1A9DC19F"/>
    <w:rsid w:val="1AA9E631"/>
    <w:rsid w:val="1AB4091B"/>
    <w:rsid w:val="1AB94697"/>
    <w:rsid w:val="1ABA2138"/>
    <w:rsid w:val="1ABA7656"/>
    <w:rsid w:val="1AC73850"/>
    <w:rsid w:val="1ACD9C5E"/>
    <w:rsid w:val="1ACF36B3"/>
    <w:rsid w:val="1ADC56C3"/>
    <w:rsid w:val="1AE09ACD"/>
    <w:rsid w:val="1AE53948"/>
    <w:rsid w:val="1AE853FF"/>
    <w:rsid w:val="1AEE917B"/>
    <w:rsid w:val="1AF5487E"/>
    <w:rsid w:val="1AF5BDA0"/>
    <w:rsid w:val="1AFCBFDB"/>
    <w:rsid w:val="1B00EE9A"/>
    <w:rsid w:val="1B0266B3"/>
    <w:rsid w:val="1B0430A0"/>
    <w:rsid w:val="1B15E5FA"/>
    <w:rsid w:val="1B169390"/>
    <w:rsid w:val="1B189E06"/>
    <w:rsid w:val="1B2430EA"/>
    <w:rsid w:val="1B2B8732"/>
    <w:rsid w:val="1B2F2860"/>
    <w:rsid w:val="1B362650"/>
    <w:rsid w:val="1B36ABBA"/>
    <w:rsid w:val="1B43059B"/>
    <w:rsid w:val="1B459DE5"/>
    <w:rsid w:val="1B478EB0"/>
    <w:rsid w:val="1B566A1B"/>
    <w:rsid w:val="1B68964E"/>
    <w:rsid w:val="1B6A5D28"/>
    <w:rsid w:val="1B744359"/>
    <w:rsid w:val="1B7AC763"/>
    <w:rsid w:val="1B7AF202"/>
    <w:rsid w:val="1B7C1020"/>
    <w:rsid w:val="1B8658EC"/>
    <w:rsid w:val="1B86FABB"/>
    <w:rsid w:val="1B8DD2DC"/>
    <w:rsid w:val="1B9052DB"/>
    <w:rsid w:val="1B963805"/>
    <w:rsid w:val="1B9BDA33"/>
    <w:rsid w:val="1BA03D44"/>
    <w:rsid w:val="1BA202A0"/>
    <w:rsid w:val="1BA466A9"/>
    <w:rsid w:val="1BA5759E"/>
    <w:rsid w:val="1BAF4823"/>
    <w:rsid w:val="1BC05700"/>
    <w:rsid w:val="1BD80859"/>
    <w:rsid w:val="1BE24DB3"/>
    <w:rsid w:val="1BE606CC"/>
    <w:rsid w:val="1BE9161B"/>
    <w:rsid w:val="1BEC51B9"/>
    <w:rsid w:val="1BF5867E"/>
    <w:rsid w:val="1BF61FE6"/>
    <w:rsid w:val="1BF6FA63"/>
    <w:rsid w:val="1BFE9932"/>
    <w:rsid w:val="1BFEAC3F"/>
    <w:rsid w:val="1BFFBCC9"/>
    <w:rsid w:val="1C01ABA2"/>
    <w:rsid w:val="1C086A69"/>
    <w:rsid w:val="1C0C7D9F"/>
    <w:rsid w:val="1C0D02D7"/>
    <w:rsid w:val="1C0DA4CF"/>
    <w:rsid w:val="1C0DEE92"/>
    <w:rsid w:val="1C13D027"/>
    <w:rsid w:val="1C19F570"/>
    <w:rsid w:val="1C1B558A"/>
    <w:rsid w:val="1C2272F9"/>
    <w:rsid w:val="1C2C5525"/>
    <w:rsid w:val="1C2EFC72"/>
    <w:rsid w:val="1C309DE8"/>
    <w:rsid w:val="1C326541"/>
    <w:rsid w:val="1C3C433B"/>
    <w:rsid w:val="1C409D22"/>
    <w:rsid w:val="1C4154F6"/>
    <w:rsid w:val="1C43FAB4"/>
    <w:rsid w:val="1C46C634"/>
    <w:rsid w:val="1C47D640"/>
    <w:rsid w:val="1C4BB30C"/>
    <w:rsid w:val="1C567E5C"/>
    <w:rsid w:val="1C5C6941"/>
    <w:rsid w:val="1C638125"/>
    <w:rsid w:val="1C68D915"/>
    <w:rsid w:val="1C694A1E"/>
    <w:rsid w:val="1C7439D7"/>
    <w:rsid w:val="1C7A5D64"/>
    <w:rsid w:val="1C7E62D0"/>
    <w:rsid w:val="1C7E7AC1"/>
    <w:rsid w:val="1C89CFBB"/>
    <w:rsid w:val="1C96F60D"/>
    <w:rsid w:val="1C9E31B8"/>
    <w:rsid w:val="1CA78498"/>
    <w:rsid w:val="1CAAABA7"/>
    <w:rsid w:val="1CAF2E9D"/>
    <w:rsid w:val="1CB558AA"/>
    <w:rsid w:val="1CB8A5BD"/>
    <w:rsid w:val="1CC19EED"/>
    <w:rsid w:val="1CC27407"/>
    <w:rsid w:val="1CC35D94"/>
    <w:rsid w:val="1CC60349"/>
    <w:rsid w:val="1CCC55F3"/>
    <w:rsid w:val="1CD51496"/>
    <w:rsid w:val="1CD88A90"/>
    <w:rsid w:val="1CDF6066"/>
    <w:rsid w:val="1CE5EA40"/>
    <w:rsid w:val="1CE6E65F"/>
    <w:rsid w:val="1CF0253E"/>
    <w:rsid w:val="1CF2DF13"/>
    <w:rsid w:val="1CF6F763"/>
    <w:rsid w:val="1D061B5D"/>
    <w:rsid w:val="1D0DFD7F"/>
    <w:rsid w:val="1D0EBEAA"/>
    <w:rsid w:val="1D1CA5D3"/>
    <w:rsid w:val="1D1D2498"/>
    <w:rsid w:val="1D221056"/>
    <w:rsid w:val="1D22940D"/>
    <w:rsid w:val="1D33E0FC"/>
    <w:rsid w:val="1D37909A"/>
    <w:rsid w:val="1D3E7A47"/>
    <w:rsid w:val="1D4248CA"/>
    <w:rsid w:val="1D58F7F9"/>
    <w:rsid w:val="1D64695B"/>
    <w:rsid w:val="1D652988"/>
    <w:rsid w:val="1D687610"/>
    <w:rsid w:val="1D6CC971"/>
    <w:rsid w:val="1D6DC3EA"/>
    <w:rsid w:val="1D7706FF"/>
    <w:rsid w:val="1D77121D"/>
    <w:rsid w:val="1D7C0DE9"/>
    <w:rsid w:val="1D83318B"/>
    <w:rsid w:val="1D83CA9E"/>
    <w:rsid w:val="1D865776"/>
    <w:rsid w:val="1D8698AA"/>
    <w:rsid w:val="1D896FE4"/>
    <w:rsid w:val="1D924D3C"/>
    <w:rsid w:val="1D956497"/>
    <w:rsid w:val="1D9AC16B"/>
    <w:rsid w:val="1D9EA39E"/>
    <w:rsid w:val="1DA7B68B"/>
    <w:rsid w:val="1DA920DA"/>
    <w:rsid w:val="1DAF4314"/>
    <w:rsid w:val="1DB31CDE"/>
    <w:rsid w:val="1DB57E56"/>
    <w:rsid w:val="1DBE01D7"/>
    <w:rsid w:val="1DD185DD"/>
    <w:rsid w:val="1DD700CF"/>
    <w:rsid w:val="1DD7B0B5"/>
    <w:rsid w:val="1DD84BAA"/>
    <w:rsid w:val="1DE07415"/>
    <w:rsid w:val="1DE46D40"/>
    <w:rsid w:val="1DE6E4FC"/>
    <w:rsid w:val="1DEB44BF"/>
    <w:rsid w:val="1DEB5812"/>
    <w:rsid w:val="1DEDAF18"/>
    <w:rsid w:val="1DF04D07"/>
    <w:rsid w:val="1E10D6B6"/>
    <w:rsid w:val="1E1161A8"/>
    <w:rsid w:val="1E1587AC"/>
    <w:rsid w:val="1E2C99D3"/>
    <w:rsid w:val="1E2DF3E8"/>
    <w:rsid w:val="1E3574D9"/>
    <w:rsid w:val="1E39AC9E"/>
    <w:rsid w:val="1E405BB1"/>
    <w:rsid w:val="1E415D07"/>
    <w:rsid w:val="1E43990A"/>
    <w:rsid w:val="1E52D0B2"/>
    <w:rsid w:val="1E547828"/>
    <w:rsid w:val="1E62E1D7"/>
    <w:rsid w:val="1E6F958B"/>
    <w:rsid w:val="1E79EADD"/>
    <w:rsid w:val="1E801379"/>
    <w:rsid w:val="1E8A0096"/>
    <w:rsid w:val="1E919FF9"/>
    <w:rsid w:val="1E94E672"/>
    <w:rsid w:val="1E9601A4"/>
    <w:rsid w:val="1E9792A3"/>
    <w:rsid w:val="1E9D300C"/>
    <w:rsid w:val="1EA60E9D"/>
    <w:rsid w:val="1EB84D06"/>
    <w:rsid w:val="1EB87634"/>
    <w:rsid w:val="1EC222C2"/>
    <w:rsid w:val="1ECEB655"/>
    <w:rsid w:val="1ED88D30"/>
    <w:rsid w:val="1ED8C436"/>
    <w:rsid w:val="1EDA12EE"/>
    <w:rsid w:val="1EDA4572"/>
    <w:rsid w:val="1EE90A3E"/>
    <w:rsid w:val="1EEBAA67"/>
    <w:rsid w:val="1EF1C986"/>
    <w:rsid w:val="1EF6D290"/>
    <w:rsid w:val="1EF9FA01"/>
    <w:rsid w:val="1EFE9BDB"/>
    <w:rsid w:val="1EFF966D"/>
    <w:rsid w:val="1EFFFCF4"/>
    <w:rsid w:val="1F03DB6D"/>
    <w:rsid w:val="1F041272"/>
    <w:rsid w:val="1F146910"/>
    <w:rsid w:val="1F1D611E"/>
    <w:rsid w:val="1F23D2A0"/>
    <w:rsid w:val="1F3B4C79"/>
    <w:rsid w:val="1F5551F4"/>
    <w:rsid w:val="1F667822"/>
    <w:rsid w:val="1F66952E"/>
    <w:rsid w:val="1F67D878"/>
    <w:rsid w:val="1F687343"/>
    <w:rsid w:val="1F703AA7"/>
    <w:rsid w:val="1F75E3E9"/>
    <w:rsid w:val="1F77CB0C"/>
    <w:rsid w:val="1F801CD6"/>
    <w:rsid w:val="1F818CA4"/>
    <w:rsid w:val="1F85D06E"/>
    <w:rsid w:val="1F88E7C5"/>
    <w:rsid w:val="1F901846"/>
    <w:rsid w:val="1F91D3AB"/>
    <w:rsid w:val="1F977112"/>
    <w:rsid w:val="1FA56EC8"/>
    <w:rsid w:val="1FAF593B"/>
    <w:rsid w:val="1FB1580D"/>
    <w:rsid w:val="1FB40BF0"/>
    <w:rsid w:val="1FC1D6FA"/>
    <w:rsid w:val="1FC38D85"/>
    <w:rsid w:val="1FC6FF40"/>
    <w:rsid w:val="1FC90AE0"/>
    <w:rsid w:val="1FCA79CA"/>
    <w:rsid w:val="1FCC0598"/>
    <w:rsid w:val="1FCC6793"/>
    <w:rsid w:val="1FCD4B61"/>
    <w:rsid w:val="1FD0ABF0"/>
    <w:rsid w:val="1FD861C8"/>
    <w:rsid w:val="1FD89D59"/>
    <w:rsid w:val="1FDC2C12"/>
    <w:rsid w:val="1FE55049"/>
    <w:rsid w:val="1FECB775"/>
    <w:rsid w:val="2001A143"/>
    <w:rsid w:val="2002E3E7"/>
    <w:rsid w:val="2005822E"/>
    <w:rsid w:val="20099773"/>
    <w:rsid w:val="2011A552"/>
    <w:rsid w:val="20166641"/>
    <w:rsid w:val="2020E8CD"/>
    <w:rsid w:val="20253ADB"/>
    <w:rsid w:val="202CBF69"/>
    <w:rsid w:val="2039C9B8"/>
    <w:rsid w:val="2059C725"/>
    <w:rsid w:val="205A8739"/>
    <w:rsid w:val="205D7B62"/>
    <w:rsid w:val="207263C2"/>
    <w:rsid w:val="207F971A"/>
    <w:rsid w:val="207FB7D1"/>
    <w:rsid w:val="2086E074"/>
    <w:rsid w:val="208C40CC"/>
    <w:rsid w:val="208D05F0"/>
    <w:rsid w:val="2091123E"/>
    <w:rsid w:val="2094B2AF"/>
    <w:rsid w:val="209B1744"/>
    <w:rsid w:val="20A21E68"/>
    <w:rsid w:val="20A3B5D8"/>
    <w:rsid w:val="20AA7E4E"/>
    <w:rsid w:val="20B15D55"/>
    <w:rsid w:val="20B1D94A"/>
    <w:rsid w:val="20B1DB9F"/>
    <w:rsid w:val="20BD3F73"/>
    <w:rsid w:val="20C37730"/>
    <w:rsid w:val="20C44631"/>
    <w:rsid w:val="20D12994"/>
    <w:rsid w:val="20DA7AC9"/>
    <w:rsid w:val="20DBD367"/>
    <w:rsid w:val="20E00588"/>
    <w:rsid w:val="20E0BB7A"/>
    <w:rsid w:val="20E3BA03"/>
    <w:rsid w:val="20EF97A1"/>
    <w:rsid w:val="20F6393C"/>
    <w:rsid w:val="20FAC76D"/>
    <w:rsid w:val="20FFB0C9"/>
    <w:rsid w:val="2102692F"/>
    <w:rsid w:val="21082EBB"/>
    <w:rsid w:val="2109ED9A"/>
    <w:rsid w:val="210EFCEC"/>
    <w:rsid w:val="211E35BC"/>
    <w:rsid w:val="212204A3"/>
    <w:rsid w:val="2135875D"/>
    <w:rsid w:val="213F151E"/>
    <w:rsid w:val="214012EC"/>
    <w:rsid w:val="214332CA"/>
    <w:rsid w:val="214E6B93"/>
    <w:rsid w:val="21520E0A"/>
    <w:rsid w:val="2153B139"/>
    <w:rsid w:val="2158ECD8"/>
    <w:rsid w:val="2164C309"/>
    <w:rsid w:val="216EAEC1"/>
    <w:rsid w:val="21722575"/>
    <w:rsid w:val="21730835"/>
    <w:rsid w:val="2176F08B"/>
    <w:rsid w:val="217B2393"/>
    <w:rsid w:val="217D6553"/>
    <w:rsid w:val="2181CBAF"/>
    <w:rsid w:val="21821660"/>
    <w:rsid w:val="21846B16"/>
    <w:rsid w:val="21996BDE"/>
    <w:rsid w:val="219CA120"/>
    <w:rsid w:val="21A146CD"/>
    <w:rsid w:val="21A2DC18"/>
    <w:rsid w:val="21A48EA6"/>
    <w:rsid w:val="21B5BAEE"/>
    <w:rsid w:val="21B95E62"/>
    <w:rsid w:val="21BC219A"/>
    <w:rsid w:val="21C4A79D"/>
    <w:rsid w:val="21C66F67"/>
    <w:rsid w:val="21D0EE24"/>
    <w:rsid w:val="21DAD5AB"/>
    <w:rsid w:val="21E9D96B"/>
    <w:rsid w:val="21EE7EAC"/>
    <w:rsid w:val="21EEA2D1"/>
    <w:rsid w:val="21EFBC19"/>
    <w:rsid w:val="21F6CC47"/>
    <w:rsid w:val="22043537"/>
    <w:rsid w:val="2218E0F0"/>
    <w:rsid w:val="22242D1D"/>
    <w:rsid w:val="22296BFD"/>
    <w:rsid w:val="2234FE98"/>
    <w:rsid w:val="2240C9B3"/>
    <w:rsid w:val="22479C88"/>
    <w:rsid w:val="22501703"/>
    <w:rsid w:val="22508D77"/>
    <w:rsid w:val="22509D3D"/>
    <w:rsid w:val="2257DE5B"/>
    <w:rsid w:val="2265736B"/>
    <w:rsid w:val="2275D2A0"/>
    <w:rsid w:val="22801FD9"/>
    <w:rsid w:val="228436A2"/>
    <w:rsid w:val="22915F44"/>
    <w:rsid w:val="229273D5"/>
    <w:rsid w:val="2295382C"/>
    <w:rsid w:val="229A0539"/>
    <w:rsid w:val="22A01405"/>
    <w:rsid w:val="22AAD7DA"/>
    <w:rsid w:val="22B2779C"/>
    <w:rsid w:val="22B7A6CC"/>
    <w:rsid w:val="22B88833"/>
    <w:rsid w:val="22BFA592"/>
    <w:rsid w:val="22C11F41"/>
    <w:rsid w:val="22CB0DC6"/>
    <w:rsid w:val="22D23922"/>
    <w:rsid w:val="22E8B65E"/>
    <w:rsid w:val="22E8CEBE"/>
    <w:rsid w:val="22F10FED"/>
    <w:rsid w:val="22FD9DBF"/>
    <w:rsid w:val="2300CF85"/>
    <w:rsid w:val="230111AD"/>
    <w:rsid w:val="2305FC69"/>
    <w:rsid w:val="2310028A"/>
    <w:rsid w:val="23116660"/>
    <w:rsid w:val="231443F7"/>
    <w:rsid w:val="23179A93"/>
    <w:rsid w:val="231816CE"/>
    <w:rsid w:val="23189842"/>
    <w:rsid w:val="231F8257"/>
    <w:rsid w:val="232D6F60"/>
    <w:rsid w:val="2331CBA4"/>
    <w:rsid w:val="23334338"/>
    <w:rsid w:val="233539B8"/>
    <w:rsid w:val="233B4AE4"/>
    <w:rsid w:val="233B6324"/>
    <w:rsid w:val="233EEF64"/>
    <w:rsid w:val="23478171"/>
    <w:rsid w:val="234ACCCA"/>
    <w:rsid w:val="2351319D"/>
    <w:rsid w:val="2359EB75"/>
    <w:rsid w:val="235B195F"/>
    <w:rsid w:val="235D5664"/>
    <w:rsid w:val="235E8D85"/>
    <w:rsid w:val="235F66C2"/>
    <w:rsid w:val="2360B156"/>
    <w:rsid w:val="23615FFF"/>
    <w:rsid w:val="2363C840"/>
    <w:rsid w:val="236E43B9"/>
    <w:rsid w:val="2374703E"/>
    <w:rsid w:val="237558B1"/>
    <w:rsid w:val="237CD9EF"/>
    <w:rsid w:val="237FFFC9"/>
    <w:rsid w:val="23826728"/>
    <w:rsid w:val="238C8B8B"/>
    <w:rsid w:val="238F74E5"/>
    <w:rsid w:val="23917259"/>
    <w:rsid w:val="2395D8D2"/>
    <w:rsid w:val="23A553A8"/>
    <w:rsid w:val="23A6AF03"/>
    <w:rsid w:val="23AEA9DC"/>
    <w:rsid w:val="23AF5F48"/>
    <w:rsid w:val="23B0CA79"/>
    <w:rsid w:val="23BF7290"/>
    <w:rsid w:val="23CF74E8"/>
    <w:rsid w:val="23D0F74D"/>
    <w:rsid w:val="23D359FF"/>
    <w:rsid w:val="23DDC47C"/>
    <w:rsid w:val="23E4D7DC"/>
    <w:rsid w:val="23E7A535"/>
    <w:rsid w:val="23F0873D"/>
    <w:rsid w:val="23F0F739"/>
    <w:rsid w:val="23F1340F"/>
    <w:rsid w:val="23F3657F"/>
    <w:rsid w:val="23F49278"/>
    <w:rsid w:val="23F52D23"/>
    <w:rsid w:val="23F7392D"/>
    <w:rsid w:val="2400DCF8"/>
    <w:rsid w:val="240F2718"/>
    <w:rsid w:val="240F76CB"/>
    <w:rsid w:val="241125D1"/>
    <w:rsid w:val="24194ED3"/>
    <w:rsid w:val="2420D23D"/>
    <w:rsid w:val="24214139"/>
    <w:rsid w:val="24287197"/>
    <w:rsid w:val="242B48FE"/>
    <w:rsid w:val="24312B08"/>
    <w:rsid w:val="243657A1"/>
    <w:rsid w:val="243B8E16"/>
    <w:rsid w:val="2444892C"/>
    <w:rsid w:val="2444A97F"/>
    <w:rsid w:val="2451A23F"/>
    <w:rsid w:val="245329B5"/>
    <w:rsid w:val="2453327D"/>
    <w:rsid w:val="24551E89"/>
    <w:rsid w:val="245671FE"/>
    <w:rsid w:val="2458B7E9"/>
    <w:rsid w:val="24625A46"/>
    <w:rsid w:val="2462857F"/>
    <w:rsid w:val="24634CC3"/>
    <w:rsid w:val="2463C63C"/>
    <w:rsid w:val="246CFD21"/>
    <w:rsid w:val="247306B2"/>
    <w:rsid w:val="247DAD8C"/>
    <w:rsid w:val="24809501"/>
    <w:rsid w:val="248D857C"/>
    <w:rsid w:val="24952C12"/>
    <w:rsid w:val="249892F8"/>
    <w:rsid w:val="249E35F4"/>
    <w:rsid w:val="249E6093"/>
    <w:rsid w:val="24A96AEF"/>
    <w:rsid w:val="24AA06E7"/>
    <w:rsid w:val="24B07D5D"/>
    <w:rsid w:val="24B13F56"/>
    <w:rsid w:val="24B40996"/>
    <w:rsid w:val="24BB9271"/>
    <w:rsid w:val="24C0D825"/>
    <w:rsid w:val="24C30833"/>
    <w:rsid w:val="24C33369"/>
    <w:rsid w:val="24D12936"/>
    <w:rsid w:val="24D8A8A9"/>
    <w:rsid w:val="24DA9A36"/>
    <w:rsid w:val="24E7964A"/>
    <w:rsid w:val="24EE70F6"/>
    <w:rsid w:val="24EF73C7"/>
    <w:rsid w:val="24F014D4"/>
    <w:rsid w:val="2506A2BF"/>
    <w:rsid w:val="250A3522"/>
    <w:rsid w:val="250AE695"/>
    <w:rsid w:val="250DD381"/>
    <w:rsid w:val="250F6D40"/>
    <w:rsid w:val="25109ED4"/>
    <w:rsid w:val="25180424"/>
    <w:rsid w:val="251BD02A"/>
    <w:rsid w:val="251C2365"/>
    <w:rsid w:val="2520BD0A"/>
    <w:rsid w:val="2525AF4A"/>
    <w:rsid w:val="25289CC3"/>
    <w:rsid w:val="252BDA64"/>
    <w:rsid w:val="252DA8AE"/>
    <w:rsid w:val="252EC798"/>
    <w:rsid w:val="25319538"/>
    <w:rsid w:val="2533ED32"/>
    <w:rsid w:val="2542D3A0"/>
    <w:rsid w:val="2545E92A"/>
    <w:rsid w:val="25489A20"/>
    <w:rsid w:val="25578648"/>
    <w:rsid w:val="2563CEBD"/>
    <w:rsid w:val="2567CEA8"/>
    <w:rsid w:val="2569B7EF"/>
    <w:rsid w:val="25809015"/>
    <w:rsid w:val="2586BD6B"/>
    <w:rsid w:val="258D699B"/>
    <w:rsid w:val="258DD707"/>
    <w:rsid w:val="25914522"/>
    <w:rsid w:val="2595B543"/>
    <w:rsid w:val="259814CC"/>
    <w:rsid w:val="259BDF0C"/>
    <w:rsid w:val="25A19AD5"/>
    <w:rsid w:val="25A50F06"/>
    <w:rsid w:val="25A660FA"/>
    <w:rsid w:val="25A767DE"/>
    <w:rsid w:val="25AC8CA1"/>
    <w:rsid w:val="25B448E6"/>
    <w:rsid w:val="25C28F76"/>
    <w:rsid w:val="25C4B33E"/>
    <w:rsid w:val="25D2D727"/>
    <w:rsid w:val="25DD2A12"/>
    <w:rsid w:val="25DDFDAD"/>
    <w:rsid w:val="25E22221"/>
    <w:rsid w:val="25E58F1F"/>
    <w:rsid w:val="25ECABB9"/>
    <w:rsid w:val="25F41AD3"/>
    <w:rsid w:val="260A077B"/>
    <w:rsid w:val="26135CA1"/>
    <w:rsid w:val="261E9A9A"/>
    <w:rsid w:val="2630A77F"/>
    <w:rsid w:val="263D81F6"/>
    <w:rsid w:val="26412CCF"/>
    <w:rsid w:val="26422B21"/>
    <w:rsid w:val="2646397E"/>
    <w:rsid w:val="2646E53D"/>
    <w:rsid w:val="264767EE"/>
    <w:rsid w:val="264FAB75"/>
    <w:rsid w:val="265ECEB1"/>
    <w:rsid w:val="265F0ABA"/>
    <w:rsid w:val="266265EA"/>
    <w:rsid w:val="2662CE7F"/>
    <w:rsid w:val="2664D1AD"/>
    <w:rsid w:val="2667DADA"/>
    <w:rsid w:val="266C2951"/>
    <w:rsid w:val="26755A47"/>
    <w:rsid w:val="26768433"/>
    <w:rsid w:val="267B5237"/>
    <w:rsid w:val="267B795F"/>
    <w:rsid w:val="267F08DC"/>
    <w:rsid w:val="2680435A"/>
    <w:rsid w:val="26811EC5"/>
    <w:rsid w:val="2683B628"/>
    <w:rsid w:val="2687B8F1"/>
    <w:rsid w:val="2695BF90"/>
    <w:rsid w:val="269747FB"/>
    <w:rsid w:val="269A5583"/>
    <w:rsid w:val="26A12E8B"/>
    <w:rsid w:val="26A4560E"/>
    <w:rsid w:val="26A9607C"/>
    <w:rsid w:val="26ADED38"/>
    <w:rsid w:val="26B05D0E"/>
    <w:rsid w:val="26B31B9E"/>
    <w:rsid w:val="26B8896C"/>
    <w:rsid w:val="26B8B5B8"/>
    <w:rsid w:val="26BB757E"/>
    <w:rsid w:val="26CD96D3"/>
    <w:rsid w:val="26E5AFF0"/>
    <w:rsid w:val="26E6F016"/>
    <w:rsid w:val="26EC50CE"/>
    <w:rsid w:val="2706E4DA"/>
    <w:rsid w:val="271A6A66"/>
    <w:rsid w:val="27217DDD"/>
    <w:rsid w:val="272252F5"/>
    <w:rsid w:val="27257932"/>
    <w:rsid w:val="272C333A"/>
    <w:rsid w:val="273D8699"/>
    <w:rsid w:val="274D62B0"/>
    <w:rsid w:val="2750ACB9"/>
    <w:rsid w:val="2751E6D3"/>
    <w:rsid w:val="27525081"/>
    <w:rsid w:val="2758DE48"/>
    <w:rsid w:val="27651E94"/>
    <w:rsid w:val="2767B2E3"/>
    <w:rsid w:val="27749907"/>
    <w:rsid w:val="2775CD90"/>
    <w:rsid w:val="2777BBC2"/>
    <w:rsid w:val="277A6FD0"/>
    <w:rsid w:val="2784166A"/>
    <w:rsid w:val="27846391"/>
    <w:rsid w:val="2785A61B"/>
    <w:rsid w:val="27879B90"/>
    <w:rsid w:val="27882659"/>
    <w:rsid w:val="27955ACF"/>
    <w:rsid w:val="2796C05F"/>
    <w:rsid w:val="2797596C"/>
    <w:rsid w:val="27996D59"/>
    <w:rsid w:val="27A30D36"/>
    <w:rsid w:val="27A51ABD"/>
    <w:rsid w:val="27AB87EE"/>
    <w:rsid w:val="27AFE83B"/>
    <w:rsid w:val="27B05D48"/>
    <w:rsid w:val="27B3DC07"/>
    <w:rsid w:val="27B6D50A"/>
    <w:rsid w:val="27B79296"/>
    <w:rsid w:val="27B9767B"/>
    <w:rsid w:val="27BAFA5E"/>
    <w:rsid w:val="27CC787C"/>
    <w:rsid w:val="27D1A200"/>
    <w:rsid w:val="27D345A5"/>
    <w:rsid w:val="27D752F2"/>
    <w:rsid w:val="27DDCED1"/>
    <w:rsid w:val="27E08EE4"/>
    <w:rsid w:val="27F84C8E"/>
    <w:rsid w:val="27F9149E"/>
    <w:rsid w:val="280DCAFD"/>
    <w:rsid w:val="281FBF27"/>
    <w:rsid w:val="282321A8"/>
    <w:rsid w:val="2823EF64"/>
    <w:rsid w:val="282754F9"/>
    <w:rsid w:val="2828EBC6"/>
    <w:rsid w:val="2828F5C0"/>
    <w:rsid w:val="282F25C5"/>
    <w:rsid w:val="2831312C"/>
    <w:rsid w:val="283A1BB0"/>
    <w:rsid w:val="28463238"/>
    <w:rsid w:val="284D2719"/>
    <w:rsid w:val="28500587"/>
    <w:rsid w:val="28573690"/>
    <w:rsid w:val="285AFA8F"/>
    <w:rsid w:val="285BF08F"/>
    <w:rsid w:val="28620422"/>
    <w:rsid w:val="287E358B"/>
    <w:rsid w:val="28832BEC"/>
    <w:rsid w:val="28849153"/>
    <w:rsid w:val="2890379D"/>
    <w:rsid w:val="2890EDF2"/>
    <w:rsid w:val="2893FB04"/>
    <w:rsid w:val="2897C287"/>
    <w:rsid w:val="289B8EA5"/>
    <w:rsid w:val="289D126A"/>
    <w:rsid w:val="289F7621"/>
    <w:rsid w:val="28A66ABF"/>
    <w:rsid w:val="28A71C02"/>
    <w:rsid w:val="28B856D9"/>
    <w:rsid w:val="28C6E788"/>
    <w:rsid w:val="28CC6AB2"/>
    <w:rsid w:val="28CD09E7"/>
    <w:rsid w:val="28D39FB2"/>
    <w:rsid w:val="28DF028D"/>
    <w:rsid w:val="28E9E70A"/>
    <w:rsid w:val="28EABE23"/>
    <w:rsid w:val="28EDE2F0"/>
    <w:rsid w:val="28F29F89"/>
    <w:rsid w:val="28F9CD10"/>
    <w:rsid w:val="28FA4424"/>
    <w:rsid w:val="28FB9DA3"/>
    <w:rsid w:val="28FC30E6"/>
    <w:rsid w:val="2901B8BF"/>
    <w:rsid w:val="290C879D"/>
    <w:rsid w:val="2916634E"/>
    <w:rsid w:val="29232DBB"/>
    <w:rsid w:val="29271B16"/>
    <w:rsid w:val="29305863"/>
    <w:rsid w:val="29359A20"/>
    <w:rsid w:val="2935C7BE"/>
    <w:rsid w:val="29366C9B"/>
    <w:rsid w:val="293C944E"/>
    <w:rsid w:val="29479C7B"/>
    <w:rsid w:val="295AE7D9"/>
    <w:rsid w:val="296609BE"/>
    <w:rsid w:val="296692AB"/>
    <w:rsid w:val="296810A4"/>
    <w:rsid w:val="2968344A"/>
    <w:rsid w:val="296CB63B"/>
    <w:rsid w:val="296ED728"/>
    <w:rsid w:val="2976F3AF"/>
    <w:rsid w:val="2979B580"/>
    <w:rsid w:val="29836F75"/>
    <w:rsid w:val="298C7074"/>
    <w:rsid w:val="299054A8"/>
    <w:rsid w:val="2993162E"/>
    <w:rsid w:val="29987FEA"/>
    <w:rsid w:val="299D0B7A"/>
    <w:rsid w:val="29A4F952"/>
    <w:rsid w:val="29C08525"/>
    <w:rsid w:val="29C851C6"/>
    <w:rsid w:val="29DBEF15"/>
    <w:rsid w:val="29E00C78"/>
    <w:rsid w:val="29EB1EFC"/>
    <w:rsid w:val="29EC7CAF"/>
    <w:rsid w:val="29F522EB"/>
    <w:rsid w:val="29F67F00"/>
    <w:rsid w:val="29FC8728"/>
    <w:rsid w:val="2A00D3D5"/>
    <w:rsid w:val="2A035843"/>
    <w:rsid w:val="2A065D8C"/>
    <w:rsid w:val="2A0ADAE2"/>
    <w:rsid w:val="2A11678D"/>
    <w:rsid w:val="2A13DF3C"/>
    <w:rsid w:val="2A218621"/>
    <w:rsid w:val="2A25DD76"/>
    <w:rsid w:val="2A283C66"/>
    <w:rsid w:val="2A2FF84F"/>
    <w:rsid w:val="2A31ACC9"/>
    <w:rsid w:val="2A3CDF27"/>
    <w:rsid w:val="2A3DC3FD"/>
    <w:rsid w:val="2A56AD1F"/>
    <w:rsid w:val="2A63BA42"/>
    <w:rsid w:val="2A644366"/>
    <w:rsid w:val="2A754F32"/>
    <w:rsid w:val="2A85BDFE"/>
    <w:rsid w:val="2A8CD3F7"/>
    <w:rsid w:val="2AA999D5"/>
    <w:rsid w:val="2ABED768"/>
    <w:rsid w:val="2AC83418"/>
    <w:rsid w:val="2AD17C7D"/>
    <w:rsid w:val="2AD81565"/>
    <w:rsid w:val="2ADC30C0"/>
    <w:rsid w:val="2AE21E9A"/>
    <w:rsid w:val="2AF3BA09"/>
    <w:rsid w:val="2B02FC59"/>
    <w:rsid w:val="2B07AB7F"/>
    <w:rsid w:val="2B168266"/>
    <w:rsid w:val="2B184547"/>
    <w:rsid w:val="2B266D99"/>
    <w:rsid w:val="2B2A9781"/>
    <w:rsid w:val="2B2B02D7"/>
    <w:rsid w:val="2B2DBAB2"/>
    <w:rsid w:val="2B41E989"/>
    <w:rsid w:val="2B42B7EA"/>
    <w:rsid w:val="2B56AE87"/>
    <w:rsid w:val="2B5B40A6"/>
    <w:rsid w:val="2B61D3D5"/>
    <w:rsid w:val="2B778E90"/>
    <w:rsid w:val="2B7D3E2E"/>
    <w:rsid w:val="2B885FA3"/>
    <w:rsid w:val="2B89945A"/>
    <w:rsid w:val="2B937EA9"/>
    <w:rsid w:val="2B9CA436"/>
    <w:rsid w:val="2BA421F6"/>
    <w:rsid w:val="2BA66672"/>
    <w:rsid w:val="2BB3A948"/>
    <w:rsid w:val="2BB6324C"/>
    <w:rsid w:val="2BB7ABC0"/>
    <w:rsid w:val="2BC48209"/>
    <w:rsid w:val="2BCBCD02"/>
    <w:rsid w:val="2BDCC78E"/>
    <w:rsid w:val="2BDD5D37"/>
    <w:rsid w:val="2BDDE2CD"/>
    <w:rsid w:val="2BE99BFD"/>
    <w:rsid w:val="2BF580A5"/>
    <w:rsid w:val="2BFD028F"/>
    <w:rsid w:val="2C03924A"/>
    <w:rsid w:val="2C096BA6"/>
    <w:rsid w:val="2C15E2D3"/>
    <w:rsid w:val="2C1A4F28"/>
    <w:rsid w:val="2C213F94"/>
    <w:rsid w:val="2C22C1C1"/>
    <w:rsid w:val="2C236F06"/>
    <w:rsid w:val="2C330F18"/>
    <w:rsid w:val="2C361E5C"/>
    <w:rsid w:val="2C3C64A4"/>
    <w:rsid w:val="2C4278EF"/>
    <w:rsid w:val="2C429CC3"/>
    <w:rsid w:val="2C4FA2AD"/>
    <w:rsid w:val="2C52A599"/>
    <w:rsid w:val="2C55070F"/>
    <w:rsid w:val="2C554E02"/>
    <w:rsid w:val="2C59F2C0"/>
    <w:rsid w:val="2C7298BE"/>
    <w:rsid w:val="2C74245F"/>
    <w:rsid w:val="2C7F82F6"/>
    <w:rsid w:val="2C8B2D1C"/>
    <w:rsid w:val="2C8E2D18"/>
    <w:rsid w:val="2C936310"/>
    <w:rsid w:val="2C98208F"/>
    <w:rsid w:val="2C9C7E8B"/>
    <w:rsid w:val="2CA4F6B7"/>
    <w:rsid w:val="2CA553B3"/>
    <w:rsid w:val="2CAE78CC"/>
    <w:rsid w:val="2CB1FDD9"/>
    <w:rsid w:val="2CB5AA89"/>
    <w:rsid w:val="2CB9239E"/>
    <w:rsid w:val="2CCD294B"/>
    <w:rsid w:val="2CD19A1C"/>
    <w:rsid w:val="2CD54527"/>
    <w:rsid w:val="2CD8EF54"/>
    <w:rsid w:val="2CE18575"/>
    <w:rsid w:val="2CE2BC69"/>
    <w:rsid w:val="2CF3CF26"/>
    <w:rsid w:val="2CFA219D"/>
    <w:rsid w:val="2CFCA600"/>
    <w:rsid w:val="2D04E623"/>
    <w:rsid w:val="2D094C06"/>
    <w:rsid w:val="2D10F063"/>
    <w:rsid w:val="2D12DBD8"/>
    <w:rsid w:val="2D168F47"/>
    <w:rsid w:val="2D1FA715"/>
    <w:rsid w:val="2D20A766"/>
    <w:rsid w:val="2D232216"/>
    <w:rsid w:val="2D24412D"/>
    <w:rsid w:val="2D27A9CB"/>
    <w:rsid w:val="2D2E1BF5"/>
    <w:rsid w:val="2D308E73"/>
    <w:rsid w:val="2D30E8AA"/>
    <w:rsid w:val="2D39D97D"/>
    <w:rsid w:val="2D468027"/>
    <w:rsid w:val="2D4EDE8D"/>
    <w:rsid w:val="2D560184"/>
    <w:rsid w:val="2D5BC574"/>
    <w:rsid w:val="2D6895B4"/>
    <w:rsid w:val="2D72C30E"/>
    <w:rsid w:val="2D759D1A"/>
    <w:rsid w:val="2D7722EC"/>
    <w:rsid w:val="2D7EABD0"/>
    <w:rsid w:val="2D802B29"/>
    <w:rsid w:val="2D886475"/>
    <w:rsid w:val="2D8CEE4C"/>
    <w:rsid w:val="2D8E9A9D"/>
    <w:rsid w:val="2D914095"/>
    <w:rsid w:val="2DA541FC"/>
    <w:rsid w:val="2DB0B582"/>
    <w:rsid w:val="2DB7B03E"/>
    <w:rsid w:val="2DBDB3C4"/>
    <w:rsid w:val="2DC05E64"/>
    <w:rsid w:val="2DD8277D"/>
    <w:rsid w:val="2DD9FE33"/>
    <w:rsid w:val="2DDC1EC8"/>
    <w:rsid w:val="2DE02759"/>
    <w:rsid w:val="2DE50F14"/>
    <w:rsid w:val="2DF641C2"/>
    <w:rsid w:val="2DF77135"/>
    <w:rsid w:val="2E144F35"/>
    <w:rsid w:val="2E167EA8"/>
    <w:rsid w:val="2E207E81"/>
    <w:rsid w:val="2E21A43C"/>
    <w:rsid w:val="2E30E044"/>
    <w:rsid w:val="2E37DFAD"/>
    <w:rsid w:val="2E3B0E6F"/>
    <w:rsid w:val="2E3F49AF"/>
    <w:rsid w:val="2E45FCDB"/>
    <w:rsid w:val="2E49C93F"/>
    <w:rsid w:val="2E5527BB"/>
    <w:rsid w:val="2E6222DA"/>
    <w:rsid w:val="2E656E74"/>
    <w:rsid w:val="2E67E9C9"/>
    <w:rsid w:val="2E681203"/>
    <w:rsid w:val="2E805EEE"/>
    <w:rsid w:val="2E8844E3"/>
    <w:rsid w:val="2E8D1E84"/>
    <w:rsid w:val="2E98ED59"/>
    <w:rsid w:val="2E9A0A51"/>
    <w:rsid w:val="2E9F99A3"/>
    <w:rsid w:val="2EAFB521"/>
    <w:rsid w:val="2EB69C48"/>
    <w:rsid w:val="2EB9538B"/>
    <w:rsid w:val="2EB95B3C"/>
    <w:rsid w:val="2EC364FC"/>
    <w:rsid w:val="2EC4C0D9"/>
    <w:rsid w:val="2ED6E4D7"/>
    <w:rsid w:val="2ED862FE"/>
    <w:rsid w:val="2EE4FEF2"/>
    <w:rsid w:val="2EE86F88"/>
    <w:rsid w:val="2EE987C8"/>
    <w:rsid w:val="2EEB19E8"/>
    <w:rsid w:val="2EF0EA30"/>
    <w:rsid w:val="2EFDDBE1"/>
    <w:rsid w:val="2F1A5CDA"/>
    <w:rsid w:val="2F1F18C3"/>
    <w:rsid w:val="2F392BD7"/>
    <w:rsid w:val="2F39A6C3"/>
    <w:rsid w:val="2F5203E2"/>
    <w:rsid w:val="2F52EB38"/>
    <w:rsid w:val="2F5725C8"/>
    <w:rsid w:val="2F580084"/>
    <w:rsid w:val="2F5F27FA"/>
    <w:rsid w:val="2F6CA1CD"/>
    <w:rsid w:val="2F730410"/>
    <w:rsid w:val="2F7A19B1"/>
    <w:rsid w:val="2F7BFB94"/>
    <w:rsid w:val="2F85A4D2"/>
    <w:rsid w:val="2F8BD6D3"/>
    <w:rsid w:val="2F95AC0E"/>
    <w:rsid w:val="2F98D060"/>
    <w:rsid w:val="2F9F79D4"/>
    <w:rsid w:val="2FA2EA44"/>
    <w:rsid w:val="2FA88435"/>
    <w:rsid w:val="2FA9AF3F"/>
    <w:rsid w:val="2FB35EDF"/>
    <w:rsid w:val="2FB69A2D"/>
    <w:rsid w:val="2FD325CC"/>
    <w:rsid w:val="2FD392A3"/>
    <w:rsid w:val="2FDCADAD"/>
    <w:rsid w:val="2FDD4175"/>
    <w:rsid w:val="2FEAD98C"/>
    <w:rsid w:val="2FED137D"/>
    <w:rsid w:val="2FFC16C8"/>
    <w:rsid w:val="30016408"/>
    <w:rsid w:val="30116BE6"/>
    <w:rsid w:val="3016B209"/>
    <w:rsid w:val="301B7116"/>
    <w:rsid w:val="302243EF"/>
    <w:rsid w:val="3024B3A9"/>
    <w:rsid w:val="3027067F"/>
    <w:rsid w:val="30323D8F"/>
    <w:rsid w:val="30393FA0"/>
    <w:rsid w:val="30403050"/>
    <w:rsid w:val="3042563F"/>
    <w:rsid w:val="3042A869"/>
    <w:rsid w:val="304A7C9A"/>
    <w:rsid w:val="30513C66"/>
    <w:rsid w:val="3054CB38"/>
    <w:rsid w:val="30557181"/>
    <w:rsid w:val="305ADFB9"/>
    <w:rsid w:val="3071D347"/>
    <w:rsid w:val="307305F6"/>
    <w:rsid w:val="308CC84E"/>
    <w:rsid w:val="308ED344"/>
    <w:rsid w:val="30912077"/>
    <w:rsid w:val="30923959"/>
    <w:rsid w:val="30A595F2"/>
    <w:rsid w:val="30AB097A"/>
    <w:rsid w:val="30AD2A10"/>
    <w:rsid w:val="30B153F0"/>
    <w:rsid w:val="30B1662B"/>
    <w:rsid w:val="30B21709"/>
    <w:rsid w:val="30B26D52"/>
    <w:rsid w:val="30B3E0BF"/>
    <w:rsid w:val="30B6A356"/>
    <w:rsid w:val="30BF5435"/>
    <w:rsid w:val="30C482DC"/>
    <w:rsid w:val="30C87E2C"/>
    <w:rsid w:val="30DCE2BE"/>
    <w:rsid w:val="30DD5B82"/>
    <w:rsid w:val="30DDC5D1"/>
    <w:rsid w:val="30E07C81"/>
    <w:rsid w:val="30E8E23D"/>
    <w:rsid w:val="30EE1A6E"/>
    <w:rsid w:val="30F78CA6"/>
    <w:rsid w:val="30F8EAA1"/>
    <w:rsid w:val="30FF1C6A"/>
    <w:rsid w:val="31049F75"/>
    <w:rsid w:val="31080196"/>
    <w:rsid w:val="3122DE38"/>
    <w:rsid w:val="3129A08E"/>
    <w:rsid w:val="31310E71"/>
    <w:rsid w:val="3136E436"/>
    <w:rsid w:val="31421431"/>
    <w:rsid w:val="3143AA49"/>
    <w:rsid w:val="3148EB36"/>
    <w:rsid w:val="314C7770"/>
    <w:rsid w:val="31540A82"/>
    <w:rsid w:val="315926B9"/>
    <w:rsid w:val="315CA7AA"/>
    <w:rsid w:val="315E38F6"/>
    <w:rsid w:val="31672C56"/>
    <w:rsid w:val="316DC4D1"/>
    <w:rsid w:val="316E474D"/>
    <w:rsid w:val="317139AF"/>
    <w:rsid w:val="31758D90"/>
    <w:rsid w:val="3176ACFD"/>
    <w:rsid w:val="317BE6EB"/>
    <w:rsid w:val="3182AFD6"/>
    <w:rsid w:val="3183A7F4"/>
    <w:rsid w:val="318862DE"/>
    <w:rsid w:val="318C76CD"/>
    <w:rsid w:val="318C79C0"/>
    <w:rsid w:val="318DF6DD"/>
    <w:rsid w:val="3191DDCD"/>
    <w:rsid w:val="3193218A"/>
    <w:rsid w:val="31977235"/>
    <w:rsid w:val="31978764"/>
    <w:rsid w:val="3197F380"/>
    <w:rsid w:val="319A1579"/>
    <w:rsid w:val="319BA0D7"/>
    <w:rsid w:val="31A25C13"/>
    <w:rsid w:val="31A4A575"/>
    <w:rsid w:val="31AF5477"/>
    <w:rsid w:val="31B850B9"/>
    <w:rsid w:val="31B916AB"/>
    <w:rsid w:val="31BAB270"/>
    <w:rsid w:val="31BC82F8"/>
    <w:rsid w:val="31C0D53E"/>
    <w:rsid w:val="31D7FCF0"/>
    <w:rsid w:val="31D8F1BA"/>
    <w:rsid w:val="31DD12A7"/>
    <w:rsid w:val="31E2D2D7"/>
    <w:rsid w:val="31E3232C"/>
    <w:rsid w:val="31EAE395"/>
    <w:rsid w:val="31EC920E"/>
    <w:rsid w:val="31EF2FC7"/>
    <w:rsid w:val="31F813BA"/>
    <w:rsid w:val="31FCB285"/>
    <w:rsid w:val="31FF23CA"/>
    <w:rsid w:val="3205D14D"/>
    <w:rsid w:val="3207EB83"/>
    <w:rsid w:val="320D0EF2"/>
    <w:rsid w:val="3218C4D6"/>
    <w:rsid w:val="321B6536"/>
    <w:rsid w:val="321B9C6D"/>
    <w:rsid w:val="321D1462"/>
    <w:rsid w:val="321FE8B1"/>
    <w:rsid w:val="32200AF5"/>
    <w:rsid w:val="32238392"/>
    <w:rsid w:val="322800EE"/>
    <w:rsid w:val="32292CEA"/>
    <w:rsid w:val="322A81A2"/>
    <w:rsid w:val="323884E3"/>
    <w:rsid w:val="324017D9"/>
    <w:rsid w:val="3245036C"/>
    <w:rsid w:val="3247EBC3"/>
    <w:rsid w:val="32550427"/>
    <w:rsid w:val="325A7F4D"/>
    <w:rsid w:val="3260C7D0"/>
    <w:rsid w:val="3265ECBA"/>
    <w:rsid w:val="327382F1"/>
    <w:rsid w:val="327F738C"/>
    <w:rsid w:val="327FED8D"/>
    <w:rsid w:val="328080B5"/>
    <w:rsid w:val="3283CB30"/>
    <w:rsid w:val="328574D7"/>
    <w:rsid w:val="32859478"/>
    <w:rsid w:val="3294220C"/>
    <w:rsid w:val="32989216"/>
    <w:rsid w:val="329917B4"/>
    <w:rsid w:val="329B3AC2"/>
    <w:rsid w:val="32ADE5CE"/>
    <w:rsid w:val="32AFB3EA"/>
    <w:rsid w:val="32BAC1D9"/>
    <w:rsid w:val="32BE553A"/>
    <w:rsid w:val="32BF491B"/>
    <w:rsid w:val="32C4775A"/>
    <w:rsid w:val="32D3CBE6"/>
    <w:rsid w:val="32DB7F82"/>
    <w:rsid w:val="32DF28D9"/>
    <w:rsid w:val="32E03325"/>
    <w:rsid w:val="32E4E614"/>
    <w:rsid w:val="32E6F1DC"/>
    <w:rsid w:val="32EA0871"/>
    <w:rsid w:val="32F2EB4A"/>
    <w:rsid w:val="32FED7A7"/>
    <w:rsid w:val="3305B878"/>
    <w:rsid w:val="3309BE02"/>
    <w:rsid w:val="3309F531"/>
    <w:rsid w:val="330CCC91"/>
    <w:rsid w:val="330F3413"/>
    <w:rsid w:val="33127095"/>
    <w:rsid w:val="33166F56"/>
    <w:rsid w:val="3319204F"/>
    <w:rsid w:val="331D6FB2"/>
    <w:rsid w:val="331EC623"/>
    <w:rsid w:val="331FE39C"/>
    <w:rsid w:val="333159F2"/>
    <w:rsid w:val="333B86B6"/>
    <w:rsid w:val="333C12EA"/>
    <w:rsid w:val="333D050A"/>
    <w:rsid w:val="3347F38A"/>
    <w:rsid w:val="335E9622"/>
    <w:rsid w:val="3363EFBD"/>
    <w:rsid w:val="3366DA99"/>
    <w:rsid w:val="3367098A"/>
    <w:rsid w:val="336DF969"/>
    <w:rsid w:val="336E1FFE"/>
    <w:rsid w:val="337182D6"/>
    <w:rsid w:val="3376E349"/>
    <w:rsid w:val="337C1CB1"/>
    <w:rsid w:val="33846AB6"/>
    <w:rsid w:val="3386E893"/>
    <w:rsid w:val="338A0696"/>
    <w:rsid w:val="338EF353"/>
    <w:rsid w:val="33901A3C"/>
    <w:rsid w:val="33A19925"/>
    <w:rsid w:val="33A1F6CF"/>
    <w:rsid w:val="33A606AA"/>
    <w:rsid w:val="33AB70E5"/>
    <w:rsid w:val="33BBFAD9"/>
    <w:rsid w:val="33C09229"/>
    <w:rsid w:val="33C2F91B"/>
    <w:rsid w:val="33C7467F"/>
    <w:rsid w:val="33C9DDB5"/>
    <w:rsid w:val="33D711D4"/>
    <w:rsid w:val="33EA667A"/>
    <w:rsid w:val="33EE2768"/>
    <w:rsid w:val="33FB552E"/>
    <w:rsid w:val="33FF94C5"/>
    <w:rsid w:val="340165E5"/>
    <w:rsid w:val="3402956D"/>
    <w:rsid w:val="340D51BB"/>
    <w:rsid w:val="3411B4B1"/>
    <w:rsid w:val="34143964"/>
    <w:rsid w:val="3418BF01"/>
    <w:rsid w:val="341E60DB"/>
    <w:rsid w:val="342C32D1"/>
    <w:rsid w:val="343210CF"/>
    <w:rsid w:val="34336F9E"/>
    <w:rsid w:val="34373CA3"/>
    <w:rsid w:val="3439284E"/>
    <w:rsid w:val="3439700A"/>
    <w:rsid w:val="34398E3F"/>
    <w:rsid w:val="343EFA68"/>
    <w:rsid w:val="34458BA4"/>
    <w:rsid w:val="34470D74"/>
    <w:rsid w:val="344C8213"/>
    <w:rsid w:val="3455F324"/>
    <w:rsid w:val="34578872"/>
    <w:rsid w:val="34618DF8"/>
    <w:rsid w:val="3464E17F"/>
    <w:rsid w:val="346830F5"/>
    <w:rsid w:val="346D8B94"/>
    <w:rsid w:val="34701978"/>
    <w:rsid w:val="3479B0A8"/>
    <w:rsid w:val="3479B785"/>
    <w:rsid w:val="347A8463"/>
    <w:rsid w:val="347AA244"/>
    <w:rsid w:val="347D18AC"/>
    <w:rsid w:val="347D7837"/>
    <w:rsid w:val="34805BEF"/>
    <w:rsid w:val="3481B0FF"/>
    <w:rsid w:val="3482DA20"/>
    <w:rsid w:val="348B39B1"/>
    <w:rsid w:val="348CFF1A"/>
    <w:rsid w:val="348E3993"/>
    <w:rsid w:val="34946570"/>
    <w:rsid w:val="349ACAB1"/>
    <w:rsid w:val="349D378B"/>
    <w:rsid w:val="34ADEACD"/>
    <w:rsid w:val="34B3E177"/>
    <w:rsid w:val="34B5C232"/>
    <w:rsid w:val="34BACF7A"/>
    <w:rsid w:val="34BC4AD9"/>
    <w:rsid w:val="34BE609C"/>
    <w:rsid w:val="34BF7A90"/>
    <w:rsid w:val="34C62860"/>
    <w:rsid w:val="34DBA9D0"/>
    <w:rsid w:val="34E05FD0"/>
    <w:rsid w:val="34E33E4E"/>
    <w:rsid w:val="34EEB7F1"/>
    <w:rsid w:val="34EFE16F"/>
    <w:rsid w:val="34F02C1E"/>
    <w:rsid w:val="34FF8B26"/>
    <w:rsid w:val="350FE21C"/>
    <w:rsid w:val="3512C15A"/>
    <w:rsid w:val="351963C3"/>
    <w:rsid w:val="351F0018"/>
    <w:rsid w:val="3524BE74"/>
    <w:rsid w:val="352868D2"/>
    <w:rsid w:val="352C73F4"/>
    <w:rsid w:val="35322804"/>
    <w:rsid w:val="35375CC8"/>
    <w:rsid w:val="353B6A45"/>
    <w:rsid w:val="353E835A"/>
    <w:rsid w:val="353F674F"/>
    <w:rsid w:val="35430615"/>
    <w:rsid w:val="3543E157"/>
    <w:rsid w:val="35459C17"/>
    <w:rsid w:val="35460E58"/>
    <w:rsid w:val="3547D2FC"/>
    <w:rsid w:val="354DFA83"/>
    <w:rsid w:val="35704F30"/>
    <w:rsid w:val="3575AE4D"/>
    <w:rsid w:val="35783B73"/>
    <w:rsid w:val="357DBE60"/>
    <w:rsid w:val="35816DF4"/>
    <w:rsid w:val="358B3A6E"/>
    <w:rsid w:val="358C62A6"/>
    <w:rsid w:val="358C7ABB"/>
    <w:rsid w:val="358DC470"/>
    <w:rsid w:val="359A72A2"/>
    <w:rsid w:val="35A03E1A"/>
    <w:rsid w:val="35A2DD04"/>
    <w:rsid w:val="35A9AA11"/>
    <w:rsid w:val="35AA00AC"/>
    <w:rsid w:val="35B3EEE0"/>
    <w:rsid w:val="35B55E4A"/>
    <w:rsid w:val="35B8E7D7"/>
    <w:rsid w:val="35BC56B7"/>
    <w:rsid w:val="35C1F53F"/>
    <w:rsid w:val="35C884B1"/>
    <w:rsid w:val="35D3C895"/>
    <w:rsid w:val="35DA526C"/>
    <w:rsid w:val="35DAD854"/>
    <w:rsid w:val="35DCCC32"/>
    <w:rsid w:val="35DD9FE7"/>
    <w:rsid w:val="35DE0DDB"/>
    <w:rsid w:val="35E23DCC"/>
    <w:rsid w:val="35E47B3C"/>
    <w:rsid w:val="35E54004"/>
    <w:rsid w:val="35E5CC4B"/>
    <w:rsid w:val="35E6FA50"/>
    <w:rsid w:val="35EAA882"/>
    <w:rsid w:val="35EB8F33"/>
    <w:rsid w:val="35F58507"/>
    <w:rsid w:val="35F71B17"/>
    <w:rsid w:val="3601283B"/>
    <w:rsid w:val="36059B7D"/>
    <w:rsid w:val="360CD9D0"/>
    <w:rsid w:val="360F4429"/>
    <w:rsid w:val="361B2492"/>
    <w:rsid w:val="361DE83C"/>
    <w:rsid w:val="362727F8"/>
    <w:rsid w:val="362E700A"/>
    <w:rsid w:val="363363E2"/>
    <w:rsid w:val="364043B8"/>
    <w:rsid w:val="36454EF4"/>
    <w:rsid w:val="3648880F"/>
    <w:rsid w:val="3655B6BF"/>
    <w:rsid w:val="3657860D"/>
    <w:rsid w:val="36584303"/>
    <w:rsid w:val="3658E8D2"/>
    <w:rsid w:val="365BD401"/>
    <w:rsid w:val="365C0C45"/>
    <w:rsid w:val="365FD255"/>
    <w:rsid w:val="3660149C"/>
    <w:rsid w:val="36624E16"/>
    <w:rsid w:val="36697EE6"/>
    <w:rsid w:val="3670B753"/>
    <w:rsid w:val="36757218"/>
    <w:rsid w:val="36802DCC"/>
    <w:rsid w:val="3692BFF1"/>
    <w:rsid w:val="3694F255"/>
    <w:rsid w:val="36A103E3"/>
    <w:rsid w:val="36AAD394"/>
    <w:rsid w:val="36AB7CE4"/>
    <w:rsid w:val="36B436A0"/>
    <w:rsid w:val="36BB47FC"/>
    <w:rsid w:val="36BCD9A0"/>
    <w:rsid w:val="36C18BD9"/>
    <w:rsid w:val="36CC1495"/>
    <w:rsid w:val="36E8EB17"/>
    <w:rsid w:val="36EAB679"/>
    <w:rsid w:val="36EDD19A"/>
    <w:rsid w:val="36F66AAD"/>
    <w:rsid w:val="37018F23"/>
    <w:rsid w:val="37038915"/>
    <w:rsid w:val="3704BFE1"/>
    <w:rsid w:val="370C107A"/>
    <w:rsid w:val="37113245"/>
    <w:rsid w:val="37116C3C"/>
    <w:rsid w:val="371E70FC"/>
    <w:rsid w:val="372318E4"/>
    <w:rsid w:val="3725A6D5"/>
    <w:rsid w:val="37349DD9"/>
    <w:rsid w:val="37387162"/>
    <w:rsid w:val="374CB4EF"/>
    <w:rsid w:val="374F96F4"/>
    <w:rsid w:val="3750B0CD"/>
    <w:rsid w:val="375352F7"/>
    <w:rsid w:val="3754625C"/>
    <w:rsid w:val="376097F2"/>
    <w:rsid w:val="3763193E"/>
    <w:rsid w:val="37726679"/>
    <w:rsid w:val="3772B2D2"/>
    <w:rsid w:val="3774BE70"/>
    <w:rsid w:val="377C78B2"/>
    <w:rsid w:val="378930C1"/>
    <w:rsid w:val="37996EEA"/>
    <w:rsid w:val="37AE1FD0"/>
    <w:rsid w:val="37BEF8A4"/>
    <w:rsid w:val="37C19C13"/>
    <w:rsid w:val="37D87E2F"/>
    <w:rsid w:val="37D95237"/>
    <w:rsid w:val="37E85CA0"/>
    <w:rsid w:val="37ED9B80"/>
    <w:rsid w:val="37F0505C"/>
    <w:rsid w:val="37F6513A"/>
    <w:rsid w:val="37FB6D73"/>
    <w:rsid w:val="3808488F"/>
    <w:rsid w:val="380EB2C3"/>
    <w:rsid w:val="3821617E"/>
    <w:rsid w:val="38266D35"/>
    <w:rsid w:val="38316A56"/>
    <w:rsid w:val="3833FAB4"/>
    <w:rsid w:val="38415BDC"/>
    <w:rsid w:val="38442308"/>
    <w:rsid w:val="384F3817"/>
    <w:rsid w:val="3857B52E"/>
    <w:rsid w:val="385DA2AF"/>
    <w:rsid w:val="386218ED"/>
    <w:rsid w:val="3862FDA8"/>
    <w:rsid w:val="38691022"/>
    <w:rsid w:val="386A3F89"/>
    <w:rsid w:val="386AD4B9"/>
    <w:rsid w:val="386CE84E"/>
    <w:rsid w:val="386DC3AA"/>
    <w:rsid w:val="387A62ED"/>
    <w:rsid w:val="388488F4"/>
    <w:rsid w:val="3887AC08"/>
    <w:rsid w:val="38891B33"/>
    <w:rsid w:val="38894A61"/>
    <w:rsid w:val="389022E5"/>
    <w:rsid w:val="3891C616"/>
    <w:rsid w:val="3895419F"/>
    <w:rsid w:val="38A51355"/>
    <w:rsid w:val="38A60116"/>
    <w:rsid w:val="38AB5424"/>
    <w:rsid w:val="38AC04F5"/>
    <w:rsid w:val="38B42067"/>
    <w:rsid w:val="38B616DA"/>
    <w:rsid w:val="38B75BA3"/>
    <w:rsid w:val="38BC2EC8"/>
    <w:rsid w:val="38BCC417"/>
    <w:rsid w:val="38BF1E41"/>
    <w:rsid w:val="38C1CD42"/>
    <w:rsid w:val="38C6C745"/>
    <w:rsid w:val="38C71840"/>
    <w:rsid w:val="38CC897C"/>
    <w:rsid w:val="38D30819"/>
    <w:rsid w:val="38D74108"/>
    <w:rsid w:val="38DC06AF"/>
    <w:rsid w:val="38DFFEB3"/>
    <w:rsid w:val="38E02F3B"/>
    <w:rsid w:val="38E4B7D5"/>
    <w:rsid w:val="38E683F1"/>
    <w:rsid w:val="38ED661A"/>
    <w:rsid w:val="38FD887F"/>
    <w:rsid w:val="3902A587"/>
    <w:rsid w:val="3909104F"/>
    <w:rsid w:val="390C5B7D"/>
    <w:rsid w:val="3919E528"/>
    <w:rsid w:val="391AEE92"/>
    <w:rsid w:val="39219472"/>
    <w:rsid w:val="39258088"/>
    <w:rsid w:val="392D5BF3"/>
    <w:rsid w:val="39471E3B"/>
    <w:rsid w:val="394998AB"/>
    <w:rsid w:val="394D2505"/>
    <w:rsid w:val="39537602"/>
    <w:rsid w:val="395F8051"/>
    <w:rsid w:val="3960AB41"/>
    <w:rsid w:val="3961F057"/>
    <w:rsid w:val="396C6CF6"/>
    <w:rsid w:val="3982A5E1"/>
    <w:rsid w:val="3991861C"/>
    <w:rsid w:val="3997447C"/>
    <w:rsid w:val="399EA9FC"/>
    <w:rsid w:val="39A17D07"/>
    <w:rsid w:val="39A68B34"/>
    <w:rsid w:val="39AF6AE5"/>
    <w:rsid w:val="39B3412A"/>
    <w:rsid w:val="39B5E921"/>
    <w:rsid w:val="39B67333"/>
    <w:rsid w:val="39CDD7EF"/>
    <w:rsid w:val="39E9CE17"/>
    <w:rsid w:val="39EFE83E"/>
    <w:rsid w:val="39F5F2B0"/>
    <w:rsid w:val="39F71291"/>
    <w:rsid w:val="3A009D2D"/>
    <w:rsid w:val="3A0C97B9"/>
    <w:rsid w:val="3A13EC43"/>
    <w:rsid w:val="3A1461F7"/>
    <w:rsid w:val="3A1EEABD"/>
    <w:rsid w:val="3A2645BA"/>
    <w:rsid w:val="3A274651"/>
    <w:rsid w:val="3A2FDA6C"/>
    <w:rsid w:val="3A3541BD"/>
    <w:rsid w:val="3A3C74EF"/>
    <w:rsid w:val="3A3F0DD9"/>
    <w:rsid w:val="3A435DA2"/>
    <w:rsid w:val="3A4758AD"/>
    <w:rsid w:val="3A47AE00"/>
    <w:rsid w:val="3A4D9E4A"/>
    <w:rsid w:val="3A4E6EF5"/>
    <w:rsid w:val="3A4E8B70"/>
    <w:rsid w:val="3A4FB2C4"/>
    <w:rsid w:val="3A5AF523"/>
    <w:rsid w:val="3A6741F2"/>
    <w:rsid w:val="3A68A0F2"/>
    <w:rsid w:val="3A6DF7CE"/>
    <w:rsid w:val="3A7693A7"/>
    <w:rsid w:val="3A77EFF4"/>
    <w:rsid w:val="3A7FE9F8"/>
    <w:rsid w:val="3A82E03D"/>
    <w:rsid w:val="3A839A27"/>
    <w:rsid w:val="3A90392B"/>
    <w:rsid w:val="3A90D066"/>
    <w:rsid w:val="3A944ACA"/>
    <w:rsid w:val="3A98AAE7"/>
    <w:rsid w:val="3AA1800D"/>
    <w:rsid w:val="3AA6ACFF"/>
    <w:rsid w:val="3AB5044D"/>
    <w:rsid w:val="3AC1B700"/>
    <w:rsid w:val="3AD3AE92"/>
    <w:rsid w:val="3AE34A15"/>
    <w:rsid w:val="3AF6E892"/>
    <w:rsid w:val="3AFCD3CC"/>
    <w:rsid w:val="3B08B536"/>
    <w:rsid w:val="3B08E3B9"/>
    <w:rsid w:val="3B090B21"/>
    <w:rsid w:val="3B123F6C"/>
    <w:rsid w:val="3B13862D"/>
    <w:rsid w:val="3B33B4A5"/>
    <w:rsid w:val="3B346BC4"/>
    <w:rsid w:val="3B3D26CF"/>
    <w:rsid w:val="3B3E177D"/>
    <w:rsid w:val="3B4D07D4"/>
    <w:rsid w:val="3B552089"/>
    <w:rsid w:val="3B5A6330"/>
    <w:rsid w:val="3B5C759A"/>
    <w:rsid w:val="3B7844A6"/>
    <w:rsid w:val="3B78BE22"/>
    <w:rsid w:val="3B7C2D89"/>
    <w:rsid w:val="3B7E75ED"/>
    <w:rsid w:val="3B8165CB"/>
    <w:rsid w:val="3B826772"/>
    <w:rsid w:val="3B849D44"/>
    <w:rsid w:val="3B88BFA7"/>
    <w:rsid w:val="3B89D2BA"/>
    <w:rsid w:val="3B8E8074"/>
    <w:rsid w:val="3B905FF1"/>
    <w:rsid w:val="3B940DAF"/>
    <w:rsid w:val="3B96F0CB"/>
    <w:rsid w:val="3BA6EA00"/>
    <w:rsid w:val="3BADC4DE"/>
    <w:rsid w:val="3BB3EC46"/>
    <w:rsid w:val="3BB95CE0"/>
    <w:rsid w:val="3BC2CB49"/>
    <w:rsid w:val="3BC73117"/>
    <w:rsid w:val="3BC9230F"/>
    <w:rsid w:val="3BCB6434"/>
    <w:rsid w:val="3BCC80F0"/>
    <w:rsid w:val="3BD18862"/>
    <w:rsid w:val="3BD68F11"/>
    <w:rsid w:val="3BE010F0"/>
    <w:rsid w:val="3BE63D7A"/>
    <w:rsid w:val="3BFC6D0D"/>
    <w:rsid w:val="3C15B579"/>
    <w:rsid w:val="3C27D0BB"/>
    <w:rsid w:val="3C2EE394"/>
    <w:rsid w:val="3C2F0B36"/>
    <w:rsid w:val="3C494D8B"/>
    <w:rsid w:val="3C4DB133"/>
    <w:rsid w:val="3C5587F4"/>
    <w:rsid w:val="3C62B124"/>
    <w:rsid w:val="3C76C2E7"/>
    <w:rsid w:val="3C776262"/>
    <w:rsid w:val="3C7777F3"/>
    <w:rsid w:val="3C7EF464"/>
    <w:rsid w:val="3C7F1A76"/>
    <w:rsid w:val="3C7F8542"/>
    <w:rsid w:val="3C81B2D7"/>
    <w:rsid w:val="3C8B1765"/>
    <w:rsid w:val="3C8C0C25"/>
    <w:rsid w:val="3C990AB9"/>
    <w:rsid w:val="3CA12D81"/>
    <w:rsid w:val="3CA37990"/>
    <w:rsid w:val="3CA91804"/>
    <w:rsid w:val="3CB01E00"/>
    <w:rsid w:val="3CB3802C"/>
    <w:rsid w:val="3CB3B959"/>
    <w:rsid w:val="3CB49767"/>
    <w:rsid w:val="3CC04D73"/>
    <w:rsid w:val="3CC6789F"/>
    <w:rsid w:val="3CCF7B24"/>
    <w:rsid w:val="3CDEB1AA"/>
    <w:rsid w:val="3CDEB892"/>
    <w:rsid w:val="3CF1C100"/>
    <w:rsid w:val="3CF841BF"/>
    <w:rsid w:val="3CFC6376"/>
    <w:rsid w:val="3CFF291E"/>
    <w:rsid w:val="3D065954"/>
    <w:rsid w:val="3D07FF66"/>
    <w:rsid w:val="3D0C2509"/>
    <w:rsid w:val="3D0D4C4B"/>
    <w:rsid w:val="3D147F6B"/>
    <w:rsid w:val="3D189BE1"/>
    <w:rsid w:val="3D201D78"/>
    <w:rsid w:val="3D258F22"/>
    <w:rsid w:val="3D2807EF"/>
    <w:rsid w:val="3D2DCA6A"/>
    <w:rsid w:val="3D31A481"/>
    <w:rsid w:val="3D3DB865"/>
    <w:rsid w:val="3D40DDF0"/>
    <w:rsid w:val="3D448374"/>
    <w:rsid w:val="3D476619"/>
    <w:rsid w:val="3D50EBB7"/>
    <w:rsid w:val="3D59E7BD"/>
    <w:rsid w:val="3D61EDF9"/>
    <w:rsid w:val="3D6481AB"/>
    <w:rsid w:val="3D64C5FA"/>
    <w:rsid w:val="3D6ED765"/>
    <w:rsid w:val="3D760EEC"/>
    <w:rsid w:val="3D7A2AD1"/>
    <w:rsid w:val="3D7EA67B"/>
    <w:rsid w:val="3D8236A6"/>
    <w:rsid w:val="3D8258C7"/>
    <w:rsid w:val="3D86478C"/>
    <w:rsid w:val="3D87AC4F"/>
    <w:rsid w:val="3D960CAA"/>
    <w:rsid w:val="3D972C1F"/>
    <w:rsid w:val="3DA2C35D"/>
    <w:rsid w:val="3DAE0FC4"/>
    <w:rsid w:val="3DB6BB7B"/>
    <w:rsid w:val="3DB6EF64"/>
    <w:rsid w:val="3DBFB0C1"/>
    <w:rsid w:val="3DC1C7A5"/>
    <w:rsid w:val="3DC36CDC"/>
    <w:rsid w:val="3DC57195"/>
    <w:rsid w:val="3DCCC70B"/>
    <w:rsid w:val="3DCED059"/>
    <w:rsid w:val="3DD9B453"/>
    <w:rsid w:val="3DE64D2E"/>
    <w:rsid w:val="3DEBC674"/>
    <w:rsid w:val="3DF5CCA8"/>
    <w:rsid w:val="3DF99033"/>
    <w:rsid w:val="3DFB56C3"/>
    <w:rsid w:val="3DFD10D1"/>
    <w:rsid w:val="3DFEDCDF"/>
    <w:rsid w:val="3E08CE10"/>
    <w:rsid w:val="3E1404C0"/>
    <w:rsid w:val="3E154DC9"/>
    <w:rsid w:val="3E15EE6F"/>
    <w:rsid w:val="3E19D9AA"/>
    <w:rsid w:val="3E24CF11"/>
    <w:rsid w:val="3E2D3326"/>
    <w:rsid w:val="3E34F7C0"/>
    <w:rsid w:val="3E42577D"/>
    <w:rsid w:val="3E4452F6"/>
    <w:rsid w:val="3E45877F"/>
    <w:rsid w:val="3E486B1F"/>
    <w:rsid w:val="3E49D255"/>
    <w:rsid w:val="3E4ADA05"/>
    <w:rsid w:val="3E5787E7"/>
    <w:rsid w:val="3E5A1AEF"/>
    <w:rsid w:val="3E5D1F76"/>
    <w:rsid w:val="3E5F8983"/>
    <w:rsid w:val="3E6683B2"/>
    <w:rsid w:val="3E6B4B85"/>
    <w:rsid w:val="3E6BEEA9"/>
    <w:rsid w:val="3E6EC4DC"/>
    <w:rsid w:val="3E7129A6"/>
    <w:rsid w:val="3E720FE3"/>
    <w:rsid w:val="3E73DA29"/>
    <w:rsid w:val="3E767156"/>
    <w:rsid w:val="3E871FA0"/>
    <w:rsid w:val="3E87BECB"/>
    <w:rsid w:val="3E8CBAB1"/>
    <w:rsid w:val="3E8FBD8B"/>
    <w:rsid w:val="3E99AEF1"/>
    <w:rsid w:val="3E9B0DA2"/>
    <w:rsid w:val="3EA61364"/>
    <w:rsid w:val="3EAC49E2"/>
    <w:rsid w:val="3EB2F2FB"/>
    <w:rsid w:val="3ECB259A"/>
    <w:rsid w:val="3ED99FA1"/>
    <w:rsid w:val="3EDAAFEF"/>
    <w:rsid w:val="3EDC1BB2"/>
    <w:rsid w:val="3EE07987"/>
    <w:rsid w:val="3EE954B3"/>
    <w:rsid w:val="3EEB00AC"/>
    <w:rsid w:val="3EEE0697"/>
    <w:rsid w:val="3EF02754"/>
    <w:rsid w:val="3EF1BF8E"/>
    <w:rsid w:val="3EF87045"/>
    <w:rsid w:val="3EFE351C"/>
    <w:rsid w:val="3EFFB539"/>
    <w:rsid w:val="3F012C72"/>
    <w:rsid w:val="3F038F8E"/>
    <w:rsid w:val="3F0942A1"/>
    <w:rsid w:val="3F0BE29D"/>
    <w:rsid w:val="3F0E10F7"/>
    <w:rsid w:val="3F16F2E0"/>
    <w:rsid w:val="3F192EDC"/>
    <w:rsid w:val="3F2FBB10"/>
    <w:rsid w:val="3F302D4A"/>
    <w:rsid w:val="3F37C472"/>
    <w:rsid w:val="3F3AA4CD"/>
    <w:rsid w:val="3F3DE3E1"/>
    <w:rsid w:val="3F3ECD1F"/>
    <w:rsid w:val="3F41480A"/>
    <w:rsid w:val="3F4330C2"/>
    <w:rsid w:val="3F484190"/>
    <w:rsid w:val="3F49B369"/>
    <w:rsid w:val="3F51D9CB"/>
    <w:rsid w:val="3F52E4C5"/>
    <w:rsid w:val="3F5EA72D"/>
    <w:rsid w:val="3F624B24"/>
    <w:rsid w:val="3F66974D"/>
    <w:rsid w:val="3F6C8F32"/>
    <w:rsid w:val="3F77677B"/>
    <w:rsid w:val="3F79D2D7"/>
    <w:rsid w:val="3F7C1166"/>
    <w:rsid w:val="3F91D9FC"/>
    <w:rsid w:val="3F980C5F"/>
    <w:rsid w:val="3F9C774E"/>
    <w:rsid w:val="3F9F39F9"/>
    <w:rsid w:val="3FA0304E"/>
    <w:rsid w:val="3FA13C9B"/>
    <w:rsid w:val="3FA70639"/>
    <w:rsid w:val="3FAA58DC"/>
    <w:rsid w:val="3FAB88A4"/>
    <w:rsid w:val="3FABA6C3"/>
    <w:rsid w:val="3FB0F3F8"/>
    <w:rsid w:val="3FBCFBD4"/>
    <w:rsid w:val="3FBFC512"/>
    <w:rsid w:val="3FC4F229"/>
    <w:rsid w:val="3FD0C821"/>
    <w:rsid w:val="3FD6822C"/>
    <w:rsid w:val="3FDF0D50"/>
    <w:rsid w:val="3FE03C1F"/>
    <w:rsid w:val="3FE4CE6C"/>
    <w:rsid w:val="3FE5CFF9"/>
    <w:rsid w:val="3FE733E8"/>
    <w:rsid w:val="3FE7F8B6"/>
    <w:rsid w:val="3FF4D19F"/>
    <w:rsid w:val="40019681"/>
    <w:rsid w:val="40064A19"/>
    <w:rsid w:val="4008EF6A"/>
    <w:rsid w:val="400B112B"/>
    <w:rsid w:val="4013E30A"/>
    <w:rsid w:val="401DBC62"/>
    <w:rsid w:val="401E4D3E"/>
    <w:rsid w:val="40239370"/>
    <w:rsid w:val="40273587"/>
    <w:rsid w:val="4028FF07"/>
    <w:rsid w:val="402FAD49"/>
    <w:rsid w:val="4035C469"/>
    <w:rsid w:val="4037B3C0"/>
    <w:rsid w:val="404753AF"/>
    <w:rsid w:val="4057A8DC"/>
    <w:rsid w:val="405C7E5C"/>
    <w:rsid w:val="405FD025"/>
    <w:rsid w:val="4062ABB1"/>
    <w:rsid w:val="4064C75F"/>
    <w:rsid w:val="40652F85"/>
    <w:rsid w:val="4065766A"/>
    <w:rsid w:val="40697CF1"/>
    <w:rsid w:val="40771CE0"/>
    <w:rsid w:val="4077FA33"/>
    <w:rsid w:val="407B4546"/>
    <w:rsid w:val="407BDADF"/>
    <w:rsid w:val="40824027"/>
    <w:rsid w:val="4084A7F1"/>
    <w:rsid w:val="40869ABC"/>
    <w:rsid w:val="408B4DFA"/>
    <w:rsid w:val="408C584E"/>
    <w:rsid w:val="408DF542"/>
    <w:rsid w:val="409907E2"/>
    <w:rsid w:val="40992405"/>
    <w:rsid w:val="40992CCC"/>
    <w:rsid w:val="4099F25B"/>
    <w:rsid w:val="40A20733"/>
    <w:rsid w:val="40A56B0A"/>
    <w:rsid w:val="40BACC98"/>
    <w:rsid w:val="40BDC64F"/>
    <w:rsid w:val="40BF1573"/>
    <w:rsid w:val="40C8BA5E"/>
    <w:rsid w:val="40DFC276"/>
    <w:rsid w:val="40E44CAF"/>
    <w:rsid w:val="40E5AE2A"/>
    <w:rsid w:val="40E6EBFD"/>
    <w:rsid w:val="40EC1CDA"/>
    <w:rsid w:val="40EF3C22"/>
    <w:rsid w:val="40F0C6BC"/>
    <w:rsid w:val="40F2FE78"/>
    <w:rsid w:val="40F59EAA"/>
    <w:rsid w:val="40F842B5"/>
    <w:rsid w:val="40FAB37E"/>
    <w:rsid w:val="40FF5C35"/>
    <w:rsid w:val="4104F14B"/>
    <w:rsid w:val="410CDDD8"/>
    <w:rsid w:val="410FA06F"/>
    <w:rsid w:val="4114A773"/>
    <w:rsid w:val="4117E43A"/>
    <w:rsid w:val="4117EF85"/>
    <w:rsid w:val="4117F519"/>
    <w:rsid w:val="411BA2CA"/>
    <w:rsid w:val="41275D41"/>
    <w:rsid w:val="41403B74"/>
    <w:rsid w:val="4140761D"/>
    <w:rsid w:val="4144A9F0"/>
    <w:rsid w:val="414BF478"/>
    <w:rsid w:val="41540831"/>
    <w:rsid w:val="4158FDFB"/>
    <w:rsid w:val="415D48D1"/>
    <w:rsid w:val="415E9ED0"/>
    <w:rsid w:val="4168C503"/>
    <w:rsid w:val="4172F8D1"/>
    <w:rsid w:val="417DAEF7"/>
    <w:rsid w:val="418C8420"/>
    <w:rsid w:val="418D4C7F"/>
    <w:rsid w:val="4190660C"/>
    <w:rsid w:val="41946479"/>
    <w:rsid w:val="41959B87"/>
    <w:rsid w:val="41A4F2C8"/>
    <w:rsid w:val="41AA6A19"/>
    <w:rsid w:val="41B7E2C8"/>
    <w:rsid w:val="41BA1D9F"/>
    <w:rsid w:val="41D756CA"/>
    <w:rsid w:val="41DCE4E5"/>
    <w:rsid w:val="41E39DB6"/>
    <w:rsid w:val="41E56F17"/>
    <w:rsid w:val="41E77734"/>
    <w:rsid w:val="41EB054E"/>
    <w:rsid w:val="41EDFEF0"/>
    <w:rsid w:val="41FCAFC1"/>
    <w:rsid w:val="41FFB855"/>
    <w:rsid w:val="4237BA93"/>
    <w:rsid w:val="423BCC7E"/>
    <w:rsid w:val="42418C87"/>
    <w:rsid w:val="4245BE09"/>
    <w:rsid w:val="42481246"/>
    <w:rsid w:val="424D1E78"/>
    <w:rsid w:val="42503CBB"/>
    <w:rsid w:val="4256D312"/>
    <w:rsid w:val="426CB61A"/>
    <w:rsid w:val="426F63B7"/>
    <w:rsid w:val="42766C4A"/>
    <w:rsid w:val="4279498B"/>
    <w:rsid w:val="427A544E"/>
    <w:rsid w:val="42898DC8"/>
    <w:rsid w:val="4294F432"/>
    <w:rsid w:val="429AE928"/>
    <w:rsid w:val="42A127EF"/>
    <w:rsid w:val="42A43BF2"/>
    <w:rsid w:val="42A5D645"/>
    <w:rsid w:val="42AC9380"/>
    <w:rsid w:val="42B7346E"/>
    <w:rsid w:val="42BC650C"/>
    <w:rsid w:val="42BD37AC"/>
    <w:rsid w:val="42C54FB4"/>
    <w:rsid w:val="42C63116"/>
    <w:rsid w:val="42CFD651"/>
    <w:rsid w:val="42D0EC88"/>
    <w:rsid w:val="42D2639C"/>
    <w:rsid w:val="42E195D5"/>
    <w:rsid w:val="42E22172"/>
    <w:rsid w:val="42F17A7C"/>
    <w:rsid w:val="4303522B"/>
    <w:rsid w:val="43078D87"/>
    <w:rsid w:val="43089454"/>
    <w:rsid w:val="4309EE5E"/>
    <w:rsid w:val="43249BD0"/>
    <w:rsid w:val="4326D6BC"/>
    <w:rsid w:val="432B8C85"/>
    <w:rsid w:val="432BE4DB"/>
    <w:rsid w:val="432CF4FD"/>
    <w:rsid w:val="43307254"/>
    <w:rsid w:val="43369D3D"/>
    <w:rsid w:val="43413CC8"/>
    <w:rsid w:val="4348DD05"/>
    <w:rsid w:val="434AFE11"/>
    <w:rsid w:val="43560514"/>
    <w:rsid w:val="43608A58"/>
    <w:rsid w:val="4361070A"/>
    <w:rsid w:val="436C2100"/>
    <w:rsid w:val="437B15CF"/>
    <w:rsid w:val="438848AF"/>
    <w:rsid w:val="4392027C"/>
    <w:rsid w:val="43959F8F"/>
    <w:rsid w:val="43982A57"/>
    <w:rsid w:val="439BB2A0"/>
    <w:rsid w:val="439CFC8E"/>
    <w:rsid w:val="43B28DE5"/>
    <w:rsid w:val="43B431EC"/>
    <w:rsid w:val="43BFB48E"/>
    <w:rsid w:val="43C0BCA9"/>
    <w:rsid w:val="43C90FEB"/>
    <w:rsid w:val="43CAB986"/>
    <w:rsid w:val="43E0EE69"/>
    <w:rsid w:val="43E6967C"/>
    <w:rsid w:val="43EAFEF7"/>
    <w:rsid w:val="43F03FFD"/>
    <w:rsid w:val="43F5A73F"/>
    <w:rsid w:val="43FA91D6"/>
    <w:rsid w:val="44053557"/>
    <w:rsid w:val="44065627"/>
    <w:rsid w:val="4409B16E"/>
    <w:rsid w:val="440E8E6D"/>
    <w:rsid w:val="44133A87"/>
    <w:rsid w:val="4416811B"/>
    <w:rsid w:val="4418B682"/>
    <w:rsid w:val="4419AAA1"/>
    <w:rsid w:val="441B42D6"/>
    <w:rsid w:val="441BED71"/>
    <w:rsid w:val="442C9494"/>
    <w:rsid w:val="442EEAD4"/>
    <w:rsid w:val="443461F3"/>
    <w:rsid w:val="4439C2B9"/>
    <w:rsid w:val="443C8B8E"/>
    <w:rsid w:val="444614FA"/>
    <w:rsid w:val="4447599A"/>
    <w:rsid w:val="4456BE2F"/>
    <w:rsid w:val="4458D598"/>
    <w:rsid w:val="4469BE0E"/>
    <w:rsid w:val="447144D2"/>
    <w:rsid w:val="447735DB"/>
    <w:rsid w:val="447B9417"/>
    <w:rsid w:val="447D125A"/>
    <w:rsid w:val="447D8391"/>
    <w:rsid w:val="447F1764"/>
    <w:rsid w:val="447F17ED"/>
    <w:rsid w:val="4489466A"/>
    <w:rsid w:val="448AFAAF"/>
    <w:rsid w:val="44910910"/>
    <w:rsid w:val="44923B09"/>
    <w:rsid w:val="44A41815"/>
    <w:rsid w:val="44A43944"/>
    <w:rsid w:val="44AB4C75"/>
    <w:rsid w:val="44AC291D"/>
    <w:rsid w:val="44ADB74B"/>
    <w:rsid w:val="44B18249"/>
    <w:rsid w:val="44B1B155"/>
    <w:rsid w:val="44BA6803"/>
    <w:rsid w:val="44BBEF87"/>
    <w:rsid w:val="44BC7232"/>
    <w:rsid w:val="44C930B9"/>
    <w:rsid w:val="44CB3392"/>
    <w:rsid w:val="44CF38AE"/>
    <w:rsid w:val="44D7EA65"/>
    <w:rsid w:val="44DCBB61"/>
    <w:rsid w:val="44E8D39C"/>
    <w:rsid w:val="44EEB18B"/>
    <w:rsid w:val="44F32BF4"/>
    <w:rsid w:val="44F47554"/>
    <w:rsid w:val="44F7AFF1"/>
    <w:rsid w:val="4505989B"/>
    <w:rsid w:val="4507B1C4"/>
    <w:rsid w:val="450892F3"/>
    <w:rsid w:val="450C38A5"/>
    <w:rsid w:val="4519119C"/>
    <w:rsid w:val="451A3A3A"/>
    <w:rsid w:val="451A6769"/>
    <w:rsid w:val="452045FC"/>
    <w:rsid w:val="452FB054"/>
    <w:rsid w:val="4531D6D1"/>
    <w:rsid w:val="453687D4"/>
    <w:rsid w:val="4537A394"/>
    <w:rsid w:val="453BDAB0"/>
    <w:rsid w:val="45417B61"/>
    <w:rsid w:val="45419680"/>
    <w:rsid w:val="4545E2A1"/>
    <w:rsid w:val="4546EA07"/>
    <w:rsid w:val="45549ECA"/>
    <w:rsid w:val="455A0BDF"/>
    <w:rsid w:val="455BCD12"/>
    <w:rsid w:val="45677C8F"/>
    <w:rsid w:val="4569870C"/>
    <w:rsid w:val="456E83C6"/>
    <w:rsid w:val="456FE3C4"/>
    <w:rsid w:val="45969189"/>
    <w:rsid w:val="459720DB"/>
    <w:rsid w:val="4597DF91"/>
    <w:rsid w:val="45A40924"/>
    <w:rsid w:val="45A7AD35"/>
    <w:rsid w:val="45A944CD"/>
    <w:rsid w:val="45AA864F"/>
    <w:rsid w:val="45B0AF0C"/>
    <w:rsid w:val="45B36F83"/>
    <w:rsid w:val="45B4EB31"/>
    <w:rsid w:val="45B7BDD2"/>
    <w:rsid w:val="45C62586"/>
    <w:rsid w:val="45C62A19"/>
    <w:rsid w:val="45D1BEAE"/>
    <w:rsid w:val="45D25396"/>
    <w:rsid w:val="45D42813"/>
    <w:rsid w:val="45D5A822"/>
    <w:rsid w:val="45E2AA88"/>
    <w:rsid w:val="45E714DD"/>
    <w:rsid w:val="45E77859"/>
    <w:rsid w:val="45EDB56E"/>
    <w:rsid w:val="45EDCCE7"/>
    <w:rsid w:val="45EEACEF"/>
    <w:rsid w:val="45EFB010"/>
    <w:rsid w:val="4601BC58"/>
    <w:rsid w:val="460A3E10"/>
    <w:rsid w:val="461C1069"/>
    <w:rsid w:val="461DC90C"/>
    <w:rsid w:val="46200049"/>
    <w:rsid w:val="4623AD95"/>
    <w:rsid w:val="462B5072"/>
    <w:rsid w:val="463E648E"/>
    <w:rsid w:val="46406047"/>
    <w:rsid w:val="4644AEF1"/>
    <w:rsid w:val="4657D8BC"/>
    <w:rsid w:val="4658AA4B"/>
    <w:rsid w:val="465ADCA1"/>
    <w:rsid w:val="466546C4"/>
    <w:rsid w:val="4675461D"/>
    <w:rsid w:val="46758373"/>
    <w:rsid w:val="46822C32"/>
    <w:rsid w:val="469307C3"/>
    <w:rsid w:val="469337DF"/>
    <w:rsid w:val="46A3933F"/>
    <w:rsid w:val="46AB4461"/>
    <w:rsid w:val="46AD3B9A"/>
    <w:rsid w:val="46AE969A"/>
    <w:rsid w:val="46B032C7"/>
    <w:rsid w:val="46B0494A"/>
    <w:rsid w:val="46B4B991"/>
    <w:rsid w:val="46C3F207"/>
    <w:rsid w:val="46CE05CA"/>
    <w:rsid w:val="46CEEE59"/>
    <w:rsid w:val="46D40E39"/>
    <w:rsid w:val="46E5845C"/>
    <w:rsid w:val="46FAB1FD"/>
    <w:rsid w:val="4701F8C3"/>
    <w:rsid w:val="47042E46"/>
    <w:rsid w:val="47176DD7"/>
    <w:rsid w:val="471D435B"/>
    <w:rsid w:val="47234C28"/>
    <w:rsid w:val="47248199"/>
    <w:rsid w:val="47258040"/>
    <w:rsid w:val="473043BD"/>
    <w:rsid w:val="4732E58B"/>
    <w:rsid w:val="4732E7CE"/>
    <w:rsid w:val="47372DED"/>
    <w:rsid w:val="47381E8D"/>
    <w:rsid w:val="474C9261"/>
    <w:rsid w:val="474E7BD6"/>
    <w:rsid w:val="474F4060"/>
    <w:rsid w:val="474FB251"/>
    <w:rsid w:val="475E6BE7"/>
    <w:rsid w:val="4765B996"/>
    <w:rsid w:val="4767D965"/>
    <w:rsid w:val="47697F16"/>
    <w:rsid w:val="476A76E2"/>
    <w:rsid w:val="476D045F"/>
    <w:rsid w:val="476D743A"/>
    <w:rsid w:val="4773AF7E"/>
    <w:rsid w:val="47791B81"/>
    <w:rsid w:val="4780CCDB"/>
    <w:rsid w:val="4783A81A"/>
    <w:rsid w:val="4790F4E3"/>
    <w:rsid w:val="4791CB6A"/>
    <w:rsid w:val="47934C35"/>
    <w:rsid w:val="4795C0D2"/>
    <w:rsid w:val="479CFE8E"/>
    <w:rsid w:val="47A18ED9"/>
    <w:rsid w:val="47A77F33"/>
    <w:rsid w:val="47A8BAEF"/>
    <w:rsid w:val="47ADBA52"/>
    <w:rsid w:val="47AF94BF"/>
    <w:rsid w:val="47B67226"/>
    <w:rsid w:val="47BA10DA"/>
    <w:rsid w:val="47BDEFA3"/>
    <w:rsid w:val="47C0040F"/>
    <w:rsid w:val="47C5FBA5"/>
    <w:rsid w:val="47C7FCB0"/>
    <w:rsid w:val="47D2DC5D"/>
    <w:rsid w:val="47D5851C"/>
    <w:rsid w:val="47D63FAE"/>
    <w:rsid w:val="47DCAB7D"/>
    <w:rsid w:val="47DE8BF1"/>
    <w:rsid w:val="47E554DC"/>
    <w:rsid w:val="47E8DC62"/>
    <w:rsid w:val="47EDF500"/>
    <w:rsid w:val="47F255AE"/>
    <w:rsid w:val="47F3661A"/>
    <w:rsid w:val="47FA6320"/>
    <w:rsid w:val="47FA753C"/>
    <w:rsid w:val="47FCF36F"/>
    <w:rsid w:val="47FD58C4"/>
    <w:rsid w:val="480AF8D0"/>
    <w:rsid w:val="4816868A"/>
    <w:rsid w:val="481A1B51"/>
    <w:rsid w:val="481E4CD1"/>
    <w:rsid w:val="4823C1E8"/>
    <w:rsid w:val="4828A1B5"/>
    <w:rsid w:val="4830F6CB"/>
    <w:rsid w:val="483677E6"/>
    <w:rsid w:val="4837D69C"/>
    <w:rsid w:val="48411FA2"/>
    <w:rsid w:val="48504D49"/>
    <w:rsid w:val="4856E00D"/>
    <w:rsid w:val="48580BA9"/>
    <w:rsid w:val="487618D4"/>
    <w:rsid w:val="487C1E23"/>
    <w:rsid w:val="4883E57A"/>
    <w:rsid w:val="48868208"/>
    <w:rsid w:val="4889F523"/>
    <w:rsid w:val="488BD4FA"/>
    <w:rsid w:val="488D34CA"/>
    <w:rsid w:val="488D6AD6"/>
    <w:rsid w:val="48920482"/>
    <w:rsid w:val="489A664A"/>
    <w:rsid w:val="48B1ABC8"/>
    <w:rsid w:val="48B23A93"/>
    <w:rsid w:val="48B334D4"/>
    <w:rsid w:val="48CBF2D1"/>
    <w:rsid w:val="48D1A644"/>
    <w:rsid w:val="48D82372"/>
    <w:rsid w:val="48D8A136"/>
    <w:rsid w:val="48DF9E28"/>
    <w:rsid w:val="48E14E65"/>
    <w:rsid w:val="48F30595"/>
    <w:rsid w:val="4909E079"/>
    <w:rsid w:val="490E5897"/>
    <w:rsid w:val="49107C56"/>
    <w:rsid w:val="49135F91"/>
    <w:rsid w:val="4915EF17"/>
    <w:rsid w:val="49179B65"/>
    <w:rsid w:val="491825DF"/>
    <w:rsid w:val="49229D57"/>
    <w:rsid w:val="492DC9D5"/>
    <w:rsid w:val="49385939"/>
    <w:rsid w:val="4944D737"/>
    <w:rsid w:val="49486A13"/>
    <w:rsid w:val="494B1ADD"/>
    <w:rsid w:val="4950E640"/>
    <w:rsid w:val="495C412B"/>
    <w:rsid w:val="496084F7"/>
    <w:rsid w:val="49676698"/>
    <w:rsid w:val="49686D7E"/>
    <w:rsid w:val="49689D80"/>
    <w:rsid w:val="4977AA67"/>
    <w:rsid w:val="4979E2EF"/>
    <w:rsid w:val="4981286E"/>
    <w:rsid w:val="4991FE18"/>
    <w:rsid w:val="499223F6"/>
    <w:rsid w:val="49A4DB1D"/>
    <w:rsid w:val="49A5918B"/>
    <w:rsid w:val="49A98697"/>
    <w:rsid w:val="49AA8EBA"/>
    <w:rsid w:val="49AD8E60"/>
    <w:rsid w:val="49B003DB"/>
    <w:rsid w:val="49B1FA54"/>
    <w:rsid w:val="49B3C7D5"/>
    <w:rsid w:val="49C1F446"/>
    <w:rsid w:val="49C844A4"/>
    <w:rsid w:val="49D5B8C1"/>
    <w:rsid w:val="49D75418"/>
    <w:rsid w:val="49D9FEBE"/>
    <w:rsid w:val="49E53B5B"/>
    <w:rsid w:val="49F1D110"/>
    <w:rsid w:val="4A03ACCC"/>
    <w:rsid w:val="4A058F7E"/>
    <w:rsid w:val="4A196AE5"/>
    <w:rsid w:val="4A2C1612"/>
    <w:rsid w:val="4A2E2589"/>
    <w:rsid w:val="4A391C20"/>
    <w:rsid w:val="4A39A7A1"/>
    <w:rsid w:val="4A3B5115"/>
    <w:rsid w:val="4A43C888"/>
    <w:rsid w:val="4A453BB2"/>
    <w:rsid w:val="4A4BA367"/>
    <w:rsid w:val="4A5854BA"/>
    <w:rsid w:val="4A5F6881"/>
    <w:rsid w:val="4A64FEEE"/>
    <w:rsid w:val="4A654FC5"/>
    <w:rsid w:val="4A6871AE"/>
    <w:rsid w:val="4A68B186"/>
    <w:rsid w:val="4A76212C"/>
    <w:rsid w:val="4A79D6C3"/>
    <w:rsid w:val="4A7E222B"/>
    <w:rsid w:val="4A88B568"/>
    <w:rsid w:val="4A93E9EA"/>
    <w:rsid w:val="4A94882B"/>
    <w:rsid w:val="4A94E115"/>
    <w:rsid w:val="4A980916"/>
    <w:rsid w:val="4A9C25D6"/>
    <w:rsid w:val="4A9EDEA9"/>
    <w:rsid w:val="4AA11FD8"/>
    <w:rsid w:val="4AACDBF4"/>
    <w:rsid w:val="4AAE291B"/>
    <w:rsid w:val="4AB2AEAB"/>
    <w:rsid w:val="4ABD0626"/>
    <w:rsid w:val="4ABF3B6A"/>
    <w:rsid w:val="4AC8835A"/>
    <w:rsid w:val="4AC8988F"/>
    <w:rsid w:val="4ACAB30D"/>
    <w:rsid w:val="4ACABB24"/>
    <w:rsid w:val="4ACE6207"/>
    <w:rsid w:val="4AD2FE71"/>
    <w:rsid w:val="4AD63D7F"/>
    <w:rsid w:val="4AD87ABE"/>
    <w:rsid w:val="4AD8E577"/>
    <w:rsid w:val="4ADBAC7A"/>
    <w:rsid w:val="4ADDBB26"/>
    <w:rsid w:val="4AE6A4AE"/>
    <w:rsid w:val="4AE76582"/>
    <w:rsid w:val="4AEA8386"/>
    <w:rsid w:val="4AEE3D96"/>
    <w:rsid w:val="4AF6D957"/>
    <w:rsid w:val="4AFC29EB"/>
    <w:rsid w:val="4AFECF1E"/>
    <w:rsid w:val="4B005DAC"/>
    <w:rsid w:val="4B07DC1F"/>
    <w:rsid w:val="4B1036AF"/>
    <w:rsid w:val="4B157AA6"/>
    <w:rsid w:val="4B1ADDAC"/>
    <w:rsid w:val="4B228981"/>
    <w:rsid w:val="4B23E3E5"/>
    <w:rsid w:val="4B24D5D3"/>
    <w:rsid w:val="4B267AF8"/>
    <w:rsid w:val="4B2B2E83"/>
    <w:rsid w:val="4B2F3F13"/>
    <w:rsid w:val="4B2F98B8"/>
    <w:rsid w:val="4B396611"/>
    <w:rsid w:val="4B3CBE5D"/>
    <w:rsid w:val="4B3EFAD9"/>
    <w:rsid w:val="4B474DFD"/>
    <w:rsid w:val="4B5A060D"/>
    <w:rsid w:val="4B5E2D4E"/>
    <w:rsid w:val="4B628620"/>
    <w:rsid w:val="4B65D4C8"/>
    <w:rsid w:val="4B7E686A"/>
    <w:rsid w:val="4B7EB585"/>
    <w:rsid w:val="4B854B4F"/>
    <w:rsid w:val="4B87C359"/>
    <w:rsid w:val="4B8A6C6A"/>
    <w:rsid w:val="4B95F110"/>
    <w:rsid w:val="4B9643E3"/>
    <w:rsid w:val="4B9A1B2B"/>
    <w:rsid w:val="4BA3DF47"/>
    <w:rsid w:val="4BA79675"/>
    <w:rsid w:val="4BACD6FC"/>
    <w:rsid w:val="4BAE46C9"/>
    <w:rsid w:val="4BB470F4"/>
    <w:rsid w:val="4BB9CDF1"/>
    <w:rsid w:val="4BBA7EDE"/>
    <w:rsid w:val="4BC34C5A"/>
    <w:rsid w:val="4BC3EDF0"/>
    <w:rsid w:val="4BC60391"/>
    <w:rsid w:val="4BC62C84"/>
    <w:rsid w:val="4BC6E3B0"/>
    <w:rsid w:val="4BD26C48"/>
    <w:rsid w:val="4BD47561"/>
    <w:rsid w:val="4BD6ABAC"/>
    <w:rsid w:val="4BE7BA90"/>
    <w:rsid w:val="4BE8BD9E"/>
    <w:rsid w:val="4BF5C50B"/>
    <w:rsid w:val="4BF62DDB"/>
    <w:rsid w:val="4BF90746"/>
    <w:rsid w:val="4BFE75F8"/>
    <w:rsid w:val="4BFED588"/>
    <w:rsid w:val="4C00CD32"/>
    <w:rsid w:val="4C0AB127"/>
    <w:rsid w:val="4C0AF297"/>
    <w:rsid w:val="4C1096D0"/>
    <w:rsid w:val="4C1298A5"/>
    <w:rsid w:val="4C15EE41"/>
    <w:rsid w:val="4C1A9985"/>
    <w:rsid w:val="4C27AFF4"/>
    <w:rsid w:val="4C29D82C"/>
    <w:rsid w:val="4C36A422"/>
    <w:rsid w:val="4C3E3C12"/>
    <w:rsid w:val="4C4826CA"/>
    <w:rsid w:val="4C4BC33B"/>
    <w:rsid w:val="4C5359CD"/>
    <w:rsid w:val="4C541B82"/>
    <w:rsid w:val="4C5CAA56"/>
    <w:rsid w:val="4C5CB2F7"/>
    <w:rsid w:val="4C6C822A"/>
    <w:rsid w:val="4C784A02"/>
    <w:rsid w:val="4C80101D"/>
    <w:rsid w:val="4C80B838"/>
    <w:rsid w:val="4C827545"/>
    <w:rsid w:val="4C82BA77"/>
    <w:rsid w:val="4C8481D7"/>
    <w:rsid w:val="4C856085"/>
    <w:rsid w:val="4C8DAF7F"/>
    <w:rsid w:val="4C8F3E76"/>
    <w:rsid w:val="4C9FBADD"/>
    <w:rsid w:val="4CA1DC7E"/>
    <w:rsid w:val="4CA27C99"/>
    <w:rsid w:val="4CA3C75B"/>
    <w:rsid w:val="4CA5D799"/>
    <w:rsid w:val="4CB53130"/>
    <w:rsid w:val="4CB8C930"/>
    <w:rsid w:val="4CC6DFC4"/>
    <w:rsid w:val="4CCF47C2"/>
    <w:rsid w:val="4CD03A1F"/>
    <w:rsid w:val="4CEE4CBC"/>
    <w:rsid w:val="4CF5810C"/>
    <w:rsid w:val="4CF72EE3"/>
    <w:rsid w:val="4CFEC74B"/>
    <w:rsid w:val="4D03E60E"/>
    <w:rsid w:val="4D121CA9"/>
    <w:rsid w:val="4D2307B7"/>
    <w:rsid w:val="4D257912"/>
    <w:rsid w:val="4D317711"/>
    <w:rsid w:val="4D43E230"/>
    <w:rsid w:val="4D4494A7"/>
    <w:rsid w:val="4D4B5955"/>
    <w:rsid w:val="4D53006F"/>
    <w:rsid w:val="4D564F3F"/>
    <w:rsid w:val="4D5B4D65"/>
    <w:rsid w:val="4D60B4A2"/>
    <w:rsid w:val="4D7A64D8"/>
    <w:rsid w:val="4D7CA9E8"/>
    <w:rsid w:val="4D86DEA8"/>
    <w:rsid w:val="4D9C6BE6"/>
    <w:rsid w:val="4DA021E8"/>
    <w:rsid w:val="4DA4DFAC"/>
    <w:rsid w:val="4DB75EF3"/>
    <w:rsid w:val="4DB7D8C5"/>
    <w:rsid w:val="4DBBD3E5"/>
    <w:rsid w:val="4DC2BCF3"/>
    <w:rsid w:val="4DC90466"/>
    <w:rsid w:val="4DC91C4E"/>
    <w:rsid w:val="4DCBEEBF"/>
    <w:rsid w:val="4DD1A9BC"/>
    <w:rsid w:val="4DD2CF3E"/>
    <w:rsid w:val="4DD3F8D4"/>
    <w:rsid w:val="4DD4034B"/>
    <w:rsid w:val="4DE0DFB3"/>
    <w:rsid w:val="4DE49F43"/>
    <w:rsid w:val="4DE92D82"/>
    <w:rsid w:val="4DEB2ACE"/>
    <w:rsid w:val="4DF4EBFB"/>
    <w:rsid w:val="4DFA4693"/>
    <w:rsid w:val="4DFBA19C"/>
    <w:rsid w:val="4DFC0F0D"/>
    <w:rsid w:val="4E0820FE"/>
    <w:rsid w:val="4E0869B3"/>
    <w:rsid w:val="4E08E0A7"/>
    <w:rsid w:val="4E0D84EC"/>
    <w:rsid w:val="4E16EAA6"/>
    <w:rsid w:val="4E173A4F"/>
    <w:rsid w:val="4E1EB630"/>
    <w:rsid w:val="4E248C18"/>
    <w:rsid w:val="4E2D216C"/>
    <w:rsid w:val="4E367D10"/>
    <w:rsid w:val="4E3C9D82"/>
    <w:rsid w:val="4E3FB85A"/>
    <w:rsid w:val="4E45E1DD"/>
    <w:rsid w:val="4E4A957D"/>
    <w:rsid w:val="4E4D15AB"/>
    <w:rsid w:val="4E5370EB"/>
    <w:rsid w:val="4E59C040"/>
    <w:rsid w:val="4E5C6D24"/>
    <w:rsid w:val="4E636F34"/>
    <w:rsid w:val="4E694B82"/>
    <w:rsid w:val="4E709BF6"/>
    <w:rsid w:val="4E765064"/>
    <w:rsid w:val="4E87A3ED"/>
    <w:rsid w:val="4E8878F6"/>
    <w:rsid w:val="4E8B873B"/>
    <w:rsid w:val="4E8EE389"/>
    <w:rsid w:val="4E9178C0"/>
    <w:rsid w:val="4E9A97AC"/>
    <w:rsid w:val="4E9D216F"/>
    <w:rsid w:val="4EA4AB4F"/>
    <w:rsid w:val="4EA8AFF8"/>
    <w:rsid w:val="4EAA50EC"/>
    <w:rsid w:val="4EABDA0A"/>
    <w:rsid w:val="4EC0EBDE"/>
    <w:rsid w:val="4EC14973"/>
    <w:rsid w:val="4ECD992C"/>
    <w:rsid w:val="4ECE4B17"/>
    <w:rsid w:val="4ECEA5A6"/>
    <w:rsid w:val="4EDEDD48"/>
    <w:rsid w:val="4EDF89EF"/>
    <w:rsid w:val="4EE0E950"/>
    <w:rsid w:val="4EE35DB1"/>
    <w:rsid w:val="4EF082F6"/>
    <w:rsid w:val="4F00A881"/>
    <w:rsid w:val="4F025D1C"/>
    <w:rsid w:val="4F0B3F35"/>
    <w:rsid w:val="4F234B2D"/>
    <w:rsid w:val="4F30CEA5"/>
    <w:rsid w:val="4F33FF68"/>
    <w:rsid w:val="4F38DC6A"/>
    <w:rsid w:val="4F3ED23C"/>
    <w:rsid w:val="4F3FB099"/>
    <w:rsid w:val="4F485C84"/>
    <w:rsid w:val="4F4A63A3"/>
    <w:rsid w:val="4F4E7CF4"/>
    <w:rsid w:val="4F5134F3"/>
    <w:rsid w:val="4F57C838"/>
    <w:rsid w:val="4F61D52B"/>
    <w:rsid w:val="4F66E7EE"/>
    <w:rsid w:val="4F6D7CC7"/>
    <w:rsid w:val="4F753925"/>
    <w:rsid w:val="4F76270C"/>
    <w:rsid w:val="4F8AFA8F"/>
    <w:rsid w:val="4F8DB4E3"/>
    <w:rsid w:val="4F90D47F"/>
    <w:rsid w:val="4FA0ADD0"/>
    <w:rsid w:val="4FAED572"/>
    <w:rsid w:val="4FAFDDAB"/>
    <w:rsid w:val="4FB18525"/>
    <w:rsid w:val="4FCD4191"/>
    <w:rsid w:val="4FCEFB4D"/>
    <w:rsid w:val="4FCF235E"/>
    <w:rsid w:val="4FDB99F4"/>
    <w:rsid w:val="4FDC6C9D"/>
    <w:rsid w:val="4FDE49BE"/>
    <w:rsid w:val="4FE0C8FF"/>
    <w:rsid w:val="4FE16E7D"/>
    <w:rsid w:val="4FE877FF"/>
    <w:rsid w:val="4FEB3F2B"/>
    <w:rsid w:val="4FEFB506"/>
    <w:rsid w:val="4FF069F2"/>
    <w:rsid w:val="4FF5AC07"/>
    <w:rsid w:val="4FFABCEA"/>
    <w:rsid w:val="4FFC04EF"/>
    <w:rsid w:val="4FFEEDEB"/>
    <w:rsid w:val="50020F94"/>
    <w:rsid w:val="500768A6"/>
    <w:rsid w:val="500A3627"/>
    <w:rsid w:val="500C04D9"/>
    <w:rsid w:val="5015A984"/>
    <w:rsid w:val="501E3FD8"/>
    <w:rsid w:val="5021482B"/>
    <w:rsid w:val="5021C56C"/>
    <w:rsid w:val="5024CE7A"/>
    <w:rsid w:val="502608DF"/>
    <w:rsid w:val="503F7F14"/>
    <w:rsid w:val="5044BA1C"/>
    <w:rsid w:val="5044C223"/>
    <w:rsid w:val="50517089"/>
    <w:rsid w:val="50523916"/>
    <w:rsid w:val="50620C94"/>
    <w:rsid w:val="506A5E8E"/>
    <w:rsid w:val="506BB37B"/>
    <w:rsid w:val="506ECE8A"/>
    <w:rsid w:val="5071F524"/>
    <w:rsid w:val="50878B5F"/>
    <w:rsid w:val="508B7CF1"/>
    <w:rsid w:val="50A18C0C"/>
    <w:rsid w:val="50C13B2E"/>
    <w:rsid w:val="50C3A8D3"/>
    <w:rsid w:val="50C5FF3D"/>
    <w:rsid w:val="50CDC8C4"/>
    <w:rsid w:val="50D08F0F"/>
    <w:rsid w:val="50F01640"/>
    <w:rsid w:val="50F0AF7E"/>
    <w:rsid w:val="50F2045C"/>
    <w:rsid w:val="5101B939"/>
    <w:rsid w:val="510C9BDC"/>
    <w:rsid w:val="510E778F"/>
    <w:rsid w:val="5120E67A"/>
    <w:rsid w:val="51216D5D"/>
    <w:rsid w:val="512833FB"/>
    <w:rsid w:val="512D7BEA"/>
    <w:rsid w:val="5139B97F"/>
    <w:rsid w:val="513A3A82"/>
    <w:rsid w:val="513C81F0"/>
    <w:rsid w:val="5142C0C4"/>
    <w:rsid w:val="514A4CF2"/>
    <w:rsid w:val="514DAFD1"/>
    <w:rsid w:val="514F63B7"/>
    <w:rsid w:val="5150DC27"/>
    <w:rsid w:val="51513DEB"/>
    <w:rsid w:val="51530129"/>
    <w:rsid w:val="51581640"/>
    <w:rsid w:val="515CFD7A"/>
    <w:rsid w:val="515E6236"/>
    <w:rsid w:val="51600C19"/>
    <w:rsid w:val="516039B2"/>
    <w:rsid w:val="51616E26"/>
    <w:rsid w:val="51661787"/>
    <w:rsid w:val="516DB142"/>
    <w:rsid w:val="516E192E"/>
    <w:rsid w:val="516FA740"/>
    <w:rsid w:val="5182E538"/>
    <w:rsid w:val="5185EB5B"/>
    <w:rsid w:val="51877208"/>
    <w:rsid w:val="518B0F00"/>
    <w:rsid w:val="518C0A68"/>
    <w:rsid w:val="5196134B"/>
    <w:rsid w:val="51A6B1E5"/>
    <w:rsid w:val="51B91011"/>
    <w:rsid w:val="51C6229C"/>
    <w:rsid w:val="51C6AD37"/>
    <w:rsid w:val="51C8BCD3"/>
    <w:rsid w:val="51CF0694"/>
    <w:rsid w:val="51D12978"/>
    <w:rsid w:val="51D59F40"/>
    <w:rsid w:val="51D67DB7"/>
    <w:rsid w:val="51DFC1D8"/>
    <w:rsid w:val="51E8B32A"/>
    <w:rsid w:val="51F02FE8"/>
    <w:rsid w:val="51F07BA2"/>
    <w:rsid w:val="51FE96C4"/>
    <w:rsid w:val="5207C90B"/>
    <w:rsid w:val="520F7D6E"/>
    <w:rsid w:val="52108B84"/>
    <w:rsid w:val="521567E9"/>
    <w:rsid w:val="521F668A"/>
    <w:rsid w:val="522E2469"/>
    <w:rsid w:val="5239FD78"/>
    <w:rsid w:val="523A6E60"/>
    <w:rsid w:val="523BB9F6"/>
    <w:rsid w:val="5241814F"/>
    <w:rsid w:val="5251D9BE"/>
    <w:rsid w:val="525594B8"/>
    <w:rsid w:val="52590AD2"/>
    <w:rsid w:val="525A3D33"/>
    <w:rsid w:val="525B1699"/>
    <w:rsid w:val="525E5EB9"/>
    <w:rsid w:val="525FC969"/>
    <w:rsid w:val="52726331"/>
    <w:rsid w:val="527E665E"/>
    <w:rsid w:val="52818233"/>
    <w:rsid w:val="528F741A"/>
    <w:rsid w:val="529FA18F"/>
    <w:rsid w:val="52A40DC7"/>
    <w:rsid w:val="52AC0B48"/>
    <w:rsid w:val="52AF104E"/>
    <w:rsid w:val="52B055D3"/>
    <w:rsid w:val="52B450D6"/>
    <w:rsid w:val="52B5546C"/>
    <w:rsid w:val="52B92F51"/>
    <w:rsid w:val="52C04DC3"/>
    <w:rsid w:val="52C2CB8E"/>
    <w:rsid w:val="52C579D0"/>
    <w:rsid w:val="52C931BE"/>
    <w:rsid w:val="52CD7CFB"/>
    <w:rsid w:val="52E7AFC7"/>
    <w:rsid w:val="52E93D31"/>
    <w:rsid w:val="52F22753"/>
    <w:rsid w:val="52F5D404"/>
    <w:rsid w:val="52F9FA62"/>
    <w:rsid w:val="52FF30CE"/>
    <w:rsid w:val="52FF3931"/>
    <w:rsid w:val="530793C3"/>
    <w:rsid w:val="5308C9EE"/>
    <w:rsid w:val="530F5E22"/>
    <w:rsid w:val="5316F118"/>
    <w:rsid w:val="531FC629"/>
    <w:rsid w:val="53277D53"/>
    <w:rsid w:val="53295038"/>
    <w:rsid w:val="53320BE5"/>
    <w:rsid w:val="53320C44"/>
    <w:rsid w:val="533C0E38"/>
    <w:rsid w:val="53451B41"/>
    <w:rsid w:val="5346C475"/>
    <w:rsid w:val="534E7D00"/>
    <w:rsid w:val="534FD4D4"/>
    <w:rsid w:val="5353A8FE"/>
    <w:rsid w:val="5368D210"/>
    <w:rsid w:val="5368EDEA"/>
    <w:rsid w:val="536D2B0A"/>
    <w:rsid w:val="5373291B"/>
    <w:rsid w:val="537C2DC9"/>
    <w:rsid w:val="53917638"/>
    <w:rsid w:val="53A02643"/>
    <w:rsid w:val="53A3E195"/>
    <w:rsid w:val="53A571B4"/>
    <w:rsid w:val="53A93339"/>
    <w:rsid w:val="53AA25C5"/>
    <w:rsid w:val="53AA7CB8"/>
    <w:rsid w:val="53B65985"/>
    <w:rsid w:val="53B67291"/>
    <w:rsid w:val="53BABDF6"/>
    <w:rsid w:val="53BF8D52"/>
    <w:rsid w:val="53BFBCB7"/>
    <w:rsid w:val="53C34448"/>
    <w:rsid w:val="53C48A2B"/>
    <w:rsid w:val="53C9B6DB"/>
    <w:rsid w:val="53D128BD"/>
    <w:rsid w:val="53D50726"/>
    <w:rsid w:val="53DCDD45"/>
    <w:rsid w:val="53DD51BB"/>
    <w:rsid w:val="53E1603A"/>
    <w:rsid w:val="53E7BC07"/>
    <w:rsid w:val="53F84BE7"/>
    <w:rsid w:val="5405830F"/>
    <w:rsid w:val="540ACB44"/>
    <w:rsid w:val="540D8501"/>
    <w:rsid w:val="5411E81F"/>
    <w:rsid w:val="5418E8DE"/>
    <w:rsid w:val="541EDD9E"/>
    <w:rsid w:val="541F97F1"/>
    <w:rsid w:val="542DC298"/>
    <w:rsid w:val="542EDD01"/>
    <w:rsid w:val="5435A478"/>
    <w:rsid w:val="5436D7DC"/>
    <w:rsid w:val="54394870"/>
    <w:rsid w:val="543CA6BE"/>
    <w:rsid w:val="543D7DB6"/>
    <w:rsid w:val="544948B0"/>
    <w:rsid w:val="544A1C74"/>
    <w:rsid w:val="544F54ED"/>
    <w:rsid w:val="54593AAD"/>
    <w:rsid w:val="5463197B"/>
    <w:rsid w:val="54699C84"/>
    <w:rsid w:val="54719CCA"/>
    <w:rsid w:val="547C72EF"/>
    <w:rsid w:val="547CA6BF"/>
    <w:rsid w:val="54821A09"/>
    <w:rsid w:val="5482C341"/>
    <w:rsid w:val="54842027"/>
    <w:rsid w:val="54997B1E"/>
    <w:rsid w:val="549DCFFA"/>
    <w:rsid w:val="54A11045"/>
    <w:rsid w:val="54A852F8"/>
    <w:rsid w:val="54AC7802"/>
    <w:rsid w:val="54B276CA"/>
    <w:rsid w:val="54B981B2"/>
    <w:rsid w:val="54C6F397"/>
    <w:rsid w:val="54C82A0D"/>
    <w:rsid w:val="54C8541B"/>
    <w:rsid w:val="54C86B9A"/>
    <w:rsid w:val="54CBC89B"/>
    <w:rsid w:val="54DC8A68"/>
    <w:rsid w:val="54E6690D"/>
    <w:rsid w:val="54ED6128"/>
    <w:rsid w:val="54EE7870"/>
    <w:rsid w:val="54F7D30C"/>
    <w:rsid w:val="54FA9F2B"/>
    <w:rsid w:val="54FB0D30"/>
    <w:rsid w:val="54FD8ABC"/>
    <w:rsid w:val="55017AFD"/>
    <w:rsid w:val="5503F289"/>
    <w:rsid w:val="550AE36B"/>
    <w:rsid w:val="550F909A"/>
    <w:rsid w:val="5524FD1C"/>
    <w:rsid w:val="5526F41F"/>
    <w:rsid w:val="55298EF8"/>
    <w:rsid w:val="553B0816"/>
    <w:rsid w:val="55406DBF"/>
    <w:rsid w:val="55478A95"/>
    <w:rsid w:val="5547D96A"/>
    <w:rsid w:val="554CB72E"/>
    <w:rsid w:val="554D2FE6"/>
    <w:rsid w:val="55516BC7"/>
    <w:rsid w:val="555F1310"/>
    <w:rsid w:val="55681E13"/>
    <w:rsid w:val="55685D99"/>
    <w:rsid w:val="556984C9"/>
    <w:rsid w:val="55719EA0"/>
    <w:rsid w:val="5574FD2F"/>
    <w:rsid w:val="557872DF"/>
    <w:rsid w:val="55815AA3"/>
    <w:rsid w:val="5584E0D3"/>
    <w:rsid w:val="55864A8D"/>
    <w:rsid w:val="5586A99D"/>
    <w:rsid w:val="55878077"/>
    <w:rsid w:val="558C23F3"/>
    <w:rsid w:val="558D216E"/>
    <w:rsid w:val="558F596D"/>
    <w:rsid w:val="558F72EB"/>
    <w:rsid w:val="5593D126"/>
    <w:rsid w:val="55941C48"/>
    <w:rsid w:val="559889C7"/>
    <w:rsid w:val="55AF7A6F"/>
    <w:rsid w:val="55BA02A6"/>
    <w:rsid w:val="55C36382"/>
    <w:rsid w:val="55C8FBEF"/>
    <w:rsid w:val="55D5AADA"/>
    <w:rsid w:val="55D8B7C2"/>
    <w:rsid w:val="55D9039D"/>
    <w:rsid w:val="55E183CE"/>
    <w:rsid w:val="55EAE58A"/>
    <w:rsid w:val="55F0388C"/>
    <w:rsid w:val="55F152A9"/>
    <w:rsid w:val="55F3BC60"/>
    <w:rsid w:val="55F80A9C"/>
    <w:rsid w:val="55FE3FF0"/>
    <w:rsid w:val="560F4F40"/>
    <w:rsid w:val="561250BD"/>
    <w:rsid w:val="561ACACF"/>
    <w:rsid w:val="5621713D"/>
    <w:rsid w:val="5632887F"/>
    <w:rsid w:val="56343E54"/>
    <w:rsid w:val="5637F44B"/>
    <w:rsid w:val="564223B9"/>
    <w:rsid w:val="564A3671"/>
    <w:rsid w:val="564AC877"/>
    <w:rsid w:val="5650833D"/>
    <w:rsid w:val="56535138"/>
    <w:rsid w:val="565A3215"/>
    <w:rsid w:val="56835167"/>
    <w:rsid w:val="5685EAD7"/>
    <w:rsid w:val="56874517"/>
    <w:rsid w:val="568C8134"/>
    <w:rsid w:val="568D3D1C"/>
    <w:rsid w:val="569368D6"/>
    <w:rsid w:val="56943201"/>
    <w:rsid w:val="569C2DF6"/>
    <w:rsid w:val="56AB60FB"/>
    <w:rsid w:val="56B9DD18"/>
    <w:rsid w:val="56BA44FC"/>
    <w:rsid w:val="56BE700A"/>
    <w:rsid w:val="56C0CD7D"/>
    <w:rsid w:val="56C21257"/>
    <w:rsid w:val="56C35F64"/>
    <w:rsid w:val="56C57099"/>
    <w:rsid w:val="56CC653B"/>
    <w:rsid w:val="56CF4FFE"/>
    <w:rsid w:val="56D0AA44"/>
    <w:rsid w:val="56DB7A5A"/>
    <w:rsid w:val="56DD46A5"/>
    <w:rsid w:val="56DF0288"/>
    <w:rsid w:val="56EF388E"/>
    <w:rsid w:val="56F40252"/>
    <w:rsid w:val="56FABE75"/>
    <w:rsid w:val="56FF39DD"/>
    <w:rsid w:val="5704ACFC"/>
    <w:rsid w:val="570753B7"/>
    <w:rsid w:val="570D1E20"/>
    <w:rsid w:val="5718474C"/>
    <w:rsid w:val="571EFD3B"/>
    <w:rsid w:val="57229E9B"/>
    <w:rsid w:val="5722EC59"/>
    <w:rsid w:val="5725E324"/>
    <w:rsid w:val="57339F3C"/>
    <w:rsid w:val="5739F8F3"/>
    <w:rsid w:val="57433E20"/>
    <w:rsid w:val="5752293C"/>
    <w:rsid w:val="57537166"/>
    <w:rsid w:val="575745E2"/>
    <w:rsid w:val="575A31FB"/>
    <w:rsid w:val="576E8DC8"/>
    <w:rsid w:val="577005C1"/>
    <w:rsid w:val="5770379E"/>
    <w:rsid w:val="577BDD60"/>
    <w:rsid w:val="577CAEF3"/>
    <w:rsid w:val="5780238B"/>
    <w:rsid w:val="5780622B"/>
    <w:rsid w:val="5781A2C5"/>
    <w:rsid w:val="5784D750"/>
    <w:rsid w:val="578D09AF"/>
    <w:rsid w:val="578E868C"/>
    <w:rsid w:val="578EA3DA"/>
    <w:rsid w:val="5791D7FE"/>
    <w:rsid w:val="5793DCA7"/>
    <w:rsid w:val="5798A409"/>
    <w:rsid w:val="579BF835"/>
    <w:rsid w:val="57A900F5"/>
    <w:rsid w:val="57B49343"/>
    <w:rsid w:val="57B88625"/>
    <w:rsid w:val="57BCE279"/>
    <w:rsid w:val="57C9504D"/>
    <w:rsid w:val="57CABA52"/>
    <w:rsid w:val="57CAD7F5"/>
    <w:rsid w:val="57CBB08A"/>
    <w:rsid w:val="57CBC5AF"/>
    <w:rsid w:val="57CF08FF"/>
    <w:rsid w:val="57D0D687"/>
    <w:rsid w:val="57D575BB"/>
    <w:rsid w:val="57E3BC7F"/>
    <w:rsid w:val="57E72004"/>
    <w:rsid w:val="57EAEA20"/>
    <w:rsid w:val="57EDA16C"/>
    <w:rsid w:val="57EE5700"/>
    <w:rsid w:val="57F9AFD3"/>
    <w:rsid w:val="57FBEF67"/>
    <w:rsid w:val="58003626"/>
    <w:rsid w:val="5801A460"/>
    <w:rsid w:val="580DDD6E"/>
    <w:rsid w:val="581333B8"/>
    <w:rsid w:val="58150DD8"/>
    <w:rsid w:val="5815DEF4"/>
    <w:rsid w:val="5819B33E"/>
    <w:rsid w:val="58215259"/>
    <w:rsid w:val="5822959E"/>
    <w:rsid w:val="58352472"/>
    <w:rsid w:val="58361580"/>
    <w:rsid w:val="58368032"/>
    <w:rsid w:val="5855E931"/>
    <w:rsid w:val="585C7848"/>
    <w:rsid w:val="585DF107"/>
    <w:rsid w:val="58639E06"/>
    <w:rsid w:val="586CB611"/>
    <w:rsid w:val="586E6679"/>
    <w:rsid w:val="5875936A"/>
    <w:rsid w:val="587D3925"/>
    <w:rsid w:val="58873CB6"/>
    <w:rsid w:val="588AE5B5"/>
    <w:rsid w:val="588CF4D9"/>
    <w:rsid w:val="589C99E5"/>
    <w:rsid w:val="58A3E3C6"/>
    <w:rsid w:val="58AF0554"/>
    <w:rsid w:val="58B4F0B3"/>
    <w:rsid w:val="58C482EC"/>
    <w:rsid w:val="58C6CF6A"/>
    <w:rsid w:val="58CCA08F"/>
    <w:rsid w:val="58D116B3"/>
    <w:rsid w:val="58D4A4BE"/>
    <w:rsid w:val="58D74B10"/>
    <w:rsid w:val="58F52F7E"/>
    <w:rsid w:val="58F6812E"/>
    <w:rsid w:val="5908AEC2"/>
    <w:rsid w:val="590A386A"/>
    <w:rsid w:val="590B175D"/>
    <w:rsid w:val="591521ED"/>
    <w:rsid w:val="591A21D6"/>
    <w:rsid w:val="591F9B47"/>
    <w:rsid w:val="592108DD"/>
    <w:rsid w:val="59214F96"/>
    <w:rsid w:val="592568F2"/>
    <w:rsid w:val="592B8B5B"/>
    <w:rsid w:val="592E7BC1"/>
    <w:rsid w:val="5930DCBB"/>
    <w:rsid w:val="59325C17"/>
    <w:rsid w:val="5948CAD9"/>
    <w:rsid w:val="594A4D5A"/>
    <w:rsid w:val="594CC268"/>
    <w:rsid w:val="5950007A"/>
    <w:rsid w:val="595E6A18"/>
    <w:rsid w:val="595EF6EC"/>
    <w:rsid w:val="595FC60F"/>
    <w:rsid w:val="596AB4F7"/>
    <w:rsid w:val="596F7446"/>
    <w:rsid w:val="59759C47"/>
    <w:rsid w:val="5998C1F8"/>
    <w:rsid w:val="5999DB54"/>
    <w:rsid w:val="59A6C710"/>
    <w:rsid w:val="59B04256"/>
    <w:rsid w:val="59B2E71F"/>
    <w:rsid w:val="59B6479B"/>
    <w:rsid w:val="59B83960"/>
    <w:rsid w:val="59C17893"/>
    <w:rsid w:val="59D110BB"/>
    <w:rsid w:val="59D9B9E5"/>
    <w:rsid w:val="59DD4F63"/>
    <w:rsid w:val="59E1A32F"/>
    <w:rsid w:val="59E59AD1"/>
    <w:rsid w:val="59EFBAC7"/>
    <w:rsid w:val="59F076B8"/>
    <w:rsid w:val="59F52394"/>
    <w:rsid w:val="59F7CB4A"/>
    <w:rsid w:val="5A043B06"/>
    <w:rsid w:val="5A0AE54C"/>
    <w:rsid w:val="5A1861B5"/>
    <w:rsid w:val="5A1C25AC"/>
    <w:rsid w:val="5A1E60C3"/>
    <w:rsid w:val="5A1FF579"/>
    <w:rsid w:val="5A239770"/>
    <w:rsid w:val="5A292DFD"/>
    <w:rsid w:val="5A3736B0"/>
    <w:rsid w:val="5A412EEA"/>
    <w:rsid w:val="5A4CAE1B"/>
    <w:rsid w:val="5A59B97F"/>
    <w:rsid w:val="5A60531D"/>
    <w:rsid w:val="5A6CFA33"/>
    <w:rsid w:val="5A756024"/>
    <w:rsid w:val="5A860412"/>
    <w:rsid w:val="5A908ABB"/>
    <w:rsid w:val="5AA26CC0"/>
    <w:rsid w:val="5AA550C8"/>
    <w:rsid w:val="5AAA54CE"/>
    <w:rsid w:val="5AAA9F44"/>
    <w:rsid w:val="5AAFF4E3"/>
    <w:rsid w:val="5AB65A4A"/>
    <w:rsid w:val="5AC9C7E7"/>
    <w:rsid w:val="5AD15159"/>
    <w:rsid w:val="5AD751FA"/>
    <w:rsid w:val="5ADE55CD"/>
    <w:rsid w:val="5AE55E8D"/>
    <w:rsid w:val="5AF3ECAE"/>
    <w:rsid w:val="5B0151D4"/>
    <w:rsid w:val="5B058BBD"/>
    <w:rsid w:val="5B0E8A39"/>
    <w:rsid w:val="5B111576"/>
    <w:rsid w:val="5B152653"/>
    <w:rsid w:val="5B1FF638"/>
    <w:rsid w:val="5B203940"/>
    <w:rsid w:val="5B2FF01C"/>
    <w:rsid w:val="5B320B7E"/>
    <w:rsid w:val="5B35FB13"/>
    <w:rsid w:val="5B3AA1D8"/>
    <w:rsid w:val="5B43FA30"/>
    <w:rsid w:val="5B4E7192"/>
    <w:rsid w:val="5B5C450C"/>
    <w:rsid w:val="5B648902"/>
    <w:rsid w:val="5B6BCF3B"/>
    <w:rsid w:val="5B713E9F"/>
    <w:rsid w:val="5B75F5A0"/>
    <w:rsid w:val="5B7D5ACC"/>
    <w:rsid w:val="5B82102A"/>
    <w:rsid w:val="5B822F95"/>
    <w:rsid w:val="5B8C6631"/>
    <w:rsid w:val="5B8F4675"/>
    <w:rsid w:val="5B9CB30C"/>
    <w:rsid w:val="5B9CBD94"/>
    <w:rsid w:val="5B9CBED9"/>
    <w:rsid w:val="5B9FC88E"/>
    <w:rsid w:val="5BA871A5"/>
    <w:rsid w:val="5BABB122"/>
    <w:rsid w:val="5BAC156F"/>
    <w:rsid w:val="5BACB6EA"/>
    <w:rsid w:val="5BB273AB"/>
    <w:rsid w:val="5BB77A4B"/>
    <w:rsid w:val="5BBA450D"/>
    <w:rsid w:val="5BC0C0B3"/>
    <w:rsid w:val="5BC208B5"/>
    <w:rsid w:val="5BCDEA08"/>
    <w:rsid w:val="5BCF2027"/>
    <w:rsid w:val="5BD06FD7"/>
    <w:rsid w:val="5BD1F30C"/>
    <w:rsid w:val="5BD2AB00"/>
    <w:rsid w:val="5BDBF1F5"/>
    <w:rsid w:val="5BEA8717"/>
    <w:rsid w:val="5BEFA395"/>
    <w:rsid w:val="5BF8A5CC"/>
    <w:rsid w:val="5BFAB906"/>
    <w:rsid w:val="5BFEFE7E"/>
    <w:rsid w:val="5BFF2172"/>
    <w:rsid w:val="5C00BCC0"/>
    <w:rsid w:val="5C258985"/>
    <w:rsid w:val="5C2EAB18"/>
    <w:rsid w:val="5C43450C"/>
    <w:rsid w:val="5C4C6CA1"/>
    <w:rsid w:val="5C4FDAF5"/>
    <w:rsid w:val="5C501B1E"/>
    <w:rsid w:val="5C531403"/>
    <w:rsid w:val="5C67A77B"/>
    <w:rsid w:val="5C6C87E0"/>
    <w:rsid w:val="5C6CB3FD"/>
    <w:rsid w:val="5C73AAB5"/>
    <w:rsid w:val="5C778F80"/>
    <w:rsid w:val="5C819DB2"/>
    <w:rsid w:val="5C83334A"/>
    <w:rsid w:val="5C878EA0"/>
    <w:rsid w:val="5C924D6E"/>
    <w:rsid w:val="5C9BD79A"/>
    <w:rsid w:val="5CA46C15"/>
    <w:rsid w:val="5CA50EDC"/>
    <w:rsid w:val="5CA83D0A"/>
    <w:rsid w:val="5CB1282C"/>
    <w:rsid w:val="5CB9AE8A"/>
    <w:rsid w:val="5CBAF30D"/>
    <w:rsid w:val="5CBC5225"/>
    <w:rsid w:val="5CBEC579"/>
    <w:rsid w:val="5CC37FAC"/>
    <w:rsid w:val="5CC51284"/>
    <w:rsid w:val="5CC9DB48"/>
    <w:rsid w:val="5CCB080C"/>
    <w:rsid w:val="5CD6643B"/>
    <w:rsid w:val="5CE4C6D1"/>
    <w:rsid w:val="5CE57A98"/>
    <w:rsid w:val="5CE6B10D"/>
    <w:rsid w:val="5CE71A07"/>
    <w:rsid w:val="5CEA27D7"/>
    <w:rsid w:val="5CEF08F1"/>
    <w:rsid w:val="5CFBC2B8"/>
    <w:rsid w:val="5D009A10"/>
    <w:rsid w:val="5D02FE3C"/>
    <w:rsid w:val="5D0564AC"/>
    <w:rsid w:val="5D0C6E73"/>
    <w:rsid w:val="5D167FB8"/>
    <w:rsid w:val="5D19D598"/>
    <w:rsid w:val="5D211DEB"/>
    <w:rsid w:val="5D23C53E"/>
    <w:rsid w:val="5D277DD0"/>
    <w:rsid w:val="5D2D67AF"/>
    <w:rsid w:val="5D343192"/>
    <w:rsid w:val="5D363905"/>
    <w:rsid w:val="5D37A880"/>
    <w:rsid w:val="5D4B79D9"/>
    <w:rsid w:val="5D4D10C4"/>
    <w:rsid w:val="5D5232E3"/>
    <w:rsid w:val="5D55C865"/>
    <w:rsid w:val="5D638828"/>
    <w:rsid w:val="5D70AFA7"/>
    <w:rsid w:val="5D770F2B"/>
    <w:rsid w:val="5D7A7AD6"/>
    <w:rsid w:val="5D7D8CE6"/>
    <w:rsid w:val="5D913726"/>
    <w:rsid w:val="5D95E713"/>
    <w:rsid w:val="5DA052DA"/>
    <w:rsid w:val="5DA0602B"/>
    <w:rsid w:val="5DA51976"/>
    <w:rsid w:val="5DABFB19"/>
    <w:rsid w:val="5DAE290B"/>
    <w:rsid w:val="5DBDE9EA"/>
    <w:rsid w:val="5DC936DD"/>
    <w:rsid w:val="5DCC88E5"/>
    <w:rsid w:val="5DD5F445"/>
    <w:rsid w:val="5DEBEC0A"/>
    <w:rsid w:val="5DF6DD4B"/>
    <w:rsid w:val="5E02D436"/>
    <w:rsid w:val="5E0B0128"/>
    <w:rsid w:val="5E0D0A2B"/>
    <w:rsid w:val="5E139767"/>
    <w:rsid w:val="5E156224"/>
    <w:rsid w:val="5E192F94"/>
    <w:rsid w:val="5E1FCE41"/>
    <w:rsid w:val="5E2933D1"/>
    <w:rsid w:val="5E2F1767"/>
    <w:rsid w:val="5E2F602F"/>
    <w:rsid w:val="5E311E0D"/>
    <w:rsid w:val="5E3323E1"/>
    <w:rsid w:val="5E49CC0D"/>
    <w:rsid w:val="5E4E6FDF"/>
    <w:rsid w:val="5E5524ED"/>
    <w:rsid w:val="5E575441"/>
    <w:rsid w:val="5E5D13FD"/>
    <w:rsid w:val="5E6D1E09"/>
    <w:rsid w:val="5E6D2899"/>
    <w:rsid w:val="5E6D65CD"/>
    <w:rsid w:val="5E6E9454"/>
    <w:rsid w:val="5E762DCF"/>
    <w:rsid w:val="5E7710E7"/>
    <w:rsid w:val="5E798BAB"/>
    <w:rsid w:val="5E7F6B3D"/>
    <w:rsid w:val="5E8A6823"/>
    <w:rsid w:val="5E8BE7DE"/>
    <w:rsid w:val="5E8E6824"/>
    <w:rsid w:val="5E91F960"/>
    <w:rsid w:val="5E9D8DC7"/>
    <w:rsid w:val="5EA87DAA"/>
    <w:rsid w:val="5EADEE09"/>
    <w:rsid w:val="5EB0E93C"/>
    <w:rsid w:val="5EB32A82"/>
    <w:rsid w:val="5EBEDED8"/>
    <w:rsid w:val="5EC89DBE"/>
    <w:rsid w:val="5ECC026A"/>
    <w:rsid w:val="5ED0926A"/>
    <w:rsid w:val="5ED2F81B"/>
    <w:rsid w:val="5ED5B087"/>
    <w:rsid w:val="5EDBF4C4"/>
    <w:rsid w:val="5EE2F8C5"/>
    <w:rsid w:val="5EECBD19"/>
    <w:rsid w:val="5EFEACF5"/>
    <w:rsid w:val="5F05D718"/>
    <w:rsid w:val="5F081099"/>
    <w:rsid w:val="5F083A79"/>
    <w:rsid w:val="5F089C4D"/>
    <w:rsid w:val="5F0BF2A3"/>
    <w:rsid w:val="5F11A5DC"/>
    <w:rsid w:val="5F16172B"/>
    <w:rsid w:val="5F16A8E7"/>
    <w:rsid w:val="5F1B8F16"/>
    <w:rsid w:val="5F1FFA94"/>
    <w:rsid w:val="5F2008FA"/>
    <w:rsid w:val="5F216FC4"/>
    <w:rsid w:val="5F22E09D"/>
    <w:rsid w:val="5F23F2F1"/>
    <w:rsid w:val="5F28A9B6"/>
    <w:rsid w:val="5F2B6474"/>
    <w:rsid w:val="5F3F76DF"/>
    <w:rsid w:val="5F481C52"/>
    <w:rsid w:val="5F68533B"/>
    <w:rsid w:val="5F692CC1"/>
    <w:rsid w:val="5F6D4F3E"/>
    <w:rsid w:val="5F760D1A"/>
    <w:rsid w:val="5F808814"/>
    <w:rsid w:val="5F80B5BC"/>
    <w:rsid w:val="5F87C4E4"/>
    <w:rsid w:val="5F8EDCCB"/>
    <w:rsid w:val="5FA21B0D"/>
    <w:rsid w:val="5FA522C1"/>
    <w:rsid w:val="5FA9A031"/>
    <w:rsid w:val="5FA9B341"/>
    <w:rsid w:val="5FABCF3C"/>
    <w:rsid w:val="5FAF6B95"/>
    <w:rsid w:val="5FCB196A"/>
    <w:rsid w:val="5FD3DB93"/>
    <w:rsid w:val="5FE03DED"/>
    <w:rsid w:val="5FE28BA2"/>
    <w:rsid w:val="5FE541C7"/>
    <w:rsid w:val="5FE694E6"/>
    <w:rsid w:val="5FE7221A"/>
    <w:rsid w:val="5FEAF982"/>
    <w:rsid w:val="5FEE9DEE"/>
    <w:rsid w:val="5FF993B5"/>
    <w:rsid w:val="6006AB64"/>
    <w:rsid w:val="600D24D9"/>
    <w:rsid w:val="6020A62B"/>
    <w:rsid w:val="60272F2F"/>
    <w:rsid w:val="602954D9"/>
    <w:rsid w:val="602997C6"/>
    <w:rsid w:val="6030DEBF"/>
    <w:rsid w:val="603AFC46"/>
    <w:rsid w:val="6040E573"/>
    <w:rsid w:val="6046929E"/>
    <w:rsid w:val="6048170B"/>
    <w:rsid w:val="604881F3"/>
    <w:rsid w:val="604F5E78"/>
    <w:rsid w:val="6050E7F6"/>
    <w:rsid w:val="60527794"/>
    <w:rsid w:val="6057E39E"/>
    <w:rsid w:val="6059E8BA"/>
    <w:rsid w:val="605C3899"/>
    <w:rsid w:val="605E9B7B"/>
    <w:rsid w:val="6065FE56"/>
    <w:rsid w:val="60670491"/>
    <w:rsid w:val="60689254"/>
    <w:rsid w:val="60698E57"/>
    <w:rsid w:val="6069B1C2"/>
    <w:rsid w:val="607D574A"/>
    <w:rsid w:val="6080E3C0"/>
    <w:rsid w:val="6084E9F1"/>
    <w:rsid w:val="6085DC4F"/>
    <w:rsid w:val="6087DAAC"/>
    <w:rsid w:val="609422EF"/>
    <w:rsid w:val="609C4CC3"/>
    <w:rsid w:val="609DCEE5"/>
    <w:rsid w:val="60B0042F"/>
    <w:rsid w:val="60B318D0"/>
    <w:rsid w:val="60BB08DA"/>
    <w:rsid w:val="60BD0440"/>
    <w:rsid w:val="60BFE1E3"/>
    <w:rsid w:val="60DDFCB0"/>
    <w:rsid w:val="60E41AAC"/>
    <w:rsid w:val="60E54993"/>
    <w:rsid w:val="60EFFAC2"/>
    <w:rsid w:val="60F3C355"/>
    <w:rsid w:val="60FCFDD6"/>
    <w:rsid w:val="6101B6C8"/>
    <w:rsid w:val="6109A2B5"/>
    <w:rsid w:val="610B78C9"/>
    <w:rsid w:val="611158AD"/>
    <w:rsid w:val="6112F12A"/>
    <w:rsid w:val="611E0F13"/>
    <w:rsid w:val="612EBF11"/>
    <w:rsid w:val="61310748"/>
    <w:rsid w:val="6131AD12"/>
    <w:rsid w:val="613D58A9"/>
    <w:rsid w:val="61487990"/>
    <w:rsid w:val="6154FD50"/>
    <w:rsid w:val="6159124E"/>
    <w:rsid w:val="6163BD86"/>
    <w:rsid w:val="6165F06D"/>
    <w:rsid w:val="6175E896"/>
    <w:rsid w:val="617B20C2"/>
    <w:rsid w:val="617C208C"/>
    <w:rsid w:val="618136D3"/>
    <w:rsid w:val="618D7CE6"/>
    <w:rsid w:val="6198D8B0"/>
    <w:rsid w:val="619B91C7"/>
    <w:rsid w:val="619F92BB"/>
    <w:rsid w:val="61A8AD62"/>
    <w:rsid w:val="61B3DD9C"/>
    <w:rsid w:val="61B751BE"/>
    <w:rsid w:val="61B8739F"/>
    <w:rsid w:val="61BAD113"/>
    <w:rsid w:val="61BE4997"/>
    <w:rsid w:val="61C3E2E5"/>
    <w:rsid w:val="61C5A032"/>
    <w:rsid w:val="61C770E5"/>
    <w:rsid w:val="61D1F4B9"/>
    <w:rsid w:val="61D29F4D"/>
    <w:rsid w:val="61D455B6"/>
    <w:rsid w:val="61DEF799"/>
    <w:rsid w:val="61E95188"/>
    <w:rsid w:val="61EDE2B3"/>
    <w:rsid w:val="61F2D974"/>
    <w:rsid w:val="61F5B069"/>
    <w:rsid w:val="61F808FA"/>
    <w:rsid w:val="61FA3C1D"/>
    <w:rsid w:val="61FD1698"/>
    <w:rsid w:val="61FDB409"/>
    <w:rsid w:val="6201D638"/>
    <w:rsid w:val="6218FE69"/>
    <w:rsid w:val="621D9442"/>
    <w:rsid w:val="621F07C4"/>
    <w:rsid w:val="621F3EA0"/>
    <w:rsid w:val="62235EB1"/>
    <w:rsid w:val="62263F98"/>
    <w:rsid w:val="6227DF9D"/>
    <w:rsid w:val="62333711"/>
    <w:rsid w:val="62433524"/>
    <w:rsid w:val="6247B9C7"/>
    <w:rsid w:val="62530531"/>
    <w:rsid w:val="6258A2A7"/>
    <w:rsid w:val="625CAE0F"/>
    <w:rsid w:val="625F76DC"/>
    <w:rsid w:val="626AB509"/>
    <w:rsid w:val="6275D887"/>
    <w:rsid w:val="6279BECA"/>
    <w:rsid w:val="627DB712"/>
    <w:rsid w:val="6280330D"/>
    <w:rsid w:val="628B06C0"/>
    <w:rsid w:val="628EEBDE"/>
    <w:rsid w:val="629063EA"/>
    <w:rsid w:val="6297F593"/>
    <w:rsid w:val="629C97B6"/>
    <w:rsid w:val="629F9B2C"/>
    <w:rsid w:val="62A4F733"/>
    <w:rsid w:val="62AB264A"/>
    <w:rsid w:val="62AC64A4"/>
    <w:rsid w:val="62B1BBF7"/>
    <w:rsid w:val="62B7842B"/>
    <w:rsid w:val="62D45F84"/>
    <w:rsid w:val="62D53900"/>
    <w:rsid w:val="62DAEEE9"/>
    <w:rsid w:val="62F6DE78"/>
    <w:rsid w:val="6305A8BE"/>
    <w:rsid w:val="630ABDEA"/>
    <w:rsid w:val="6318F2F5"/>
    <w:rsid w:val="6322F47D"/>
    <w:rsid w:val="6323B0D6"/>
    <w:rsid w:val="6324D570"/>
    <w:rsid w:val="63280792"/>
    <w:rsid w:val="632AFA48"/>
    <w:rsid w:val="63378FB2"/>
    <w:rsid w:val="6337D5BF"/>
    <w:rsid w:val="63381675"/>
    <w:rsid w:val="633915AB"/>
    <w:rsid w:val="6339FCCD"/>
    <w:rsid w:val="634198F3"/>
    <w:rsid w:val="6341E04F"/>
    <w:rsid w:val="634939B8"/>
    <w:rsid w:val="63499442"/>
    <w:rsid w:val="634B4E6F"/>
    <w:rsid w:val="6353E0E5"/>
    <w:rsid w:val="6354BC1D"/>
    <w:rsid w:val="63556744"/>
    <w:rsid w:val="635712CF"/>
    <w:rsid w:val="6357E699"/>
    <w:rsid w:val="635C3B9D"/>
    <w:rsid w:val="6365781C"/>
    <w:rsid w:val="63673D9F"/>
    <w:rsid w:val="6370BBA6"/>
    <w:rsid w:val="6372F1C2"/>
    <w:rsid w:val="6373F082"/>
    <w:rsid w:val="637C3F8B"/>
    <w:rsid w:val="63862828"/>
    <w:rsid w:val="63969BDC"/>
    <w:rsid w:val="639A1E3B"/>
    <w:rsid w:val="63A0D1F8"/>
    <w:rsid w:val="63ABB926"/>
    <w:rsid w:val="63AEBA5F"/>
    <w:rsid w:val="63B6335C"/>
    <w:rsid w:val="63C4DAC1"/>
    <w:rsid w:val="63D2A3DB"/>
    <w:rsid w:val="63D4B78A"/>
    <w:rsid w:val="63D66A1A"/>
    <w:rsid w:val="63DD1677"/>
    <w:rsid w:val="63FC911F"/>
    <w:rsid w:val="63FCA327"/>
    <w:rsid w:val="64086428"/>
    <w:rsid w:val="6410BEB1"/>
    <w:rsid w:val="641945E0"/>
    <w:rsid w:val="641A9891"/>
    <w:rsid w:val="642ADF07"/>
    <w:rsid w:val="643E11B3"/>
    <w:rsid w:val="6448D041"/>
    <w:rsid w:val="644E42AA"/>
    <w:rsid w:val="645AABEF"/>
    <w:rsid w:val="645C5407"/>
    <w:rsid w:val="6460479E"/>
    <w:rsid w:val="6462BD7A"/>
    <w:rsid w:val="6464C3C1"/>
    <w:rsid w:val="6466AA16"/>
    <w:rsid w:val="6471672B"/>
    <w:rsid w:val="647499E9"/>
    <w:rsid w:val="647ACA96"/>
    <w:rsid w:val="64817A6A"/>
    <w:rsid w:val="64910F8C"/>
    <w:rsid w:val="64939F7E"/>
    <w:rsid w:val="6495888F"/>
    <w:rsid w:val="649674A4"/>
    <w:rsid w:val="649E3A48"/>
    <w:rsid w:val="64A49C7B"/>
    <w:rsid w:val="64B00607"/>
    <w:rsid w:val="64B53191"/>
    <w:rsid w:val="64B8E597"/>
    <w:rsid w:val="64B9939F"/>
    <w:rsid w:val="64BE6AA5"/>
    <w:rsid w:val="64C21585"/>
    <w:rsid w:val="64C46415"/>
    <w:rsid w:val="64C52D8A"/>
    <w:rsid w:val="64C68C9F"/>
    <w:rsid w:val="64CD6D93"/>
    <w:rsid w:val="64D330D0"/>
    <w:rsid w:val="64D5AEB8"/>
    <w:rsid w:val="64D8D89B"/>
    <w:rsid w:val="64DC0C49"/>
    <w:rsid w:val="64E4B710"/>
    <w:rsid w:val="64E4D882"/>
    <w:rsid w:val="64E9DA84"/>
    <w:rsid w:val="64EA4054"/>
    <w:rsid w:val="64F1A5E5"/>
    <w:rsid w:val="64F8631D"/>
    <w:rsid w:val="64FBFD30"/>
    <w:rsid w:val="64FEF553"/>
    <w:rsid w:val="65009866"/>
    <w:rsid w:val="65017676"/>
    <w:rsid w:val="650A33CE"/>
    <w:rsid w:val="6511FD6E"/>
    <w:rsid w:val="65149C19"/>
    <w:rsid w:val="65177C83"/>
    <w:rsid w:val="65182945"/>
    <w:rsid w:val="6521E343"/>
    <w:rsid w:val="652FA9BC"/>
    <w:rsid w:val="652FFD39"/>
    <w:rsid w:val="65344A63"/>
    <w:rsid w:val="6538C147"/>
    <w:rsid w:val="653CA9DB"/>
    <w:rsid w:val="65435B19"/>
    <w:rsid w:val="65459CA0"/>
    <w:rsid w:val="65478993"/>
    <w:rsid w:val="6556E3DE"/>
    <w:rsid w:val="655BF03F"/>
    <w:rsid w:val="65709352"/>
    <w:rsid w:val="65723A7B"/>
    <w:rsid w:val="6579BDE6"/>
    <w:rsid w:val="657AE35F"/>
    <w:rsid w:val="657B8334"/>
    <w:rsid w:val="65810DE6"/>
    <w:rsid w:val="65817ACC"/>
    <w:rsid w:val="65824AB2"/>
    <w:rsid w:val="65861285"/>
    <w:rsid w:val="6589F732"/>
    <w:rsid w:val="65929334"/>
    <w:rsid w:val="65987693"/>
    <w:rsid w:val="659C0E87"/>
    <w:rsid w:val="65A1B6E5"/>
    <w:rsid w:val="65A2B953"/>
    <w:rsid w:val="65A3E3B4"/>
    <w:rsid w:val="65A6CF6E"/>
    <w:rsid w:val="65A8F0D3"/>
    <w:rsid w:val="65AD53F6"/>
    <w:rsid w:val="65BAD5F3"/>
    <w:rsid w:val="65BF261E"/>
    <w:rsid w:val="65D2A5C2"/>
    <w:rsid w:val="65D6E5F7"/>
    <w:rsid w:val="65EC3C2E"/>
    <w:rsid w:val="65F2E982"/>
    <w:rsid w:val="65FD7DF6"/>
    <w:rsid w:val="65FF5AC0"/>
    <w:rsid w:val="6604482B"/>
    <w:rsid w:val="660BF507"/>
    <w:rsid w:val="660EA508"/>
    <w:rsid w:val="660F76DE"/>
    <w:rsid w:val="6611769F"/>
    <w:rsid w:val="661234E3"/>
    <w:rsid w:val="66184D63"/>
    <w:rsid w:val="661943B8"/>
    <w:rsid w:val="661AA36C"/>
    <w:rsid w:val="661B3660"/>
    <w:rsid w:val="661BAE3D"/>
    <w:rsid w:val="661EBBA7"/>
    <w:rsid w:val="6621E4A9"/>
    <w:rsid w:val="6626FDD4"/>
    <w:rsid w:val="6629BDFC"/>
    <w:rsid w:val="66305AB7"/>
    <w:rsid w:val="6641D15F"/>
    <w:rsid w:val="664742CF"/>
    <w:rsid w:val="66564B7B"/>
    <w:rsid w:val="665AE957"/>
    <w:rsid w:val="665F9375"/>
    <w:rsid w:val="665F96F9"/>
    <w:rsid w:val="66656E8C"/>
    <w:rsid w:val="666C1CDF"/>
    <w:rsid w:val="666DB513"/>
    <w:rsid w:val="666DBCCF"/>
    <w:rsid w:val="666E67F9"/>
    <w:rsid w:val="666E7491"/>
    <w:rsid w:val="66709511"/>
    <w:rsid w:val="6671A85C"/>
    <w:rsid w:val="66756A13"/>
    <w:rsid w:val="667DAC9A"/>
    <w:rsid w:val="667F346A"/>
    <w:rsid w:val="6682E333"/>
    <w:rsid w:val="66849E19"/>
    <w:rsid w:val="6685BAEA"/>
    <w:rsid w:val="6686A936"/>
    <w:rsid w:val="6687BA8C"/>
    <w:rsid w:val="66A8707E"/>
    <w:rsid w:val="66B7CB77"/>
    <w:rsid w:val="66C6E7D2"/>
    <w:rsid w:val="66CA566E"/>
    <w:rsid w:val="66D04868"/>
    <w:rsid w:val="66D094E4"/>
    <w:rsid w:val="66E52F0C"/>
    <w:rsid w:val="66E8A553"/>
    <w:rsid w:val="66F1AF4B"/>
    <w:rsid w:val="66F7C0A0"/>
    <w:rsid w:val="670054AB"/>
    <w:rsid w:val="6701E079"/>
    <w:rsid w:val="670C0A58"/>
    <w:rsid w:val="6712EE51"/>
    <w:rsid w:val="6715D1B6"/>
    <w:rsid w:val="6716B7F2"/>
    <w:rsid w:val="6721CC46"/>
    <w:rsid w:val="67242DF7"/>
    <w:rsid w:val="67267C9B"/>
    <w:rsid w:val="67292D14"/>
    <w:rsid w:val="672D911B"/>
    <w:rsid w:val="6731640F"/>
    <w:rsid w:val="6735E1B3"/>
    <w:rsid w:val="6748389C"/>
    <w:rsid w:val="674B4D73"/>
    <w:rsid w:val="674C6DC4"/>
    <w:rsid w:val="674ED955"/>
    <w:rsid w:val="6751D2DB"/>
    <w:rsid w:val="6753A3ED"/>
    <w:rsid w:val="6756883F"/>
    <w:rsid w:val="675D310C"/>
    <w:rsid w:val="67610061"/>
    <w:rsid w:val="6767C62F"/>
    <w:rsid w:val="676B66B6"/>
    <w:rsid w:val="677055C5"/>
    <w:rsid w:val="677B9F6D"/>
    <w:rsid w:val="678C77ED"/>
    <w:rsid w:val="67AC93C5"/>
    <w:rsid w:val="67ACD509"/>
    <w:rsid w:val="67B285AD"/>
    <w:rsid w:val="67B3FEE3"/>
    <w:rsid w:val="67B54165"/>
    <w:rsid w:val="67BEBB47"/>
    <w:rsid w:val="67C51D09"/>
    <w:rsid w:val="67C7A1F9"/>
    <w:rsid w:val="67C83555"/>
    <w:rsid w:val="67CB5781"/>
    <w:rsid w:val="67CF0FA2"/>
    <w:rsid w:val="67D19D1D"/>
    <w:rsid w:val="67D3904D"/>
    <w:rsid w:val="67D6DD67"/>
    <w:rsid w:val="67D6FA26"/>
    <w:rsid w:val="67DE429A"/>
    <w:rsid w:val="67E23154"/>
    <w:rsid w:val="67FABD67"/>
    <w:rsid w:val="6801A9A3"/>
    <w:rsid w:val="680D9FA5"/>
    <w:rsid w:val="681277A6"/>
    <w:rsid w:val="68186333"/>
    <w:rsid w:val="68236B03"/>
    <w:rsid w:val="682598AD"/>
    <w:rsid w:val="682D64C4"/>
    <w:rsid w:val="6837BFD1"/>
    <w:rsid w:val="683D0B65"/>
    <w:rsid w:val="683EDEA5"/>
    <w:rsid w:val="68437A1A"/>
    <w:rsid w:val="684A74B4"/>
    <w:rsid w:val="684F3335"/>
    <w:rsid w:val="684F605D"/>
    <w:rsid w:val="685A3B2B"/>
    <w:rsid w:val="686C153B"/>
    <w:rsid w:val="6877F6EE"/>
    <w:rsid w:val="687806E7"/>
    <w:rsid w:val="6880A7A3"/>
    <w:rsid w:val="688CF70B"/>
    <w:rsid w:val="68A83B21"/>
    <w:rsid w:val="68B844F5"/>
    <w:rsid w:val="68B92D5F"/>
    <w:rsid w:val="68BAD1C4"/>
    <w:rsid w:val="68C7C0ED"/>
    <w:rsid w:val="68D3A5F1"/>
    <w:rsid w:val="68D46D03"/>
    <w:rsid w:val="68ECB172"/>
    <w:rsid w:val="68F6F1E3"/>
    <w:rsid w:val="68FD25EB"/>
    <w:rsid w:val="68FD798A"/>
    <w:rsid w:val="68FE6E02"/>
    <w:rsid w:val="68FF1523"/>
    <w:rsid w:val="69001447"/>
    <w:rsid w:val="6914E3A2"/>
    <w:rsid w:val="691695C2"/>
    <w:rsid w:val="69189FA7"/>
    <w:rsid w:val="691A6534"/>
    <w:rsid w:val="691C0D17"/>
    <w:rsid w:val="691C4558"/>
    <w:rsid w:val="691C7ADA"/>
    <w:rsid w:val="691D620D"/>
    <w:rsid w:val="691DD794"/>
    <w:rsid w:val="692235ED"/>
    <w:rsid w:val="6924B1EA"/>
    <w:rsid w:val="692F881F"/>
    <w:rsid w:val="69336AAE"/>
    <w:rsid w:val="69428E3B"/>
    <w:rsid w:val="695187EC"/>
    <w:rsid w:val="695579DB"/>
    <w:rsid w:val="69574100"/>
    <w:rsid w:val="695FBB70"/>
    <w:rsid w:val="69653876"/>
    <w:rsid w:val="6965F1C6"/>
    <w:rsid w:val="69688E15"/>
    <w:rsid w:val="696C340A"/>
    <w:rsid w:val="696E24D9"/>
    <w:rsid w:val="69793497"/>
    <w:rsid w:val="69804D2B"/>
    <w:rsid w:val="698D2B8F"/>
    <w:rsid w:val="6995FA82"/>
    <w:rsid w:val="6997DDEB"/>
    <w:rsid w:val="699CE3D3"/>
    <w:rsid w:val="699E63E3"/>
    <w:rsid w:val="699F399E"/>
    <w:rsid w:val="69A7AC9B"/>
    <w:rsid w:val="69AF4E14"/>
    <w:rsid w:val="69B04E23"/>
    <w:rsid w:val="69B1232B"/>
    <w:rsid w:val="69B6FA19"/>
    <w:rsid w:val="69B91B11"/>
    <w:rsid w:val="69C2B4C3"/>
    <w:rsid w:val="69C50174"/>
    <w:rsid w:val="69CE4DAE"/>
    <w:rsid w:val="69D4CFAF"/>
    <w:rsid w:val="69D62B27"/>
    <w:rsid w:val="69D778E9"/>
    <w:rsid w:val="69E477E4"/>
    <w:rsid w:val="69E7AA9A"/>
    <w:rsid w:val="69ECF301"/>
    <w:rsid w:val="69F0B3C1"/>
    <w:rsid w:val="69F4B618"/>
    <w:rsid w:val="6A073B87"/>
    <w:rsid w:val="6A15ED9A"/>
    <w:rsid w:val="6A18E3CF"/>
    <w:rsid w:val="6A273C71"/>
    <w:rsid w:val="6A31E3E6"/>
    <w:rsid w:val="6A47A9A9"/>
    <w:rsid w:val="6A4DB880"/>
    <w:rsid w:val="6A5A3E2C"/>
    <w:rsid w:val="6A5D05C9"/>
    <w:rsid w:val="6A5D6066"/>
    <w:rsid w:val="6A5DD1D6"/>
    <w:rsid w:val="6A62D2B1"/>
    <w:rsid w:val="6A70363E"/>
    <w:rsid w:val="6A784CE2"/>
    <w:rsid w:val="6A7C5747"/>
    <w:rsid w:val="6A8AFAD4"/>
    <w:rsid w:val="6A931DB7"/>
    <w:rsid w:val="6A9422FE"/>
    <w:rsid w:val="6AA1B9CA"/>
    <w:rsid w:val="6AA5F933"/>
    <w:rsid w:val="6AB10A22"/>
    <w:rsid w:val="6ABB074A"/>
    <w:rsid w:val="6AC0B02D"/>
    <w:rsid w:val="6ACF0E58"/>
    <w:rsid w:val="6AD7F458"/>
    <w:rsid w:val="6ADA5626"/>
    <w:rsid w:val="6AE23C56"/>
    <w:rsid w:val="6AE704D3"/>
    <w:rsid w:val="6AE73883"/>
    <w:rsid w:val="6AE812F7"/>
    <w:rsid w:val="6AED49F8"/>
    <w:rsid w:val="6AFE95EB"/>
    <w:rsid w:val="6B0A8BC5"/>
    <w:rsid w:val="6B0FC925"/>
    <w:rsid w:val="6B15CD24"/>
    <w:rsid w:val="6B25C280"/>
    <w:rsid w:val="6B267C56"/>
    <w:rsid w:val="6B3606DA"/>
    <w:rsid w:val="6B370D33"/>
    <w:rsid w:val="6B461399"/>
    <w:rsid w:val="6B468AA8"/>
    <w:rsid w:val="6B473046"/>
    <w:rsid w:val="6B5606B7"/>
    <w:rsid w:val="6B5627D9"/>
    <w:rsid w:val="6B5CEE35"/>
    <w:rsid w:val="6B5E2C31"/>
    <w:rsid w:val="6B5FD0BE"/>
    <w:rsid w:val="6B620F5F"/>
    <w:rsid w:val="6B76D91D"/>
    <w:rsid w:val="6B86050B"/>
    <w:rsid w:val="6B8B3981"/>
    <w:rsid w:val="6B8FB4D3"/>
    <w:rsid w:val="6B974269"/>
    <w:rsid w:val="6B97D308"/>
    <w:rsid w:val="6B9BCC33"/>
    <w:rsid w:val="6B9C6569"/>
    <w:rsid w:val="6B9EEB40"/>
    <w:rsid w:val="6BC4D466"/>
    <w:rsid w:val="6BCC1FE0"/>
    <w:rsid w:val="6BD25AB8"/>
    <w:rsid w:val="6BD49882"/>
    <w:rsid w:val="6BD54B20"/>
    <w:rsid w:val="6BD73B89"/>
    <w:rsid w:val="6BDC9F95"/>
    <w:rsid w:val="6BE83E6F"/>
    <w:rsid w:val="6BF05F6E"/>
    <w:rsid w:val="6BFDA52B"/>
    <w:rsid w:val="6C0232F3"/>
    <w:rsid w:val="6C0A2529"/>
    <w:rsid w:val="6C10C1E0"/>
    <w:rsid w:val="6C1CD902"/>
    <w:rsid w:val="6C222DD2"/>
    <w:rsid w:val="6C24D716"/>
    <w:rsid w:val="6C2911BF"/>
    <w:rsid w:val="6C31075F"/>
    <w:rsid w:val="6C3CC246"/>
    <w:rsid w:val="6C3CE24F"/>
    <w:rsid w:val="6C47A892"/>
    <w:rsid w:val="6C492519"/>
    <w:rsid w:val="6C4ED0B3"/>
    <w:rsid w:val="6C4F9BB8"/>
    <w:rsid w:val="6C5318D8"/>
    <w:rsid w:val="6C5C1D3E"/>
    <w:rsid w:val="6C62A464"/>
    <w:rsid w:val="6C6387B8"/>
    <w:rsid w:val="6C6A3BC8"/>
    <w:rsid w:val="6C6DE368"/>
    <w:rsid w:val="6C6E763B"/>
    <w:rsid w:val="6C7B0409"/>
    <w:rsid w:val="6C84734E"/>
    <w:rsid w:val="6C851227"/>
    <w:rsid w:val="6C8D3DA7"/>
    <w:rsid w:val="6C96A8F4"/>
    <w:rsid w:val="6C9C38FB"/>
    <w:rsid w:val="6CA0C993"/>
    <w:rsid w:val="6CA1394B"/>
    <w:rsid w:val="6CB38C5C"/>
    <w:rsid w:val="6CB9BE72"/>
    <w:rsid w:val="6CBC9018"/>
    <w:rsid w:val="6CBFF0F6"/>
    <w:rsid w:val="6CCE25EB"/>
    <w:rsid w:val="6CDFCB93"/>
    <w:rsid w:val="6CE34803"/>
    <w:rsid w:val="6CE700FD"/>
    <w:rsid w:val="6CEE0D27"/>
    <w:rsid w:val="6D0C0876"/>
    <w:rsid w:val="6D0ED06C"/>
    <w:rsid w:val="6D116844"/>
    <w:rsid w:val="6D1EB558"/>
    <w:rsid w:val="6D24F1EA"/>
    <w:rsid w:val="6D25047F"/>
    <w:rsid w:val="6D25C435"/>
    <w:rsid w:val="6D28C369"/>
    <w:rsid w:val="6D326907"/>
    <w:rsid w:val="6D37EAB0"/>
    <w:rsid w:val="6D3DA1B0"/>
    <w:rsid w:val="6D4755B7"/>
    <w:rsid w:val="6D47F679"/>
    <w:rsid w:val="6D48B12E"/>
    <w:rsid w:val="6D53E3B0"/>
    <w:rsid w:val="6D5CFAC0"/>
    <w:rsid w:val="6D5F4F4C"/>
    <w:rsid w:val="6D616B3A"/>
    <w:rsid w:val="6D61CBB6"/>
    <w:rsid w:val="6D673A26"/>
    <w:rsid w:val="6D6A12B7"/>
    <w:rsid w:val="6D6AC99F"/>
    <w:rsid w:val="6D6C6943"/>
    <w:rsid w:val="6D6DDD60"/>
    <w:rsid w:val="6D6EEFAA"/>
    <w:rsid w:val="6D70BFFD"/>
    <w:rsid w:val="6D755810"/>
    <w:rsid w:val="6D767C4A"/>
    <w:rsid w:val="6D798B66"/>
    <w:rsid w:val="6D7B1DA6"/>
    <w:rsid w:val="6D7DD643"/>
    <w:rsid w:val="6D8B3396"/>
    <w:rsid w:val="6D90A9B0"/>
    <w:rsid w:val="6D9382B9"/>
    <w:rsid w:val="6DA01A89"/>
    <w:rsid w:val="6DA1C7EF"/>
    <w:rsid w:val="6DA2858D"/>
    <w:rsid w:val="6DB5BC03"/>
    <w:rsid w:val="6DC0CD7C"/>
    <w:rsid w:val="6DC35F8D"/>
    <w:rsid w:val="6DD2E039"/>
    <w:rsid w:val="6DD454EA"/>
    <w:rsid w:val="6DEB6C19"/>
    <w:rsid w:val="6DEDDC1E"/>
    <w:rsid w:val="6DEDEF03"/>
    <w:rsid w:val="6DF16BCC"/>
    <w:rsid w:val="6DF711CB"/>
    <w:rsid w:val="6E0A36EB"/>
    <w:rsid w:val="6E10C47E"/>
    <w:rsid w:val="6E1B3DBB"/>
    <w:rsid w:val="6E1B416D"/>
    <w:rsid w:val="6E1B5DF8"/>
    <w:rsid w:val="6E1E120D"/>
    <w:rsid w:val="6E2B4E4D"/>
    <w:rsid w:val="6E32FE38"/>
    <w:rsid w:val="6E436DA8"/>
    <w:rsid w:val="6E5068D9"/>
    <w:rsid w:val="6E63CB30"/>
    <w:rsid w:val="6E67157F"/>
    <w:rsid w:val="6E67C7D1"/>
    <w:rsid w:val="6E6B4021"/>
    <w:rsid w:val="6E7185D4"/>
    <w:rsid w:val="6E728C17"/>
    <w:rsid w:val="6E7649D1"/>
    <w:rsid w:val="6E7F12A1"/>
    <w:rsid w:val="6E8279B8"/>
    <w:rsid w:val="6E847AF0"/>
    <w:rsid w:val="6E84A1DC"/>
    <w:rsid w:val="6E84AB88"/>
    <w:rsid w:val="6E8F81F4"/>
    <w:rsid w:val="6EA5828B"/>
    <w:rsid w:val="6EB38D71"/>
    <w:rsid w:val="6EB76C5F"/>
    <w:rsid w:val="6EBCC763"/>
    <w:rsid w:val="6EC690B4"/>
    <w:rsid w:val="6ECD6A78"/>
    <w:rsid w:val="6ED635F6"/>
    <w:rsid w:val="6EDA7DBA"/>
    <w:rsid w:val="6EE7CA46"/>
    <w:rsid w:val="6EEF2AB4"/>
    <w:rsid w:val="6EF618B7"/>
    <w:rsid w:val="6EF66C32"/>
    <w:rsid w:val="6EF8AF44"/>
    <w:rsid w:val="6EF8CB21"/>
    <w:rsid w:val="6EFB111B"/>
    <w:rsid w:val="6EFC2970"/>
    <w:rsid w:val="6EFDC90F"/>
    <w:rsid w:val="6F03D864"/>
    <w:rsid w:val="6F0E3BCB"/>
    <w:rsid w:val="6F1B6048"/>
    <w:rsid w:val="6F223C1A"/>
    <w:rsid w:val="6F2A8A26"/>
    <w:rsid w:val="6F2C9745"/>
    <w:rsid w:val="6F32AF5C"/>
    <w:rsid w:val="6F351D83"/>
    <w:rsid w:val="6F3B3A41"/>
    <w:rsid w:val="6F3C1F57"/>
    <w:rsid w:val="6F3FFEB8"/>
    <w:rsid w:val="6F4DC079"/>
    <w:rsid w:val="6F50F45C"/>
    <w:rsid w:val="6F512258"/>
    <w:rsid w:val="6F5DAA8F"/>
    <w:rsid w:val="6F62434B"/>
    <w:rsid w:val="6F645A3A"/>
    <w:rsid w:val="6F649067"/>
    <w:rsid w:val="6F6533B9"/>
    <w:rsid w:val="6F653582"/>
    <w:rsid w:val="6F71CC37"/>
    <w:rsid w:val="6F780850"/>
    <w:rsid w:val="6F7A8D0A"/>
    <w:rsid w:val="6F7E55D6"/>
    <w:rsid w:val="6F815615"/>
    <w:rsid w:val="6F86A37C"/>
    <w:rsid w:val="6F8FFD5E"/>
    <w:rsid w:val="6F9CE2B3"/>
    <w:rsid w:val="6F9EE99E"/>
    <w:rsid w:val="6FB6B684"/>
    <w:rsid w:val="6FC6E21E"/>
    <w:rsid w:val="6FCFA037"/>
    <w:rsid w:val="6FD07237"/>
    <w:rsid w:val="6FD29701"/>
    <w:rsid w:val="6FD4272A"/>
    <w:rsid w:val="6FD7529C"/>
    <w:rsid w:val="6FD966D8"/>
    <w:rsid w:val="6FDBCD0F"/>
    <w:rsid w:val="6FDD76BD"/>
    <w:rsid w:val="6FDF5029"/>
    <w:rsid w:val="6FEB4830"/>
    <w:rsid w:val="6FEF2381"/>
    <w:rsid w:val="6FF1F4B5"/>
    <w:rsid w:val="6FF35A44"/>
    <w:rsid w:val="6FF50D7F"/>
    <w:rsid w:val="6FFD1A5C"/>
    <w:rsid w:val="6FFFF1C6"/>
    <w:rsid w:val="7007DF8C"/>
    <w:rsid w:val="700CDFB4"/>
    <w:rsid w:val="700DC607"/>
    <w:rsid w:val="70135544"/>
    <w:rsid w:val="701A8236"/>
    <w:rsid w:val="7020F268"/>
    <w:rsid w:val="7026CA8F"/>
    <w:rsid w:val="702857EA"/>
    <w:rsid w:val="702A1788"/>
    <w:rsid w:val="702B1D3D"/>
    <w:rsid w:val="702BD885"/>
    <w:rsid w:val="703ABD68"/>
    <w:rsid w:val="7040ED73"/>
    <w:rsid w:val="70486791"/>
    <w:rsid w:val="704F3B3A"/>
    <w:rsid w:val="70549131"/>
    <w:rsid w:val="70572C34"/>
    <w:rsid w:val="7066F702"/>
    <w:rsid w:val="706733B9"/>
    <w:rsid w:val="7067D745"/>
    <w:rsid w:val="706928BF"/>
    <w:rsid w:val="706B229F"/>
    <w:rsid w:val="706B953A"/>
    <w:rsid w:val="7073A954"/>
    <w:rsid w:val="7088B140"/>
    <w:rsid w:val="7088F0D2"/>
    <w:rsid w:val="708EB444"/>
    <w:rsid w:val="708F0B23"/>
    <w:rsid w:val="70923B55"/>
    <w:rsid w:val="7097F9D1"/>
    <w:rsid w:val="709E9D7A"/>
    <w:rsid w:val="70A5B35A"/>
    <w:rsid w:val="70A990C9"/>
    <w:rsid w:val="70A9CF13"/>
    <w:rsid w:val="70B83575"/>
    <w:rsid w:val="70C2D7C1"/>
    <w:rsid w:val="70C47CEE"/>
    <w:rsid w:val="70D3F014"/>
    <w:rsid w:val="70EA51AD"/>
    <w:rsid w:val="70EF4D2F"/>
    <w:rsid w:val="70F0069D"/>
    <w:rsid w:val="70F11DC0"/>
    <w:rsid w:val="70F17D70"/>
    <w:rsid w:val="70F80BB7"/>
    <w:rsid w:val="70F89F0F"/>
    <w:rsid w:val="70FE635E"/>
    <w:rsid w:val="710219FC"/>
    <w:rsid w:val="71063208"/>
    <w:rsid w:val="710B6D22"/>
    <w:rsid w:val="710D8E97"/>
    <w:rsid w:val="711425DB"/>
    <w:rsid w:val="71157273"/>
    <w:rsid w:val="711DF6F8"/>
    <w:rsid w:val="7127B138"/>
    <w:rsid w:val="71306F4D"/>
    <w:rsid w:val="71328B70"/>
    <w:rsid w:val="71338D32"/>
    <w:rsid w:val="7138C3D2"/>
    <w:rsid w:val="71417F0C"/>
    <w:rsid w:val="7141BE50"/>
    <w:rsid w:val="7142C356"/>
    <w:rsid w:val="714A03F5"/>
    <w:rsid w:val="71505857"/>
    <w:rsid w:val="71545632"/>
    <w:rsid w:val="7155A5D7"/>
    <w:rsid w:val="71608346"/>
    <w:rsid w:val="7163902D"/>
    <w:rsid w:val="716B3BF4"/>
    <w:rsid w:val="71750154"/>
    <w:rsid w:val="7177E47D"/>
    <w:rsid w:val="717B7885"/>
    <w:rsid w:val="71821EFD"/>
    <w:rsid w:val="7187C078"/>
    <w:rsid w:val="718BE74A"/>
    <w:rsid w:val="718C4CFF"/>
    <w:rsid w:val="71907D0A"/>
    <w:rsid w:val="71910821"/>
    <w:rsid w:val="719265D9"/>
    <w:rsid w:val="71984B9B"/>
    <w:rsid w:val="719B4B0E"/>
    <w:rsid w:val="71A3911B"/>
    <w:rsid w:val="71A7E588"/>
    <w:rsid w:val="71B2D92D"/>
    <w:rsid w:val="71B6C7B1"/>
    <w:rsid w:val="71C187AC"/>
    <w:rsid w:val="71C46556"/>
    <w:rsid w:val="71C54D97"/>
    <w:rsid w:val="71CD51AD"/>
    <w:rsid w:val="71CF0D85"/>
    <w:rsid w:val="71D3811F"/>
    <w:rsid w:val="71D78690"/>
    <w:rsid w:val="71F4C946"/>
    <w:rsid w:val="71F5685C"/>
    <w:rsid w:val="71F7D76C"/>
    <w:rsid w:val="720BD9F5"/>
    <w:rsid w:val="720D7515"/>
    <w:rsid w:val="720D9D06"/>
    <w:rsid w:val="7210BDF9"/>
    <w:rsid w:val="721163D2"/>
    <w:rsid w:val="7213309C"/>
    <w:rsid w:val="7217CD8A"/>
    <w:rsid w:val="721F629F"/>
    <w:rsid w:val="7225F742"/>
    <w:rsid w:val="7226171A"/>
    <w:rsid w:val="7227D641"/>
    <w:rsid w:val="72289A8C"/>
    <w:rsid w:val="72289BCC"/>
    <w:rsid w:val="722BA4C2"/>
    <w:rsid w:val="722F82E8"/>
    <w:rsid w:val="723027FA"/>
    <w:rsid w:val="7235E7B1"/>
    <w:rsid w:val="723619E7"/>
    <w:rsid w:val="723685E6"/>
    <w:rsid w:val="724260CD"/>
    <w:rsid w:val="72473F66"/>
    <w:rsid w:val="725029FE"/>
    <w:rsid w:val="72506966"/>
    <w:rsid w:val="72541DC4"/>
    <w:rsid w:val="72569EA2"/>
    <w:rsid w:val="725CD910"/>
    <w:rsid w:val="725DC2AB"/>
    <w:rsid w:val="72616932"/>
    <w:rsid w:val="7264FDCC"/>
    <w:rsid w:val="72681FB6"/>
    <w:rsid w:val="726F7062"/>
    <w:rsid w:val="72709F05"/>
    <w:rsid w:val="7286D27C"/>
    <w:rsid w:val="7288B1AE"/>
    <w:rsid w:val="728F353F"/>
    <w:rsid w:val="729621D6"/>
    <w:rsid w:val="7298EBD2"/>
    <w:rsid w:val="729C4DFC"/>
    <w:rsid w:val="729D11A4"/>
    <w:rsid w:val="72A048E3"/>
    <w:rsid w:val="72A703D5"/>
    <w:rsid w:val="72B78DC0"/>
    <w:rsid w:val="72BCC45F"/>
    <w:rsid w:val="72BF81D7"/>
    <w:rsid w:val="72CD0350"/>
    <w:rsid w:val="72CF18BF"/>
    <w:rsid w:val="72CFCD6E"/>
    <w:rsid w:val="72D01779"/>
    <w:rsid w:val="72D69898"/>
    <w:rsid w:val="72D79610"/>
    <w:rsid w:val="72DA419A"/>
    <w:rsid w:val="72EC4D48"/>
    <w:rsid w:val="72ECCF59"/>
    <w:rsid w:val="72EF60DC"/>
    <w:rsid w:val="72F13875"/>
    <w:rsid w:val="72F64A2D"/>
    <w:rsid w:val="72FD4DD0"/>
    <w:rsid w:val="731A68EB"/>
    <w:rsid w:val="731D695B"/>
    <w:rsid w:val="733531C2"/>
    <w:rsid w:val="733631FE"/>
    <w:rsid w:val="7343D36C"/>
    <w:rsid w:val="7346AF8C"/>
    <w:rsid w:val="7348D2A0"/>
    <w:rsid w:val="7351E144"/>
    <w:rsid w:val="7352C28C"/>
    <w:rsid w:val="73535C53"/>
    <w:rsid w:val="7357B3D0"/>
    <w:rsid w:val="73633024"/>
    <w:rsid w:val="73639326"/>
    <w:rsid w:val="736CEAB8"/>
    <w:rsid w:val="7378D635"/>
    <w:rsid w:val="737A8725"/>
    <w:rsid w:val="737AF217"/>
    <w:rsid w:val="737D8A55"/>
    <w:rsid w:val="7385C1DB"/>
    <w:rsid w:val="7396F23A"/>
    <w:rsid w:val="739F2D4B"/>
    <w:rsid w:val="739FCBF7"/>
    <w:rsid w:val="73A296FD"/>
    <w:rsid w:val="73A5725F"/>
    <w:rsid w:val="73A84C12"/>
    <w:rsid w:val="73AED77E"/>
    <w:rsid w:val="73AFAD7C"/>
    <w:rsid w:val="73B50768"/>
    <w:rsid w:val="73C2E71E"/>
    <w:rsid w:val="73C35306"/>
    <w:rsid w:val="73CE782A"/>
    <w:rsid w:val="73D3D7FD"/>
    <w:rsid w:val="73D7C6E1"/>
    <w:rsid w:val="73D9DFE5"/>
    <w:rsid w:val="73F104C5"/>
    <w:rsid w:val="73F6CC91"/>
    <w:rsid w:val="73F76913"/>
    <w:rsid w:val="73FBD1E2"/>
    <w:rsid w:val="73FC362B"/>
    <w:rsid w:val="73FFB12E"/>
    <w:rsid w:val="73FFB1F9"/>
    <w:rsid w:val="740298D7"/>
    <w:rsid w:val="7403DD3F"/>
    <w:rsid w:val="740B3D22"/>
    <w:rsid w:val="74143400"/>
    <w:rsid w:val="741D3B9D"/>
    <w:rsid w:val="74203B2C"/>
    <w:rsid w:val="74276BD7"/>
    <w:rsid w:val="7428524E"/>
    <w:rsid w:val="742E4BC6"/>
    <w:rsid w:val="742EBC2D"/>
    <w:rsid w:val="7441B286"/>
    <w:rsid w:val="7441BFE1"/>
    <w:rsid w:val="74447A49"/>
    <w:rsid w:val="7448DE7B"/>
    <w:rsid w:val="744E24EA"/>
    <w:rsid w:val="7452BA09"/>
    <w:rsid w:val="74580A1F"/>
    <w:rsid w:val="745AC31A"/>
    <w:rsid w:val="7462C14D"/>
    <w:rsid w:val="746E443B"/>
    <w:rsid w:val="746E71DD"/>
    <w:rsid w:val="7474EAF9"/>
    <w:rsid w:val="74788283"/>
    <w:rsid w:val="74825842"/>
    <w:rsid w:val="7483095A"/>
    <w:rsid w:val="749D85AB"/>
    <w:rsid w:val="749DD5E8"/>
    <w:rsid w:val="749EC01C"/>
    <w:rsid w:val="74A22E39"/>
    <w:rsid w:val="74A26EC4"/>
    <w:rsid w:val="74A750B6"/>
    <w:rsid w:val="74A87BB5"/>
    <w:rsid w:val="74A90471"/>
    <w:rsid w:val="74ABEFB2"/>
    <w:rsid w:val="74B0F5FB"/>
    <w:rsid w:val="74BC2236"/>
    <w:rsid w:val="74BF7E45"/>
    <w:rsid w:val="74C3880C"/>
    <w:rsid w:val="74C40490"/>
    <w:rsid w:val="74D2F76E"/>
    <w:rsid w:val="74DD1BCE"/>
    <w:rsid w:val="74DDC30A"/>
    <w:rsid w:val="74E74B2D"/>
    <w:rsid w:val="74EFA09A"/>
    <w:rsid w:val="74F89153"/>
    <w:rsid w:val="74F9D2D7"/>
    <w:rsid w:val="75052733"/>
    <w:rsid w:val="7508E229"/>
    <w:rsid w:val="750D832F"/>
    <w:rsid w:val="75136FC9"/>
    <w:rsid w:val="7515C715"/>
    <w:rsid w:val="751B6A52"/>
    <w:rsid w:val="752071A3"/>
    <w:rsid w:val="752F1D54"/>
    <w:rsid w:val="75305A3B"/>
    <w:rsid w:val="7531E816"/>
    <w:rsid w:val="7538F365"/>
    <w:rsid w:val="7540D454"/>
    <w:rsid w:val="754213C2"/>
    <w:rsid w:val="75433672"/>
    <w:rsid w:val="7550DD68"/>
    <w:rsid w:val="7553DE4E"/>
    <w:rsid w:val="7556515E"/>
    <w:rsid w:val="758465B3"/>
    <w:rsid w:val="75889015"/>
    <w:rsid w:val="758DD048"/>
    <w:rsid w:val="75976F0C"/>
    <w:rsid w:val="75B4B804"/>
    <w:rsid w:val="75B616E3"/>
    <w:rsid w:val="75B8A7BB"/>
    <w:rsid w:val="75B92661"/>
    <w:rsid w:val="75C7CE11"/>
    <w:rsid w:val="75C85162"/>
    <w:rsid w:val="75CA3535"/>
    <w:rsid w:val="75CD0DD4"/>
    <w:rsid w:val="75D0FB57"/>
    <w:rsid w:val="75D5D530"/>
    <w:rsid w:val="75DC5EC7"/>
    <w:rsid w:val="75DF8394"/>
    <w:rsid w:val="75E37CBF"/>
    <w:rsid w:val="75E73469"/>
    <w:rsid w:val="75EF2D3B"/>
    <w:rsid w:val="75F30227"/>
    <w:rsid w:val="75F8C731"/>
    <w:rsid w:val="75FA79A8"/>
    <w:rsid w:val="75FECDDD"/>
    <w:rsid w:val="75FF8083"/>
    <w:rsid w:val="7609BC81"/>
    <w:rsid w:val="7609F41E"/>
    <w:rsid w:val="7614D105"/>
    <w:rsid w:val="76171464"/>
    <w:rsid w:val="7618F38D"/>
    <w:rsid w:val="7626C5D0"/>
    <w:rsid w:val="7629D1F5"/>
    <w:rsid w:val="7639EE87"/>
    <w:rsid w:val="763A224E"/>
    <w:rsid w:val="763BBA30"/>
    <w:rsid w:val="763FB853"/>
    <w:rsid w:val="7648C0C1"/>
    <w:rsid w:val="7649794E"/>
    <w:rsid w:val="764A0A9E"/>
    <w:rsid w:val="764AB028"/>
    <w:rsid w:val="766068F6"/>
    <w:rsid w:val="76692175"/>
    <w:rsid w:val="766E2666"/>
    <w:rsid w:val="766F39F8"/>
    <w:rsid w:val="76706B8C"/>
    <w:rsid w:val="7678C6A5"/>
    <w:rsid w:val="767CBD10"/>
    <w:rsid w:val="767E5D84"/>
    <w:rsid w:val="7689C49B"/>
    <w:rsid w:val="768BC08A"/>
    <w:rsid w:val="768CFC2A"/>
    <w:rsid w:val="76904774"/>
    <w:rsid w:val="76AC6F41"/>
    <w:rsid w:val="76AD2485"/>
    <w:rsid w:val="76B035B1"/>
    <w:rsid w:val="76B3DA71"/>
    <w:rsid w:val="76B9571F"/>
    <w:rsid w:val="76C25206"/>
    <w:rsid w:val="76DD9319"/>
    <w:rsid w:val="76E08723"/>
    <w:rsid w:val="76E3ACDC"/>
    <w:rsid w:val="76E53149"/>
    <w:rsid w:val="76E90721"/>
    <w:rsid w:val="76EAB4A9"/>
    <w:rsid w:val="76EAD342"/>
    <w:rsid w:val="76F375C5"/>
    <w:rsid w:val="76F8A60E"/>
    <w:rsid w:val="76FE10A4"/>
    <w:rsid w:val="77006945"/>
    <w:rsid w:val="77014C8B"/>
    <w:rsid w:val="77026243"/>
    <w:rsid w:val="7718E03F"/>
    <w:rsid w:val="771A8CB1"/>
    <w:rsid w:val="772B9CE4"/>
    <w:rsid w:val="7731695A"/>
    <w:rsid w:val="773A7CAC"/>
    <w:rsid w:val="773BAA06"/>
    <w:rsid w:val="773C8D65"/>
    <w:rsid w:val="773E6DBC"/>
    <w:rsid w:val="7744DBCB"/>
    <w:rsid w:val="774BD67F"/>
    <w:rsid w:val="774D4EFC"/>
    <w:rsid w:val="7757C16B"/>
    <w:rsid w:val="775999EF"/>
    <w:rsid w:val="775E0D7F"/>
    <w:rsid w:val="7762F162"/>
    <w:rsid w:val="776E7262"/>
    <w:rsid w:val="777CABEF"/>
    <w:rsid w:val="777D3008"/>
    <w:rsid w:val="7780A127"/>
    <w:rsid w:val="77A5347F"/>
    <w:rsid w:val="77B19397"/>
    <w:rsid w:val="77B7D462"/>
    <w:rsid w:val="77BD01D6"/>
    <w:rsid w:val="77BDEC93"/>
    <w:rsid w:val="77C886B9"/>
    <w:rsid w:val="77DFD693"/>
    <w:rsid w:val="77EB59ED"/>
    <w:rsid w:val="77EE2674"/>
    <w:rsid w:val="77EEEC1C"/>
    <w:rsid w:val="77F52C72"/>
    <w:rsid w:val="77F5CE60"/>
    <w:rsid w:val="77FB8078"/>
    <w:rsid w:val="77FC6E4D"/>
    <w:rsid w:val="780AAACA"/>
    <w:rsid w:val="7817F41F"/>
    <w:rsid w:val="78184198"/>
    <w:rsid w:val="782032D1"/>
    <w:rsid w:val="782BDE58"/>
    <w:rsid w:val="7834C0F4"/>
    <w:rsid w:val="783CC7F5"/>
    <w:rsid w:val="783E5020"/>
    <w:rsid w:val="784405E5"/>
    <w:rsid w:val="7844DB2D"/>
    <w:rsid w:val="784F4CB9"/>
    <w:rsid w:val="7857291A"/>
    <w:rsid w:val="785FE824"/>
    <w:rsid w:val="78662784"/>
    <w:rsid w:val="7867C22B"/>
    <w:rsid w:val="786EDD7B"/>
    <w:rsid w:val="786F3A0A"/>
    <w:rsid w:val="786F55CD"/>
    <w:rsid w:val="787256B3"/>
    <w:rsid w:val="7872F2CA"/>
    <w:rsid w:val="787ACC51"/>
    <w:rsid w:val="7886B603"/>
    <w:rsid w:val="78889912"/>
    <w:rsid w:val="788E5284"/>
    <w:rsid w:val="78984306"/>
    <w:rsid w:val="78990EFA"/>
    <w:rsid w:val="789F8197"/>
    <w:rsid w:val="78A3A2B0"/>
    <w:rsid w:val="78A5C4B1"/>
    <w:rsid w:val="78A6E230"/>
    <w:rsid w:val="78AD218B"/>
    <w:rsid w:val="78AFFFBD"/>
    <w:rsid w:val="78B981F0"/>
    <w:rsid w:val="78C0D00C"/>
    <w:rsid w:val="78C2CB5B"/>
    <w:rsid w:val="78C35212"/>
    <w:rsid w:val="78C37AC2"/>
    <w:rsid w:val="78C79BC7"/>
    <w:rsid w:val="78CA4AF9"/>
    <w:rsid w:val="78DA4951"/>
    <w:rsid w:val="78DB90BE"/>
    <w:rsid w:val="78DC21A3"/>
    <w:rsid w:val="78DE2501"/>
    <w:rsid w:val="78DFE4ED"/>
    <w:rsid w:val="78E06248"/>
    <w:rsid w:val="78EB369A"/>
    <w:rsid w:val="78EE886D"/>
    <w:rsid w:val="78F153D3"/>
    <w:rsid w:val="78F46E0B"/>
    <w:rsid w:val="78F4E169"/>
    <w:rsid w:val="78F6EEEA"/>
    <w:rsid w:val="78FEC4A3"/>
    <w:rsid w:val="790B6E2A"/>
    <w:rsid w:val="791427E8"/>
    <w:rsid w:val="791B4F2D"/>
    <w:rsid w:val="791EE32B"/>
    <w:rsid w:val="792F45CD"/>
    <w:rsid w:val="793ABECB"/>
    <w:rsid w:val="793D1A52"/>
    <w:rsid w:val="7940A57F"/>
    <w:rsid w:val="79468341"/>
    <w:rsid w:val="79470363"/>
    <w:rsid w:val="7948A2B0"/>
    <w:rsid w:val="794C3BC6"/>
    <w:rsid w:val="794F3AAC"/>
    <w:rsid w:val="7955839E"/>
    <w:rsid w:val="7964571A"/>
    <w:rsid w:val="7964B030"/>
    <w:rsid w:val="7965220D"/>
    <w:rsid w:val="797029CF"/>
    <w:rsid w:val="7974ECE2"/>
    <w:rsid w:val="79756F6F"/>
    <w:rsid w:val="7976827D"/>
    <w:rsid w:val="797C83D7"/>
    <w:rsid w:val="7988A0B7"/>
    <w:rsid w:val="798E0E3C"/>
    <w:rsid w:val="79934BCE"/>
    <w:rsid w:val="7997EE0C"/>
    <w:rsid w:val="799A53B7"/>
    <w:rsid w:val="799AEC2D"/>
    <w:rsid w:val="799B9ABE"/>
    <w:rsid w:val="79A43F53"/>
    <w:rsid w:val="79A66891"/>
    <w:rsid w:val="79A7494C"/>
    <w:rsid w:val="79A81EDB"/>
    <w:rsid w:val="79B3D78A"/>
    <w:rsid w:val="79B57808"/>
    <w:rsid w:val="79B6B493"/>
    <w:rsid w:val="79B74C8D"/>
    <w:rsid w:val="79BB248C"/>
    <w:rsid w:val="79BCC74A"/>
    <w:rsid w:val="79C1F484"/>
    <w:rsid w:val="79C27F5B"/>
    <w:rsid w:val="79CBD42C"/>
    <w:rsid w:val="79CDD351"/>
    <w:rsid w:val="79D24634"/>
    <w:rsid w:val="79D6D299"/>
    <w:rsid w:val="79DD8961"/>
    <w:rsid w:val="79DE76F5"/>
    <w:rsid w:val="79DEDC79"/>
    <w:rsid w:val="79EE2207"/>
    <w:rsid w:val="7A09E6A7"/>
    <w:rsid w:val="7A137AFC"/>
    <w:rsid w:val="7A13D0A2"/>
    <w:rsid w:val="7A1CE6D7"/>
    <w:rsid w:val="7A20F489"/>
    <w:rsid w:val="7A2613B2"/>
    <w:rsid w:val="7A2E0E3C"/>
    <w:rsid w:val="7A31B007"/>
    <w:rsid w:val="7A398EC5"/>
    <w:rsid w:val="7A404A4B"/>
    <w:rsid w:val="7A40E8E7"/>
    <w:rsid w:val="7A4976AC"/>
    <w:rsid w:val="7A4A9B42"/>
    <w:rsid w:val="7A551F7A"/>
    <w:rsid w:val="7A582F3D"/>
    <w:rsid w:val="7A611D40"/>
    <w:rsid w:val="7A68684D"/>
    <w:rsid w:val="7A7007D3"/>
    <w:rsid w:val="7A79F562"/>
    <w:rsid w:val="7A8A4DFD"/>
    <w:rsid w:val="7A8D0E0A"/>
    <w:rsid w:val="7A915187"/>
    <w:rsid w:val="7A980C03"/>
    <w:rsid w:val="7A9A1514"/>
    <w:rsid w:val="7AB18B5E"/>
    <w:rsid w:val="7ABAACBA"/>
    <w:rsid w:val="7ABE78D7"/>
    <w:rsid w:val="7AC3E395"/>
    <w:rsid w:val="7AC97929"/>
    <w:rsid w:val="7ACEAE1D"/>
    <w:rsid w:val="7AD13A3B"/>
    <w:rsid w:val="7AD5384D"/>
    <w:rsid w:val="7AD75193"/>
    <w:rsid w:val="7AE64CB1"/>
    <w:rsid w:val="7AE731C5"/>
    <w:rsid w:val="7AEB5830"/>
    <w:rsid w:val="7AEF17B2"/>
    <w:rsid w:val="7AF8FC9E"/>
    <w:rsid w:val="7AFBAAF7"/>
    <w:rsid w:val="7AFC2541"/>
    <w:rsid w:val="7AFCF001"/>
    <w:rsid w:val="7B024C3F"/>
    <w:rsid w:val="7B06B1E2"/>
    <w:rsid w:val="7B13B428"/>
    <w:rsid w:val="7B1CA9B8"/>
    <w:rsid w:val="7B1D736E"/>
    <w:rsid w:val="7B287346"/>
    <w:rsid w:val="7B372539"/>
    <w:rsid w:val="7B390943"/>
    <w:rsid w:val="7B3E1822"/>
    <w:rsid w:val="7B439819"/>
    <w:rsid w:val="7B4BBE27"/>
    <w:rsid w:val="7B4C9306"/>
    <w:rsid w:val="7B516B98"/>
    <w:rsid w:val="7B5966BB"/>
    <w:rsid w:val="7B5A1C88"/>
    <w:rsid w:val="7B5E61AC"/>
    <w:rsid w:val="7B60B98A"/>
    <w:rsid w:val="7B7019EE"/>
    <w:rsid w:val="7B810818"/>
    <w:rsid w:val="7B848CD0"/>
    <w:rsid w:val="7B925740"/>
    <w:rsid w:val="7B945CB4"/>
    <w:rsid w:val="7B96AD26"/>
    <w:rsid w:val="7B98B13F"/>
    <w:rsid w:val="7BA0FC32"/>
    <w:rsid w:val="7BA16C37"/>
    <w:rsid w:val="7BAFDDAB"/>
    <w:rsid w:val="7BB1486F"/>
    <w:rsid w:val="7BBC15AE"/>
    <w:rsid w:val="7BBE09EF"/>
    <w:rsid w:val="7BBEC713"/>
    <w:rsid w:val="7BC3FE22"/>
    <w:rsid w:val="7BCC8990"/>
    <w:rsid w:val="7BD193E1"/>
    <w:rsid w:val="7BD494A8"/>
    <w:rsid w:val="7BE75EF9"/>
    <w:rsid w:val="7BEDB5E5"/>
    <w:rsid w:val="7BF1239C"/>
    <w:rsid w:val="7BF4AB2B"/>
    <w:rsid w:val="7BF9F46C"/>
    <w:rsid w:val="7C0279F8"/>
    <w:rsid w:val="7C035B43"/>
    <w:rsid w:val="7C08F10E"/>
    <w:rsid w:val="7C0DA0B4"/>
    <w:rsid w:val="7C181FA3"/>
    <w:rsid w:val="7C19A5D0"/>
    <w:rsid w:val="7C2799B4"/>
    <w:rsid w:val="7C299251"/>
    <w:rsid w:val="7C2D3DFA"/>
    <w:rsid w:val="7C31589D"/>
    <w:rsid w:val="7C39C32C"/>
    <w:rsid w:val="7C3A9D6E"/>
    <w:rsid w:val="7C439D57"/>
    <w:rsid w:val="7C4BBC1B"/>
    <w:rsid w:val="7C50C34F"/>
    <w:rsid w:val="7C5A2369"/>
    <w:rsid w:val="7C5ECDFF"/>
    <w:rsid w:val="7C69FBB2"/>
    <w:rsid w:val="7C6ADE2D"/>
    <w:rsid w:val="7C7476F9"/>
    <w:rsid w:val="7C770DBA"/>
    <w:rsid w:val="7C7EA425"/>
    <w:rsid w:val="7C8287C4"/>
    <w:rsid w:val="7C85520C"/>
    <w:rsid w:val="7C85FD42"/>
    <w:rsid w:val="7C861BF8"/>
    <w:rsid w:val="7C8CDE94"/>
    <w:rsid w:val="7C8D8027"/>
    <w:rsid w:val="7C9E5173"/>
    <w:rsid w:val="7CA30654"/>
    <w:rsid w:val="7CB1C055"/>
    <w:rsid w:val="7CB66B48"/>
    <w:rsid w:val="7CB70BC3"/>
    <w:rsid w:val="7CBF962C"/>
    <w:rsid w:val="7CCF48E0"/>
    <w:rsid w:val="7CD57A99"/>
    <w:rsid w:val="7CDFB038"/>
    <w:rsid w:val="7CE59AAA"/>
    <w:rsid w:val="7CF71A97"/>
    <w:rsid w:val="7CFFC29B"/>
    <w:rsid w:val="7D02BCE7"/>
    <w:rsid w:val="7D044EB5"/>
    <w:rsid w:val="7D1432C3"/>
    <w:rsid w:val="7D2418E3"/>
    <w:rsid w:val="7D25ACAC"/>
    <w:rsid w:val="7D298C03"/>
    <w:rsid w:val="7D2D01B1"/>
    <w:rsid w:val="7D2FF7D2"/>
    <w:rsid w:val="7D37DCE4"/>
    <w:rsid w:val="7D39E5BB"/>
    <w:rsid w:val="7D40A75B"/>
    <w:rsid w:val="7D46CA57"/>
    <w:rsid w:val="7D4B15B5"/>
    <w:rsid w:val="7D5B66F1"/>
    <w:rsid w:val="7D5CFBCF"/>
    <w:rsid w:val="7D5E1E33"/>
    <w:rsid w:val="7D64142B"/>
    <w:rsid w:val="7D652FFC"/>
    <w:rsid w:val="7D65FF09"/>
    <w:rsid w:val="7D6EEB74"/>
    <w:rsid w:val="7D750495"/>
    <w:rsid w:val="7D83FAFF"/>
    <w:rsid w:val="7D89881E"/>
    <w:rsid w:val="7D8FA69C"/>
    <w:rsid w:val="7D91A1F8"/>
    <w:rsid w:val="7D95D543"/>
    <w:rsid w:val="7D98F804"/>
    <w:rsid w:val="7DA011EF"/>
    <w:rsid w:val="7DB8F252"/>
    <w:rsid w:val="7DBFE500"/>
    <w:rsid w:val="7DC77DBB"/>
    <w:rsid w:val="7DCA4B54"/>
    <w:rsid w:val="7DCAB8D5"/>
    <w:rsid w:val="7DCE2B65"/>
    <w:rsid w:val="7DDA9A40"/>
    <w:rsid w:val="7DDC6280"/>
    <w:rsid w:val="7DE6C693"/>
    <w:rsid w:val="7DEA51AD"/>
    <w:rsid w:val="7DEDC443"/>
    <w:rsid w:val="7DF16A0B"/>
    <w:rsid w:val="7DF598A1"/>
    <w:rsid w:val="7DF7080F"/>
    <w:rsid w:val="7DF84146"/>
    <w:rsid w:val="7E02C95A"/>
    <w:rsid w:val="7E18506A"/>
    <w:rsid w:val="7E250384"/>
    <w:rsid w:val="7E2B406E"/>
    <w:rsid w:val="7E2EA2CA"/>
    <w:rsid w:val="7E34D607"/>
    <w:rsid w:val="7E36132E"/>
    <w:rsid w:val="7E36C600"/>
    <w:rsid w:val="7E48D0F4"/>
    <w:rsid w:val="7E499DB8"/>
    <w:rsid w:val="7E556090"/>
    <w:rsid w:val="7E5F1166"/>
    <w:rsid w:val="7E5F68F2"/>
    <w:rsid w:val="7E5F8B61"/>
    <w:rsid w:val="7E61EB2D"/>
    <w:rsid w:val="7E648569"/>
    <w:rsid w:val="7E675241"/>
    <w:rsid w:val="7E67A1EB"/>
    <w:rsid w:val="7E6E3AE8"/>
    <w:rsid w:val="7E814C43"/>
    <w:rsid w:val="7E8183BA"/>
    <w:rsid w:val="7E87DDF0"/>
    <w:rsid w:val="7E92FC2B"/>
    <w:rsid w:val="7E948A38"/>
    <w:rsid w:val="7E9BD665"/>
    <w:rsid w:val="7E9C60E4"/>
    <w:rsid w:val="7E9EA2D8"/>
    <w:rsid w:val="7EA48AA5"/>
    <w:rsid w:val="7EBF49BE"/>
    <w:rsid w:val="7EC06028"/>
    <w:rsid w:val="7EC541AD"/>
    <w:rsid w:val="7ED7CED6"/>
    <w:rsid w:val="7EDE9751"/>
    <w:rsid w:val="7EE15EC5"/>
    <w:rsid w:val="7EE52CFE"/>
    <w:rsid w:val="7EE6B887"/>
    <w:rsid w:val="7EE74AEA"/>
    <w:rsid w:val="7EE98080"/>
    <w:rsid w:val="7EE9A195"/>
    <w:rsid w:val="7F013EEA"/>
    <w:rsid w:val="7F0CE19D"/>
    <w:rsid w:val="7F1316F1"/>
    <w:rsid w:val="7F14C7F8"/>
    <w:rsid w:val="7F1A4B21"/>
    <w:rsid w:val="7F1D5977"/>
    <w:rsid w:val="7F1FFA33"/>
    <w:rsid w:val="7F246236"/>
    <w:rsid w:val="7F26346B"/>
    <w:rsid w:val="7F27B364"/>
    <w:rsid w:val="7F2A7C10"/>
    <w:rsid w:val="7F2DABAE"/>
    <w:rsid w:val="7F40570B"/>
    <w:rsid w:val="7F4565F8"/>
    <w:rsid w:val="7F45F18C"/>
    <w:rsid w:val="7F4B0BED"/>
    <w:rsid w:val="7F4B21DE"/>
    <w:rsid w:val="7F548A60"/>
    <w:rsid w:val="7F5A94E0"/>
    <w:rsid w:val="7F5FE3C6"/>
    <w:rsid w:val="7F612AE7"/>
    <w:rsid w:val="7F62C37A"/>
    <w:rsid w:val="7F6F33A8"/>
    <w:rsid w:val="7F70C0AC"/>
    <w:rsid w:val="7F72FFB1"/>
    <w:rsid w:val="7F74D180"/>
    <w:rsid w:val="7F7B374C"/>
    <w:rsid w:val="7F7E610E"/>
    <w:rsid w:val="7F802F68"/>
    <w:rsid w:val="7F81F17A"/>
    <w:rsid w:val="7F824410"/>
    <w:rsid w:val="7F8B9578"/>
    <w:rsid w:val="7F936C7B"/>
    <w:rsid w:val="7F99A54E"/>
    <w:rsid w:val="7F9C54E0"/>
    <w:rsid w:val="7FA9CD1E"/>
    <w:rsid w:val="7FB9C46B"/>
    <w:rsid w:val="7FC155C1"/>
    <w:rsid w:val="7FC469BC"/>
    <w:rsid w:val="7FC79906"/>
    <w:rsid w:val="7FCDD27E"/>
    <w:rsid w:val="7FDD62F8"/>
    <w:rsid w:val="7FE43772"/>
    <w:rsid w:val="7FE69594"/>
    <w:rsid w:val="7FF779F0"/>
    <w:rsid w:val="7FFEF88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1ACF74"/>
  <w15:docId w15:val="{62035ED6-7BFA-4304-9CEA-0256ECD18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00949"/>
    <w:rPr>
      <w:rFonts w:ascii="Calibri" w:hAnsi="Calibri" w:cs="Arial"/>
      <w:sz w:val="22"/>
      <w:szCs w:val="22"/>
    </w:rPr>
  </w:style>
  <w:style w:type="paragraph" w:styleId="Heading1">
    <w:name w:val="heading 1"/>
    <w:basedOn w:val="Normal"/>
    <w:next w:val="Normal"/>
    <w:link w:val="Heading1Char"/>
    <w:uiPriority w:val="9"/>
    <w:semiHidden/>
    <w:qFormat/>
    <w:rsid w:val="007F2128"/>
    <w:pPr>
      <w:numPr>
        <w:numId w:val="5"/>
      </w:numPr>
      <w:spacing w:before="120" w:after="120"/>
      <w:outlineLvl w:val="0"/>
    </w:pPr>
    <w:rPr>
      <w:color w:val="3FB84E"/>
      <w:sz w:val="32"/>
      <w:szCs w:val="32"/>
    </w:rPr>
  </w:style>
  <w:style w:type="paragraph" w:styleId="Heading2">
    <w:name w:val="heading 2"/>
    <w:basedOn w:val="Heading1"/>
    <w:next w:val="Normal"/>
    <w:link w:val="Heading2Char"/>
    <w:uiPriority w:val="9"/>
    <w:semiHidden/>
    <w:qFormat/>
    <w:rsid w:val="007F2128"/>
    <w:pPr>
      <w:numPr>
        <w:ilvl w:val="1"/>
      </w:numPr>
      <w:tabs>
        <w:tab w:val="left" w:pos="680"/>
      </w:tabs>
      <w:outlineLvl w:val="1"/>
    </w:pPr>
  </w:style>
  <w:style w:type="paragraph" w:styleId="Heading3">
    <w:name w:val="heading 3"/>
    <w:basedOn w:val="Heading2"/>
    <w:next w:val="Normal"/>
    <w:link w:val="Heading3Char"/>
    <w:uiPriority w:val="9"/>
    <w:semiHidden/>
    <w:qFormat/>
    <w:rsid w:val="007F2128"/>
    <w:pPr>
      <w:numPr>
        <w:ilvl w:val="2"/>
      </w:numPr>
      <w:tabs>
        <w:tab w:val="clear" w:pos="680"/>
        <w:tab w:val="left" w:pos="907"/>
      </w:tabs>
      <w:spacing w:before="240"/>
      <w:outlineLvl w:val="2"/>
    </w:pPr>
  </w:style>
  <w:style w:type="paragraph" w:styleId="Heading4">
    <w:name w:val="heading 4"/>
    <w:basedOn w:val="Heading3"/>
    <w:next w:val="Normal"/>
    <w:link w:val="Heading4Char"/>
    <w:uiPriority w:val="9"/>
    <w:semiHidden/>
    <w:qFormat/>
    <w:rsid w:val="007F2128"/>
    <w:pPr>
      <w:numPr>
        <w:ilvl w:val="3"/>
      </w:numPr>
      <w:tabs>
        <w:tab w:val="clear" w:pos="907"/>
        <w:tab w:val="left" w:pos="1134"/>
      </w:tabs>
      <w:outlineLvl w:val="3"/>
    </w:pPr>
  </w:style>
  <w:style w:type="paragraph" w:styleId="Heading5">
    <w:name w:val="heading 5"/>
    <w:basedOn w:val="Normal"/>
    <w:next w:val="Normal"/>
    <w:link w:val="Heading5Char"/>
    <w:uiPriority w:val="9"/>
    <w:semiHidden/>
    <w:qFormat/>
    <w:rsid w:val="002609D9"/>
    <w:pPr>
      <w:keepNext/>
      <w:keepLines/>
      <w:spacing w:before="40"/>
      <w:outlineLvl w:val="4"/>
    </w:pPr>
    <w:rPr>
      <w:rFonts w:asciiTheme="majorHAnsi" w:eastAsiaTheme="majorEastAsia" w:hAnsiTheme="majorHAnsi" w:cstheme="majorBidi"/>
      <w:color w:val="665F2D" w:themeColor="accent1" w:themeShade="BF"/>
    </w:rPr>
  </w:style>
  <w:style w:type="paragraph" w:styleId="Heading6">
    <w:name w:val="heading 6"/>
    <w:basedOn w:val="Normal"/>
    <w:next w:val="Normal"/>
    <w:link w:val="Heading6Char"/>
    <w:uiPriority w:val="9"/>
    <w:semiHidden/>
    <w:qFormat/>
    <w:rsid w:val="002609D9"/>
    <w:pPr>
      <w:keepNext/>
      <w:keepLines/>
      <w:spacing w:before="40"/>
      <w:outlineLvl w:val="5"/>
    </w:pPr>
    <w:rPr>
      <w:rFonts w:asciiTheme="majorHAnsi" w:eastAsiaTheme="majorEastAsia" w:hAnsiTheme="majorHAnsi" w:cstheme="majorBidi"/>
      <w:color w:val="443F1E" w:themeColor="accent1" w:themeShade="7F"/>
    </w:rPr>
  </w:style>
  <w:style w:type="paragraph" w:styleId="Heading7">
    <w:name w:val="heading 7"/>
    <w:basedOn w:val="Normal"/>
    <w:next w:val="Normal"/>
    <w:link w:val="Heading7Char"/>
    <w:uiPriority w:val="9"/>
    <w:semiHidden/>
    <w:qFormat/>
    <w:rsid w:val="002609D9"/>
    <w:pPr>
      <w:keepNext/>
      <w:keepLines/>
      <w:spacing w:before="40"/>
      <w:outlineLvl w:val="6"/>
    </w:pPr>
    <w:rPr>
      <w:rFonts w:asciiTheme="majorHAnsi" w:eastAsiaTheme="majorEastAsia" w:hAnsiTheme="majorHAnsi" w:cstheme="majorBidi"/>
      <w:i/>
      <w:iCs/>
      <w:color w:val="443F1E" w:themeColor="accent1" w:themeShade="7F"/>
    </w:rPr>
  </w:style>
  <w:style w:type="paragraph" w:styleId="Heading8">
    <w:name w:val="heading 8"/>
    <w:basedOn w:val="Normal"/>
    <w:next w:val="Normal"/>
    <w:link w:val="Heading8Char"/>
    <w:uiPriority w:val="9"/>
    <w:semiHidden/>
    <w:qFormat/>
    <w:rsid w:val="002609D9"/>
    <w:pPr>
      <w:keepNext/>
      <w:keepLines/>
      <w:spacing w:before="40"/>
      <w:outlineLvl w:val="7"/>
    </w:pPr>
    <w:rPr>
      <w:rFonts w:asciiTheme="majorHAnsi" w:eastAsiaTheme="majorEastAsia" w:hAnsiTheme="majorHAnsi" w:cstheme="majorBidi"/>
      <w:color w:val="58585A" w:themeColor="text1" w:themeTint="D8"/>
      <w:sz w:val="21"/>
      <w:szCs w:val="21"/>
    </w:rPr>
  </w:style>
  <w:style w:type="paragraph" w:styleId="Heading9">
    <w:name w:val="heading 9"/>
    <w:basedOn w:val="Normal"/>
    <w:next w:val="Normal"/>
    <w:link w:val="Heading9Char"/>
    <w:uiPriority w:val="9"/>
    <w:semiHidden/>
    <w:qFormat/>
    <w:rsid w:val="002609D9"/>
    <w:pPr>
      <w:keepNext/>
      <w:keepLines/>
      <w:spacing w:before="40"/>
      <w:outlineLvl w:val="8"/>
    </w:pPr>
    <w:rPr>
      <w:rFonts w:asciiTheme="majorHAnsi" w:eastAsiaTheme="majorEastAsia" w:hAnsiTheme="majorHAnsi" w:cstheme="majorBidi"/>
      <w:i/>
      <w:iCs/>
      <w:color w:val="58585A"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367BF"/>
    <w:rPr>
      <w:rFonts w:eastAsiaTheme="minorEastAsia"/>
      <w:sz w:val="22"/>
      <w:szCs w:val="22"/>
      <w:lang w:val="en-US" w:eastAsia="zh-CN"/>
    </w:rPr>
  </w:style>
  <w:style w:type="character" w:customStyle="1" w:styleId="NoSpacingChar">
    <w:name w:val="No Spacing Char"/>
    <w:basedOn w:val="DefaultParagraphFont"/>
    <w:link w:val="NoSpacing"/>
    <w:uiPriority w:val="1"/>
    <w:semiHidden/>
    <w:rsid w:val="00DA5495"/>
    <w:rPr>
      <w:rFonts w:eastAsiaTheme="minorEastAsia"/>
      <w:sz w:val="22"/>
      <w:szCs w:val="22"/>
      <w:lang w:val="en-US" w:eastAsia="zh-CN"/>
    </w:rPr>
  </w:style>
  <w:style w:type="paragraph" w:customStyle="1" w:styleId="ItadCaption">
    <w:name w:val="Itad Caption"/>
    <w:basedOn w:val="Normal"/>
    <w:next w:val="ItadIntroText"/>
    <w:link w:val="ItadCaptionChar"/>
    <w:qFormat/>
    <w:rsid w:val="002111C6"/>
    <w:pPr>
      <w:tabs>
        <w:tab w:val="left" w:pos="1420"/>
      </w:tabs>
      <w:spacing w:before="120" w:after="120"/>
    </w:pPr>
    <w:rPr>
      <w:color w:val="767171" w:themeColor="background2" w:themeShade="80"/>
      <w:sz w:val="18"/>
      <w:szCs w:val="18"/>
      <w:lang w:eastAsia="en-GB"/>
    </w:rPr>
  </w:style>
  <w:style w:type="paragraph" w:customStyle="1" w:styleId="ItadFigureText">
    <w:name w:val="Itad Figure Text"/>
    <w:basedOn w:val="ItadCaption"/>
    <w:next w:val="ItadNormalText"/>
    <w:link w:val="ItadFigureTextChar"/>
    <w:qFormat/>
    <w:rsid w:val="002111C6"/>
    <w:pPr>
      <w:numPr>
        <w:numId w:val="34"/>
      </w:numPr>
      <w:tabs>
        <w:tab w:val="clear" w:pos="1420"/>
      </w:tabs>
      <w:spacing w:before="240"/>
    </w:pPr>
    <w:rPr>
      <w:b/>
      <w:shd w:val="clear" w:color="auto" w:fill="FFFFFF"/>
    </w:rPr>
  </w:style>
  <w:style w:type="paragraph" w:styleId="Footer">
    <w:name w:val="footer"/>
    <w:basedOn w:val="Normal"/>
    <w:link w:val="FooterChar"/>
    <w:uiPriority w:val="99"/>
    <w:rsid w:val="00967499"/>
    <w:pPr>
      <w:tabs>
        <w:tab w:val="center" w:pos="4513"/>
        <w:tab w:val="right" w:pos="9026"/>
      </w:tabs>
    </w:pPr>
  </w:style>
  <w:style w:type="character" w:customStyle="1" w:styleId="FooterChar">
    <w:name w:val="Footer Char"/>
    <w:basedOn w:val="DefaultParagraphFont"/>
    <w:link w:val="Footer"/>
    <w:uiPriority w:val="99"/>
    <w:rsid w:val="00DA5495"/>
    <w:rPr>
      <w:rFonts w:ascii="Calibri" w:hAnsi="Calibri" w:cs="Arial"/>
      <w:sz w:val="22"/>
      <w:szCs w:val="22"/>
    </w:rPr>
  </w:style>
  <w:style w:type="table" w:customStyle="1" w:styleId="ItadGreenHeaderRow">
    <w:name w:val="Itad Green Header Row"/>
    <w:basedOn w:val="TableNormal"/>
    <w:uiPriority w:val="99"/>
    <w:qFormat/>
    <w:rsid w:val="00A72142"/>
    <w:rPr>
      <w:rFonts w:ascii="Calibri" w:hAnsi="Calibri" w:cs="Arial"/>
      <w:color w:val="3B3B3C" w:themeColor="text1"/>
      <w:sz w:val="22"/>
    </w:rPr>
    <w:tblPr>
      <w:tblStyleRowBandSize w:val="1"/>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E7E6E6" w:themeFill="background2"/>
      </w:tcPr>
    </w:tblStylePr>
    <w:tblStylePr w:type="band1Horz">
      <w:tblPr/>
      <w:tcPr>
        <w:shd w:val="clear" w:color="auto" w:fill="FFFFFF" w:themeFill="background1"/>
      </w:tcPr>
    </w:tblStylePr>
    <w:tblStylePr w:type="band2Horz">
      <w:tblPr/>
      <w:tcPr>
        <w:shd w:val="clear" w:color="auto" w:fill="FFFFFF" w:themeFill="background1"/>
      </w:tcPr>
    </w:tblStylePr>
  </w:style>
  <w:style w:type="paragraph" w:customStyle="1" w:styleId="Auxilliaryheader">
    <w:name w:val="Auxilliary header"/>
    <w:basedOn w:val="Normal"/>
    <w:next w:val="ItadNormalText"/>
    <w:link w:val="AuxilliaryheaderChar"/>
    <w:qFormat/>
    <w:rsid w:val="0014642F"/>
    <w:pPr>
      <w:tabs>
        <w:tab w:val="left" w:pos="1420"/>
      </w:tabs>
      <w:spacing w:before="240" w:after="360"/>
      <w:contextualSpacing/>
      <w:outlineLvl w:val="0"/>
    </w:pPr>
    <w:rPr>
      <w:rFonts w:cs="CubeOT"/>
      <w:b/>
      <w:noProof/>
      <w:color w:val="588B46" w:themeColor="text2"/>
      <w:position w:val="-80"/>
      <w:sz w:val="44"/>
      <w:szCs w:val="56"/>
      <w:lang w:eastAsia="en-GB"/>
    </w:rPr>
  </w:style>
  <w:style w:type="character" w:styleId="PageNumber">
    <w:name w:val="page number"/>
    <w:basedOn w:val="DefaultParagraphFont"/>
    <w:uiPriority w:val="99"/>
    <w:semiHidden/>
    <w:rsid w:val="00A07595"/>
  </w:style>
  <w:style w:type="table" w:customStyle="1" w:styleId="Itademphasiseheaderandfirstcolumn">
    <w:name w:val="Itad emphasise header and first column"/>
    <w:basedOn w:val="TableNormal"/>
    <w:uiPriority w:val="99"/>
    <w:qFormat/>
    <w:rsid w:val="00CD76E1"/>
    <w:pPr>
      <w:ind w:left="57" w:right="57"/>
    </w:pPr>
    <w:tblPr>
      <w:tblStyleRowBandSize w:val="1"/>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2F2F2"/>
    </w:tcPr>
    <w:tblStylePr w:type="firstRow">
      <w:pPr>
        <w:wordWrap/>
        <w:spacing w:beforeLines="0" w:before="60" w:beforeAutospacing="0" w:afterLines="0" w:after="60" w:afterAutospacing="0"/>
        <w:ind w:leftChars="0" w:left="57" w:rightChars="0" w:right="0"/>
      </w:pPr>
      <w:rPr>
        <w:rFonts w:asciiTheme="minorHAnsi" w:hAnsiTheme="minorHAnsi"/>
        <w:color w:val="FFFFFF" w:themeColor="background1"/>
        <w:sz w:val="22"/>
      </w:rPr>
      <w:tblPr/>
      <w:tcPr>
        <w:tcBorders>
          <w:insideV w:val="single" w:sz="4" w:space="0" w:color="FFFFFF" w:themeColor="background1"/>
        </w:tcBorders>
        <w:shd w:val="clear" w:color="auto" w:fill="588B46" w:themeFill="text2"/>
      </w:tcPr>
    </w:tblStylePr>
    <w:tblStylePr w:type="firstCol">
      <w:rPr>
        <w:color w:val="3B3B3C" w:themeColor="text1"/>
      </w:rPr>
      <w:tblPr/>
      <w:tcPr>
        <w:shd w:val="clear" w:color="auto" w:fill="DCEAD6" w:themeFill="text2" w:themeFillTint="33"/>
      </w:tcPr>
    </w:tblStylePr>
    <w:tblStylePr w:type="band1Horz">
      <w:tblPr/>
      <w:tcPr>
        <w:shd w:val="clear" w:color="auto" w:fill="FFFFFF" w:themeFill="background1"/>
      </w:tcPr>
    </w:tblStylePr>
    <w:tblStylePr w:type="band2Horz">
      <w:tblPr/>
      <w:tcPr>
        <w:shd w:val="clear" w:color="auto" w:fill="FFFFFF" w:themeFill="background1"/>
      </w:tcPr>
    </w:tblStylePr>
  </w:style>
  <w:style w:type="table" w:customStyle="1" w:styleId="ItadPlain">
    <w:name w:val="Itad Plain"/>
    <w:basedOn w:val="TableNormal"/>
    <w:uiPriority w:val="99"/>
    <w:qFormat/>
    <w:rsid w:val="00F11EAD"/>
    <w:tblPr/>
    <w:tcPr>
      <w:vAlign w:val="center"/>
    </w:tcPr>
    <w:tblStylePr w:type="firstRow">
      <w:pPr>
        <w:jc w:val="left"/>
      </w:pPr>
      <w:rPr>
        <w:rFonts w:asciiTheme="minorHAnsi" w:hAnsiTheme="minorHAnsi"/>
        <w:b/>
        <w:color w:val="E37230" w:themeColor="accent2"/>
        <w:sz w:val="22"/>
      </w:rPr>
    </w:tblStylePr>
  </w:style>
  <w:style w:type="table" w:customStyle="1" w:styleId="ItadPull-outBoxgreen">
    <w:name w:val="Itad Pull-out Box green"/>
    <w:basedOn w:val="TableNormal"/>
    <w:uiPriority w:val="99"/>
    <w:qFormat/>
    <w:rsid w:val="00452A42"/>
    <w:pPr>
      <w:spacing w:after="60"/>
      <w:ind w:left="57" w:right="57"/>
    </w:pPr>
    <w:rPr>
      <w:rFonts w:ascii="Calibri" w:hAnsi="Calibri" w:cs="Arial"/>
    </w:rPr>
    <w:tblPr>
      <w:tblInd w:w="113" w:type="dxa"/>
      <w:tblBorders>
        <w:top w:val="single" w:sz="6" w:space="0" w:color="FFFFFF" w:themeColor="background1"/>
        <w:left w:val="single" w:sz="6" w:space="0" w:color="FFFFFF" w:themeColor="background1"/>
        <w:bottom w:val="single" w:sz="6" w:space="0" w:color="FFFFFF" w:themeColor="background1"/>
        <w:right w:val="single" w:sz="6" w:space="0" w:color="FFFFFF" w:themeColor="background1"/>
      </w:tblBorders>
    </w:tblPr>
    <w:tcPr>
      <w:shd w:val="clear" w:color="auto" w:fill="DCEAD6" w:themeFill="text2" w:themeFillTint="33"/>
    </w:tcPr>
  </w:style>
  <w:style w:type="character" w:customStyle="1" w:styleId="Heading2Char">
    <w:name w:val="Heading 2 Char"/>
    <w:basedOn w:val="DefaultParagraphFont"/>
    <w:link w:val="Heading2"/>
    <w:uiPriority w:val="9"/>
    <w:semiHidden/>
    <w:rsid w:val="008D540A"/>
    <w:rPr>
      <w:rFonts w:ascii="Calibri" w:hAnsi="Calibri" w:cs="Arial"/>
      <w:color w:val="3FB84E"/>
      <w:sz w:val="32"/>
      <w:szCs w:val="32"/>
    </w:rPr>
  </w:style>
  <w:style w:type="character" w:customStyle="1" w:styleId="Heading3Char">
    <w:name w:val="Heading 3 Char"/>
    <w:basedOn w:val="DefaultParagraphFont"/>
    <w:link w:val="Heading3"/>
    <w:uiPriority w:val="9"/>
    <w:semiHidden/>
    <w:rsid w:val="008D540A"/>
    <w:rPr>
      <w:rFonts w:ascii="Calibri" w:hAnsi="Calibri" w:cs="Arial"/>
      <w:color w:val="3FB84E"/>
      <w:sz w:val="32"/>
      <w:szCs w:val="32"/>
    </w:rPr>
  </w:style>
  <w:style w:type="character" w:customStyle="1" w:styleId="Heading4Char">
    <w:name w:val="Heading 4 Char"/>
    <w:basedOn w:val="DefaultParagraphFont"/>
    <w:link w:val="Heading4"/>
    <w:uiPriority w:val="9"/>
    <w:semiHidden/>
    <w:rsid w:val="008D540A"/>
    <w:rPr>
      <w:rFonts w:ascii="Calibri" w:hAnsi="Calibri" w:cs="Arial"/>
      <w:color w:val="3FB84E"/>
      <w:sz w:val="32"/>
      <w:szCs w:val="32"/>
    </w:rPr>
  </w:style>
  <w:style w:type="character" w:customStyle="1" w:styleId="Heading5Char">
    <w:name w:val="Heading 5 Char"/>
    <w:basedOn w:val="DefaultParagraphFont"/>
    <w:link w:val="Heading5"/>
    <w:uiPriority w:val="9"/>
    <w:semiHidden/>
    <w:rsid w:val="008D540A"/>
    <w:rPr>
      <w:rFonts w:asciiTheme="majorHAnsi" w:eastAsiaTheme="majorEastAsia" w:hAnsiTheme="majorHAnsi" w:cstheme="majorBidi"/>
      <w:color w:val="665F2D" w:themeColor="accent1" w:themeShade="BF"/>
      <w:sz w:val="22"/>
      <w:szCs w:val="22"/>
    </w:rPr>
  </w:style>
  <w:style w:type="character" w:customStyle="1" w:styleId="Heading6Char">
    <w:name w:val="Heading 6 Char"/>
    <w:basedOn w:val="DefaultParagraphFont"/>
    <w:link w:val="Heading6"/>
    <w:uiPriority w:val="9"/>
    <w:semiHidden/>
    <w:rsid w:val="008D540A"/>
    <w:rPr>
      <w:rFonts w:asciiTheme="majorHAnsi" w:eastAsiaTheme="majorEastAsia" w:hAnsiTheme="majorHAnsi" w:cstheme="majorBidi"/>
      <w:color w:val="443F1E" w:themeColor="accent1" w:themeShade="7F"/>
      <w:sz w:val="22"/>
      <w:szCs w:val="22"/>
    </w:rPr>
  </w:style>
  <w:style w:type="character" w:customStyle="1" w:styleId="Heading7Char">
    <w:name w:val="Heading 7 Char"/>
    <w:basedOn w:val="DefaultParagraphFont"/>
    <w:link w:val="Heading7"/>
    <w:uiPriority w:val="9"/>
    <w:semiHidden/>
    <w:rsid w:val="008D540A"/>
    <w:rPr>
      <w:rFonts w:asciiTheme="majorHAnsi" w:eastAsiaTheme="majorEastAsia" w:hAnsiTheme="majorHAnsi" w:cstheme="majorBidi"/>
      <w:i/>
      <w:iCs/>
      <w:color w:val="443F1E" w:themeColor="accent1" w:themeShade="7F"/>
      <w:sz w:val="22"/>
      <w:szCs w:val="22"/>
    </w:rPr>
  </w:style>
  <w:style w:type="character" w:customStyle="1" w:styleId="Heading8Char">
    <w:name w:val="Heading 8 Char"/>
    <w:basedOn w:val="DefaultParagraphFont"/>
    <w:link w:val="Heading8"/>
    <w:uiPriority w:val="9"/>
    <w:semiHidden/>
    <w:rsid w:val="008D540A"/>
    <w:rPr>
      <w:rFonts w:asciiTheme="majorHAnsi" w:eastAsiaTheme="majorEastAsia" w:hAnsiTheme="majorHAnsi" w:cstheme="majorBidi"/>
      <w:color w:val="58585A" w:themeColor="text1" w:themeTint="D8"/>
      <w:sz w:val="21"/>
      <w:szCs w:val="21"/>
    </w:rPr>
  </w:style>
  <w:style w:type="character" w:customStyle="1" w:styleId="Heading9Char">
    <w:name w:val="Heading 9 Char"/>
    <w:basedOn w:val="DefaultParagraphFont"/>
    <w:link w:val="Heading9"/>
    <w:uiPriority w:val="9"/>
    <w:semiHidden/>
    <w:rsid w:val="008D540A"/>
    <w:rPr>
      <w:rFonts w:asciiTheme="majorHAnsi" w:eastAsiaTheme="majorEastAsia" w:hAnsiTheme="majorHAnsi" w:cstheme="majorBidi"/>
      <w:i/>
      <w:iCs/>
      <w:color w:val="58585A" w:themeColor="text1" w:themeTint="D8"/>
      <w:sz w:val="21"/>
      <w:szCs w:val="21"/>
    </w:rPr>
  </w:style>
  <w:style w:type="paragraph" w:styleId="TOC1">
    <w:name w:val="toc 1"/>
    <w:aliases w:val="TOC 1 ITAD V4"/>
    <w:basedOn w:val="Normal"/>
    <w:next w:val="Normal"/>
    <w:autoRedefine/>
    <w:uiPriority w:val="39"/>
    <w:rsid w:val="007F6DFD"/>
    <w:pPr>
      <w:tabs>
        <w:tab w:val="left" w:pos="284"/>
        <w:tab w:val="right" w:pos="10460"/>
      </w:tabs>
      <w:ind w:left="284" w:hanging="284"/>
      <w:contextualSpacing/>
    </w:pPr>
    <w:rPr>
      <w:rFonts w:eastAsiaTheme="minorEastAsia"/>
      <w:b/>
      <w:noProof/>
      <w:color w:val="588B46" w:themeColor="text2"/>
      <w:lang w:val="en-US" w:eastAsia="en-GB"/>
      <w14:scene3d>
        <w14:camera w14:prst="orthographicFront"/>
        <w14:lightRig w14:rig="threePt" w14:dir="t">
          <w14:rot w14:lat="0" w14:lon="0" w14:rev="0"/>
        </w14:lightRig>
      </w14:scene3d>
    </w:rPr>
  </w:style>
  <w:style w:type="paragraph" w:styleId="TOC2">
    <w:name w:val="toc 2"/>
    <w:aliases w:val="TOC 2 ITAD V4"/>
    <w:basedOn w:val="Normal"/>
    <w:next w:val="Normal"/>
    <w:autoRedefine/>
    <w:uiPriority w:val="39"/>
    <w:rsid w:val="00CD2FF1"/>
    <w:pPr>
      <w:tabs>
        <w:tab w:val="left" w:pos="1278"/>
        <w:tab w:val="right" w:pos="9010"/>
      </w:tabs>
      <w:spacing w:before="120" w:after="120"/>
      <w:ind w:left="1278" w:hanging="710"/>
    </w:pPr>
    <w:rPr>
      <w:iCs/>
      <w:noProof/>
    </w:rPr>
  </w:style>
  <w:style w:type="paragraph" w:styleId="TOC3">
    <w:name w:val="toc 3"/>
    <w:aliases w:val="TOC 3 ITAD V4"/>
    <w:basedOn w:val="Normal"/>
    <w:next w:val="Normal"/>
    <w:autoRedefine/>
    <w:uiPriority w:val="39"/>
    <w:rsid w:val="00CD2FF1"/>
    <w:pPr>
      <w:tabs>
        <w:tab w:val="left" w:pos="1278"/>
        <w:tab w:val="right" w:pos="9010"/>
      </w:tabs>
      <w:spacing w:before="120" w:after="120"/>
      <w:ind w:left="1278" w:hanging="710"/>
    </w:pPr>
    <w:rPr>
      <w:noProof/>
    </w:rPr>
  </w:style>
  <w:style w:type="paragraph" w:styleId="TOC4">
    <w:name w:val="toc 4"/>
    <w:basedOn w:val="Normal"/>
    <w:next w:val="Normal"/>
    <w:autoRedefine/>
    <w:uiPriority w:val="39"/>
    <w:semiHidden/>
    <w:rsid w:val="003D273A"/>
    <w:pPr>
      <w:ind w:left="720"/>
    </w:pPr>
    <w:rPr>
      <w:sz w:val="20"/>
      <w:szCs w:val="20"/>
    </w:rPr>
  </w:style>
  <w:style w:type="paragraph" w:styleId="TOC5">
    <w:name w:val="toc 5"/>
    <w:basedOn w:val="Normal"/>
    <w:next w:val="Normal"/>
    <w:autoRedefine/>
    <w:uiPriority w:val="39"/>
    <w:semiHidden/>
    <w:rsid w:val="003D273A"/>
    <w:pPr>
      <w:ind w:left="960"/>
    </w:pPr>
    <w:rPr>
      <w:sz w:val="20"/>
      <w:szCs w:val="20"/>
    </w:rPr>
  </w:style>
  <w:style w:type="paragraph" w:styleId="TOC6">
    <w:name w:val="toc 6"/>
    <w:basedOn w:val="Normal"/>
    <w:next w:val="Normal"/>
    <w:autoRedefine/>
    <w:uiPriority w:val="39"/>
    <w:semiHidden/>
    <w:rsid w:val="003D273A"/>
    <w:pPr>
      <w:ind w:left="1200"/>
    </w:pPr>
    <w:rPr>
      <w:sz w:val="20"/>
      <w:szCs w:val="20"/>
    </w:rPr>
  </w:style>
  <w:style w:type="paragraph" w:styleId="TOC7">
    <w:name w:val="toc 7"/>
    <w:basedOn w:val="Normal"/>
    <w:next w:val="Normal"/>
    <w:autoRedefine/>
    <w:uiPriority w:val="39"/>
    <w:semiHidden/>
    <w:rsid w:val="003D273A"/>
    <w:pPr>
      <w:ind w:left="1440"/>
    </w:pPr>
    <w:rPr>
      <w:sz w:val="20"/>
      <w:szCs w:val="20"/>
    </w:rPr>
  </w:style>
  <w:style w:type="paragraph" w:styleId="TOC8">
    <w:name w:val="toc 8"/>
    <w:basedOn w:val="Normal"/>
    <w:next w:val="Normal"/>
    <w:autoRedefine/>
    <w:uiPriority w:val="39"/>
    <w:semiHidden/>
    <w:rsid w:val="003D273A"/>
    <w:pPr>
      <w:ind w:left="1680"/>
    </w:pPr>
    <w:rPr>
      <w:sz w:val="20"/>
      <w:szCs w:val="20"/>
    </w:rPr>
  </w:style>
  <w:style w:type="paragraph" w:styleId="TOC9">
    <w:name w:val="toc 9"/>
    <w:basedOn w:val="Normal"/>
    <w:next w:val="Normal"/>
    <w:autoRedefine/>
    <w:uiPriority w:val="39"/>
    <w:semiHidden/>
    <w:rsid w:val="003D273A"/>
    <w:pPr>
      <w:ind w:left="1920"/>
    </w:pPr>
    <w:rPr>
      <w:sz w:val="20"/>
      <w:szCs w:val="20"/>
    </w:rPr>
  </w:style>
  <w:style w:type="character" w:styleId="Hyperlink">
    <w:name w:val="Hyperlink"/>
    <w:basedOn w:val="DefaultParagraphFont"/>
    <w:uiPriority w:val="99"/>
    <w:rsid w:val="003D273A"/>
    <w:rPr>
      <w:color w:val="3B3B3C" w:themeColor="hyperlink"/>
      <w:u w:val="single"/>
    </w:rPr>
  </w:style>
  <w:style w:type="paragraph" w:styleId="FootnoteText">
    <w:name w:val="footnote text"/>
    <w:aliases w:val="single space,f,Footnote Text Char1,Footnote Text Char Char,Footnote Text Char11,Footnote Text Char Char1,Footnote Text Char Char Char1,Footnote Text Char1 Char Char,Footnote Text Char1 Char Char Char Char Char Char,ft,FOOTNOTES,fn,FOOTNOT"/>
    <w:basedOn w:val="Normal"/>
    <w:link w:val="FootnoteTextChar"/>
    <w:uiPriority w:val="99"/>
    <w:qFormat/>
    <w:rsid w:val="00BD1475"/>
    <w:rPr>
      <w:color w:val="3B3B3C"/>
      <w:sz w:val="16"/>
      <w:szCs w:val="16"/>
    </w:rPr>
  </w:style>
  <w:style w:type="character" w:customStyle="1" w:styleId="FootnoteTextChar">
    <w:name w:val="Footnote Text Char"/>
    <w:aliases w:val="single space Char,f Char,Footnote Text Char1 Char,Footnote Text Char Char Char,Footnote Text Char11 Char,Footnote Text Char Char1 Char,Footnote Text Char Char Char1 Char,Footnote Text Char1 Char Char Char,ft Char,FOOTNOTES Char"/>
    <w:basedOn w:val="DefaultParagraphFont"/>
    <w:link w:val="FootnoteText"/>
    <w:uiPriority w:val="99"/>
    <w:qFormat/>
    <w:rsid w:val="00BD1475"/>
    <w:rPr>
      <w:rFonts w:ascii="Calibri" w:hAnsi="Calibri" w:cs="Arial"/>
      <w:color w:val="3B3B3C"/>
      <w:sz w:val="16"/>
      <w:szCs w:val="16"/>
    </w:rPr>
  </w:style>
  <w:style w:type="character" w:styleId="FootnoteReference">
    <w:name w:val="footnote reference"/>
    <w:aliases w:val="ftref,16 Point,Superscript 6 Point,BVI fnr,Footnotes refss,Footnote Reference1,Ref,de nota al pie,BVI fnr Char Char Char Char Char Char1,BVI fnr Car Car Char Char Char Char Char Char,BVI fnr Car Char Char Char Char Char Char, BVI fnr"/>
    <w:basedOn w:val="DefaultParagraphFont"/>
    <w:link w:val="BVIfnrCharCharCharCharChar"/>
    <w:qFormat/>
    <w:rsid w:val="00D65CC2"/>
    <w:rPr>
      <w:rFonts w:asciiTheme="minorHAnsi" w:hAnsiTheme="minorHAnsi" w:cs="Arial"/>
      <w:position w:val="0"/>
      <w:sz w:val="20"/>
      <w:szCs w:val="20"/>
      <w:vertAlign w:val="superscript"/>
    </w:rPr>
  </w:style>
  <w:style w:type="paragraph" w:customStyle="1" w:styleId="ItadBullets">
    <w:name w:val="Itad Bullets"/>
    <w:basedOn w:val="ItadNormalText"/>
    <w:link w:val="ItadBulletsChar"/>
    <w:qFormat/>
    <w:rsid w:val="009D1380"/>
    <w:pPr>
      <w:numPr>
        <w:numId w:val="4"/>
      </w:numPr>
    </w:pPr>
    <w:rPr>
      <w:lang w:eastAsia="en-GB"/>
    </w:rPr>
  </w:style>
  <w:style w:type="table" w:styleId="TableGrid">
    <w:name w:val="Table Grid"/>
    <w:aliases w:val="Plain Table Grid,IOD PARC blank table,notes,Table Grid CEPA"/>
    <w:basedOn w:val="TableNormal"/>
    <w:uiPriority w:val="39"/>
    <w:qFormat/>
    <w:rsid w:val="005A32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tadQuote">
    <w:name w:val="Itad Quote"/>
    <w:basedOn w:val="Normal"/>
    <w:next w:val="ItadNormalText"/>
    <w:qFormat/>
    <w:rsid w:val="00E6023A"/>
    <w:pPr>
      <w:tabs>
        <w:tab w:val="left" w:pos="1420"/>
      </w:tabs>
      <w:spacing w:before="360" w:after="360"/>
      <w:ind w:left="851" w:right="851"/>
    </w:pPr>
    <w:rPr>
      <w:i/>
      <w:iCs/>
      <w:color w:val="767171" w:themeColor="background2" w:themeShade="80"/>
      <w:shd w:val="clear" w:color="auto" w:fill="FFFFFF"/>
      <w:lang w:eastAsia="en-GB"/>
    </w:rPr>
  </w:style>
  <w:style w:type="paragraph" w:customStyle="1" w:styleId="ItadPull-outBold">
    <w:name w:val="Itad Pull-out Bold"/>
    <w:basedOn w:val="ItadQuote"/>
    <w:next w:val="ItadNormalText"/>
    <w:rsid w:val="00A323EE"/>
    <w:rPr>
      <w:b/>
      <w:i w:val="0"/>
    </w:rPr>
  </w:style>
  <w:style w:type="paragraph" w:customStyle="1" w:styleId="ItadPull-outTint">
    <w:name w:val="Itad Pull-out Tint"/>
    <w:basedOn w:val="ItadPull-outBold"/>
    <w:next w:val="ItadNormalText"/>
    <w:rsid w:val="002F13A2"/>
    <w:pPr>
      <w:pBdr>
        <w:top w:val="single" w:sz="24" w:space="0" w:color="F4F9E9"/>
        <w:left w:val="single" w:sz="24" w:space="4" w:color="F4F9E9"/>
        <w:bottom w:val="single" w:sz="24" w:space="1" w:color="F4F9E9"/>
        <w:right w:val="single" w:sz="24" w:space="4" w:color="F4F9E9"/>
      </w:pBdr>
      <w:shd w:val="clear" w:color="auto" w:fill="F4F9E9"/>
    </w:pPr>
    <w:rPr>
      <w:b w:val="0"/>
      <w:shd w:val="clear" w:color="auto" w:fill="F4F9E9"/>
    </w:rPr>
  </w:style>
  <w:style w:type="paragraph" w:customStyle="1" w:styleId="ItadPull-outBlock">
    <w:name w:val="Itad Pull-out Block"/>
    <w:basedOn w:val="Normal"/>
    <w:next w:val="ItadNormalText"/>
    <w:rsid w:val="0026393B"/>
    <w:pPr>
      <w:pBdr>
        <w:top w:val="single" w:sz="24" w:space="1" w:color="8CCA45"/>
        <w:left w:val="single" w:sz="24" w:space="4" w:color="8CCA45"/>
        <w:bottom w:val="single" w:sz="24" w:space="1" w:color="8CCA45"/>
        <w:right w:val="single" w:sz="24" w:space="4" w:color="8CCA45"/>
      </w:pBdr>
      <w:shd w:val="clear" w:color="auto" w:fill="8CCA45"/>
      <w:spacing w:before="360" w:after="360"/>
      <w:ind w:left="851" w:right="851"/>
    </w:pPr>
    <w:rPr>
      <w:color w:val="FFFFFF" w:themeColor="background1"/>
    </w:rPr>
  </w:style>
  <w:style w:type="paragraph" w:styleId="Header">
    <w:name w:val="header"/>
    <w:basedOn w:val="Normal"/>
    <w:link w:val="HeaderChar"/>
    <w:rsid w:val="00D46FD7"/>
    <w:pPr>
      <w:tabs>
        <w:tab w:val="center" w:pos="4513"/>
        <w:tab w:val="right" w:pos="9026"/>
      </w:tabs>
    </w:pPr>
  </w:style>
  <w:style w:type="character" w:customStyle="1" w:styleId="HeaderChar">
    <w:name w:val="Header Char"/>
    <w:basedOn w:val="DefaultParagraphFont"/>
    <w:link w:val="Header"/>
    <w:uiPriority w:val="99"/>
    <w:semiHidden/>
    <w:rsid w:val="00D65CC2"/>
    <w:rPr>
      <w:rFonts w:ascii="Calibri" w:hAnsi="Calibri" w:cs="Arial"/>
      <w:sz w:val="22"/>
      <w:szCs w:val="22"/>
    </w:rPr>
  </w:style>
  <w:style w:type="paragraph" w:styleId="BalloonText">
    <w:name w:val="Balloon Text"/>
    <w:basedOn w:val="Normal"/>
    <w:link w:val="BalloonTextChar"/>
    <w:uiPriority w:val="99"/>
    <w:semiHidden/>
    <w:rsid w:val="007E092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A5495"/>
    <w:rPr>
      <w:rFonts w:ascii="Times New Roman" w:hAnsi="Times New Roman" w:cs="Times New Roman"/>
      <w:sz w:val="18"/>
      <w:szCs w:val="18"/>
    </w:rPr>
  </w:style>
  <w:style w:type="paragraph" w:customStyle="1" w:styleId="ItadIntroText">
    <w:name w:val="Itad Intro Text"/>
    <w:basedOn w:val="Normal"/>
    <w:next w:val="ItadNormalText"/>
    <w:autoRedefine/>
    <w:qFormat/>
    <w:rsid w:val="00E6023A"/>
    <w:pPr>
      <w:spacing w:before="120" w:after="120" w:line="320" w:lineRule="atLeast"/>
    </w:pPr>
    <w:rPr>
      <w:color w:val="767171" w:themeColor="background2" w:themeShade="80"/>
      <w:sz w:val="28"/>
      <w:szCs w:val="28"/>
    </w:rPr>
  </w:style>
  <w:style w:type="paragraph" w:customStyle="1" w:styleId="ItadNormalText">
    <w:name w:val="Itad Normal Text"/>
    <w:basedOn w:val="NormalWeb"/>
    <w:link w:val="ItadNormalTextChar"/>
    <w:qFormat/>
    <w:rsid w:val="00DC7503"/>
    <w:pPr>
      <w:tabs>
        <w:tab w:val="left" w:pos="1418"/>
      </w:tabs>
      <w:spacing w:before="120" w:after="120"/>
    </w:pPr>
    <w:rPr>
      <w:rFonts w:ascii="Calibri" w:hAnsi="Calibri" w:cs="Arial"/>
      <w:color w:val="3B3B3C" w:themeColor="text1"/>
    </w:rPr>
  </w:style>
  <w:style w:type="paragraph" w:customStyle="1" w:styleId="ItadNormalTextBold">
    <w:name w:val="Itad Normal Text (Bold)"/>
    <w:basedOn w:val="ItadNormalText"/>
    <w:next w:val="ItadNormalText"/>
    <w:qFormat/>
    <w:rsid w:val="009D1380"/>
    <w:rPr>
      <w:b/>
      <w:bCs/>
    </w:rPr>
  </w:style>
  <w:style w:type="paragraph" w:customStyle="1" w:styleId="ItadNormalTextWhite">
    <w:name w:val="Itad Normal Text (White)"/>
    <w:basedOn w:val="ItadNormalText"/>
    <w:next w:val="ItadNormalText"/>
    <w:qFormat/>
    <w:rsid w:val="00C407DB"/>
    <w:rPr>
      <w:color w:val="FFFFFF" w:themeColor="background1"/>
    </w:rPr>
  </w:style>
  <w:style w:type="paragraph" w:styleId="NormalWeb">
    <w:name w:val="Normal (Web)"/>
    <w:basedOn w:val="Normal"/>
    <w:link w:val="NormalWebChar"/>
    <w:uiPriority w:val="99"/>
    <w:semiHidden/>
    <w:rsid w:val="009D1380"/>
    <w:rPr>
      <w:rFonts w:ascii="Times New Roman" w:hAnsi="Times New Roman" w:cs="Times New Roman"/>
    </w:rPr>
  </w:style>
  <w:style w:type="paragraph" w:customStyle="1" w:styleId="ItadHeader">
    <w:name w:val="Itad Header"/>
    <w:basedOn w:val="Normal"/>
    <w:rsid w:val="00D32EC8"/>
    <w:pPr>
      <w:spacing w:after="480"/>
    </w:pPr>
    <w:rPr>
      <w:sz w:val="18"/>
      <w:szCs w:val="18"/>
    </w:rPr>
  </w:style>
  <w:style w:type="paragraph" w:customStyle="1" w:styleId="ItadFooter">
    <w:name w:val="Itad Footer"/>
    <w:basedOn w:val="ItadNormalText"/>
    <w:rsid w:val="001A6FFB"/>
    <w:pPr>
      <w:tabs>
        <w:tab w:val="clear" w:pos="1418"/>
        <w:tab w:val="right" w:pos="9072"/>
      </w:tabs>
      <w:spacing w:before="460" w:after="0"/>
      <w:contextualSpacing/>
    </w:pPr>
    <w:rPr>
      <w:sz w:val="18"/>
      <w:szCs w:val="18"/>
    </w:rPr>
  </w:style>
  <w:style w:type="character" w:customStyle="1" w:styleId="Heading1Char">
    <w:name w:val="Heading 1 Char"/>
    <w:basedOn w:val="DefaultParagraphFont"/>
    <w:link w:val="Heading1"/>
    <w:uiPriority w:val="9"/>
    <w:semiHidden/>
    <w:rsid w:val="008D540A"/>
    <w:rPr>
      <w:rFonts w:ascii="Calibri" w:hAnsi="Calibri" w:cs="Arial"/>
      <w:color w:val="3FB84E"/>
      <w:sz w:val="32"/>
      <w:szCs w:val="32"/>
    </w:rPr>
  </w:style>
  <w:style w:type="paragraph" w:customStyle="1" w:styleId="ItadH1Numbered">
    <w:name w:val="Itad H1 (Numbered)"/>
    <w:basedOn w:val="Heading1"/>
    <w:next w:val="Sectionsubheading"/>
    <w:qFormat/>
    <w:rsid w:val="009079DB"/>
    <w:pPr>
      <w:numPr>
        <w:numId w:val="14"/>
      </w:numPr>
      <w:spacing w:before="480" w:after="360"/>
    </w:pPr>
    <w:rPr>
      <w:rFonts w:ascii="CubeOT" w:hAnsi="CubeOT"/>
      <w:bCs/>
      <w:color w:val="E37230" w:themeColor="accent2"/>
      <w:sz w:val="56"/>
    </w:rPr>
  </w:style>
  <w:style w:type="paragraph" w:customStyle="1" w:styleId="ItadH2Numbered">
    <w:name w:val="Itad H2 (Numbered)"/>
    <w:basedOn w:val="Heading2"/>
    <w:next w:val="ItadNormalText"/>
    <w:qFormat/>
    <w:rsid w:val="004E7209"/>
    <w:pPr>
      <w:numPr>
        <w:ilvl w:val="0"/>
        <w:numId w:val="17"/>
      </w:numPr>
      <w:tabs>
        <w:tab w:val="clear" w:pos="680"/>
        <w:tab w:val="left" w:pos="567"/>
      </w:tabs>
      <w:spacing w:before="360"/>
    </w:pPr>
    <w:rPr>
      <w:rFonts w:ascii="CubeOT" w:hAnsi="CubeOT" w:cs="CubeOT"/>
      <w:b/>
      <w:bCs/>
      <w:snapToGrid w:val="0"/>
      <w:color w:val="588B46" w:themeColor="text2"/>
      <w:sz w:val="28"/>
      <w:szCs w:val="24"/>
      <w:lang w:val="en-US"/>
    </w:rPr>
  </w:style>
  <w:style w:type="paragraph" w:customStyle="1" w:styleId="ItadH3Numbered">
    <w:name w:val="Itad H3 (Numbered)"/>
    <w:basedOn w:val="Heading3"/>
    <w:next w:val="ItadNormalText"/>
    <w:qFormat/>
    <w:rsid w:val="00DC3D0C"/>
    <w:pPr>
      <w:numPr>
        <w:ilvl w:val="1"/>
        <w:numId w:val="33"/>
      </w:numPr>
      <w:tabs>
        <w:tab w:val="clear" w:pos="907"/>
        <w:tab w:val="left" w:pos="1134"/>
      </w:tabs>
    </w:pPr>
    <w:rPr>
      <w:b/>
      <w:bCs/>
      <w:color w:val="588B46" w:themeColor="text2"/>
      <w:sz w:val="24"/>
      <w:szCs w:val="24"/>
      <w:lang w:val="en-US"/>
    </w:rPr>
  </w:style>
  <w:style w:type="paragraph" w:customStyle="1" w:styleId="ItadH4Numbered">
    <w:name w:val="Itad H4 (Numbered)"/>
    <w:basedOn w:val="Heading4"/>
    <w:qFormat/>
    <w:rsid w:val="00BB5D0C"/>
    <w:pPr>
      <w:numPr>
        <w:ilvl w:val="0"/>
        <w:numId w:val="0"/>
      </w:numPr>
    </w:pPr>
    <w:rPr>
      <w:i/>
      <w:iCs/>
      <w:color w:val="588B46" w:themeColor="text2"/>
      <w:sz w:val="22"/>
      <w:szCs w:val="24"/>
    </w:rPr>
  </w:style>
  <w:style w:type="paragraph" w:customStyle="1" w:styleId="ItadH4">
    <w:name w:val="Itad H4"/>
    <w:basedOn w:val="Normal"/>
    <w:next w:val="ItadNormalText"/>
    <w:qFormat/>
    <w:rsid w:val="0005124E"/>
    <w:pPr>
      <w:numPr>
        <w:numId w:val="15"/>
      </w:numPr>
      <w:spacing w:before="240" w:after="120"/>
      <w:outlineLvl w:val="3"/>
    </w:pPr>
    <w:rPr>
      <w:b/>
      <w:bCs/>
      <w:color w:val="588B46" w:themeColor="text2"/>
      <w:szCs w:val="24"/>
    </w:rPr>
  </w:style>
  <w:style w:type="paragraph" w:customStyle="1" w:styleId="ItadH1">
    <w:name w:val="Itad H1"/>
    <w:basedOn w:val="ItadNormalText"/>
    <w:next w:val="Sectionsubheading"/>
    <w:link w:val="ItadH1Char"/>
    <w:qFormat/>
    <w:rsid w:val="002B5F56"/>
    <w:pPr>
      <w:spacing w:before="480" w:after="360"/>
      <w:outlineLvl w:val="0"/>
    </w:pPr>
    <w:rPr>
      <w:rFonts w:ascii="CubeOT" w:hAnsi="CubeOT"/>
      <w:bCs/>
      <w:color w:val="E37230" w:themeColor="accent2"/>
      <w:sz w:val="36"/>
      <w:szCs w:val="18"/>
    </w:rPr>
  </w:style>
  <w:style w:type="paragraph" w:customStyle="1" w:styleId="ItadH2">
    <w:name w:val="Itad H2"/>
    <w:basedOn w:val="Normal"/>
    <w:next w:val="ItadNormalText"/>
    <w:qFormat/>
    <w:rsid w:val="002B5F56"/>
    <w:pPr>
      <w:spacing w:before="360" w:after="120"/>
      <w:outlineLvl w:val="1"/>
    </w:pPr>
    <w:rPr>
      <w:rFonts w:ascii="CubeOT" w:hAnsi="CubeOT" w:cs="CubeOT"/>
      <w:b/>
      <w:bCs/>
      <w:color w:val="588B46" w:themeColor="text2"/>
      <w:sz w:val="28"/>
      <w:szCs w:val="24"/>
      <w:lang w:val="en-US"/>
    </w:rPr>
  </w:style>
  <w:style w:type="paragraph" w:customStyle="1" w:styleId="ItadH3">
    <w:name w:val="Itad H3"/>
    <w:basedOn w:val="Normal"/>
    <w:next w:val="ItadNormalText"/>
    <w:qFormat/>
    <w:rsid w:val="00975CEA"/>
    <w:pPr>
      <w:spacing w:before="240" w:after="120"/>
      <w:outlineLvl w:val="2"/>
    </w:pPr>
    <w:rPr>
      <w:b/>
      <w:bCs/>
      <w:color w:val="588B46" w:themeColor="text2"/>
      <w:sz w:val="24"/>
      <w:szCs w:val="24"/>
      <w:lang w:val="fr-FR"/>
    </w:rPr>
  </w:style>
  <w:style w:type="paragraph" w:customStyle="1" w:styleId="ItadMainTitle1">
    <w:name w:val="Itad Main Title 1"/>
    <w:basedOn w:val="Normal"/>
    <w:next w:val="ItadMainTitle2"/>
    <w:rsid w:val="00A51EB8"/>
    <w:pPr>
      <w:spacing w:after="440"/>
    </w:pPr>
    <w:rPr>
      <w:sz w:val="36"/>
      <w:szCs w:val="36"/>
    </w:rPr>
  </w:style>
  <w:style w:type="paragraph" w:customStyle="1" w:styleId="ItadMainTitle2">
    <w:name w:val="Itad Main Title 2"/>
    <w:basedOn w:val="Normal"/>
    <w:next w:val="ItadMainTitle3"/>
    <w:rsid w:val="00A51EB8"/>
    <w:rPr>
      <w:sz w:val="52"/>
      <w:szCs w:val="52"/>
    </w:rPr>
  </w:style>
  <w:style w:type="paragraph" w:customStyle="1" w:styleId="ItadMainTitle3">
    <w:name w:val="Itad Main Title 3"/>
    <w:basedOn w:val="Normal"/>
    <w:qFormat/>
    <w:rsid w:val="00390A6B"/>
    <w:pPr>
      <w:spacing w:before="260"/>
      <w:contextualSpacing/>
    </w:pPr>
    <w:rPr>
      <w:color w:val="3B3B3C" w:themeColor="text1"/>
    </w:rPr>
  </w:style>
  <w:style w:type="paragraph" w:customStyle="1" w:styleId="ItadHeading1Non-Contents">
    <w:name w:val="Itad Heading 1 (Non-Contents)"/>
    <w:basedOn w:val="ItadH1"/>
    <w:next w:val="ItadNormalText"/>
    <w:rsid w:val="00A51EB8"/>
  </w:style>
  <w:style w:type="paragraph" w:customStyle="1" w:styleId="ItadH4Tables">
    <w:name w:val="Itad H4 (Tables)"/>
    <w:basedOn w:val="ItadH4"/>
    <w:next w:val="ItadNormalText"/>
    <w:rsid w:val="009D2E35"/>
    <w:pPr>
      <w:spacing w:before="0" w:after="0"/>
      <w:outlineLvl w:val="2"/>
    </w:pPr>
    <w:rPr>
      <w:b w:val="0"/>
      <w:bCs w:val="0"/>
      <w:i/>
      <w:iCs/>
      <w:sz w:val="24"/>
      <w:lang w:val="en-US"/>
    </w:rPr>
  </w:style>
  <w:style w:type="paragraph" w:customStyle="1" w:styleId="Itadnumberedparas">
    <w:name w:val="Itad numbered paras"/>
    <w:basedOn w:val="ItadNormalText"/>
    <w:qFormat/>
    <w:rsid w:val="00314399"/>
    <w:pPr>
      <w:numPr>
        <w:numId w:val="6"/>
      </w:numPr>
    </w:pPr>
  </w:style>
  <w:style w:type="paragraph" w:customStyle="1" w:styleId="ItadSubbullets">
    <w:name w:val="Itad Sub bullets"/>
    <w:qFormat/>
    <w:rsid w:val="00E71DAC"/>
    <w:pPr>
      <w:numPr>
        <w:numId w:val="7"/>
      </w:numPr>
      <w:spacing w:before="120" w:after="120"/>
    </w:pPr>
    <w:rPr>
      <w:rFonts w:ascii="Calibri" w:hAnsi="Calibri" w:cs="Arial"/>
      <w:color w:val="3B3B3C" w:themeColor="text1"/>
      <w:sz w:val="22"/>
      <w:szCs w:val="22"/>
      <w:lang w:eastAsia="en-GB"/>
    </w:rPr>
  </w:style>
  <w:style w:type="paragraph" w:customStyle="1" w:styleId="Bannerheader">
    <w:name w:val="Banner header"/>
    <w:basedOn w:val="ItadH1"/>
    <w:link w:val="BannerheaderChar"/>
    <w:rsid w:val="00B90F0D"/>
    <w:rPr>
      <w:rFonts w:asciiTheme="minorHAnsi" w:hAnsiTheme="minorHAnsi"/>
      <w:color w:val="FFFFFF" w:themeColor="background1"/>
    </w:rPr>
  </w:style>
  <w:style w:type="character" w:customStyle="1" w:styleId="NormalWebChar">
    <w:name w:val="Normal (Web) Char"/>
    <w:basedOn w:val="DefaultParagraphFont"/>
    <w:link w:val="NormalWeb"/>
    <w:uiPriority w:val="99"/>
    <w:semiHidden/>
    <w:rsid w:val="0066140D"/>
    <w:rPr>
      <w:rFonts w:ascii="Times New Roman" w:hAnsi="Times New Roman" w:cs="Times New Roman"/>
      <w:sz w:val="22"/>
      <w:szCs w:val="22"/>
    </w:rPr>
  </w:style>
  <w:style w:type="character" w:customStyle="1" w:styleId="ItadNormalTextChar">
    <w:name w:val="Itad Normal Text Char"/>
    <w:basedOn w:val="NormalWebChar"/>
    <w:link w:val="ItadNormalText"/>
    <w:rsid w:val="00DC7503"/>
    <w:rPr>
      <w:rFonts w:ascii="Calibri" w:hAnsi="Calibri" w:cs="Arial"/>
      <w:color w:val="3B3B3C" w:themeColor="text1"/>
      <w:sz w:val="22"/>
      <w:szCs w:val="22"/>
    </w:rPr>
  </w:style>
  <w:style w:type="character" w:customStyle="1" w:styleId="ItadH1Char">
    <w:name w:val="Itad H1 Char"/>
    <w:basedOn w:val="ItadNormalTextChar"/>
    <w:link w:val="ItadH1"/>
    <w:rsid w:val="002B5F56"/>
    <w:rPr>
      <w:rFonts w:ascii="CubeOT" w:hAnsi="CubeOT" w:cs="Arial"/>
      <w:bCs/>
      <w:color w:val="E37230" w:themeColor="accent2"/>
      <w:sz w:val="36"/>
      <w:szCs w:val="18"/>
    </w:rPr>
  </w:style>
  <w:style w:type="character" w:customStyle="1" w:styleId="BannerheaderChar">
    <w:name w:val="Banner header Char"/>
    <w:basedOn w:val="ItadH1Char"/>
    <w:link w:val="Bannerheader"/>
    <w:rsid w:val="00B90F0D"/>
    <w:rPr>
      <w:rFonts w:ascii="Calibri" w:hAnsi="Calibri" w:cs="Arial"/>
      <w:b w:val="0"/>
      <w:bCs/>
      <w:color w:val="FFFFFF" w:themeColor="background1"/>
      <w:sz w:val="36"/>
      <w:szCs w:val="32"/>
    </w:rPr>
  </w:style>
  <w:style w:type="paragraph" w:styleId="TOCHeading">
    <w:name w:val="TOC Heading"/>
    <w:basedOn w:val="Heading1"/>
    <w:next w:val="Normal"/>
    <w:uiPriority w:val="39"/>
    <w:unhideWhenUsed/>
    <w:qFormat/>
    <w:rsid w:val="009E38EF"/>
    <w:pPr>
      <w:keepNext/>
      <w:keepLines/>
      <w:numPr>
        <w:numId w:val="0"/>
      </w:numPr>
      <w:spacing w:before="240" w:after="0" w:line="259" w:lineRule="auto"/>
      <w:outlineLvl w:val="9"/>
    </w:pPr>
    <w:rPr>
      <w:rFonts w:asciiTheme="majorHAnsi" w:eastAsiaTheme="majorEastAsia" w:hAnsiTheme="majorHAnsi" w:cstheme="majorBidi"/>
      <w:color w:val="665F2D" w:themeColor="accent1" w:themeShade="BF"/>
      <w:lang w:val="en-US"/>
    </w:rPr>
  </w:style>
  <w:style w:type="paragraph" w:customStyle="1" w:styleId="Itadtablestyle">
    <w:name w:val="Itad table style"/>
    <w:basedOn w:val="ItadFigureText"/>
    <w:link w:val="ItadtablestyleChar"/>
    <w:qFormat/>
    <w:rsid w:val="008B3191"/>
    <w:pPr>
      <w:numPr>
        <w:numId w:val="8"/>
      </w:numPr>
    </w:pPr>
  </w:style>
  <w:style w:type="paragraph" w:styleId="Caption">
    <w:name w:val="caption"/>
    <w:basedOn w:val="Normal"/>
    <w:next w:val="Normal"/>
    <w:uiPriority w:val="35"/>
    <w:unhideWhenUsed/>
    <w:qFormat/>
    <w:rsid w:val="00C3353E"/>
    <w:pPr>
      <w:spacing w:after="200"/>
    </w:pPr>
    <w:rPr>
      <w:iCs/>
      <w:color w:val="3B3B3C" w:themeColor="text1"/>
      <w:sz w:val="18"/>
      <w:szCs w:val="18"/>
    </w:rPr>
  </w:style>
  <w:style w:type="character" w:customStyle="1" w:styleId="ItadCaptionChar">
    <w:name w:val="Itad Caption Char"/>
    <w:basedOn w:val="DefaultParagraphFont"/>
    <w:link w:val="ItadCaption"/>
    <w:rsid w:val="002111C6"/>
    <w:rPr>
      <w:rFonts w:ascii="Calibri" w:hAnsi="Calibri" w:cs="Arial"/>
      <w:color w:val="767171" w:themeColor="background2" w:themeShade="80"/>
      <w:sz w:val="18"/>
      <w:szCs w:val="18"/>
      <w:lang w:eastAsia="en-GB"/>
    </w:rPr>
  </w:style>
  <w:style w:type="character" w:customStyle="1" w:styleId="ItadFigureTextChar">
    <w:name w:val="Itad Figure Text Char"/>
    <w:basedOn w:val="ItadCaptionChar"/>
    <w:link w:val="ItadFigureText"/>
    <w:rsid w:val="002111C6"/>
    <w:rPr>
      <w:rFonts w:ascii="Calibri" w:hAnsi="Calibri" w:cs="Arial"/>
      <w:b/>
      <w:color w:val="767171" w:themeColor="background2" w:themeShade="80"/>
      <w:sz w:val="18"/>
      <w:szCs w:val="18"/>
      <w:lang w:eastAsia="en-GB"/>
    </w:rPr>
  </w:style>
  <w:style w:type="character" w:customStyle="1" w:styleId="ItadtablestyleChar">
    <w:name w:val="Itad table style Char"/>
    <w:basedOn w:val="ItadFigureTextChar"/>
    <w:link w:val="Itadtablestyle"/>
    <w:rsid w:val="008B3191"/>
    <w:rPr>
      <w:rFonts w:ascii="Calibri" w:hAnsi="Calibri" w:cs="Arial"/>
      <w:b/>
      <w:color w:val="767171" w:themeColor="background2" w:themeShade="80"/>
      <w:sz w:val="18"/>
      <w:szCs w:val="18"/>
      <w:lang w:eastAsia="en-GB"/>
    </w:rPr>
  </w:style>
  <w:style w:type="paragraph" w:customStyle="1" w:styleId="ItadSectionTitleBlocknumbered">
    <w:name w:val="Itad Section Title Block numbered"/>
    <w:basedOn w:val="Auxilliaryheader"/>
    <w:link w:val="ItadSectionTitleBlocknumberedChar"/>
    <w:qFormat/>
    <w:rsid w:val="00B8620F"/>
    <w:pPr>
      <w:numPr>
        <w:numId w:val="9"/>
      </w:numPr>
      <w:tabs>
        <w:tab w:val="clear" w:pos="1420"/>
      </w:tabs>
    </w:pPr>
  </w:style>
  <w:style w:type="character" w:customStyle="1" w:styleId="AuxilliaryheaderChar">
    <w:name w:val="Auxilliary header Char"/>
    <w:basedOn w:val="DefaultParagraphFont"/>
    <w:link w:val="Auxilliaryheader"/>
    <w:rsid w:val="0014642F"/>
    <w:rPr>
      <w:rFonts w:ascii="Calibri" w:hAnsi="Calibri" w:cs="CubeOT"/>
      <w:b/>
      <w:noProof/>
      <w:color w:val="588B46" w:themeColor="text2"/>
      <w:position w:val="-80"/>
      <w:sz w:val="44"/>
      <w:szCs w:val="56"/>
      <w:lang w:eastAsia="en-GB"/>
    </w:rPr>
  </w:style>
  <w:style w:type="character" w:customStyle="1" w:styleId="ItadSectionTitleBlocknumberedChar">
    <w:name w:val="Itad Section Title Block numbered Char"/>
    <w:basedOn w:val="AuxilliaryheaderChar"/>
    <w:link w:val="ItadSectionTitleBlocknumbered"/>
    <w:rsid w:val="00B8620F"/>
    <w:rPr>
      <w:rFonts w:ascii="Calibri" w:hAnsi="Calibri" w:cs="CubeOT"/>
      <w:b/>
      <w:noProof/>
      <w:color w:val="588B46" w:themeColor="text2"/>
      <w:position w:val="-80"/>
      <w:sz w:val="44"/>
      <w:szCs w:val="56"/>
      <w:lang w:eastAsia="en-GB"/>
    </w:rPr>
  </w:style>
  <w:style w:type="paragraph" w:customStyle="1" w:styleId="Itadfootnotestyle">
    <w:name w:val="Itad footnote style"/>
    <w:basedOn w:val="FootnoteText"/>
    <w:link w:val="ItadfootnotestyleChar"/>
    <w:qFormat/>
    <w:rsid w:val="0001332F"/>
  </w:style>
  <w:style w:type="character" w:styleId="CommentReference">
    <w:name w:val="annotation reference"/>
    <w:basedOn w:val="DefaultParagraphFont"/>
    <w:uiPriority w:val="99"/>
    <w:semiHidden/>
    <w:unhideWhenUsed/>
    <w:rsid w:val="006477BD"/>
    <w:rPr>
      <w:sz w:val="16"/>
      <w:szCs w:val="16"/>
    </w:rPr>
  </w:style>
  <w:style w:type="character" w:customStyle="1" w:styleId="ItadfootnotestyleChar">
    <w:name w:val="Itad footnote style Char"/>
    <w:basedOn w:val="FootnoteTextChar"/>
    <w:link w:val="Itadfootnotestyle"/>
    <w:rsid w:val="0001332F"/>
    <w:rPr>
      <w:rFonts w:ascii="Calibri" w:hAnsi="Calibri" w:cs="Arial"/>
      <w:color w:val="3B3B3C"/>
      <w:sz w:val="16"/>
      <w:szCs w:val="16"/>
    </w:rPr>
  </w:style>
  <w:style w:type="paragraph" w:styleId="CommentText">
    <w:name w:val="annotation text"/>
    <w:basedOn w:val="Normal"/>
    <w:link w:val="CommentTextChar"/>
    <w:uiPriority w:val="99"/>
    <w:unhideWhenUsed/>
    <w:rsid w:val="006477BD"/>
    <w:rPr>
      <w:sz w:val="20"/>
      <w:szCs w:val="20"/>
    </w:rPr>
  </w:style>
  <w:style w:type="character" w:customStyle="1" w:styleId="CommentTextChar">
    <w:name w:val="Comment Text Char"/>
    <w:basedOn w:val="DefaultParagraphFont"/>
    <w:link w:val="CommentText"/>
    <w:uiPriority w:val="99"/>
    <w:rsid w:val="006477BD"/>
    <w:rPr>
      <w:rFonts w:ascii="Calibri" w:hAnsi="Calibri" w:cs="Arial"/>
      <w:sz w:val="20"/>
      <w:szCs w:val="20"/>
    </w:rPr>
  </w:style>
  <w:style w:type="paragraph" w:styleId="CommentSubject">
    <w:name w:val="annotation subject"/>
    <w:basedOn w:val="CommentText"/>
    <w:next w:val="CommentText"/>
    <w:link w:val="CommentSubjectChar"/>
    <w:uiPriority w:val="99"/>
    <w:semiHidden/>
    <w:unhideWhenUsed/>
    <w:rsid w:val="006477BD"/>
    <w:rPr>
      <w:b/>
      <w:bCs/>
    </w:rPr>
  </w:style>
  <w:style w:type="character" w:customStyle="1" w:styleId="CommentSubjectChar">
    <w:name w:val="Comment Subject Char"/>
    <w:basedOn w:val="CommentTextChar"/>
    <w:link w:val="CommentSubject"/>
    <w:uiPriority w:val="99"/>
    <w:semiHidden/>
    <w:rsid w:val="006477BD"/>
    <w:rPr>
      <w:rFonts w:ascii="Calibri" w:hAnsi="Calibri" w:cs="Arial"/>
      <w:b/>
      <w:bCs/>
      <w:sz w:val="20"/>
      <w:szCs w:val="20"/>
    </w:rPr>
  </w:style>
  <w:style w:type="paragraph" w:customStyle="1" w:styleId="Itadtabletext">
    <w:name w:val="Itad table text"/>
    <w:basedOn w:val="ItadNormalText"/>
    <w:link w:val="ItadtabletextChar"/>
    <w:qFormat/>
    <w:rsid w:val="00215994"/>
    <w:pPr>
      <w:spacing w:before="60" w:after="60"/>
    </w:pPr>
    <w:rPr>
      <w:sz w:val="20"/>
    </w:rPr>
  </w:style>
  <w:style w:type="character" w:customStyle="1" w:styleId="ItadtabletextChar">
    <w:name w:val="Itad table text Char"/>
    <w:basedOn w:val="ItadNormalTextChar"/>
    <w:link w:val="Itadtabletext"/>
    <w:rsid w:val="00215994"/>
    <w:rPr>
      <w:rFonts w:ascii="Calibri" w:hAnsi="Calibri" w:cs="Arial"/>
      <w:color w:val="3B3B3C" w:themeColor="text1"/>
      <w:sz w:val="20"/>
      <w:szCs w:val="22"/>
    </w:rPr>
  </w:style>
  <w:style w:type="paragraph" w:customStyle="1" w:styleId="Figuresource">
    <w:name w:val="Figure source"/>
    <w:basedOn w:val="Normal"/>
    <w:link w:val="FiguresourceChar"/>
    <w:qFormat/>
    <w:rsid w:val="002111C6"/>
    <w:pPr>
      <w:jc w:val="right"/>
    </w:pPr>
    <w:rPr>
      <w:color w:val="767171" w:themeColor="background2" w:themeShade="80"/>
      <w:sz w:val="18"/>
      <w:szCs w:val="18"/>
    </w:rPr>
  </w:style>
  <w:style w:type="paragraph" w:customStyle="1" w:styleId="Sectionsubheading">
    <w:name w:val="Section subheading"/>
    <w:basedOn w:val="ItadH1"/>
    <w:next w:val="ItadH2Numbered"/>
    <w:link w:val="SectionsubheadingChar"/>
    <w:qFormat/>
    <w:rsid w:val="00DD4ED4"/>
    <w:pPr>
      <w:spacing w:before="360"/>
      <w:outlineLvl w:val="9"/>
    </w:pPr>
    <w:rPr>
      <w:rFonts w:ascii="Calibri" w:hAnsi="Calibri"/>
      <w:bCs w:val="0"/>
      <w:color w:val="767171" w:themeColor="background2" w:themeShade="80"/>
    </w:rPr>
  </w:style>
  <w:style w:type="character" w:customStyle="1" w:styleId="FiguresourceChar">
    <w:name w:val="Figure source Char"/>
    <w:basedOn w:val="DefaultParagraphFont"/>
    <w:link w:val="Figuresource"/>
    <w:rsid w:val="002111C6"/>
    <w:rPr>
      <w:rFonts w:ascii="Calibri" w:hAnsi="Calibri" w:cs="Arial"/>
      <w:color w:val="767171" w:themeColor="background2" w:themeShade="80"/>
      <w:sz w:val="18"/>
      <w:szCs w:val="18"/>
    </w:rPr>
  </w:style>
  <w:style w:type="character" w:customStyle="1" w:styleId="SectionsubheadingChar">
    <w:name w:val="Section subheading Char"/>
    <w:basedOn w:val="ItadH1Char"/>
    <w:link w:val="Sectionsubheading"/>
    <w:rsid w:val="00DD4ED4"/>
    <w:rPr>
      <w:rFonts w:ascii="Calibri" w:hAnsi="Calibri" w:cs="Arial"/>
      <w:bCs w:val="0"/>
      <w:color w:val="767171" w:themeColor="background2" w:themeShade="80"/>
      <w:sz w:val="36"/>
      <w:szCs w:val="32"/>
    </w:rPr>
  </w:style>
  <w:style w:type="table" w:customStyle="1" w:styleId="Itadpulloutboxorange">
    <w:name w:val="Itad pullout box orange"/>
    <w:basedOn w:val="ItadPull-outBoxgreen"/>
    <w:uiPriority w:val="99"/>
    <w:rsid w:val="00452A42"/>
    <w:tblPr/>
    <w:tcPr>
      <w:shd w:val="clear" w:color="auto" w:fill="F9E2D5" w:themeFill="accent2" w:themeFillTint="33"/>
    </w:tcPr>
  </w:style>
  <w:style w:type="table" w:customStyle="1" w:styleId="ItadPulloutBoxGrey">
    <w:name w:val="Itad Pullout Box Grey"/>
    <w:basedOn w:val="ItadPull-outBoxgreen"/>
    <w:uiPriority w:val="99"/>
    <w:rsid w:val="00452A42"/>
    <w:tblPr/>
    <w:tcPr>
      <w:shd w:val="clear" w:color="auto" w:fill="F2F2F2" w:themeFill="background1" w:themeFillShade="F2"/>
    </w:tcPr>
  </w:style>
  <w:style w:type="table" w:customStyle="1" w:styleId="Itadalternaterows">
    <w:name w:val="Itad alternate rows"/>
    <w:basedOn w:val="ItadGreenHeaderRow"/>
    <w:uiPriority w:val="99"/>
    <w:rsid w:val="00452A42"/>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FFFFFF" w:themeFill="background1"/>
      </w:tcPr>
    </w:tblStylePr>
    <w:tblStylePr w:type="band1Horz">
      <w:tblPr/>
      <w:tcPr>
        <w:shd w:val="clear" w:color="auto" w:fill="F2F2F2" w:themeFill="background1" w:themeFillShade="F2"/>
      </w:tcPr>
    </w:tblStylePr>
    <w:tblStylePr w:type="band2Horz">
      <w:tblPr/>
      <w:tcPr>
        <w:shd w:val="clear" w:color="auto" w:fill="FFFFFF" w:themeFill="background1"/>
      </w:tcPr>
    </w:tblStylePr>
  </w:style>
  <w:style w:type="table" w:styleId="TableGridLight">
    <w:name w:val="Grid Table Light"/>
    <w:basedOn w:val="TableNormal"/>
    <w:uiPriority w:val="40"/>
    <w:rsid w:val="0047016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C54B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Itadplaingridgrey">
    <w:name w:val="Itad plain grid grey"/>
    <w:basedOn w:val="TableGridLight"/>
    <w:uiPriority w:val="99"/>
    <w:rsid w:val="00325542"/>
    <w:tblPr/>
    <w:tcPr>
      <w:vAlign w:val="center"/>
    </w:tcPr>
  </w:style>
  <w:style w:type="paragraph" w:customStyle="1" w:styleId="BoxHeader">
    <w:name w:val="Box Header"/>
    <w:basedOn w:val="ItadFigureText"/>
    <w:link w:val="BoxHeaderChar"/>
    <w:rsid w:val="00A95893"/>
    <w:rPr>
      <w:color w:val="E37230" w:themeColor="accent2"/>
      <w:sz w:val="24"/>
    </w:rPr>
  </w:style>
  <w:style w:type="character" w:customStyle="1" w:styleId="UnresolvedMention1">
    <w:name w:val="Unresolved Mention1"/>
    <w:basedOn w:val="DefaultParagraphFont"/>
    <w:uiPriority w:val="99"/>
    <w:semiHidden/>
    <w:unhideWhenUsed/>
    <w:rsid w:val="00325542"/>
    <w:rPr>
      <w:color w:val="605E5C"/>
      <w:shd w:val="clear" w:color="auto" w:fill="E1DFDD"/>
    </w:rPr>
  </w:style>
  <w:style w:type="character" w:customStyle="1" w:styleId="BoxHeaderChar">
    <w:name w:val="Box Header Char"/>
    <w:basedOn w:val="ItadFigureTextChar"/>
    <w:link w:val="BoxHeader"/>
    <w:rsid w:val="00A95893"/>
    <w:rPr>
      <w:rFonts w:ascii="Calibri" w:hAnsi="Calibri" w:cs="Arial"/>
      <w:b/>
      <w:color w:val="E37230" w:themeColor="accent2"/>
      <w:sz w:val="18"/>
      <w:szCs w:val="18"/>
      <w:lang w:eastAsia="en-GB"/>
    </w:rPr>
  </w:style>
  <w:style w:type="character" w:styleId="FollowedHyperlink">
    <w:name w:val="FollowedHyperlink"/>
    <w:basedOn w:val="DefaultParagraphFont"/>
    <w:uiPriority w:val="99"/>
    <w:semiHidden/>
    <w:unhideWhenUsed/>
    <w:rsid w:val="00325542"/>
    <w:rPr>
      <w:color w:val="F3932D" w:themeColor="followedHyperlink"/>
      <w:u w:val="single"/>
    </w:rPr>
  </w:style>
  <w:style w:type="character" w:styleId="LineNumber">
    <w:name w:val="line number"/>
    <w:basedOn w:val="DefaultParagraphFont"/>
    <w:uiPriority w:val="99"/>
    <w:semiHidden/>
    <w:unhideWhenUsed/>
    <w:rsid w:val="00314399"/>
  </w:style>
  <w:style w:type="paragraph" w:customStyle="1" w:styleId="Itadnumberedlist">
    <w:name w:val="Itad numbered list"/>
    <w:basedOn w:val="ItadBullets"/>
    <w:link w:val="ItadnumberedlistChar"/>
    <w:qFormat/>
    <w:rsid w:val="00314399"/>
    <w:pPr>
      <w:numPr>
        <w:numId w:val="10"/>
      </w:numPr>
    </w:pPr>
    <w:rPr>
      <w:lang w:val="it-IT"/>
    </w:rPr>
  </w:style>
  <w:style w:type="character" w:customStyle="1" w:styleId="ItadBulletsChar">
    <w:name w:val="Itad Bullets Char"/>
    <w:basedOn w:val="ItadNormalTextChar"/>
    <w:link w:val="ItadBullets"/>
    <w:rsid w:val="00314399"/>
    <w:rPr>
      <w:rFonts w:ascii="Calibri" w:hAnsi="Calibri" w:cs="Arial"/>
      <w:color w:val="3B3B3C" w:themeColor="text1"/>
      <w:sz w:val="22"/>
      <w:szCs w:val="22"/>
      <w:lang w:eastAsia="en-GB"/>
    </w:rPr>
  </w:style>
  <w:style w:type="character" w:customStyle="1" w:styleId="ItadnumberedlistChar">
    <w:name w:val="Itad numbered list Char"/>
    <w:basedOn w:val="ItadBulletsChar"/>
    <w:link w:val="Itadnumberedlist"/>
    <w:rsid w:val="00314399"/>
    <w:rPr>
      <w:rFonts w:ascii="Calibri" w:hAnsi="Calibri" w:cs="Arial"/>
      <w:color w:val="3B3B3C" w:themeColor="text1"/>
      <w:sz w:val="22"/>
      <w:szCs w:val="22"/>
      <w:lang w:val="it-IT" w:eastAsia="en-GB"/>
    </w:rPr>
  </w:style>
  <w:style w:type="paragraph" w:customStyle="1" w:styleId="Itadboxnumbers">
    <w:name w:val="Itad box numbers"/>
    <w:basedOn w:val="ItadNormalText"/>
    <w:link w:val="ItadboxnumbersChar"/>
    <w:qFormat/>
    <w:rsid w:val="00E71DAC"/>
    <w:pPr>
      <w:framePr w:hSpace="180" w:wrap="around" w:vAnchor="text" w:hAnchor="margin" w:y="307"/>
      <w:numPr>
        <w:numId w:val="11"/>
      </w:numPr>
      <w:tabs>
        <w:tab w:val="left" w:pos="567"/>
      </w:tabs>
      <w:ind w:right="57"/>
    </w:pPr>
    <w:rPr>
      <w:b/>
      <w:bCs/>
      <w:color w:val="E37230" w:themeColor="accent2"/>
    </w:rPr>
  </w:style>
  <w:style w:type="character" w:customStyle="1" w:styleId="ItadboxnumbersChar">
    <w:name w:val="Itad box numbers Char"/>
    <w:basedOn w:val="ItadNormalTextChar"/>
    <w:link w:val="Itadboxnumbers"/>
    <w:rsid w:val="00E71DAC"/>
    <w:rPr>
      <w:rFonts w:ascii="Calibri" w:hAnsi="Calibri" w:cs="Arial"/>
      <w:b/>
      <w:bCs/>
      <w:color w:val="E37230" w:themeColor="accent2"/>
      <w:sz w:val="22"/>
      <w:szCs w:val="22"/>
    </w:rPr>
  </w:style>
  <w:style w:type="character" w:customStyle="1" w:styleId="normaltextrun">
    <w:name w:val="normaltextrun"/>
    <w:basedOn w:val="DefaultParagraphFont"/>
    <w:rsid w:val="00BE48AB"/>
  </w:style>
  <w:style w:type="character" w:customStyle="1" w:styleId="eop">
    <w:name w:val="eop"/>
    <w:basedOn w:val="DefaultParagraphFont"/>
    <w:rsid w:val="00BE48AB"/>
  </w:style>
  <w:style w:type="character" w:customStyle="1" w:styleId="superscript">
    <w:name w:val="superscript"/>
    <w:basedOn w:val="DefaultParagraphFont"/>
    <w:rsid w:val="00BE48AB"/>
  </w:style>
  <w:style w:type="table" w:styleId="GridTable4-Accent2">
    <w:name w:val="Grid Table 4 Accent 2"/>
    <w:basedOn w:val="TableNormal"/>
    <w:uiPriority w:val="49"/>
    <w:rsid w:val="00C076A8"/>
    <w:tblPr>
      <w:tblStyleRowBandSize w:val="1"/>
      <w:tblStyleColBandSize w:val="1"/>
      <w:tblBorders>
        <w:top w:val="single" w:sz="4" w:space="0" w:color="EEAA82" w:themeColor="accent2" w:themeTint="99"/>
        <w:left w:val="single" w:sz="4" w:space="0" w:color="EEAA82" w:themeColor="accent2" w:themeTint="99"/>
        <w:bottom w:val="single" w:sz="4" w:space="0" w:color="EEAA82" w:themeColor="accent2" w:themeTint="99"/>
        <w:right w:val="single" w:sz="4" w:space="0" w:color="EEAA82" w:themeColor="accent2" w:themeTint="99"/>
        <w:insideH w:val="single" w:sz="4" w:space="0" w:color="EEAA82" w:themeColor="accent2" w:themeTint="99"/>
        <w:insideV w:val="single" w:sz="4" w:space="0" w:color="EEAA82" w:themeColor="accent2" w:themeTint="99"/>
      </w:tblBorders>
    </w:tblPr>
    <w:tblStylePr w:type="firstRow">
      <w:rPr>
        <w:b/>
        <w:bCs/>
        <w:color w:val="FFFFFF" w:themeColor="background1"/>
      </w:rPr>
      <w:tblPr/>
      <w:tcPr>
        <w:tcBorders>
          <w:top w:val="single" w:sz="4" w:space="0" w:color="E37230" w:themeColor="accent2"/>
          <w:left w:val="single" w:sz="4" w:space="0" w:color="E37230" w:themeColor="accent2"/>
          <w:bottom w:val="single" w:sz="4" w:space="0" w:color="E37230" w:themeColor="accent2"/>
          <w:right w:val="single" w:sz="4" w:space="0" w:color="E37230" w:themeColor="accent2"/>
          <w:insideH w:val="nil"/>
          <w:insideV w:val="nil"/>
        </w:tcBorders>
        <w:shd w:val="clear" w:color="auto" w:fill="E37230" w:themeFill="accent2"/>
      </w:tcPr>
    </w:tblStylePr>
    <w:tblStylePr w:type="lastRow">
      <w:rPr>
        <w:b/>
        <w:bCs/>
      </w:rPr>
      <w:tblPr/>
      <w:tcPr>
        <w:tcBorders>
          <w:top w:val="double" w:sz="4" w:space="0" w:color="E37230" w:themeColor="accent2"/>
        </w:tcBorders>
      </w:tcPr>
    </w:tblStylePr>
    <w:tblStylePr w:type="firstCol">
      <w:rPr>
        <w:b/>
        <w:bCs/>
      </w:rPr>
    </w:tblStylePr>
    <w:tblStylePr w:type="lastCol">
      <w:rPr>
        <w:b/>
        <w:bCs/>
      </w:rPr>
    </w:tblStylePr>
    <w:tblStylePr w:type="band1Vert">
      <w:tblPr/>
      <w:tcPr>
        <w:shd w:val="clear" w:color="auto" w:fill="F9E2D5" w:themeFill="accent2" w:themeFillTint="33"/>
      </w:tcPr>
    </w:tblStylePr>
    <w:tblStylePr w:type="band1Horz">
      <w:tblPr/>
      <w:tcPr>
        <w:shd w:val="clear" w:color="auto" w:fill="F9E2D5" w:themeFill="accent2" w:themeFillTint="33"/>
      </w:tcPr>
    </w:tblStylePr>
  </w:style>
  <w:style w:type="paragraph" w:customStyle="1" w:styleId="paragraph">
    <w:name w:val="paragraph"/>
    <w:basedOn w:val="Normal"/>
    <w:rsid w:val="00A41231"/>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A41231"/>
  </w:style>
  <w:style w:type="paragraph" w:customStyle="1" w:styleId="BVIfnrCharCharCharCharChar">
    <w:name w:val="BVI fnr Char Char Char Char Char"/>
    <w:aliases w:val="BVI fnr Car Car Char Char Char Char Char,BVI fnr Car Char Char Char Char Char,BVI fnr Car Car Car Car Char Char Char1 Char Char Char,BVI fnr Char Char Char Char Char Char,BVI fnr Char Char Char Char Char Char Char Char"/>
    <w:basedOn w:val="Normal"/>
    <w:link w:val="FootnoteReference"/>
    <w:uiPriority w:val="99"/>
    <w:rsid w:val="00287D4A"/>
    <w:pPr>
      <w:spacing w:after="160" w:line="240" w:lineRule="exact"/>
    </w:pPr>
    <w:rPr>
      <w:rFonts w:asciiTheme="minorHAnsi" w:hAnsiTheme="minorHAnsi"/>
      <w:sz w:val="20"/>
      <w:szCs w:val="20"/>
      <w:vertAlign w:val="superscript"/>
    </w:rPr>
  </w:style>
  <w:style w:type="paragraph" w:customStyle="1" w:styleId="Bullets">
    <w:name w:val="Bullets"/>
    <w:basedOn w:val="Normal"/>
    <w:rsid w:val="00FD0A24"/>
    <w:pPr>
      <w:numPr>
        <w:ilvl w:val="1"/>
        <w:numId w:val="12"/>
      </w:numPr>
    </w:pPr>
  </w:style>
  <w:style w:type="table" w:customStyle="1" w:styleId="LightList-Accent221">
    <w:name w:val="Light List - Accent 221"/>
    <w:basedOn w:val="TableNormal"/>
    <w:next w:val="LightList-Accent2"/>
    <w:uiPriority w:val="61"/>
    <w:rsid w:val="005A2DA3"/>
    <w:rPr>
      <w:rFonts w:ascii="Calibri" w:eastAsia="Calibri" w:hAnsi="Calibri" w:cs="Times New Roman"/>
      <w:lang w:eastAsia="en-GB"/>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styleId="LightList-Accent2">
    <w:name w:val="Light List Accent 2"/>
    <w:basedOn w:val="TableNormal"/>
    <w:uiPriority w:val="61"/>
    <w:semiHidden/>
    <w:unhideWhenUsed/>
    <w:rsid w:val="005A2DA3"/>
    <w:tblPr>
      <w:tblStyleRowBandSize w:val="1"/>
      <w:tblStyleColBandSize w:val="1"/>
      <w:tblBorders>
        <w:top w:val="single" w:sz="8" w:space="0" w:color="E37230" w:themeColor="accent2"/>
        <w:left w:val="single" w:sz="8" w:space="0" w:color="E37230" w:themeColor="accent2"/>
        <w:bottom w:val="single" w:sz="8" w:space="0" w:color="E37230" w:themeColor="accent2"/>
        <w:right w:val="single" w:sz="8" w:space="0" w:color="E37230" w:themeColor="accent2"/>
      </w:tblBorders>
    </w:tblPr>
    <w:tblStylePr w:type="firstRow">
      <w:pPr>
        <w:spacing w:before="0" w:after="0" w:line="240" w:lineRule="auto"/>
      </w:pPr>
      <w:rPr>
        <w:b/>
        <w:bCs/>
        <w:color w:val="FFFFFF" w:themeColor="background1"/>
      </w:rPr>
      <w:tblPr/>
      <w:tcPr>
        <w:shd w:val="clear" w:color="auto" w:fill="E37230" w:themeFill="accent2"/>
      </w:tcPr>
    </w:tblStylePr>
    <w:tblStylePr w:type="lastRow">
      <w:pPr>
        <w:spacing w:before="0" w:after="0" w:line="240" w:lineRule="auto"/>
      </w:pPr>
      <w:rPr>
        <w:b/>
        <w:bCs/>
      </w:rPr>
      <w:tblPr/>
      <w:tcPr>
        <w:tcBorders>
          <w:top w:val="double" w:sz="6" w:space="0" w:color="E37230" w:themeColor="accent2"/>
          <w:left w:val="single" w:sz="8" w:space="0" w:color="E37230" w:themeColor="accent2"/>
          <w:bottom w:val="single" w:sz="8" w:space="0" w:color="E37230" w:themeColor="accent2"/>
          <w:right w:val="single" w:sz="8" w:space="0" w:color="E37230" w:themeColor="accent2"/>
        </w:tcBorders>
      </w:tcPr>
    </w:tblStylePr>
    <w:tblStylePr w:type="firstCol">
      <w:rPr>
        <w:b/>
        <w:bCs/>
      </w:rPr>
    </w:tblStylePr>
    <w:tblStylePr w:type="lastCol">
      <w:rPr>
        <w:b/>
        <w:bCs/>
      </w:rPr>
    </w:tblStylePr>
    <w:tblStylePr w:type="band1Vert">
      <w:tblPr/>
      <w:tcPr>
        <w:tcBorders>
          <w:top w:val="single" w:sz="8" w:space="0" w:color="E37230" w:themeColor="accent2"/>
          <w:left w:val="single" w:sz="8" w:space="0" w:color="E37230" w:themeColor="accent2"/>
          <w:bottom w:val="single" w:sz="8" w:space="0" w:color="E37230" w:themeColor="accent2"/>
          <w:right w:val="single" w:sz="8" w:space="0" w:color="E37230" w:themeColor="accent2"/>
        </w:tcBorders>
      </w:tcPr>
    </w:tblStylePr>
    <w:tblStylePr w:type="band1Horz">
      <w:tblPr/>
      <w:tcPr>
        <w:tcBorders>
          <w:top w:val="single" w:sz="8" w:space="0" w:color="E37230" w:themeColor="accent2"/>
          <w:left w:val="single" w:sz="8" w:space="0" w:color="E37230" w:themeColor="accent2"/>
          <w:bottom w:val="single" w:sz="8" w:space="0" w:color="E37230" w:themeColor="accent2"/>
          <w:right w:val="single" w:sz="8" w:space="0" w:color="E37230" w:themeColor="accent2"/>
        </w:tcBorders>
      </w:tcPr>
    </w:tblStylePr>
  </w:style>
  <w:style w:type="character" w:styleId="Emphasis">
    <w:name w:val="Emphasis"/>
    <w:basedOn w:val="DefaultParagraphFont"/>
    <w:uiPriority w:val="20"/>
    <w:qFormat/>
    <w:rsid w:val="004C453B"/>
    <w:rPr>
      <w:i/>
      <w:iCs/>
    </w:rPr>
  </w:style>
  <w:style w:type="table" w:customStyle="1" w:styleId="TableGrid1">
    <w:name w:val="Table Grid1"/>
    <w:basedOn w:val="TableNormal"/>
    <w:next w:val="TableGrid"/>
    <w:uiPriority w:val="39"/>
    <w:rsid w:val="00D033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24EFF"/>
    <w:rPr>
      <w:rFonts w:ascii="Calibri" w:hAnsi="Calibri" w:cs="Arial"/>
      <w:sz w:val="22"/>
      <w:szCs w:val="22"/>
    </w:rPr>
  </w:style>
  <w:style w:type="table" w:customStyle="1" w:styleId="ItadPlain1">
    <w:name w:val="Itad Plain1"/>
    <w:basedOn w:val="TableNormal"/>
    <w:uiPriority w:val="99"/>
    <w:qFormat/>
    <w:rsid w:val="009E6DC8"/>
    <w:pPr>
      <w:spacing w:before="40" w:after="40"/>
    </w:pPr>
    <w:rPr>
      <w:sz w:val="22"/>
      <w:szCs w:val="22"/>
    </w:rPr>
    <w:tblPr>
      <w:tblBorders>
        <w:top w:val="single" w:sz="4" w:space="0" w:color="A6A6A6" w:themeColor="background1" w:themeShade="A6"/>
        <w:bottom w:val="single" w:sz="4" w:space="0" w:color="A6A6A6" w:themeColor="background1" w:themeShade="A6"/>
        <w:insideH w:val="single" w:sz="4" w:space="0" w:color="A6A6A6" w:themeColor="background1" w:themeShade="A6"/>
      </w:tblBorders>
    </w:tblPr>
    <w:tcPr>
      <w:shd w:val="clear" w:color="auto" w:fill="auto"/>
    </w:tcPr>
    <w:tblStylePr w:type="firstRow">
      <w:rPr>
        <w:rFonts w:ascii="Calibri" w:hAnsi="Calibri"/>
        <w:b/>
        <w:color w:val="3FB84E" w:themeColor="accent3"/>
      </w:rPr>
    </w:tblStylePr>
  </w:style>
  <w:style w:type="paragraph" w:customStyle="1" w:styleId="Itadbodycopy">
    <w:name w:val="Itad body copy"/>
    <w:basedOn w:val="Normal"/>
    <w:link w:val="ItadbodycopyChar"/>
    <w:qFormat/>
    <w:rsid w:val="00FF4EAD"/>
    <w:rPr>
      <w:rFonts w:eastAsia="Calibri" w:cs="Times New Roman"/>
      <w:szCs w:val="20"/>
    </w:rPr>
  </w:style>
  <w:style w:type="character" w:customStyle="1" w:styleId="ItadbodycopyChar">
    <w:name w:val="Itad body copy Char"/>
    <w:basedOn w:val="DefaultParagraphFont"/>
    <w:link w:val="Itadbodycopy"/>
    <w:rsid w:val="00FF4EAD"/>
    <w:rPr>
      <w:rFonts w:ascii="Calibri" w:eastAsia="Calibri" w:hAnsi="Calibri" w:cs="Times New Roman"/>
      <w:sz w:val="22"/>
      <w:szCs w:val="20"/>
    </w:rPr>
  </w:style>
  <w:style w:type="paragraph" w:customStyle="1" w:styleId="Annex">
    <w:name w:val="Annex"/>
    <w:basedOn w:val="ItadH1"/>
    <w:next w:val="ItadNormalText"/>
    <w:link w:val="AnnexChar"/>
    <w:qFormat/>
    <w:rsid w:val="007C20FD"/>
    <w:pPr>
      <w:numPr>
        <w:numId w:val="13"/>
      </w:numPr>
      <w:spacing w:before="120" w:after="120"/>
    </w:pPr>
    <w:rPr>
      <w:rFonts w:ascii="Calibri" w:hAnsi="Calibri"/>
      <w:bCs w:val="0"/>
      <w:color w:val="588B46" w:themeColor="text2"/>
      <w:sz w:val="32"/>
      <w:lang w:val="it-IT"/>
    </w:rPr>
  </w:style>
  <w:style w:type="character" w:customStyle="1" w:styleId="AnnexChar">
    <w:name w:val="Annex Char"/>
    <w:basedOn w:val="ItadH1Char"/>
    <w:link w:val="Annex"/>
    <w:rsid w:val="007C20FD"/>
    <w:rPr>
      <w:rFonts w:ascii="Calibri" w:hAnsi="Calibri" w:cs="Arial"/>
      <w:bCs w:val="0"/>
      <w:color w:val="588B46" w:themeColor="text2"/>
      <w:sz w:val="32"/>
      <w:szCs w:val="18"/>
      <w:lang w:val="it-IT"/>
    </w:rPr>
  </w:style>
  <w:style w:type="paragraph" w:customStyle="1" w:styleId="BodycopyItadtemplate">
    <w:name w:val="Body copy (Itad template)"/>
    <w:basedOn w:val="Normal"/>
    <w:link w:val="BodycopyItadtemplateChar"/>
    <w:qFormat/>
    <w:rsid w:val="009F6B9A"/>
    <w:pPr>
      <w:numPr>
        <w:numId w:val="20"/>
      </w:numPr>
    </w:pPr>
    <w:rPr>
      <w:rFonts w:eastAsia="Calibri" w:cs="Times New Roman"/>
      <w:szCs w:val="20"/>
    </w:rPr>
  </w:style>
  <w:style w:type="character" w:customStyle="1" w:styleId="BodycopyItadtemplateChar">
    <w:name w:val="Body copy (Itad template) Char"/>
    <w:basedOn w:val="DefaultParagraphFont"/>
    <w:link w:val="BodycopyItadtemplate"/>
    <w:rsid w:val="009F6B9A"/>
    <w:rPr>
      <w:rFonts w:ascii="Calibri" w:eastAsia="Calibri" w:hAnsi="Calibri" w:cs="Times New Roman"/>
      <w:sz w:val="22"/>
      <w:szCs w:val="20"/>
    </w:rPr>
  </w:style>
  <w:style w:type="paragraph" w:customStyle="1" w:styleId="Itadnumberedtext">
    <w:name w:val="Itad numbered text"/>
    <w:basedOn w:val="ItadNormalText"/>
    <w:qFormat/>
    <w:rsid w:val="007C20FD"/>
    <w:pPr>
      <w:spacing w:before="60" w:after="60"/>
      <w:ind w:left="284" w:hanging="284"/>
    </w:pPr>
    <w:rPr>
      <w:color w:val="auto"/>
    </w:rPr>
  </w:style>
  <w:style w:type="character" w:customStyle="1" w:styleId="contextualspellingandgrammarerror">
    <w:name w:val="contextualspellingandgrammarerror"/>
    <w:basedOn w:val="DefaultParagraphFont"/>
    <w:rsid w:val="003C46C5"/>
  </w:style>
  <w:style w:type="paragraph" w:styleId="ListParagraph">
    <w:name w:val="List Paragraph"/>
    <w:aliases w:val="RBA Paragraph,Citation List,List Paragraph (numbered (a)),References,ReferencesCxSpLast,lp1,Bullet List,FooterText,List Paragraph1,Colorful List Accent 1,Paragraph,Heading 2_sj,Indent Paragraph,Report Para,Dot pt,No Spacing1,HEAD 3"/>
    <w:basedOn w:val="Normal"/>
    <w:link w:val="ListParagraphChar"/>
    <w:uiPriority w:val="34"/>
    <w:qFormat/>
    <w:rsid w:val="006E047D"/>
    <w:pPr>
      <w:ind w:left="720"/>
    </w:pPr>
    <w:rPr>
      <w:rFonts w:ascii="Times New Roman" w:eastAsia="Times New Roman" w:hAnsi="Times New Roman" w:cs="Times New Roman"/>
      <w:sz w:val="24"/>
      <w:szCs w:val="20"/>
    </w:rPr>
  </w:style>
  <w:style w:type="character" w:customStyle="1" w:styleId="ListParagraphChar">
    <w:name w:val="List Paragraph Char"/>
    <w:aliases w:val="RBA Paragraph Char,Citation List Char,List Paragraph (numbered (a)) Char,References Char,ReferencesCxSpLast Char,lp1 Char,Bullet List Char,FooterText Char,List Paragraph1 Char,Colorful List Accent 1 Char,Paragraph Char,Dot pt Char"/>
    <w:basedOn w:val="DefaultParagraphFont"/>
    <w:link w:val="ListParagraph"/>
    <w:uiPriority w:val="34"/>
    <w:qFormat/>
    <w:rsid w:val="006E047D"/>
    <w:rPr>
      <w:rFonts w:ascii="Times New Roman" w:eastAsia="Times New Roman" w:hAnsi="Times New Roman" w:cs="Times New Roman"/>
      <w:szCs w:val="20"/>
    </w:rPr>
  </w:style>
  <w:style w:type="character" w:customStyle="1" w:styleId="Mention1">
    <w:name w:val="Mention1"/>
    <w:basedOn w:val="DefaultParagraphFont"/>
    <w:uiPriority w:val="99"/>
    <w:unhideWhenUsed/>
    <w:rsid w:val="002259D1"/>
    <w:rPr>
      <w:color w:val="2B579A"/>
      <w:shd w:val="clear" w:color="auto" w:fill="E1DFDD"/>
    </w:rPr>
  </w:style>
  <w:style w:type="paragraph" w:customStyle="1" w:styleId="BVIfnrCharCar1CarChar">
    <w:name w:val="BVI fnr Char Car1 Car Char"/>
    <w:aliases w:val="BVI fnr Char Car Car Char,ftref Char Car Car Char,BVI fnr Char Car Char Char Car Car Char,ftref Char Car Char Char Car Car Char,BVI fnr Char, BVI fnr Char Car Char Char Car Car Char, BVI fnr Char, BVI fnr Car Car Char"/>
    <w:basedOn w:val="Normal"/>
    <w:next w:val="Normal"/>
    <w:uiPriority w:val="99"/>
    <w:rsid w:val="002020D6"/>
    <w:pPr>
      <w:spacing w:after="160" w:line="240" w:lineRule="exact"/>
      <w:jc w:val="both"/>
    </w:pPr>
    <w:rPr>
      <w:rFonts w:asciiTheme="minorHAnsi" w:hAnsiTheme="minorHAnsi" w:cstheme="minorBidi"/>
      <w:vertAlign w:val="superscript"/>
    </w:rPr>
  </w:style>
  <w:style w:type="table" w:styleId="ListTable3-Accent6">
    <w:name w:val="List Table 3 Accent 6"/>
    <w:basedOn w:val="TableNormal"/>
    <w:uiPriority w:val="48"/>
    <w:rsid w:val="002020D6"/>
    <w:rPr>
      <w:sz w:val="22"/>
      <w:szCs w:val="22"/>
    </w:rPr>
    <w:tblPr>
      <w:tblStyleRowBandSize w:val="1"/>
      <w:tblStyleColBandSize w:val="1"/>
      <w:tblBorders>
        <w:top w:val="single" w:sz="4" w:space="0" w:color="8CCA45" w:themeColor="accent6"/>
        <w:left w:val="single" w:sz="4" w:space="0" w:color="8CCA45" w:themeColor="accent6"/>
        <w:bottom w:val="single" w:sz="4" w:space="0" w:color="8CCA45" w:themeColor="accent6"/>
        <w:right w:val="single" w:sz="4" w:space="0" w:color="8CCA45" w:themeColor="accent6"/>
      </w:tblBorders>
    </w:tblPr>
    <w:tblStylePr w:type="firstRow">
      <w:rPr>
        <w:b/>
        <w:bCs/>
        <w:color w:val="FFFFFF" w:themeColor="background1"/>
      </w:rPr>
      <w:tblPr/>
      <w:tcPr>
        <w:shd w:val="clear" w:color="auto" w:fill="8CCA45" w:themeFill="accent6"/>
      </w:tcPr>
    </w:tblStylePr>
    <w:tblStylePr w:type="lastRow">
      <w:rPr>
        <w:b/>
        <w:bCs/>
      </w:rPr>
      <w:tblPr/>
      <w:tcPr>
        <w:tcBorders>
          <w:top w:val="double" w:sz="4" w:space="0" w:color="8CCA45"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CCA45" w:themeColor="accent6"/>
          <w:right w:val="single" w:sz="4" w:space="0" w:color="8CCA45" w:themeColor="accent6"/>
        </w:tcBorders>
      </w:tcPr>
    </w:tblStylePr>
    <w:tblStylePr w:type="band1Horz">
      <w:tblPr/>
      <w:tcPr>
        <w:tcBorders>
          <w:top w:val="single" w:sz="4" w:space="0" w:color="8CCA45" w:themeColor="accent6"/>
          <w:bottom w:val="single" w:sz="4" w:space="0" w:color="8CCA45"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CCA45" w:themeColor="accent6"/>
          <w:left w:val="nil"/>
        </w:tcBorders>
      </w:tcPr>
    </w:tblStylePr>
    <w:tblStylePr w:type="swCell">
      <w:tblPr/>
      <w:tcPr>
        <w:tcBorders>
          <w:top w:val="double" w:sz="4" w:space="0" w:color="8CCA45" w:themeColor="accent6"/>
          <w:right w:val="nil"/>
        </w:tcBorders>
      </w:tcPr>
    </w:tblStylePr>
  </w:style>
  <w:style w:type="table" w:customStyle="1" w:styleId="ItadGreenHeaderRow1">
    <w:name w:val="Itad Green Header Row1"/>
    <w:basedOn w:val="TableNormal"/>
    <w:uiPriority w:val="99"/>
    <w:qFormat/>
    <w:rsid w:val="00EF000F"/>
    <w:pPr>
      <w:spacing w:after="120"/>
    </w:pPr>
    <w:rPr>
      <w:rFonts w:ascii="Calibri" w:hAnsi="Calibri" w:cs="Arial"/>
      <w:color w:val="3B3B3C" w:themeColor="text1"/>
      <w:sz w:val="22"/>
    </w:rPr>
    <w:tblPr>
      <w:tblStyleRowBandSize w:val="1"/>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E7E6E6" w:themeFill="background2"/>
      </w:tcPr>
    </w:tblStylePr>
    <w:tblStylePr w:type="band1Horz">
      <w:tblPr/>
      <w:tcPr>
        <w:shd w:val="clear" w:color="auto" w:fill="FFFFFF" w:themeFill="background1"/>
      </w:tcPr>
    </w:tblStylePr>
    <w:tblStylePr w:type="band2Horz">
      <w:tblPr/>
      <w:tcPr>
        <w:shd w:val="clear" w:color="auto" w:fill="FFFFFF" w:themeFill="background1"/>
      </w:tcPr>
    </w:tblStylePr>
  </w:style>
  <w:style w:type="table" w:customStyle="1" w:styleId="ItadGreenHeaderRow11">
    <w:name w:val="Itad Green Header Row11"/>
    <w:basedOn w:val="TableNormal"/>
    <w:uiPriority w:val="99"/>
    <w:qFormat/>
    <w:rsid w:val="0026435E"/>
    <w:pPr>
      <w:spacing w:after="120"/>
    </w:pPr>
    <w:rPr>
      <w:rFonts w:ascii="Calibri" w:hAnsi="Calibri" w:cs="Arial"/>
      <w:color w:val="3B3B3C" w:themeColor="text1"/>
      <w:sz w:val="22"/>
    </w:rPr>
    <w:tblPr>
      <w:tblStyleRowBandSize w:val="1"/>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E7E6E6" w:themeFill="background2"/>
      </w:tcPr>
    </w:tblStylePr>
    <w:tblStylePr w:type="band1Horz">
      <w:tblPr/>
      <w:tcPr>
        <w:shd w:val="clear" w:color="auto" w:fill="FFFFFF" w:themeFill="background1"/>
      </w:tcPr>
    </w:tblStylePr>
    <w:tblStylePr w:type="band2Horz">
      <w:tblPr/>
      <w:tcPr>
        <w:shd w:val="clear" w:color="auto" w:fill="FFFFFF" w:themeFill="background1"/>
      </w:tcPr>
    </w:tblStylePr>
  </w:style>
  <w:style w:type="numbering" w:customStyle="1" w:styleId="WFP">
    <w:name w:val="WFP"/>
    <w:uiPriority w:val="99"/>
    <w:rsid w:val="005A48B4"/>
    <w:pPr>
      <w:numPr>
        <w:numId w:val="17"/>
      </w:numPr>
    </w:pPr>
  </w:style>
  <w:style w:type="paragraph" w:customStyle="1" w:styleId="Default">
    <w:name w:val="Default"/>
    <w:rsid w:val="00EA3E9E"/>
    <w:pPr>
      <w:autoSpaceDE w:val="0"/>
      <w:autoSpaceDN w:val="0"/>
      <w:adjustRightInd w:val="0"/>
    </w:pPr>
    <w:rPr>
      <w:rFonts w:ascii="Calibri" w:eastAsia="Calibri" w:hAnsi="Calibri" w:cs="Calibri"/>
      <w:color w:val="000000"/>
      <w:lang w:eastAsia="en-GB"/>
    </w:rPr>
  </w:style>
  <w:style w:type="paragraph" w:customStyle="1" w:styleId="Itadheading1">
    <w:name w:val="Itad heading 1"/>
    <w:basedOn w:val="Heading1"/>
    <w:qFormat/>
    <w:rsid w:val="000E5A07"/>
    <w:pPr>
      <w:keepNext/>
      <w:keepLines/>
      <w:pageBreakBefore/>
      <w:numPr>
        <w:numId w:val="16"/>
      </w:numPr>
      <w:spacing w:before="360" w:after="240" w:line="276" w:lineRule="auto"/>
    </w:pPr>
    <w:rPr>
      <w:rFonts w:eastAsia="Calibri" w:cs="Times New Roman"/>
      <w:b/>
      <w:bCs/>
      <w:color w:val="73B632"/>
      <w:lang w:eastAsia="en-GB"/>
    </w:rPr>
  </w:style>
  <w:style w:type="paragraph" w:customStyle="1" w:styleId="Itadsectionheading">
    <w:name w:val="Itad section heading"/>
    <w:basedOn w:val="Heading2"/>
    <w:qFormat/>
    <w:rsid w:val="000E5A07"/>
    <w:pPr>
      <w:keepNext/>
      <w:keepLines/>
      <w:numPr>
        <w:numId w:val="16"/>
      </w:numPr>
      <w:tabs>
        <w:tab w:val="clear" w:pos="680"/>
      </w:tabs>
      <w:spacing w:after="160" w:line="276" w:lineRule="auto"/>
    </w:pPr>
    <w:rPr>
      <w:rFonts w:eastAsia="Calibri" w:cs="Times New Roman"/>
      <w:b/>
      <w:bCs/>
      <w:color w:val="73B632"/>
      <w:sz w:val="28"/>
      <w:szCs w:val="28"/>
    </w:rPr>
  </w:style>
  <w:style w:type="paragraph" w:customStyle="1" w:styleId="Itadsub-sectionheading">
    <w:name w:val="Itad sub-section heading"/>
    <w:basedOn w:val="Heading3"/>
    <w:qFormat/>
    <w:rsid w:val="000E5A07"/>
    <w:pPr>
      <w:keepNext/>
      <w:keepLines/>
      <w:numPr>
        <w:numId w:val="16"/>
      </w:numPr>
      <w:tabs>
        <w:tab w:val="clear" w:pos="907"/>
      </w:tabs>
      <w:spacing w:before="200" w:after="200" w:line="276" w:lineRule="auto"/>
    </w:pPr>
    <w:rPr>
      <w:rFonts w:eastAsia="Calibri" w:cs="Times New Roman"/>
      <w:bCs/>
      <w:color w:val="auto"/>
      <w:sz w:val="24"/>
      <w:szCs w:val="28"/>
    </w:rPr>
  </w:style>
  <w:style w:type="table" w:styleId="GridTable2-Accent6">
    <w:name w:val="Grid Table 2 Accent 6"/>
    <w:basedOn w:val="TableNormal"/>
    <w:uiPriority w:val="47"/>
    <w:rsid w:val="006043B3"/>
    <w:rPr>
      <w:sz w:val="22"/>
      <w:szCs w:val="22"/>
    </w:rPr>
    <w:tblPr>
      <w:tblStyleRowBandSize w:val="1"/>
      <w:tblStyleColBandSize w:val="1"/>
      <w:tblBorders>
        <w:top w:val="single" w:sz="2" w:space="0" w:color="B9DF8F" w:themeColor="accent6" w:themeTint="99"/>
        <w:bottom w:val="single" w:sz="2" w:space="0" w:color="B9DF8F" w:themeColor="accent6" w:themeTint="99"/>
        <w:insideH w:val="single" w:sz="2" w:space="0" w:color="B9DF8F" w:themeColor="accent6" w:themeTint="99"/>
        <w:insideV w:val="single" w:sz="2" w:space="0" w:color="B9DF8F" w:themeColor="accent6" w:themeTint="99"/>
      </w:tblBorders>
    </w:tblPr>
    <w:tblStylePr w:type="firstRow">
      <w:rPr>
        <w:b/>
        <w:bCs/>
      </w:rPr>
      <w:tblPr/>
      <w:tcPr>
        <w:tcBorders>
          <w:top w:val="nil"/>
          <w:bottom w:val="single" w:sz="12" w:space="0" w:color="B9DF8F" w:themeColor="accent6" w:themeTint="99"/>
          <w:insideH w:val="nil"/>
          <w:insideV w:val="nil"/>
        </w:tcBorders>
        <w:shd w:val="clear" w:color="auto" w:fill="FFFFFF" w:themeFill="background1"/>
      </w:tcPr>
    </w:tblStylePr>
    <w:tblStylePr w:type="lastRow">
      <w:rPr>
        <w:b/>
        <w:bCs/>
      </w:rPr>
      <w:tblPr/>
      <w:tcPr>
        <w:tcBorders>
          <w:top w:val="double" w:sz="2" w:space="0" w:color="B9D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F4D9" w:themeFill="accent6" w:themeFillTint="33"/>
      </w:tcPr>
    </w:tblStylePr>
    <w:tblStylePr w:type="band1Horz">
      <w:tblPr/>
      <w:tcPr>
        <w:shd w:val="clear" w:color="auto" w:fill="E7F4D9" w:themeFill="accent6" w:themeFillTint="33"/>
      </w:tcPr>
    </w:tblStylePr>
  </w:style>
  <w:style w:type="table" w:customStyle="1" w:styleId="GridTable4-Accent21">
    <w:name w:val="Grid Table 4 - Accent 21"/>
    <w:basedOn w:val="TableNormal"/>
    <w:next w:val="GridTable4-Accent2"/>
    <w:uiPriority w:val="49"/>
    <w:rsid w:val="00175010"/>
    <w:rPr>
      <w:rFonts w:ascii="Calibri" w:eastAsia="Calibri" w:hAnsi="Calibri" w:cs="Times New Roman"/>
      <w:sz w:val="20"/>
      <w:szCs w:val="20"/>
      <w:lang w:eastAsia="en-GB"/>
    </w:rPr>
    <w:tblPr>
      <w:tblStyleRowBandSize w:val="1"/>
      <w:tblStyleColBandSize w:val="1"/>
      <w:tblBorders>
        <w:top w:val="single" w:sz="4" w:space="0" w:color="B9DF8F"/>
        <w:left w:val="single" w:sz="4" w:space="0" w:color="B9DF8F"/>
        <w:bottom w:val="single" w:sz="4" w:space="0" w:color="B9DF8F"/>
        <w:right w:val="single" w:sz="4" w:space="0" w:color="B9DF8F"/>
        <w:insideH w:val="single" w:sz="4" w:space="0" w:color="B9DF8F"/>
        <w:insideV w:val="single" w:sz="4" w:space="0" w:color="B9DF8F"/>
      </w:tblBorders>
    </w:tblPr>
    <w:tblStylePr w:type="firstRow">
      <w:rPr>
        <w:b/>
        <w:bCs/>
        <w:color w:val="FFFFFF"/>
      </w:rPr>
      <w:tblPr/>
      <w:tcPr>
        <w:tcBorders>
          <w:top w:val="single" w:sz="4" w:space="0" w:color="8CCA45"/>
          <w:left w:val="single" w:sz="4" w:space="0" w:color="8CCA45"/>
          <w:bottom w:val="single" w:sz="4" w:space="0" w:color="8CCA45"/>
          <w:right w:val="single" w:sz="4" w:space="0" w:color="8CCA45"/>
          <w:insideH w:val="nil"/>
          <w:insideV w:val="nil"/>
        </w:tcBorders>
        <w:shd w:val="clear" w:color="auto" w:fill="8CCA45"/>
      </w:tcPr>
    </w:tblStylePr>
    <w:tblStylePr w:type="lastRow">
      <w:rPr>
        <w:b/>
        <w:bCs/>
      </w:rPr>
      <w:tblPr/>
      <w:tcPr>
        <w:tcBorders>
          <w:top w:val="double" w:sz="4" w:space="0" w:color="8CCA45"/>
        </w:tcBorders>
      </w:tcPr>
    </w:tblStylePr>
    <w:tblStylePr w:type="firstCol">
      <w:rPr>
        <w:b/>
        <w:bCs/>
      </w:rPr>
    </w:tblStylePr>
    <w:tblStylePr w:type="lastCol">
      <w:rPr>
        <w:b/>
        <w:bCs/>
      </w:rPr>
    </w:tblStylePr>
    <w:tblStylePr w:type="band1Vert">
      <w:tblPr/>
      <w:tcPr>
        <w:shd w:val="clear" w:color="auto" w:fill="E7F4D9"/>
      </w:tcPr>
    </w:tblStylePr>
    <w:tblStylePr w:type="band1Horz">
      <w:tblPr/>
      <w:tcPr>
        <w:shd w:val="clear" w:color="auto" w:fill="E7F4D9"/>
      </w:tcPr>
    </w:tblStylePr>
  </w:style>
  <w:style w:type="table" w:customStyle="1" w:styleId="GridTable4-Accent22">
    <w:name w:val="Grid Table 4 - Accent 22"/>
    <w:basedOn w:val="TableNormal"/>
    <w:next w:val="GridTable4-Accent2"/>
    <w:uiPriority w:val="49"/>
    <w:rsid w:val="00D00DED"/>
    <w:rPr>
      <w:rFonts w:ascii="Calibri" w:eastAsia="Calibri" w:hAnsi="Calibri" w:cs="Times New Roman"/>
      <w:sz w:val="20"/>
      <w:szCs w:val="20"/>
      <w:lang w:eastAsia="en-GB"/>
    </w:rPr>
    <w:tblPr>
      <w:tblStyleRowBandSize w:val="1"/>
      <w:tblStyleColBandSize w:val="1"/>
      <w:tblBorders>
        <w:top w:val="single" w:sz="4" w:space="0" w:color="B9DF8F"/>
        <w:left w:val="single" w:sz="4" w:space="0" w:color="B9DF8F"/>
        <w:bottom w:val="single" w:sz="4" w:space="0" w:color="B9DF8F"/>
        <w:right w:val="single" w:sz="4" w:space="0" w:color="B9DF8F"/>
        <w:insideH w:val="single" w:sz="4" w:space="0" w:color="B9DF8F"/>
        <w:insideV w:val="single" w:sz="4" w:space="0" w:color="B9DF8F"/>
      </w:tblBorders>
    </w:tblPr>
    <w:tblStylePr w:type="firstRow">
      <w:rPr>
        <w:b/>
        <w:bCs/>
        <w:color w:val="FFFFFF"/>
      </w:rPr>
      <w:tblPr/>
      <w:tcPr>
        <w:tcBorders>
          <w:top w:val="single" w:sz="4" w:space="0" w:color="8CCA45"/>
          <w:left w:val="single" w:sz="4" w:space="0" w:color="8CCA45"/>
          <w:bottom w:val="single" w:sz="4" w:space="0" w:color="8CCA45"/>
          <w:right w:val="single" w:sz="4" w:space="0" w:color="8CCA45"/>
          <w:insideH w:val="nil"/>
          <w:insideV w:val="nil"/>
        </w:tcBorders>
        <w:shd w:val="clear" w:color="auto" w:fill="8CCA45"/>
      </w:tcPr>
    </w:tblStylePr>
    <w:tblStylePr w:type="lastRow">
      <w:rPr>
        <w:b/>
        <w:bCs/>
      </w:rPr>
      <w:tblPr/>
      <w:tcPr>
        <w:tcBorders>
          <w:top w:val="double" w:sz="4" w:space="0" w:color="8CCA45"/>
        </w:tcBorders>
      </w:tcPr>
    </w:tblStylePr>
    <w:tblStylePr w:type="firstCol">
      <w:rPr>
        <w:b/>
        <w:bCs/>
      </w:rPr>
    </w:tblStylePr>
    <w:tblStylePr w:type="lastCol">
      <w:rPr>
        <w:b/>
        <w:bCs/>
      </w:rPr>
    </w:tblStylePr>
    <w:tblStylePr w:type="band1Vert">
      <w:tblPr/>
      <w:tcPr>
        <w:shd w:val="clear" w:color="auto" w:fill="E7F4D9"/>
      </w:tcPr>
    </w:tblStylePr>
    <w:tblStylePr w:type="band1Horz">
      <w:tblPr/>
      <w:tcPr>
        <w:shd w:val="clear" w:color="auto" w:fill="E7F4D9"/>
      </w:tcPr>
    </w:tblStylePr>
  </w:style>
  <w:style w:type="table" w:customStyle="1" w:styleId="GridTable4-Accent23">
    <w:name w:val="Grid Table 4 - Accent 23"/>
    <w:basedOn w:val="TableNormal"/>
    <w:next w:val="GridTable4-Accent2"/>
    <w:uiPriority w:val="49"/>
    <w:rsid w:val="005B0FCB"/>
    <w:rPr>
      <w:rFonts w:ascii="Calibri" w:eastAsia="Calibri" w:hAnsi="Calibri" w:cs="Times New Roman"/>
      <w:sz w:val="20"/>
      <w:szCs w:val="20"/>
      <w:lang w:eastAsia="en-GB"/>
    </w:rPr>
    <w:tblPr>
      <w:tblStyleRowBandSize w:val="1"/>
      <w:tblStyleColBandSize w:val="1"/>
      <w:tblBorders>
        <w:top w:val="single" w:sz="4" w:space="0" w:color="B9DF8F"/>
        <w:left w:val="single" w:sz="4" w:space="0" w:color="B9DF8F"/>
        <w:bottom w:val="single" w:sz="4" w:space="0" w:color="B9DF8F"/>
        <w:right w:val="single" w:sz="4" w:space="0" w:color="B9DF8F"/>
        <w:insideH w:val="single" w:sz="4" w:space="0" w:color="B9DF8F"/>
        <w:insideV w:val="single" w:sz="4" w:space="0" w:color="B9DF8F"/>
      </w:tblBorders>
    </w:tblPr>
    <w:tblStylePr w:type="firstRow">
      <w:rPr>
        <w:b/>
        <w:bCs/>
        <w:color w:val="FFFFFF"/>
      </w:rPr>
      <w:tblPr/>
      <w:tcPr>
        <w:tcBorders>
          <w:top w:val="single" w:sz="4" w:space="0" w:color="8CCA45"/>
          <w:left w:val="single" w:sz="4" w:space="0" w:color="8CCA45"/>
          <w:bottom w:val="single" w:sz="4" w:space="0" w:color="8CCA45"/>
          <w:right w:val="single" w:sz="4" w:space="0" w:color="8CCA45"/>
          <w:insideH w:val="nil"/>
          <w:insideV w:val="nil"/>
        </w:tcBorders>
        <w:shd w:val="clear" w:color="auto" w:fill="8CCA45"/>
      </w:tcPr>
    </w:tblStylePr>
    <w:tblStylePr w:type="lastRow">
      <w:rPr>
        <w:b/>
        <w:bCs/>
      </w:rPr>
      <w:tblPr/>
      <w:tcPr>
        <w:tcBorders>
          <w:top w:val="double" w:sz="4" w:space="0" w:color="8CCA45"/>
        </w:tcBorders>
      </w:tcPr>
    </w:tblStylePr>
    <w:tblStylePr w:type="firstCol">
      <w:rPr>
        <w:b/>
        <w:bCs/>
      </w:rPr>
    </w:tblStylePr>
    <w:tblStylePr w:type="lastCol">
      <w:rPr>
        <w:b/>
        <w:bCs/>
      </w:rPr>
    </w:tblStylePr>
    <w:tblStylePr w:type="band1Vert">
      <w:tblPr/>
      <w:tcPr>
        <w:shd w:val="clear" w:color="auto" w:fill="E7F4D9"/>
      </w:tcPr>
    </w:tblStylePr>
    <w:tblStylePr w:type="band1Horz">
      <w:tblPr/>
      <w:tcPr>
        <w:shd w:val="clear" w:color="auto" w:fill="E7F4D9"/>
      </w:tcPr>
    </w:tblStylePr>
  </w:style>
  <w:style w:type="table" w:customStyle="1" w:styleId="TableGrid2">
    <w:name w:val="Table Grid2"/>
    <w:basedOn w:val="TableNormal"/>
    <w:next w:val="TableGrid"/>
    <w:uiPriority w:val="39"/>
    <w:rsid w:val="003C6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B11A8A"/>
    <w:tblPr>
      <w:tblStyleRowBandSize w:val="1"/>
      <w:tblStyleColBandSize w:val="1"/>
      <w:tblBorders>
        <w:top w:val="single" w:sz="4" w:space="0" w:color="9C9C9D" w:themeColor="text1" w:themeTint="80"/>
        <w:bottom w:val="single" w:sz="4" w:space="0" w:color="9C9C9D" w:themeColor="text1" w:themeTint="80"/>
      </w:tblBorders>
    </w:tblPr>
    <w:tblStylePr w:type="firstRow">
      <w:rPr>
        <w:b/>
        <w:bCs/>
      </w:rPr>
      <w:tblPr/>
      <w:tcPr>
        <w:tcBorders>
          <w:bottom w:val="single" w:sz="4" w:space="0" w:color="9C9C9D" w:themeColor="text1" w:themeTint="80"/>
        </w:tcBorders>
      </w:tcPr>
    </w:tblStylePr>
    <w:tblStylePr w:type="lastRow">
      <w:rPr>
        <w:b/>
        <w:bCs/>
      </w:rPr>
      <w:tblPr/>
      <w:tcPr>
        <w:tcBorders>
          <w:top w:val="single" w:sz="4" w:space="0" w:color="9C9C9D" w:themeColor="text1" w:themeTint="80"/>
        </w:tcBorders>
      </w:tcPr>
    </w:tblStylePr>
    <w:tblStylePr w:type="firstCol">
      <w:rPr>
        <w:b/>
        <w:bCs/>
      </w:rPr>
    </w:tblStylePr>
    <w:tblStylePr w:type="lastCol">
      <w:rPr>
        <w:b/>
        <w:bCs/>
      </w:rPr>
    </w:tblStylePr>
    <w:tblStylePr w:type="band1Vert">
      <w:tblPr/>
      <w:tcPr>
        <w:tcBorders>
          <w:left w:val="single" w:sz="4" w:space="0" w:color="9C9C9D" w:themeColor="text1" w:themeTint="80"/>
          <w:right w:val="single" w:sz="4" w:space="0" w:color="9C9C9D" w:themeColor="text1" w:themeTint="80"/>
        </w:tcBorders>
      </w:tcPr>
    </w:tblStylePr>
    <w:tblStylePr w:type="band2Vert">
      <w:tblPr/>
      <w:tcPr>
        <w:tcBorders>
          <w:left w:val="single" w:sz="4" w:space="0" w:color="9C9C9D" w:themeColor="text1" w:themeTint="80"/>
          <w:right w:val="single" w:sz="4" w:space="0" w:color="9C9C9D" w:themeColor="text1" w:themeTint="80"/>
        </w:tcBorders>
      </w:tcPr>
    </w:tblStylePr>
    <w:tblStylePr w:type="band1Horz">
      <w:tblPr/>
      <w:tcPr>
        <w:tcBorders>
          <w:top w:val="single" w:sz="4" w:space="0" w:color="9C9C9D" w:themeColor="text1" w:themeTint="80"/>
          <w:bottom w:val="single" w:sz="4" w:space="0" w:color="9C9C9D" w:themeColor="text1" w:themeTint="80"/>
        </w:tcBorders>
      </w:tcPr>
    </w:tblStylePr>
  </w:style>
  <w:style w:type="paragraph" w:customStyle="1" w:styleId="BVIfnrCarCar1CarCarCharCarCharCarCharChar">
    <w:name w:val="BVI fnr Car Car1 Car Car Char Car Char Car Char Char"/>
    <w:basedOn w:val="FootnoteText"/>
    <w:autoRedefine/>
    <w:uiPriority w:val="99"/>
    <w:qFormat/>
    <w:rsid w:val="007E2722"/>
    <w:pPr>
      <w:tabs>
        <w:tab w:val="left" w:pos="270"/>
      </w:tabs>
      <w:ind w:left="270" w:hanging="270"/>
      <w:jc w:val="both"/>
    </w:pPr>
    <w:rPr>
      <w:rFonts w:asciiTheme="minorHAnsi" w:hAnsiTheme="minorHAnsi" w:cstheme="minorBidi"/>
      <w:sz w:val="22"/>
      <w:szCs w:val="22"/>
      <w:vertAlign w:val="superscript"/>
    </w:rPr>
  </w:style>
  <w:style w:type="paragraph" w:customStyle="1" w:styleId="NoParagraphStyle">
    <w:name w:val="[No Paragraph Style]"/>
    <w:rsid w:val="00AD065D"/>
    <w:pPr>
      <w:widowControl w:val="0"/>
      <w:autoSpaceDE w:val="0"/>
      <w:autoSpaceDN w:val="0"/>
      <w:adjustRightInd w:val="0"/>
      <w:spacing w:line="288" w:lineRule="auto"/>
      <w:textAlignment w:val="center"/>
    </w:pPr>
    <w:rPr>
      <w:rFonts w:ascii="MinionPro-Regular" w:eastAsia="Times New Roman" w:hAnsi="MinionPro-Regular" w:cs="MinionPro-Regular"/>
      <w:color w:val="000000"/>
      <w:lang w:val="en-US"/>
    </w:rPr>
  </w:style>
  <w:style w:type="paragraph" w:customStyle="1" w:styleId="TABLEREGULAR">
    <w:name w:val="TABLE REGULAR"/>
    <w:basedOn w:val="NoParagraphStyle"/>
    <w:uiPriority w:val="99"/>
    <w:rsid w:val="00AD065D"/>
    <w:pPr>
      <w:spacing w:line="220" w:lineRule="atLeast"/>
    </w:pPr>
    <w:rPr>
      <w:rFonts w:ascii="TheSansSemiLight-Plain" w:hAnsi="TheSansSemiLight-Plain" w:cs="TheSansSemiLight-Plain"/>
      <w:spacing w:val="-2"/>
      <w:sz w:val="18"/>
      <w:szCs w:val="18"/>
    </w:rPr>
  </w:style>
  <w:style w:type="paragraph" w:customStyle="1" w:styleId="TABLEBOLD">
    <w:name w:val="TABLE BOLD"/>
    <w:basedOn w:val="NoParagraphStyle"/>
    <w:uiPriority w:val="99"/>
    <w:rsid w:val="00AD065D"/>
    <w:pPr>
      <w:spacing w:line="200" w:lineRule="atLeast"/>
    </w:pPr>
    <w:rPr>
      <w:rFonts w:ascii="TheSansSemiBold-Plain" w:hAnsi="TheSansSemiBold-Plain" w:cs="TheSansSemiBold-Plain"/>
      <w:b/>
      <w:bCs/>
      <w:sz w:val="18"/>
      <w:szCs w:val="18"/>
    </w:rPr>
  </w:style>
  <w:style w:type="paragraph" w:customStyle="1" w:styleId="TABLETOP">
    <w:name w:val="TABLE TOP"/>
    <w:basedOn w:val="NoParagraphStyle"/>
    <w:uiPriority w:val="99"/>
    <w:rsid w:val="00AD065D"/>
    <w:pPr>
      <w:spacing w:line="200" w:lineRule="atLeast"/>
    </w:pPr>
    <w:rPr>
      <w:rFonts w:ascii="TheSansSemiBold-Plain" w:hAnsi="TheSansSemiBold-Plain" w:cs="TheSansSemiBold-Plain"/>
      <w:b/>
      <w:bCs/>
      <w:color w:val="FFFFFF"/>
      <w:sz w:val="18"/>
      <w:szCs w:val="18"/>
    </w:rPr>
  </w:style>
  <w:style w:type="paragraph" w:customStyle="1" w:styleId="Itadbulletpoints">
    <w:name w:val="Itad bullet points"/>
    <w:basedOn w:val="Normal"/>
    <w:qFormat/>
    <w:rsid w:val="00DC7503"/>
    <w:pPr>
      <w:numPr>
        <w:numId w:val="19"/>
      </w:numPr>
      <w:spacing w:after="200"/>
    </w:pPr>
    <w:rPr>
      <w:rFonts w:eastAsia="Calibri" w:cs="Times New Roman"/>
      <w:color w:val="3B3B3C" w:themeColor="text1"/>
      <w:szCs w:val="20"/>
    </w:rPr>
  </w:style>
  <w:style w:type="paragraph" w:styleId="TableofFigures">
    <w:name w:val="table of figures"/>
    <w:basedOn w:val="Normal"/>
    <w:next w:val="Normal"/>
    <w:uiPriority w:val="99"/>
    <w:unhideWhenUsed/>
    <w:rsid w:val="00CD2FF1"/>
  </w:style>
  <w:style w:type="character" w:customStyle="1" w:styleId="Mention2">
    <w:name w:val="Mention2"/>
    <w:basedOn w:val="DefaultParagraphFont"/>
    <w:uiPriority w:val="99"/>
    <w:unhideWhenUsed/>
    <w:rPr>
      <w:color w:val="2B579A"/>
      <w:shd w:val="clear" w:color="auto" w:fill="E6E6E6"/>
    </w:rPr>
  </w:style>
  <w:style w:type="table" w:customStyle="1" w:styleId="Itademphasiseheaderandfirstcolumn1">
    <w:name w:val="Itad emphasise header and first column1"/>
    <w:basedOn w:val="TableNormal"/>
    <w:uiPriority w:val="99"/>
    <w:qFormat/>
    <w:rsid w:val="006F2F6D"/>
    <w:pPr>
      <w:ind w:left="57" w:right="57"/>
    </w:pPr>
    <w:tblPr>
      <w:tblStyleRowBandSize w:val="1"/>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2F2F2"/>
    </w:tcPr>
    <w:tblStylePr w:type="firstRow">
      <w:pPr>
        <w:wordWrap/>
        <w:spacing w:beforeLines="0" w:before="60" w:beforeAutospacing="0" w:afterLines="0" w:after="60" w:afterAutospacing="0"/>
        <w:ind w:leftChars="0" w:left="57" w:rightChars="0" w:right="0"/>
      </w:pPr>
      <w:rPr>
        <w:rFonts w:asciiTheme="minorHAnsi" w:hAnsiTheme="minorHAnsi"/>
        <w:color w:val="FFFFFF" w:themeColor="background1"/>
        <w:sz w:val="22"/>
      </w:rPr>
      <w:tblPr/>
      <w:tcPr>
        <w:tcBorders>
          <w:insideV w:val="single" w:sz="4" w:space="0" w:color="FFFFFF" w:themeColor="background1"/>
        </w:tcBorders>
        <w:shd w:val="clear" w:color="auto" w:fill="588B46" w:themeFill="text2"/>
      </w:tcPr>
    </w:tblStylePr>
    <w:tblStylePr w:type="firstCol">
      <w:rPr>
        <w:color w:val="3B3B3C" w:themeColor="text1"/>
      </w:rPr>
      <w:tblPr/>
      <w:tcPr>
        <w:shd w:val="clear" w:color="auto" w:fill="DCEAD6" w:themeFill="text2" w:themeFillTint="33"/>
      </w:tcPr>
    </w:tblStylePr>
    <w:tblStylePr w:type="band1Horz">
      <w:tblPr/>
      <w:tcPr>
        <w:shd w:val="clear" w:color="auto" w:fill="FFFFFF" w:themeFill="background1"/>
      </w:tcPr>
    </w:tblStylePr>
    <w:tblStylePr w:type="band2Horz">
      <w:tblPr/>
      <w:tcPr>
        <w:shd w:val="clear" w:color="auto" w:fill="FFFFFF" w:themeFill="background1"/>
      </w:tcPr>
    </w:tblStylePr>
  </w:style>
  <w:style w:type="table" w:customStyle="1" w:styleId="TableGridCEPA1">
    <w:name w:val="Table Grid CEPA1"/>
    <w:basedOn w:val="TableNormal"/>
    <w:next w:val="TableGrid"/>
    <w:uiPriority w:val="39"/>
    <w:qFormat/>
    <w:rsid w:val="006F2F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F2F6D"/>
    <w:rPr>
      <w:color w:val="605E5C"/>
      <w:shd w:val="clear" w:color="auto" w:fill="E1DFDD"/>
    </w:rPr>
  </w:style>
  <w:style w:type="paragraph" w:styleId="Quote">
    <w:name w:val="Quote"/>
    <w:basedOn w:val="Normal"/>
    <w:next w:val="Normal"/>
    <w:link w:val="QuoteChar"/>
    <w:uiPriority w:val="29"/>
    <w:qFormat/>
    <w:rsid w:val="006C07FC"/>
    <w:pPr>
      <w:spacing w:before="200" w:after="160"/>
      <w:ind w:left="864" w:right="864"/>
      <w:jc w:val="center"/>
    </w:pPr>
    <w:rPr>
      <w:rFonts w:eastAsia="Calibri" w:cs="Calibri"/>
      <w:i/>
      <w:iCs/>
      <w:color w:val="6B6B6D" w:themeColor="text1" w:themeTint="BF"/>
      <w:sz w:val="24"/>
      <w:szCs w:val="24"/>
      <w:lang w:val="en-US"/>
    </w:rPr>
  </w:style>
  <w:style w:type="character" w:customStyle="1" w:styleId="QuoteChar">
    <w:name w:val="Quote Char"/>
    <w:basedOn w:val="DefaultParagraphFont"/>
    <w:link w:val="Quote"/>
    <w:uiPriority w:val="29"/>
    <w:rsid w:val="006C07FC"/>
    <w:rPr>
      <w:rFonts w:ascii="Calibri" w:eastAsia="Calibri" w:hAnsi="Calibri" w:cs="Calibri"/>
      <w:i/>
      <w:iCs/>
      <w:color w:val="6B6B6D" w:themeColor="text1" w:themeTint="BF"/>
      <w:lang w:val="en-US"/>
    </w:rPr>
  </w:style>
  <w:style w:type="paragraph" w:customStyle="1" w:styleId="StyleItalicCenteredLeft152cmRight152cmBefore1">
    <w:name w:val="Style Italic Centered Left:  1.52 cm Right:  1.52 cm Before:  1..."/>
    <w:basedOn w:val="Normal"/>
    <w:rsid w:val="0043407A"/>
    <w:pPr>
      <w:spacing w:before="200" w:after="160"/>
      <w:ind w:left="864" w:right="864"/>
      <w:jc w:val="center"/>
    </w:pPr>
    <w:rPr>
      <w:rFonts w:eastAsia="Times New Roman" w:cs="Times New Roman"/>
      <w:i/>
      <w:iCs/>
      <w:color w:val="3B3B3C"/>
      <w:szCs w:val="20"/>
    </w:rPr>
  </w:style>
  <w:style w:type="table" w:customStyle="1" w:styleId="Itadalternaterows1">
    <w:name w:val="Itad alternate rows1"/>
    <w:basedOn w:val="TableNormal"/>
    <w:uiPriority w:val="99"/>
    <w:rsid w:val="000845D0"/>
    <w:rPr>
      <w:rFonts w:ascii="Calibri" w:hAnsi="Calibri" w:cs="Arial"/>
      <w:color w:val="3B3B3C"/>
      <w:sz w:val="22"/>
    </w:rPr>
    <w:tblPr>
      <w:tblStyleRowBandSize w:val="1"/>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tcPr>
      <w:shd w:val="clear" w:color="auto" w:fill="F2F2F2"/>
    </w:tcPr>
    <w:tblStylePr w:type="firstRow">
      <w:tblPr/>
      <w:tcPr>
        <w:shd w:val="clear" w:color="auto" w:fill="96C286"/>
      </w:tcPr>
    </w:tblStylePr>
    <w:tblStylePr w:type="lastRow">
      <w:tblPr/>
      <w:tcPr>
        <w:shd w:val="clear" w:color="auto" w:fill="FFFFFF"/>
      </w:tcPr>
    </w:tblStylePr>
    <w:tblStylePr w:type="band1Horz">
      <w:tblPr/>
      <w:tcPr>
        <w:shd w:val="clear" w:color="auto" w:fill="F2F2F2"/>
      </w:tcPr>
    </w:tblStylePr>
    <w:tblStylePr w:type="band2Horz">
      <w:tblPr/>
      <w:tcPr>
        <w:shd w:val="clear" w:color="auto" w:fill="FFFFFF"/>
      </w:tcPr>
    </w:tblStylePr>
  </w:style>
  <w:style w:type="character" w:styleId="Mention">
    <w:name w:val="Mention"/>
    <w:basedOn w:val="DefaultParagraphFont"/>
    <w:uiPriority w:val="99"/>
    <w:unhideWhenUsed/>
    <w:rPr>
      <w:color w:val="2B579A"/>
      <w:shd w:val="clear" w:color="auto" w:fill="E6E6E6"/>
    </w:rPr>
  </w:style>
  <w:style w:type="table" w:customStyle="1" w:styleId="ItadGreenHeaderRow2">
    <w:name w:val="Itad Green Header Row2"/>
    <w:basedOn w:val="TableNormal"/>
    <w:uiPriority w:val="99"/>
    <w:qFormat/>
    <w:rsid w:val="00223AAE"/>
    <w:rPr>
      <w:rFonts w:ascii="Calibri" w:hAnsi="Calibri" w:cs="Arial"/>
      <w:color w:val="3B3B3C" w:themeColor="text1"/>
      <w:sz w:val="22"/>
    </w:rPr>
    <w:tblPr>
      <w:tblStyleRowBandSize w:val="1"/>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E7E6E6" w:themeFill="background2"/>
      </w:tcPr>
    </w:tblStylePr>
    <w:tblStylePr w:type="band1Horz">
      <w:tblPr/>
      <w:tcPr>
        <w:shd w:val="clear" w:color="auto" w:fill="FFFFFF" w:themeFill="background1"/>
      </w:tcPr>
    </w:tblStylePr>
    <w:tblStylePr w:type="band2Horz">
      <w:tblPr/>
      <w:tcPr>
        <w:shd w:val="clear" w:color="auto" w:fill="FFFFFF" w:themeFill="background1"/>
      </w:tcPr>
    </w:tblStylePr>
  </w:style>
  <w:style w:type="table" w:customStyle="1" w:styleId="GridTable2-Accent31">
    <w:name w:val="Grid Table 2 - Accent 31"/>
    <w:basedOn w:val="TableNormal"/>
    <w:next w:val="GridTable2-Accent3"/>
    <w:uiPriority w:val="47"/>
    <w:rsid w:val="003B068E"/>
    <w:rPr>
      <w:rFonts w:ascii="Calibri" w:eastAsia="Calibri" w:hAnsi="Calibri" w:cs="Calibri"/>
      <w:lang w:val="en-US"/>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2-Accent3">
    <w:name w:val="Grid Table 2 Accent 3"/>
    <w:basedOn w:val="TableNormal"/>
    <w:uiPriority w:val="47"/>
    <w:rsid w:val="003B068E"/>
    <w:tblPr>
      <w:tblStyleRowBandSize w:val="1"/>
      <w:tblStyleColBandSize w:val="1"/>
      <w:tblBorders>
        <w:top w:val="single" w:sz="2" w:space="0" w:color="89D692" w:themeColor="accent3" w:themeTint="99"/>
        <w:bottom w:val="single" w:sz="2" w:space="0" w:color="89D692" w:themeColor="accent3" w:themeTint="99"/>
        <w:insideH w:val="single" w:sz="2" w:space="0" w:color="89D692" w:themeColor="accent3" w:themeTint="99"/>
        <w:insideV w:val="single" w:sz="2" w:space="0" w:color="89D692" w:themeColor="accent3" w:themeTint="99"/>
      </w:tblBorders>
    </w:tblPr>
    <w:tblStylePr w:type="firstRow">
      <w:rPr>
        <w:b/>
        <w:bCs/>
      </w:rPr>
      <w:tblPr/>
      <w:tcPr>
        <w:tcBorders>
          <w:top w:val="nil"/>
          <w:bottom w:val="single" w:sz="12" w:space="0" w:color="89D692" w:themeColor="accent3" w:themeTint="99"/>
          <w:insideH w:val="nil"/>
          <w:insideV w:val="nil"/>
        </w:tcBorders>
        <w:shd w:val="clear" w:color="auto" w:fill="FFFFFF" w:themeFill="background1"/>
      </w:tcPr>
    </w:tblStylePr>
    <w:tblStylePr w:type="lastRow">
      <w:rPr>
        <w:b/>
        <w:bCs/>
      </w:rPr>
      <w:tblPr/>
      <w:tcPr>
        <w:tcBorders>
          <w:top w:val="double" w:sz="2" w:space="0" w:color="89D692"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F1DA" w:themeFill="accent3" w:themeFillTint="33"/>
      </w:tcPr>
    </w:tblStylePr>
    <w:tblStylePr w:type="band1Horz">
      <w:tblPr/>
      <w:tcPr>
        <w:shd w:val="clear" w:color="auto" w:fill="D7F1DA" w:themeFill="accent3" w:themeFillTint="33"/>
      </w:tcPr>
    </w:tblStylePr>
  </w:style>
  <w:style w:type="table" w:customStyle="1" w:styleId="PlainTable11">
    <w:name w:val="Plain Table 11"/>
    <w:basedOn w:val="TableNormal"/>
    <w:next w:val="PlainTable1"/>
    <w:uiPriority w:val="41"/>
    <w:rsid w:val="002A2F3B"/>
    <w:rPr>
      <w:rFonts w:ascii="Calibri" w:eastAsia="Calibri" w:hAnsi="Calibri" w:cs="Calibri"/>
      <w:lang w:val="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Standard">
    <w:name w:val="Standard"/>
    <w:rsid w:val="00722AA3"/>
    <w:pPr>
      <w:suppressAutoHyphens/>
      <w:autoSpaceDN w:val="0"/>
      <w:textAlignment w:val="baseline"/>
    </w:pPr>
    <w:rPr>
      <w:rFonts w:ascii="Calibri" w:eastAsia="Calibri" w:hAnsi="Calibri" w:cs="Calibri"/>
      <w:lang w:val="en-US" w:eastAsia="zh-CN" w:bidi="hi-IN"/>
    </w:rPr>
  </w:style>
  <w:style w:type="character" w:customStyle="1" w:styleId="cf01">
    <w:name w:val="cf01"/>
    <w:basedOn w:val="DefaultParagraphFont"/>
    <w:rsid w:val="0054358A"/>
    <w:rPr>
      <w:rFonts w:ascii="Segoe UI" w:hAnsi="Segoe UI" w:cs="Segoe UI" w:hint="default"/>
      <w:sz w:val="18"/>
      <w:szCs w:val="18"/>
    </w:rPr>
  </w:style>
  <w:style w:type="character" w:styleId="EndnoteReference">
    <w:name w:val="end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3527">
      <w:bodyDiv w:val="1"/>
      <w:marLeft w:val="0"/>
      <w:marRight w:val="0"/>
      <w:marTop w:val="0"/>
      <w:marBottom w:val="0"/>
      <w:divBdr>
        <w:top w:val="none" w:sz="0" w:space="0" w:color="auto"/>
        <w:left w:val="none" w:sz="0" w:space="0" w:color="auto"/>
        <w:bottom w:val="none" w:sz="0" w:space="0" w:color="auto"/>
        <w:right w:val="none" w:sz="0" w:space="0" w:color="auto"/>
      </w:divBdr>
    </w:div>
    <w:div w:id="54277425">
      <w:bodyDiv w:val="1"/>
      <w:marLeft w:val="0"/>
      <w:marRight w:val="0"/>
      <w:marTop w:val="0"/>
      <w:marBottom w:val="0"/>
      <w:divBdr>
        <w:top w:val="none" w:sz="0" w:space="0" w:color="auto"/>
        <w:left w:val="none" w:sz="0" w:space="0" w:color="auto"/>
        <w:bottom w:val="none" w:sz="0" w:space="0" w:color="auto"/>
        <w:right w:val="none" w:sz="0" w:space="0" w:color="auto"/>
      </w:divBdr>
    </w:div>
    <w:div w:id="95832225">
      <w:bodyDiv w:val="1"/>
      <w:marLeft w:val="0"/>
      <w:marRight w:val="0"/>
      <w:marTop w:val="0"/>
      <w:marBottom w:val="0"/>
      <w:divBdr>
        <w:top w:val="none" w:sz="0" w:space="0" w:color="auto"/>
        <w:left w:val="none" w:sz="0" w:space="0" w:color="auto"/>
        <w:bottom w:val="none" w:sz="0" w:space="0" w:color="auto"/>
        <w:right w:val="none" w:sz="0" w:space="0" w:color="auto"/>
      </w:divBdr>
    </w:div>
    <w:div w:id="117338462">
      <w:bodyDiv w:val="1"/>
      <w:marLeft w:val="0"/>
      <w:marRight w:val="0"/>
      <w:marTop w:val="0"/>
      <w:marBottom w:val="0"/>
      <w:divBdr>
        <w:top w:val="none" w:sz="0" w:space="0" w:color="auto"/>
        <w:left w:val="none" w:sz="0" w:space="0" w:color="auto"/>
        <w:bottom w:val="none" w:sz="0" w:space="0" w:color="auto"/>
        <w:right w:val="none" w:sz="0" w:space="0" w:color="auto"/>
      </w:divBdr>
    </w:div>
    <w:div w:id="120268785">
      <w:bodyDiv w:val="1"/>
      <w:marLeft w:val="0"/>
      <w:marRight w:val="0"/>
      <w:marTop w:val="0"/>
      <w:marBottom w:val="0"/>
      <w:divBdr>
        <w:top w:val="none" w:sz="0" w:space="0" w:color="auto"/>
        <w:left w:val="none" w:sz="0" w:space="0" w:color="auto"/>
        <w:bottom w:val="none" w:sz="0" w:space="0" w:color="auto"/>
        <w:right w:val="none" w:sz="0" w:space="0" w:color="auto"/>
      </w:divBdr>
    </w:div>
    <w:div w:id="154496821">
      <w:bodyDiv w:val="1"/>
      <w:marLeft w:val="0"/>
      <w:marRight w:val="0"/>
      <w:marTop w:val="0"/>
      <w:marBottom w:val="0"/>
      <w:divBdr>
        <w:top w:val="none" w:sz="0" w:space="0" w:color="auto"/>
        <w:left w:val="none" w:sz="0" w:space="0" w:color="auto"/>
        <w:bottom w:val="none" w:sz="0" w:space="0" w:color="auto"/>
        <w:right w:val="none" w:sz="0" w:space="0" w:color="auto"/>
      </w:divBdr>
    </w:div>
    <w:div w:id="160005242">
      <w:bodyDiv w:val="1"/>
      <w:marLeft w:val="0"/>
      <w:marRight w:val="0"/>
      <w:marTop w:val="0"/>
      <w:marBottom w:val="0"/>
      <w:divBdr>
        <w:top w:val="none" w:sz="0" w:space="0" w:color="auto"/>
        <w:left w:val="none" w:sz="0" w:space="0" w:color="auto"/>
        <w:bottom w:val="none" w:sz="0" w:space="0" w:color="auto"/>
        <w:right w:val="none" w:sz="0" w:space="0" w:color="auto"/>
      </w:divBdr>
    </w:div>
    <w:div w:id="218857197">
      <w:bodyDiv w:val="1"/>
      <w:marLeft w:val="0"/>
      <w:marRight w:val="0"/>
      <w:marTop w:val="0"/>
      <w:marBottom w:val="0"/>
      <w:divBdr>
        <w:top w:val="none" w:sz="0" w:space="0" w:color="auto"/>
        <w:left w:val="none" w:sz="0" w:space="0" w:color="auto"/>
        <w:bottom w:val="none" w:sz="0" w:space="0" w:color="auto"/>
        <w:right w:val="none" w:sz="0" w:space="0" w:color="auto"/>
      </w:divBdr>
    </w:div>
    <w:div w:id="231350412">
      <w:bodyDiv w:val="1"/>
      <w:marLeft w:val="0"/>
      <w:marRight w:val="0"/>
      <w:marTop w:val="0"/>
      <w:marBottom w:val="0"/>
      <w:divBdr>
        <w:top w:val="none" w:sz="0" w:space="0" w:color="auto"/>
        <w:left w:val="none" w:sz="0" w:space="0" w:color="auto"/>
        <w:bottom w:val="none" w:sz="0" w:space="0" w:color="auto"/>
        <w:right w:val="none" w:sz="0" w:space="0" w:color="auto"/>
      </w:divBdr>
    </w:div>
    <w:div w:id="314067640">
      <w:bodyDiv w:val="1"/>
      <w:marLeft w:val="0"/>
      <w:marRight w:val="0"/>
      <w:marTop w:val="0"/>
      <w:marBottom w:val="0"/>
      <w:divBdr>
        <w:top w:val="none" w:sz="0" w:space="0" w:color="auto"/>
        <w:left w:val="none" w:sz="0" w:space="0" w:color="auto"/>
        <w:bottom w:val="none" w:sz="0" w:space="0" w:color="auto"/>
        <w:right w:val="none" w:sz="0" w:space="0" w:color="auto"/>
      </w:divBdr>
    </w:div>
    <w:div w:id="341250459">
      <w:bodyDiv w:val="1"/>
      <w:marLeft w:val="0"/>
      <w:marRight w:val="0"/>
      <w:marTop w:val="0"/>
      <w:marBottom w:val="0"/>
      <w:divBdr>
        <w:top w:val="none" w:sz="0" w:space="0" w:color="auto"/>
        <w:left w:val="none" w:sz="0" w:space="0" w:color="auto"/>
        <w:bottom w:val="none" w:sz="0" w:space="0" w:color="auto"/>
        <w:right w:val="none" w:sz="0" w:space="0" w:color="auto"/>
      </w:divBdr>
    </w:div>
    <w:div w:id="421994906">
      <w:bodyDiv w:val="1"/>
      <w:marLeft w:val="0"/>
      <w:marRight w:val="0"/>
      <w:marTop w:val="0"/>
      <w:marBottom w:val="0"/>
      <w:divBdr>
        <w:top w:val="none" w:sz="0" w:space="0" w:color="auto"/>
        <w:left w:val="none" w:sz="0" w:space="0" w:color="auto"/>
        <w:bottom w:val="none" w:sz="0" w:space="0" w:color="auto"/>
        <w:right w:val="none" w:sz="0" w:space="0" w:color="auto"/>
      </w:divBdr>
    </w:div>
    <w:div w:id="423646695">
      <w:bodyDiv w:val="1"/>
      <w:marLeft w:val="0"/>
      <w:marRight w:val="0"/>
      <w:marTop w:val="0"/>
      <w:marBottom w:val="0"/>
      <w:divBdr>
        <w:top w:val="none" w:sz="0" w:space="0" w:color="auto"/>
        <w:left w:val="none" w:sz="0" w:space="0" w:color="auto"/>
        <w:bottom w:val="none" w:sz="0" w:space="0" w:color="auto"/>
        <w:right w:val="none" w:sz="0" w:space="0" w:color="auto"/>
      </w:divBdr>
    </w:div>
    <w:div w:id="454521319">
      <w:bodyDiv w:val="1"/>
      <w:marLeft w:val="0"/>
      <w:marRight w:val="0"/>
      <w:marTop w:val="0"/>
      <w:marBottom w:val="0"/>
      <w:divBdr>
        <w:top w:val="none" w:sz="0" w:space="0" w:color="auto"/>
        <w:left w:val="none" w:sz="0" w:space="0" w:color="auto"/>
        <w:bottom w:val="none" w:sz="0" w:space="0" w:color="auto"/>
        <w:right w:val="none" w:sz="0" w:space="0" w:color="auto"/>
      </w:divBdr>
    </w:div>
    <w:div w:id="510876549">
      <w:bodyDiv w:val="1"/>
      <w:marLeft w:val="0"/>
      <w:marRight w:val="0"/>
      <w:marTop w:val="0"/>
      <w:marBottom w:val="0"/>
      <w:divBdr>
        <w:top w:val="none" w:sz="0" w:space="0" w:color="auto"/>
        <w:left w:val="none" w:sz="0" w:space="0" w:color="auto"/>
        <w:bottom w:val="none" w:sz="0" w:space="0" w:color="auto"/>
        <w:right w:val="none" w:sz="0" w:space="0" w:color="auto"/>
      </w:divBdr>
    </w:div>
    <w:div w:id="515509704">
      <w:bodyDiv w:val="1"/>
      <w:marLeft w:val="0"/>
      <w:marRight w:val="0"/>
      <w:marTop w:val="0"/>
      <w:marBottom w:val="0"/>
      <w:divBdr>
        <w:top w:val="none" w:sz="0" w:space="0" w:color="auto"/>
        <w:left w:val="none" w:sz="0" w:space="0" w:color="auto"/>
        <w:bottom w:val="none" w:sz="0" w:space="0" w:color="auto"/>
        <w:right w:val="none" w:sz="0" w:space="0" w:color="auto"/>
      </w:divBdr>
    </w:div>
    <w:div w:id="516120058">
      <w:bodyDiv w:val="1"/>
      <w:marLeft w:val="0"/>
      <w:marRight w:val="0"/>
      <w:marTop w:val="0"/>
      <w:marBottom w:val="0"/>
      <w:divBdr>
        <w:top w:val="none" w:sz="0" w:space="0" w:color="auto"/>
        <w:left w:val="none" w:sz="0" w:space="0" w:color="auto"/>
        <w:bottom w:val="none" w:sz="0" w:space="0" w:color="auto"/>
        <w:right w:val="none" w:sz="0" w:space="0" w:color="auto"/>
      </w:divBdr>
    </w:div>
    <w:div w:id="526213376">
      <w:bodyDiv w:val="1"/>
      <w:marLeft w:val="0"/>
      <w:marRight w:val="0"/>
      <w:marTop w:val="0"/>
      <w:marBottom w:val="0"/>
      <w:divBdr>
        <w:top w:val="none" w:sz="0" w:space="0" w:color="auto"/>
        <w:left w:val="none" w:sz="0" w:space="0" w:color="auto"/>
        <w:bottom w:val="none" w:sz="0" w:space="0" w:color="auto"/>
        <w:right w:val="none" w:sz="0" w:space="0" w:color="auto"/>
      </w:divBdr>
    </w:div>
    <w:div w:id="537006852">
      <w:bodyDiv w:val="1"/>
      <w:marLeft w:val="0"/>
      <w:marRight w:val="0"/>
      <w:marTop w:val="0"/>
      <w:marBottom w:val="0"/>
      <w:divBdr>
        <w:top w:val="none" w:sz="0" w:space="0" w:color="auto"/>
        <w:left w:val="none" w:sz="0" w:space="0" w:color="auto"/>
        <w:bottom w:val="none" w:sz="0" w:space="0" w:color="auto"/>
        <w:right w:val="none" w:sz="0" w:space="0" w:color="auto"/>
      </w:divBdr>
    </w:div>
    <w:div w:id="629288655">
      <w:bodyDiv w:val="1"/>
      <w:marLeft w:val="0"/>
      <w:marRight w:val="0"/>
      <w:marTop w:val="0"/>
      <w:marBottom w:val="0"/>
      <w:divBdr>
        <w:top w:val="none" w:sz="0" w:space="0" w:color="auto"/>
        <w:left w:val="none" w:sz="0" w:space="0" w:color="auto"/>
        <w:bottom w:val="none" w:sz="0" w:space="0" w:color="auto"/>
        <w:right w:val="none" w:sz="0" w:space="0" w:color="auto"/>
      </w:divBdr>
    </w:div>
    <w:div w:id="631398129">
      <w:bodyDiv w:val="1"/>
      <w:marLeft w:val="0"/>
      <w:marRight w:val="0"/>
      <w:marTop w:val="0"/>
      <w:marBottom w:val="0"/>
      <w:divBdr>
        <w:top w:val="none" w:sz="0" w:space="0" w:color="auto"/>
        <w:left w:val="none" w:sz="0" w:space="0" w:color="auto"/>
        <w:bottom w:val="none" w:sz="0" w:space="0" w:color="auto"/>
        <w:right w:val="none" w:sz="0" w:space="0" w:color="auto"/>
      </w:divBdr>
    </w:div>
    <w:div w:id="688677669">
      <w:bodyDiv w:val="1"/>
      <w:marLeft w:val="0"/>
      <w:marRight w:val="0"/>
      <w:marTop w:val="0"/>
      <w:marBottom w:val="0"/>
      <w:divBdr>
        <w:top w:val="none" w:sz="0" w:space="0" w:color="auto"/>
        <w:left w:val="none" w:sz="0" w:space="0" w:color="auto"/>
        <w:bottom w:val="none" w:sz="0" w:space="0" w:color="auto"/>
        <w:right w:val="none" w:sz="0" w:space="0" w:color="auto"/>
      </w:divBdr>
    </w:div>
    <w:div w:id="702052972">
      <w:bodyDiv w:val="1"/>
      <w:marLeft w:val="0"/>
      <w:marRight w:val="0"/>
      <w:marTop w:val="0"/>
      <w:marBottom w:val="0"/>
      <w:divBdr>
        <w:top w:val="none" w:sz="0" w:space="0" w:color="auto"/>
        <w:left w:val="none" w:sz="0" w:space="0" w:color="auto"/>
        <w:bottom w:val="none" w:sz="0" w:space="0" w:color="auto"/>
        <w:right w:val="none" w:sz="0" w:space="0" w:color="auto"/>
      </w:divBdr>
    </w:div>
    <w:div w:id="705982866">
      <w:bodyDiv w:val="1"/>
      <w:marLeft w:val="0"/>
      <w:marRight w:val="0"/>
      <w:marTop w:val="0"/>
      <w:marBottom w:val="0"/>
      <w:divBdr>
        <w:top w:val="none" w:sz="0" w:space="0" w:color="auto"/>
        <w:left w:val="none" w:sz="0" w:space="0" w:color="auto"/>
        <w:bottom w:val="none" w:sz="0" w:space="0" w:color="auto"/>
        <w:right w:val="none" w:sz="0" w:space="0" w:color="auto"/>
      </w:divBdr>
    </w:div>
    <w:div w:id="728841788">
      <w:bodyDiv w:val="1"/>
      <w:marLeft w:val="0"/>
      <w:marRight w:val="0"/>
      <w:marTop w:val="0"/>
      <w:marBottom w:val="0"/>
      <w:divBdr>
        <w:top w:val="none" w:sz="0" w:space="0" w:color="auto"/>
        <w:left w:val="none" w:sz="0" w:space="0" w:color="auto"/>
        <w:bottom w:val="none" w:sz="0" w:space="0" w:color="auto"/>
        <w:right w:val="none" w:sz="0" w:space="0" w:color="auto"/>
      </w:divBdr>
    </w:div>
    <w:div w:id="736365496">
      <w:bodyDiv w:val="1"/>
      <w:marLeft w:val="0"/>
      <w:marRight w:val="0"/>
      <w:marTop w:val="0"/>
      <w:marBottom w:val="0"/>
      <w:divBdr>
        <w:top w:val="none" w:sz="0" w:space="0" w:color="auto"/>
        <w:left w:val="none" w:sz="0" w:space="0" w:color="auto"/>
        <w:bottom w:val="none" w:sz="0" w:space="0" w:color="auto"/>
        <w:right w:val="none" w:sz="0" w:space="0" w:color="auto"/>
      </w:divBdr>
      <w:divsChild>
        <w:div w:id="1512646800">
          <w:marLeft w:val="0"/>
          <w:marRight w:val="0"/>
          <w:marTop w:val="0"/>
          <w:marBottom w:val="0"/>
          <w:divBdr>
            <w:top w:val="none" w:sz="0" w:space="0" w:color="auto"/>
            <w:left w:val="none" w:sz="0" w:space="0" w:color="auto"/>
            <w:bottom w:val="none" w:sz="0" w:space="0" w:color="auto"/>
            <w:right w:val="none" w:sz="0" w:space="0" w:color="auto"/>
          </w:divBdr>
        </w:div>
      </w:divsChild>
    </w:div>
    <w:div w:id="753285868">
      <w:bodyDiv w:val="1"/>
      <w:marLeft w:val="0"/>
      <w:marRight w:val="0"/>
      <w:marTop w:val="0"/>
      <w:marBottom w:val="0"/>
      <w:divBdr>
        <w:top w:val="none" w:sz="0" w:space="0" w:color="auto"/>
        <w:left w:val="none" w:sz="0" w:space="0" w:color="auto"/>
        <w:bottom w:val="none" w:sz="0" w:space="0" w:color="auto"/>
        <w:right w:val="none" w:sz="0" w:space="0" w:color="auto"/>
      </w:divBdr>
    </w:div>
    <w:div w:id="766463882">
      <w:bodyDiv w:val="1"/>
      <w:marLeft w:val="0"/>
      <w:marRight w:val="0"/>
      <w:marTop w:val="0"/>
      <w:marBottom w:val="0"/>
      <w:divBdr>
        <w:top w:val="none" w:sz="0" w:space="0" w:color="auto"/>
        <w:left w:val="none" w:sz="0" w:space="0" w:color="auto"/>
        <w:bottom w:val="none" w:sz="0" w:space="0" w:color="auto"/>
        <w:right w:val="none" w:sz="0" w:space="0" w:color="auto"/>
      </w:divBdr>
    </w:div>
    <w:div w:id="785276601">
      <w:bodyDiv w:val="1"/>
      <w:marLeft w:val="0"/>
      <w:marRight w:val="0"/>
      <w:marTop w:val="0"/>
      <w:marBottom w:val="0"/>
      <w:divBdr>
        <w:top w:val="none" w:sz="0" w:space="0" w:color="auto"/>
        <w:left w:val="none" w:sz="0" w:space="0" w:color="auto"/>
        <w:bottom w:val="none" w:sz="0" w:space="0" w:color="auto"/>
        <w:right w:val="none" w:sz="0" w:space="0" w:color="auto"/>
      </w:divBdr>
    </w:div>
    <w:div w:id="794063720">
      <w:bodyDiv w:val="1"/>
      <w:marLeft w:val="0"/>
      <w:marRight w:val="0"/>
      <w:marTop w:val="0"/>
      <w:marBottom w:val="0"/>
      <w:divBdr>
        <w:top w:val="none" w:sz="0" w:space="0" w:color="auto"/>
        <w:left w:val="none" w:sz="0" w:space="0" w:color="auto"/>
        <w:bottom w:val="none" w:sz="0" w:space="0" w:color="auto"/>
        <w:right w:val="none" w:sz="0" w:space="0" w:color="auto"/>
      </w:divBdr>
    </w:div>
    <w:div w:id="856042013">
      <w:bodyDiv w:val="1"/>
      <w:marLeft w:val="0"/>
      <w:marRight w:val="0"/>
      <w:marTop w:val="0"/>
      <w:marBottom w:val="0"/>
      <w:divBdr>
        <w:top w:val="none" w:sz="0" w:space="0" w:color="auto"/>
        <w:left w:val="none" w:sz="0" w:space="0" w:color="auto"/>
        <w:bottom w:val="none" w:sz="0" w:space="0" w:color="auto"/>
        <w:right w:val="none" w:sz="0" w:space="0" w:color="auto"/>
      </w:divBdr>
    </w:div>
    <w:div w:id="873351395">
      <w:bodyDiv w:val="1"/>
      <w:marLeft w:val="0"/>
      <w:marRight w:val="0"/>
      <w:marTop w:val="0"/>
      <w:marBottom w:val="0"/>
      <w:divBdr>
        <w:top w:val="none" w:sz="0" w:space="0" w:color="auto"/>
        <w:left w:val="none" w:sz="0" w:space="0" w:color="auto"/>
        <w:bottom w:val="none" w:sz="0" w:space="0" w:color="auto"/>
        <w:right w:val="none" w:sz="0" w:space="0" w:color="auto"/>
      </w:divBdr>
    </w:div>
    <w:div w:id="913976334">
      <w:bodyDiv w:val="1"/>
      <w:marLeft w:val="0"/>
      <w:marRight w:val="0"/>
      <w:marTop w:val="0"/>
      <w:marBottom w:val="0"/>
      <w:divBdr>
        <w:top w:val="none" w:sz="0" w:space="0" w:color="auto"/>
        <w:left w:val="none" w:sz="0" w:space="0" w:color="auto"/>
        <w:bottom w:val="none" w:sz="0" w:space="0" w:color="auto"/>
        <w:right w:val="none" w:sz="0" w:space="0" w:color="auto"/>
      </w:divBdr>
    </w:div>
    <w:div w:id="921912550">
      <w:bodyDiv w:val="1"/>
      <w:marLeft w:val="0"/>
      <w:marRight w:val="0"/>
      <w:marTop w:val="0"/>
      <w:marBottom w:val="0"/>
      <w:divBdr>
        <w:top w:val="none" w:sz="0" w:space="0" w:color="auto"/>
        <w:left w:val="none" w:sz="0" w:space="0" w:color="auto"/>
        <w:bottom w:val="none" w:sz="0" w:space="0" w:color="auto"/>
        <w:right w:val="none" w:sz="0" w:space="0" w:color="auto"/>
      </w:divBdr>
    </w:div>
    <w:div w:id="932972560">
      <w:bodyDiv w:val="1"/>
      <w:marLeft w:val="0"/>
      <w:marRight w:val="0"/>
      <w:marTop w:val="0"/>
      <w:marBottom w:val="0"/>
      <w:divBdr>
        <w:top w:val="none" w:sz="0" w:space="0" w:color="auto"/>
        <w:left w:val="none" w:sz="0" w:space="0" w:color="auto"/>
        <w:bottom w:val="none" w:sz="0" w:space="0" w:color="auto"/>
        <w:right w:val="none" w:sz="0" w:space="0" w:color="auto"/>
      </w:divBdr>
    </w:div>
    <w:div w:id="949625953">
      <w:bodyDiv w:val="1"/>
      <w:marLeft w:val="0"/>
      <w:marRight w:val="0"/>
      <w:marTop w:val="0"/>
      <w:marBottom w:val="0"/>
      <w:divBdr>
        <w:top w:val="none" w:sz="0" w:space="0" w:color="auto"/>
        <w:left w:val="none" w:sz="0" w:space="0" w:color="auto"/>
        <w:bottom w:val="none" w:sz="0" w:space="0" w:color="auto"/>
        <w:right w:val="none" w:sz="0" w:space="0" w:color="auto"/>
      </w:divBdr>
    </w:div>
    <w:div w:id="979848869">
      <w:bodyDiv w:val="1"/>
      <w:marLeft w:val="0"/>
      <w:marRight w:val="0"/>
      <w:marTop w:val="0"/>
      <w:marBottom w:val="0"/>
      <w:divBdr>
        <w:top w:val="none" w:sz="0" w:space="0" w:color="auto"/>
        <w:left w:val="none" w:sz="0" w:space="0" w:color="auto"/>
        <w:bottom w:val="none" w:sz="0" w:space="0" w:color="auto"/>
        <w:right w:val="none" w:sz="0" w:space="0" w:color="auto"/>
      </w:divBdr>
    </w:div>
    <w:div w:id="983894948">
      <w:bodyDiv w:val="1"/>
      <w:marLeft w:val="0"/>
      <w:marRight w:val="0"/>
      <w:marTop w:val="0"/>
      <w:marBottom w:val="0"/>
      <w:divBdr>
        <w:top w:val="none" w:sz="0" w:space="0" w:color="auto"/>
        <w:left w:val="none" w:sz="0" w:space="0" w:color="auto"/>
        <w:bottom w:val="none" w:sz="0" w:space="0" w:color="auto"/>
        <w:right w:val="none" w:sz="0" w:space="0" w:color="auto"/>
      </w:divBdr>
    </w:div>
    <w:div w:id="995112965">
      <w:bodyDiv w:val="1"/>
      <w:marLeft w:val="0"/>
      <w:marRight w:val="0"/>
      <w:marTop w:val="0"/>
      <w:marBottom w:val="0"/>
      <w:divBdr>
        <w:top w:val="none" w:sz="0" w:space="0" w:color="auto"/>
        <w:left w:val="none" w:sz="0" w:space="0" w:color="auto"/>
        <w:bottom w:val="none" w:sz="0" w:space="0" w:color="auto"/>
        <w:right w:val="none" w:sz="0" w:space="0" w:color="auto"/>
      </w:divBdr>
    </w:div>
    <w:div w:id="1003048353">
      <w:bodyDiv w:val="1"/>
      <w:marLeft w:val="0"/>
      <w:marRight w:val="0"/>
      <w:marTop w:val="0"/>
      <w:marBottom w:val="0"/>
      <w:divBdr>
        <w:top w:val="none" w:sz="0" w:space="0" w:color="auto"/>
        <w:left w:val="none" w:sz="0" w:space="0" w:color="auto"/>
        <w:bottom w:val="none" w:sz="0" w:space="0" w:color="auto"/>
        <w:right w:val="none" w:sz="0" w:space="0" w:color="auto"/>
      </w:divBdr>
    </w:div>
    <w:div w:id="1003120839">
      <w:bodyDiv w:val="1"/>
      <w:marLeft w:val="0"/>
      <w:marRight w:val="0"/>
      <w:marTop w:val="0"/>
      <w:marBottom w:val="0"/>
      <w:divBdr>
        <w:top w:val="none" w:sz="0" w:space="0" w:color="auto"/>
        <w:left w:val="none" w:sz="0" w:space="0" w:color="auto"/>
        <w:bottom w:val="none" w:sz="0" w:space="0" w:color="auto"/>
        <w:right w:val="none" w:sz="0" w:space="0" w:color="auto"/>
      </w:divBdr>
      <w:divsChild>
        <w:div w:id="2082671738">
          <w:marLeft w:val="547"/>
          <w:marRight w:val="0"/>
          <w:marTop w:val="0"/>
          <w:marBottom w:val="0"/>
          <w:divBdr>
            <w:top w:val="none" w:sz="0" w:space="0" w:color="auto"/>
            <w:left w:val="none" w:sz="0" w:space="0" w:color="auto"/>
            <w:bottom w:val="none" w:sz="0" w:space="0" w:color="auto"/>
            <w:right w:val="none" w:sz="0" w:space="0" w:color="auto"/>
          </w:divBdr>
        </w:div>
      </w:divsChild>
    </w:div>
    <w:div w:id="1063911833">
      <w:bodyDiv w:val="1"/>
      <w:marLeft w:val="0"/>
      <w:marRight w:val="0"/>
      <w:marTop w:val="0"/>
      <w:marBottom w:val="0"/>
      <w:divBdr>
        <w:top w:val="none" w:sz="0" w:space="0" w:color="auto"/>
        <w:left w:val="none" w:sz="0" w:space="0" w:color="auto"/>
        <w:bottom w:val="none" w:sz="0" w:space="0" w:color="auto"/>
        <w:right w:val="none" w:sz="0" w:space="0" w:color="auto"/>
      </w:divBdr>
    </w:div>
    <w:div w:id="1063941594">
      <w:bodyDiv w:val="1"/>
      <w:marLeft w:val="0"/>
      <w:marRight w:val="0"/>
      <w:marTop w:val="0"/>
      <w:marBottom w:val="0"/>
      <w:divBdr>
        <w:top w:val="none" w:sz="0" w:space="0" w:color="auto"/>
        <w:left w:val="none" w:sz="0" w:space="0" w:color="auto"/>
        <w:bottom w:val="none" w:sz="0" w:space="0" w:color="auto"/>
        <w:right w:val="none" w:sz="0" w:space="0" w:color="auto"/>
      </w:divBdr>
    </w:div>
    <w:div w:id="1071198931">
      <w:bodyDiv w:val="1"/>
      <w:marLeft w:val="0"/>
      <w:marRight w:val="0"/>
      <w:marTop w:val="0"/>
      <w:marBottom w:val="0"/>
      <w:divBdr>
        <w:top w:val="none" w:sz="0" w:space="0" w:color="auto"/>
        <w:left w:val="none" w:sz="0" w:space="0" w:color="auto"/>
        <w:bottom w:val="none" w:sz="0" w:space="0" w:color="auto"/>
        <w:right w:val="none" w:sz="0" w:space="0" w:color="auto"/>
      </w:divBdr>
    </w:div>
    <w:div w:id="1077022665">
      <w:bodyDiv w:val="1"/>
      <w:marLeft w:val="0"/>
      <w:marRight w:val="0"/>
      <w:marTop w:val="0"/>
      <w:marBottom w:val="0"/>
      <w:divBdr>
        <w:top w:val="none" w:sz="0" w:space="0" w:color="auto"/>
        <w:left w:val="none" w:sz="0" w:space="0" w:color="auto"/>
        <w:bottom w:val="none" w:sz="0" w:space="0" w:color="auto"/>
        <w:right w:val="none" w:sz="0" w:space="0" w:color="auto"/>
      </w:divBdr>
    </w:div>
    <w:div w:id="1098869202">
      <w:bodyDiv w:val="1"/>
      <w:marLeft w:val="0"/>
      <w:marRight w:val="0"/>
      <w:marTop w:val="0"/>
      <w:marBottom w:val="0"/>
      <w:divBdr>
        <w:top w:val="none" w:sz="0" w:space="0" w:color="auto"/>
        <w:left w:val="none" w:sz="0" w:space="0" w:color="auto"/>
        <w:bottom w:val="none" w:sz="0" w:space="0" w:color="auto"/>
        <w:right w:val="none" w:sz="0" w:space="0" w:color="auto"/>
      </w:divBdr>
    </w:div>
    <w:div w:id="1140610056">
      <w:bodyDiv w:val="1"/>
      <w:marLeft w:val="0"/>
      <w:marRight w:val="0"/>
      <w:marTop w:val="0"/>
      <w:marBottom w:val="0"/>
      <w:divBdr>
        <w:top w:val="none" w:sz="0" w:space="0" w:color="auto"/>
        <w:left w:val="none" w:sz="0" w:space="0" w:color="auto"/>
        <w:bottom w:val="none" w:sz="0" w:space="0" w:color="auto"/>
        <w:right w:val="none" w:sz="0" w:space="0" w:color="auto"/>
      </w:divBdr>
    </w:div>
    <w:div w:id="1142573961">
      <w:bodyDiv w:val="1"/>
      <w:marLeft w:val="0"/>
      <w:marRight w:val="0"/>
      <w:marTop w:val="0"/>
      <w:marBottom w:val="0"/>
      <w:divBdr>
        <w:top w:val="none" w:sz="0" w:space="0" w:color="auto"/>
        <w:left w:val="none" w:sz="0" w:space="0" w:color="auto"/>
        <w:bottom w:val="none" w:sz="0" w:space="0" w:color="auto"/>
        <w:right w:val="none" w:sz="0" w:space="0" w:color="auto"/>
      </w:divBdr>
    </w:div>
    <w:div w:id="1176070146">
      <w:bodyDiv w:val="1"/>
      <w:marLeft w:val="0"/>
      <w:marRight w:val="0"/>
      <w:marTop w:val="0"/>
      <w:marBottom w:val="0"/>
      <w:divBdr>
        <w:top w:val="none" w:sz="0" w:space="0" w:color="auto"/>
        <w:left w:val="none" w:sz="0" w:space="0" w:color="auto"/>
        <w:bottom w:val="none" w:sz="0" w:space="0" w:color="auto"/>
        <w:right w:val="none" w:sz="0" w:space="0" w:color="auto"/>
      </w:divBdr>
    </w:div>
    <w:div w:id="1253586465">
      <w:bodyDiv w:val="1"/>
      <w:marLeft w:val="0"/>
      <w:marRight w:val="0"/>
      <w:marTop w:val="0"/>
      <w:marBottom w:val="0"/>
      <w:divBdr>
        <w:top w:val="none" w:sz="0" w:space="0" w:color="auto"/>
        <w:left w:val="none" w:sz="0" w:space="0" w:color="auto"/>
        <w:bottom w:val="none" w:sz="0" w:space="0" w:color="auto"/>
        <w:right w:val="none" w:sz="0" w:space="0" w:color="auto"/>
      </w:divBdr>
    </w:div>
    <w:div w:id="1295718658">
      <w:bodyDiv w:val="1"/>
      <w:marLeft w:val="0"/>
      <w:marRight w:val="0"/>
      <w:marTop w:val="0"/>
      <w:marBottom w:val="0"/>
      <w:divBdr>
        <w:top w:val="none" w:sz="0" w:space="0" w:color="auto"/>
        <w:left w:val="none" w:sz="0" w:space="0" w:color="auto"/>
        <w:bottom w:val="none" w:sz="0" w:space="0" w:color="auto"/>
        <w:right w:val="none" w:sz="0" w:space="0" w:color="auto"/>
      </w:divBdr>
    </w:div>
    <w:div w:id="1296988518">
      <w:bodyDiv w:val="1"/>
      <w:marLeft w:val="0"/>
      <w:marRight w:val="0"/>
      <w:marTop w:val="0"/>
      <w:marBottom w:val="0"/>
      <w:divBdr>
        <w:top w:val="none" w:sz="0" w:space="0" w:color="auto"/>
        <w:left w:val="none" w:sz="0" w:space="0" w:color="auto"/>
        <w:bottom w:val="none" w:sz="0" w:space="0" w:color="auto"/>
        <w:right w:val="none" w:sz="0" w:space="0" w:color="auto"/>
      </w:divBdr>
    </w:div>
    <w:div w:id="1304505059">
      <w:bodyDiv w:val="1"/>
      <w:marLeft w:val="0"/>
      <w:marRight w:val="0"/>
      <w:marTop w:val="0"/>
      <w:marBottom w:val="0"/>
      <w:divBdr>
        <w:top w:val="none" w:sz="0" w:space="0" w:color="auto"/>
        <w:left w:val="none" w:sz="0" w:space="0" w:color="auto"/>
        <w:bottom w:val="none" w:sz="0" w:space="0" w:color="auto"/>
        <w:right w:val="none" w:sz="0" w:space="0" w:color="auto"/>
      </w:divBdr>
    </w:div>
    <w:div w:id="1312562687">
      <w:bodyDiv w:val="1"/>
      <w:marLeft w:val="0"/>
      <w:marRight w:val="0"/>
      <w:marTop w:val="0"/>
      <w:marBottom w:val="0"/>
      <w:divBdr>
        <w:top w:val="none" w:sz="0" w:space="0" w:color="auto"/>
        <w:left w:val="none" w:sz="0" w:space="0" w:color="auto"/>
        <w:bottom w:val="none" w:sz="0" w:space="0" w:color="auto"/>
        <w:right w:val="none" w:sz="0" w:space="0" w:color="auto"/>
      </w:divBdr>
    </w:div>
    <w:div w:id="1371030626">
      <w:bodyDiv w:val="1"/>
      <w:marLeft w:val="0"/>
      <w:marRight w:val="0"/>
      <w:marTop w:val="0"/>
      <w:marBottom w:val="0"/>
      <w:divBdr>
        <w:top w:val="none" w:sz="0" w:space="0" w:color="auto"/>
        <w:left w:val="none" w:sz="0" w:space="0" w:color="auto"/>
        <w:bottom w:val="none" w:sz="0" w:space="0" w:color="auto"/>
        <w:right w:val="none" w:sz="0" w:space="0" w:color="auto"/>
      </w:divBdr>
    </w:div>
    <w:div w:id="1379088474">
      <w:bodyDiv w:val="1"/>
      <w:marLeft w:val="0"/>
      <w:marRight w:val="0"/>
      <w:marTop w:val="0"/>
      <w:marBottom w:val="0"/>
      <w:divBdr>
        <w:top w:val="none" w:sz="0" w:space="0" w:color="auto"/>
        <w:left w:val="none" w:sz="0" w:space="0" w:color="auto"/>
        <w:bottom w:val="none" w:sz="0" w:space="0" w:color="auto"/>
        <w:right w:val="none" w:sz="0" w:space="0" w:color="auto"/>
      </w:divBdr>
    </w:div>
    <w:div w:id="1397168327">
      <w:bodyDiv w:val="1"/>
      <w:marLeft w:val="0"/>
      <w:marRight w:val="0"/>
      <w:marTop w:val="0"/>
      <w:marBottom w:val="0"/>
      <w:divBdr>
        <w:top w:val="none" w:sz="0" w:space="0" w:color="auto"/>
        <w:left w:val="none" w:sz="0" w:space="0" w:color="auto"/>
        <w:bottom w:val="none" w:sz="0" w:space="0" w:color="auto"/>
        <w:right w:val="none" w:sz="0" w:space="0" w:color="auto"/>
      </w:divBdr>
    </w:div>
    <w:div w:id="1399864012">
      <w:bodyDiv w:val="1"/>
      <w:marLeft w:val="0"/>
      <w:marRight w:val="0"/>
      <w:marTop w:val="0"/>
      <w:marBottom w:val="0"/>
      <w:divBdr>
        <w:top w:val="none" w:sz="0" w:space="0" w:color="auto"/>
        <w:left w:val="none" w:sz="0" w:space="0" w:color="auto"/>
        <w:bottom w:val="none" w:sz="0" w:space="0" w:color="auto"/>
        <w:right w:val="none" w:sz="0" w:space="0" w:color="auto"/>
      </w:divBdr>
    </w:div>
    <w:div w:id="1438335008">
      <w:bodyDiv w:val="1"/>
      <w:marLeft w:val="0"/>
      <w:marRight w:val="0"/>
      <w:marTop w:val="0"/>
      <w:marBottom w:val="0"/>
      <w:divBdr>
        <w:top w:val="none" w:sz="0" w:space="0" w:color="auto"/>
        <w:left w:val="none" w:sz="0" w:space="0" w:color="auto"/>
        <w:bottom w:val="none" w:sz="0" w:space="0" w:color="auto"/>
        <w:right w:val="none" w:sz="0" w:space="0" w:color="auto"/>
      </w:divBdr>
    </w:div>
    <w:div w:id="1501314933">
      <w:bodyDiv w:val="1"/>
      <w:marLeft w:val="0"/>
      <w:marRight w:val="0"/>
      <w:marTop w:val="0"/>
      <w:marBottom w:val="0"/>
      <w:divBdr>
        <w:top w:val="none" w:sz="0" w:space="0" w:color="auto"/>
        <w:left w:val="none" w:sz="0" w:space="0" w:color="auto"/>
        <w:bottom w:val="none" w:sz="0" w:space="0" w:color="auto"/>
        <w:right w:val="none" w:sz="0" w:space="0" w:color="auto"/>
      </w:divBdr>
    </w:div>
    <w:div w:id="1502163942">
      <w:bodyDiv w:val="1"/>
      <w:marLeft w:val="0"/>
      <w:marRight w:val="0"/>
      <w:marTop w:val="0"/>
      <w:marBottom w:val="0"/>
      <w:divBdr>
        <w:top w:val="none" w:sz="0" w:space="0" w:color="auto"/>
        <w:left w:val="none" w:sz="0" w:space="0" w:color="auto"/>
        <w:bottom w:val="none" w:sz="0" w:space="0" w:color="auto"/>
        <w:right w:val="none" w:sz="0" w:space="0" w:color="auto"/>
      </w:divBdr>
    </w:div>
    <w:div w:id="1574463707">
      <w:bodyDiv w:val="1"/>
      <w:marLeft w:val="0"/>
      <w:marRight w:val="0"/>
      <w:marTop w:val="0"/>
      <w:marBottom w:val="0"/>
      <w:divBdr>
        <w:top w:val="none" w:sz="0" w:space="0" w:color="auto"/>
        <w:left w:val="none" w:sz="0" w:space="0" w:color="auto"/>
        <w:bottom w:val="none" w:sz="0" w:space="0" w:color="auto"/>
        <w:right w:val="none" w:sz="0" w:space="0" w:color="auto"/>
      </w:divBdr>
    </w:div>
    <w:div w:id="1605454194">
      <w:bodyDiv w:val="1"/>
      <w:marLeft w:val="0"/>
      <w:marRight w:val="0"/>
      <w:marTop w:val="0"/>
      <w:marBottom w:val="0"/>
      <w:divBdr>
        <w:top w:val="none" w:sz="0" w:space="0" w:color="auto"/>
        <w:left w:val="none" w:sz="0" w:space="0" w:color="auto"/>
        <w:bottom w:val="none" w:sz="0" w:space="0" w:color="auto"/>
        <w:right w:val="none" w:sz="0" w:space="0" w:color="auto"/>
      </w:divBdr>
    </w:div>
    <w:div w:id="1628046800">
      <w:bodyDiv w:val="1"/>
      <w:marLeft w:val="0"/>
      <w:marRight w:val="0"/>
      <w:marTop w:val="0"/>
      <w:marBottom w:val="0"/>
      <w:divBdr>
        <w:top w:val="none" w:sz="0" w:space="0" w:color="auto"/>
        <w:left w:val="none" w:sz="0" w:space="0" w:color="auto"/>
        <w:bottom w:val="none" w:sz="0" w:space="0" w:color="auto"/>
        <w:right w:val="none" w:sz="0" w:space="0" w:color="auto"/>
      </w:divBdr>
    </w:div>
    <w:div w:id="1645812341">
      <w:bodyDiv w:val="1"/>
      <w:marLeft w:val="0"/>
      <w:marRight w:val="0"/>
      <w:marTop w:val="0"/>
      <w:marBottom w:val="0"/>
      <w:divBdr>
        <w:top w:val="none" w:sz="0" w:space="0" w:color="auto"/>
        <w:left w:val="none" w:sz="0" w:space="0" w:color="auto"/>
        <w:bottom w:val="none" w:sz="0" w:space="0" w:color="auto"/>
        <w:right w:val="none" w:sz="0" w:space="0" w:color="auto"/>
      </w:divBdr>
    </w:div>
    <w:div w:id="1664121426">
      <w:bodyDiv w:val="1"/>
      <w:marLeft w:val="0"/>
      <w:marRight w:val="0"/>
      <w:marTop w:val="0"/>
      <w:marBottom w:val="0"/>
      <w:divBdr>
        <w:top w:val="none" w:sz="0" w:space="0" w:color="auto"/>
        <w:left w:val="none" w:sz="0" w:space="0" w:color="auto"/>
        <w:bottom w:val="none" w:sz="0" w:space="0" w:color="auto"/>
        <w:right w:val="none" w:sz="0" w:space="0" w:color="auto"/>
      </w:divBdr>
    </w:div>
    <w:div w:id="1685472289">
      <w:bodyDiv w:val="1"/>
      <w:marLeft w:val="0"/>
      <w:marRight w:val="0"/>
      <w:marTop w:val="0"/>
      <w:marBottom w:val="0"/>
      <w:divBdr>
        <w:top w:val="none" w:sz="0" w:space="0" w:color="auto"/>
        <w:left w:val="none" w:sz="0" w:space="0" w:color="auto"/>
        <w:bottom w:val="none" w:sz="0" w:space="0" w:color="auto"/>
        <w:right w:val="none" w:sz="0" w:space="0" w:color="auto"/>
      </w:divBdr>
    </w:div>
    <w:div w:id="1756130909">
      <w:bodyDiv w:val="1"/>
      <w:marLeft w:val="0"/>
      <w:marRight w:val="0"/>
      <w:marTop w:val="0"/>
      <w:marBottom w:val="0"/>
      <w:divBdr>
        <w:top w:val="none" w:sz="0" w:space="0" w:color="auto"/>
        <w:left w:val="none" w:sz="0" w:space="0" w:color="auto"/>
        <w:bottom w:val="none" w:sz="0" w:space="0" w:color="auto"/>
        <w:right w:val="none" w:sz="0" w:space="0" w:color="auto"/>
      </w:divBdr>
      <w:divsChild>
        <w:div w:id="51391166">
          <w:marLeft w:val="0"/>
          <w:marRight w:val="0"/>
          <w:marTop w:val="0"/>
          <w:marBottom w:val="0"/>
          <w:divBdr>
            <w:top w:val="none" w:sz="0" w:space="0" w:color="auto"/>
            <w:left w:val="none" w:sz="0" w:space="0" w:color="auto"/>
            <w:bottom w:val="none" w:sz="0" w:space="0" w:color="auto"/>
            <w:right w:val="none" w:sz="0" w:space="0" w:color="auto"/>
          </w:divBdr>
          <w:divsChild>
            <w:div w:id="2125226031">
              <w:marLeft w:val="0"/>
              <w:marRight w:val="0"/>
              <w:marTop w:val="0"/>
              <w:marBottom w:val="0"/>
              <w:divBdr>
                <w:top w:val="none" w:sz="0" w:space="0" w:color="auto"/>
                <w:left w:val="none" w:sz="0" w:space="0" w:color="auto"/>
                <w:bottom w:val="none" w:sz="0" w:space="0" w:color="auto"/>
                <w:right w:val="none" w:sz="0" w:space="0" w:color="auto"/>
              </w:divBdr>
            </w:div>
          </w:divsChild>
        </w:div>
        <w:div w:id="80100912">
          <w:marLeft w:val="0"/>
          <w:marRight w:val="0"/>
          <w:marTop w:val="0"/>
          <w:marBottom w:val="0"/>
          <w:divBdr>
            <w:top w:val="none" w:sz="0" w:space="0" w:color="auto"/>
            <w:left w:val="none" w:sz="0" w:space="0" w:color="auto"/>
            <w:bottom w:val="none" w:sz="0" w:space="0" w:color="auto"/>
            <w:right w:val="none" w:sz="0" w:space="0" w:color="auto"/>
          </w:divBdr>
          <w:divsChild>
            <w:div w:id="954606074">
              <w:marLeft w:val="0"/>
              <w:marRight w:val="0"/>
              <w:marTop w:val="0"/>
              <w:marBottom w:val="0"/>
              <w:divBdr>
                <w:top w:val="none" w:sz="0" w:space="0" w:color="auto"/>
                <w:left w:val="none" w:sz="0" w:space="0" w:color="auto"/>
                <w:bottom w:val="none" w:sz="0" w:space="0" w:color="auto"/>
                <w:right w:val="none" w:sz="0" w:space="0" w:color="auto"/>
              </w:divBdr>
            </w:div>
          </w:divsChild>
        </w:div>
        <w:div w:id="83575488">
          <w:marLeft w:val="0"/>
          <w:marRight w:val="0"/>
          <w:marTop w:val="0"/>
          <w:marBottom w:val="0"/>
          <w:divBdr>
            <w:top w:val="none" w:sz="0" w:space="0" w:color="auto"/>
            <w:left w:val="none" w:sz="0" w:space="0" w:color="auto"/>
            <w:bottom w:val="none" w:sz="0" w:space="0" w:color="auto"/>
            <w:right w:val="none" w:sz="0" w:space="0" w:color="auto"/>
          </w:divBdr>
          <w:divsChild>
            <w:div w:id="1635679267">
              <w:marLeft w:val="0"/>
              <w:marRight w:val="0"/>
              <w:marTop w:val="0"/>
              <w:marBottom w:val="0"/>
              <w:divBdr>
                <w:top w:val="none" w:sz="0" w:space="0" w:color="auto"/>
                <w:left w:val="none" w:sz="0" w:space="0" w:color="auto"/>
                <w:bottom w:val="none" w:sz="0" w:space="0" w:color="auto"/>
                <w:right w:val="none" w:sz="0" w:space="0" w:color="auto"/>
              </w:divBdr>
            </w:div>
          </w:divsChild>
        </w:div>
        <w:div w:id="215549110">
          <w:marLeft w:val="0"/>
          <w:marRight w:val="0"/>
          <w:marTop w:val="0"/>
          <w:marBottom w:val="0"/>
          <w:divBdr>
            <w:top w:val="none" w:sz="0" w:space="0" w:color="auto"/>
            <w:left w:val="none" w:sz="0" w:space="0" w:color="auto"/>
            <w:bottom w:val="none" w:sz="0" w:space="0" w:color="auto"/>
            <w:right w:val="none" w:sz="0" w:space="0" w:color="auto"/>
          </w:divBdr>
          <w:divsChild>
            <w:div w:id="1587417860">
              <w:marLeft w:val="0"/>
              <w:marRight w:val="0"/>
              <w:marTop w:val="0"/>
              <w:marBottom w:val="0"/>
              <w:divBdr>
                <w:top w:val="none" w:sz="0" w:space="0" w:color="auto"/>
                <w:left w:val="none" w:sz="0" w:space="0" w:color="auto"/>
                <w:bottom w:val="none" w:sz="0" w:space="0" w:color="auto"/>
                <w:right w:val="none" w:sz="0" w:space="0" w:color="auto"/>
              </w:divBdr>
            </w:div>
          </w:divsChild>
        </w:div>
        <w:div w:id="265769259">
          <w:marLeft w:val="0"/>
          <w:marRight w:val="0"/>
          <w:marTop w:val="0"/>
          <w:marBottom w:val="0"/>
          <w:divBdr>
            <w:top w:val="none" w:sz="0" w:space="0" w:color="auto"/>
            <w:left w:val="none" w:sz="0" w:space="0" w:color="auto"/>
            <w:bottom w:val="none" w:sz="0" w:space="0" w:color="auto"/>
            <w:right w:val="none" w:sz="0" w:space="0" w:color="auto"/>
          </w:divBdr>
          <w:divsChild>
            <w:div w:id="622688288">
              <w:marLeft w:val="0"/>
              <w:marRight w:val="0"/>
              <w:marTop w:val="0"/>
              <w:marBottom w:val="0"/>
              <w:divBdr>
                <w:top w:val="none" w:sz="0" w:space="0" w:color="auto"/>
                <w:left w:val="none" w:sz="0" w:space="0" w:color="auto"/>
                <w:bottom w:val="none" w:sz="0" w:space="0" w:color="auto"/>
                <w:right w:val="none" w:sz="0" w:space="0" w:color="auto"/>
              </w:divBdr>
            </w:div>
          </w:divsChild>
        </w:div>
        <w:div w:id="285816811">
          <w:marLeft w:val="0"/>
          <w:marRight w:val="0"/>
          <w:marTop w:val="0"/>
          <w:marBottom w:val="0"/>
          <w:divBdr>
            <w:top w:val="none" w:sz="0" w:space="0" w:color="auto"/>
            <w:left w:val="none" w:sz="0" w:space="0" w:color="auto"/>
            <w:bottom w:val="none" w:sz="0" w:space="0" w:color="auto"/>
            <w:right w:val="none" w:sz="0" w:space="0" w:color="auto"/>
          </w:divBdr>
          <w:divsChild>
            <w:div w:id="1457063403">
              <w:marLeft w:val="0"/>
              <w:marRight w:val="0"/>
              <w:marTop w:val="0"/>
              <w:marBottom w:val="0"/>
              <w:divBdr>
                <w:top w:val="none" w:sz="0" w:space="0" w:color="auto"/>
                <w:left w:val="none" w:sz="0" w:space="0" w:color="auto"/>
                <w:bottom w:val="none" w:sz="0" w:space="0" w:color="auto"/>
                <w:right w:val="none" w:sz="0" w:space="0" w:color="auto"/>
              </w:divBdr>
            </w:div>
          </w:divsChild>
        </w:div>
        <w:div w:id="349962277">
          <w:marLeft w:val="0"/>
          <w:marRight w:val="0"/>
          <w:marTop w:val="0"/>
          <w:marBottom w:val="0"/>
          <w:divBdr>
            <w:top w:val="none" w:sz="0" w:space="0" w:color="auto"/>
            <w:left w:val="none" w:sz="0" w:space="0" w:color="auto"/>
            <w:bottom w:val="none" w:sz="0" w:space="0" w:color="auto"/>
            <w:right w:val="none" w:sz="0" w:space="0" w:color="auto"/>
          </w:divBdr>
          <w:divsChild>
            <w:div w:id="1191139702">
              <w:marLeft w:val="0"/>
              <w:marRight w:val="0"/>
              <w:marTop w:val="0"/>
              <w:marBottom w:val="0"/>
              <w:divBdr>
                <w:top w:val="none" w:sz="0" w:space="0" w:color="auto"/>
                <w:left w:val="none" w:sz="0" w:space="0" w:color="auto"/>
                <w:bottom w:val="none" w:sz="0" w:space="0" w:color="auto"/>
                <w:right w:val="none" w:sz="0" w:space="0" w:color="auto"/>
              </w:divBdr>
            </w:div>
          </w:divsChild>
        </w:div>
        <w:div w:id="351345414">
          <w:marLeft w:val="0"/>
          <w:marRight w:val="0"/>
          <w:marTop w:val="0"/>
          <w:marBottom w:val="0"/>
          <w:divBdr>
            <w:top w:val="none" w:sz="0" w:space="0" w:color="auto"/>
            <w:left w:val="none" w:sz="0" w:space="0" w:color="auto"/>
            <w:bottom w:val="none" w:sz="0" w:space="0" w:color="auto"/>
            <w:right w:val="none" w:sz="0" w:space="0" w:color="auto"/>
          </w:divBdr>
          <w:divsChild>
            <w:div w:id="337655922">
              <w:marLeft w:val="0"/>
              <w:marRight w:val="0"/>
              <w:marTop w:val="0"/>
              <w:marBottom w:val="0"/>
              <w:divBdr>
                <w:top w:val="none" w:sz="0" w:space="0" w:color="auto"/>
                <w:left w:val="none" w:sz="0" w:space="0" w:color="auto"/>
                <w:bottom w:val="none" w:sz="0" w:space="0" w:color="auto"/>
                <w:right w:val="none" w:sz="0" w:space="0" w:color="auto"/>
              </w:divBdr>
            </w:div>
          </w:divsChild>
        </w:div>
        <w:div w:id="483399318">
          <w:marLeft w:val="0"/>
          <w:marRight w:val="0"/>
          <w:marTop w:val="0"/>
          <w:marBottom w:val="0"/>
          <w:divBdr>
            <w:top w:val="none" w:sz="0" w:space="0" w:color="auto"/>
            <w:left w:val="none" w:sz="0" w:space="0" w:color="auto"/>
            <w:bottom w:val="none" w:sz="0" w:space="0" w:color="auto"/>
            <w:right w:val="none" w:sz="0" w:space="0" w:color="auto"/>
          </w:divBdr>
          <w:divsChild>
            <w:div w:id="1195313820">
              <w:marLeft w:val="0"/>
              <w:marRight w:val="0"/>
              <w:marTop w:val="0"/>
              <w:marBottom w:val="0"/>
              <w:divBdr>
                <w:top w:val="none" w:sz="0" w:space="0" w:color="auto"/>
                <w:left w:val="none" w:sz="0" w:space="0" w:color="auto"/>
                <w:bottom w:val="none" w:sz="0" w:space="0" w:color="auto"/>
                <w:right w:val="none" w:sz="0" w:space="0" w:color="auto"/>
              </w:divBdr>
            </w:div>
          </w:divsChild>
        </w:div>
        <w:div w:id="487289192">
          <w:marLeft w:val="0"/>
          <w:marRight w:val="0"/>
          <w:marTop w:val="0"/>
          <w:marBottom w:val="0"/>
          <w:divBdr>
            <w:top w:val="none" w:sz="0" w:space="0" w:color="auto"/>
            <w:left w:val="none" w:sz="0" w:space="0" w:color="auto"/>
            <w:bottom w:val="none" w:sz="0" w:space="0" w:color="auto"/>
            <w:right w:val="none" w:sz="0" w:space="0" w:color="auto"/>
          </w:divBdr>
          <w:divsChild>
            <w:div w:id="753548413">
              <w:marLeft w:val="0"/>
              <w:marRight w:val="0"/>
              <w:marTop w:val="0"/>
              <w:marBottom w:val="0"/>
              <w:divBdr>
                <w:top w:val="none" w:sz="0" w:space="0" w:color="auto"/>
                <w:left w:val="none" w:sz="0" w:space="0" w:color="auto"/>
                <w:bottom w:val="none" w:sz="0" w:space="0" w:color="auto"/>
                <w:right w:val="none" w:sz="0" w:space="0" w:color="auto"/>
              </w:divBdr>
            </w:div>
          </w:divsChild>
        </w:div>
        <w:div w:id="511578043">
          <w:marLeft w:val="0"/>
          <w:marRight w:val="0"/>
          <w:marTop w:val="0"/>
          <w:marBottom w:val="0"/>
          <w:divBdr>
            <w:top w:val="none" w:sz="0" w:space="0" w:color="auto"/>
            <w:left w:val="none" w:sz="0" w:space="0" w:color="auto"/>
            <w:bottom w:val="none" w:sz="0" w:space="0" w:color="auto"/>
            <w:right w:val="none" w:sz="0" w:space="0" w:color="auto"/>
          </w:divBdr>
          <w:divsChild>
            <w:div w:id="23094300">
              <w:marLeft w:val="0"/>
              <w:marRight w:val="0"/>
              <w:marTop w:val="0"/>
              <w:marBottom w:val="0"/>
              <w:divBdr>
                <w:top w:val="none" w:sz="0" w:space="0" w:color="auto"/>
                <w:left w:val="none" w:sz="0" w:space="0" w:color="auto"/>
                <w:bottom w:val="none" w:sz="0" w:space="0" w:color="auto"/>
                <w:right w:val="none" w:sz="0" w:space="0" w:color="auto"/>
              </w:divBdr>
            </w:div>
          </w:divsChild>
        </w:div>
        <w:div w:id="512377144">
          <w:marLeft w:val="0"/>
          <w:marRight w:val="0"/>
          <w:marTop w:val="0"/>
          <w:marBottom w:val="0"/>
          <w:divBdr>
            <w:top w:val="none" w:sz="0" w:space="0" w:color="auto"/>
            <w:left w:val="none" w:sz="0" w:space="0" w:color="auto"/>
            <w:bottom w:val="none" w:sz="0" w:space="0" w:color="auto"/>
            <w:right w:val="none" w:sz="0" w:space="0" w:color="auto"/>
          </w:divBdr>
          <w:divsChild>
            <w:div w:id="790519955">
              <w:marLeft w:val="0"/>
              <w:marRight w:val="0"/>
              <w:marTop w:val="0"/>
              <w:marBottom w:val="0"/>
              <w:divBdr>
                <w:top w:val="none" w:sz="0" w:space="0" w:color="auto"/>
                <w:left w:val="none" w:sz="0" w:space="0" w:color="auto"/>
                <w:bottom w:val="none" w:sz="0" w:space="0" w:color="auto"/>
                <w:right w:val="none" w:sz="0" w:space="0" w:color="auto"/>
              </w:divBdr>
            </w:div>
          </w:divsChild>
        </w:div>
        <w:div w:id="572010840">
          <w:marLeft w:val="0"/>
          <w:marRight w:val="0"/>
          <w:marTop w:val="0"/>
          <w:marBottom w:val="0"/>
          <w:divBdr>
            <w:top w:val="none" w:sz="0" w:space="0" w:color="auto"/>
            <w:left w:val="none" w:sz="0" w:space="0" w:color="auto"/>
            <w:bottom w:val="none" w:sz="0" w:space="0" w:color="auto"/>
            <w:right w:val="none" w:sz="0" w:space="0" w:color="auto"/>
          </w:divBdr>
          <w:divsChild>
            <w:div w:id="1206328092">
              <w:marLeft w:val="0"/>
              <w:marRight w:val="0"/>
              <w:marTop w:val="0"/>
              <w:marBottom w:val="0"/>
              <w:divBdr>
                <w:top w:val="none" w:sz="0" w:space="0" w:color="auto"/>
                <w:left w:val="none" w:sz="0" w:space="0" w:color="auto"/>
                <w:bottom w:val="none" w:sz="0" w:space="0" w:color="auto"/>
                <w:right w:val="none" w:sz="0" w:space="0" w:color="auto"/>
              </w:divBdr>
            </w:div>
          </w:divsChild>
        </w:div>
        <w:div w:id="615988497">
          <w:marLeft w:val="0"/>
          <w:marRight w:val="0"/>
          <w:marTop w:val="0"/>
          <w:marBottom w:val="0"/>
          <w:divBdr>
            <w:top w:val="none" w:sz="0" w:space="0" w:color="auto"/>
            <w:left w:val="none" w:sz="0" w:space="0" w:color="auto"/>
            <w:bottom w:val="none" w:sz="0" w:space="0" w:color="auto"/>
            <w:right w:val="none" w:sz="0" w:space="0" w:color="auto"/>
          </w:divBdr>
          <w:divsChild>
            <w:div w:id="1199397752">
              <w:marLeft w:val="0"/>
              <w:marRight w:val="0"/>
              <w:marTop w:val="0"/>
              <w:marBottom w:val="0"/>
              <w:divBdr>
                <w:top w:val="none" w:sz="0" w:space="0" w:color="auto"/>
                <w:left w:val="none" w:sz="0" w:space="0" w:color="auto"/>
                <w:bottom w:val="none" w:sz="0" w:space="0" w:color="auto"/>
                <w:right w:val="none" w:sz="0" w:space="0" w:color="auto"/>
              </w:divBdr>
            </w:div>
          </w:divsChild>
        </w:div>
        <w:div w:id="617374739">
          <w:marLeft w:val="0"/>
          <w:marRight w:val="0"/>
          <w:marTop w:val="0"/>
          <w:marBottom w:val="0"/>
          <w:divBdr>
            <w:top w:val="none" w:sz="0" w:space="0" w:color="auto"/>
            <w:left w:val="none" w:sz="0" w:space="0" w:color="auto"/>
            <w:bottom w:val="none" w:sz="0" w:space="0" w:color="auto"/>
            <w:right w:val="none" w:sz="0" w:space="0" w:color="auto"/>
          </w:divBdr>
          <w:divsChild>
            <w:div w:id="1453129779">
              <w:marLeft w:val="0"/>
              <w:marRight w:val="0"/>
              <w:marTop w:val="0"/>
              <w:marBottom w:val="0"/>
              <w:divBdr>
                <w:top w:val="none" w:sz="0" w:space="0" w:color="auto"/>
                <w:left w:val="none" w:sz="0" w:space="0" w:color="auto"/>
                <w:bottom w:val="none" w:sz="0" w:space="0" w:color="auto"/>
                <w:right w:val="none" w:sz="0" w:space="0" w:color="auto"/>
              </w:divBdr>
            </w:div>
          </w:divsChild>
        </w:div>
        <w:div w:id="680468927">
          <w:marLeft w:val="0"/>
          <w:marRight w:val="0"/>
          <w:marTop w:val="0"/>
          <w:marBottom w:val="0"/>
          <w:divBdr>
            <w:top w:val="none" w:sz="0" w:space="0" w:color="auto"/>
            <w:left w:val="none" w:sz="0" w:space="0" w:color="auto"/>
            <w:bottom w:val="none" w:sz="0" w:space="0" w:color="auto"/>
            <w:right w:val="none" w:sz="0" w:space="0" w:color="auto"/>
          </w:divBdr>
          <w:divsChild>
            <w:div w:id="521208233">
              <w:marLeft w:val="0"/>
              <w:marRight w:val="0"/>
              <w:marTop w:val="0"/>
              <w:marBottom w:val="0"/>
              <w:divBdr>
                <w:top w:val="none" w:sz="0" w:space="0" w:color="auto"/>
                <w:left w:val="none" w:sz="0" w:space="0" w:color="auto"/>
                <w:bottom w:val="none" w:sz="0" w:space="0" w:color="auto"/>
                <w:right w:val="none" w:sz="0" w:space="0" w:color="auto"/>
              </w:divBdr>
            </w:div>
          </w:divsChild>
        </w:div>
        <w:div w:id="751436325">
          <w:marLeft w:val="0"/>
          <w:marRight w:val="0"/>
          <w:marTop w:val="0"/>
          <w:marBottom w:val="0"/>
          <w:divBdr>
            <w:top w:val="none" w:sz="0" w:space="0" w:color="auto"/>
            <w:left w:val="none" w:sz="0" w:space="0" w:color="auto"/>
            <w:bottom w:val="none" w:sz="0" w:space="0" w:color="auto"/>
            <w:right w:val="none" w:sz="0" w:space="0" w:color="auto"/>
          </w:divBdr>
          <w:divsChild>
            <w:div w:id="743070964">
              <w:marLeft w:val="0"/>
              <w:marRight w:val="0"/>
              <w:marTop w:val="0"/>
              <w:marBottom w:val="0"/>
              <w:divBdr>
                <w:top w:val="none" w:sz="0" w:space="0" w:color="auto"/>
                <w:left w:val="none" w:sz="0" w:space="0" w:color="auto"/>
                <w:bottom w:val="none" w:sz="0" w:space="0" w:color="auto"/>
                <w:right w:val="none" w:sz="0" w:space="0" w:color="auto"/>
              </w:divBdr>
            </w:div>
          </w:divsChild>
        </w:div>
        <w:div w:id="817460419">
          <w:marLeft w:val="0"/>
          <w:marRight w:val="0"/>
          <w:marTop w:val="0"/>
          <w:marBottom w:val="0"/>
          <w:divBdr>
            <w:top w:val="none" w:sz="0" w:space="0" w:color="auto"/>
            <w:left w:val="none" w:sz="0" w:space="0" w:color="auto"/>
            <w:bottom w:val="none" w:sz="0" w:space="0" w:color="auto"/>
            <w:right w:val="none" w:sz="0" w:space="0" w:color="auto"/>
          </w:divBdr>
          <w:divsChild>
            <w:div w:id="1633750669">
              <w:marLeft w:val="0"/>
              <w:marRight w:val="0"/>
              <w:marTop w:val="0"/>
              <w:marBottom w:val="0"/>
              <w:divBdr>
                <w:top w:val="none" w:sz="0" w:space="0" w:color="auto"/>
                <w:left w:val="none" w:sz="0" w:space="0" w:color="auto"/>
                <w:bottom w:val="none" w:sz="0" w:space="0" w:color="auto"/>
                <w:right w:val="none" w:sz="0" w:space="0" w:color="auto"/>
              </w:divBdr>
            </w:div>
          </w:divsChild>
        </w:div>
        <w:div w:id="877739428">
          <w:marLeft w:val="0"/>
          <w:marRight w:val="0"/>
          <w:marTop w:val="0"/>
          <w:marBottom w:val="0"/>
          <w:divBdr>
            <w:top w:val="none" w:sz="0" w:space="0" w:color="auto"/>
            <w:left w:val="none" w:sz="0" w:space="0" w:color="auto"/>
            <w:bottom w:val="none" w:sz="0" w:space="0" w:color="auto"/>
            <w:right w:val="none" w:sz="0" w:space="0" w:color="auto"/>
          </w:divBdr>
          <w:divsChild>
            <w:div w:id="1107891436">
              <w:marLeft w:val="0"/>
              <w:marRight w:val="0"/>
              <w:marTop w:val="0"/>
              <w:marBottom w:val="0"/>
              <w:divBdr>
                <w:top w:val="none" w:sz="0" w:space="0" w:color="auto"/>
                <w:left w:val="none" w:sz="0" w:space="0" w:color="auto"/>
                <w:bottom w:val="none" w:sz="0" w:space="0" w:color="auto"/>
                <w:right w:val="none" w:sz="0" w:space="0" w:color="auto"/>
              </w:divBdr>
            </w:div>
          </w:divsChild>
        </w:div>
        <w:div w:id="882711929">
          <w:marLeft w:val="0"/>
          <w:marRight w:val="0"/>
          <w:marTop w:val="0"/>
          <w:marBottom w:val="0"/>
          <w:divBdr>
            <w:top w:val="none" w:sz="0" w:space="0" w:color="auto"/>
            <w:left w:val="none" w:sz="0" w:space="0" w:color="auto"/>
            <w:bottom w:val="none" w:sz="0" w:space="0" w:color="auto"/>
            <w:right w:val="none" w:sz="0" w:space="0" w:color="auto"/>
          </w:divBdr>
          <w:divsChild>
            <w:div w:id="719745584">
              <w:marLeft w:val="0"/>
              <w:marRight w:val="0"/>
              <w:marTop w:val="0"/>
              <w:marBottom w:val="0"/>
              <w:divBdr>
                <w:top w:val="none" w:sz="0" w:space="0" w:color="auto"/>
                <w:left w:val="none" w:sz="0" w:space="0" w:color="auto"/>
                <w:bottom w:val="none" w:sz="0" w:space="0" w:color="auto"/>
                <w:right w:val="none" w:sz="0" w:space="0" w:color="auto"/>
              </w:divBdr>
            </w:div>
          </w:divsChild>
        </w:div>
        <w:div w:id="888146132">
          <w:marLeft w:val="0"/>
          <w:marRight w:val="0"/>
          <w:marTop w:val="0"/>
          <w:marBottom w:val="0"/>
          <w:divBdr>
            <w:top w:val="none" w:sz="0" w:space="0" w:color="auto"/>
            <w:left w:val="none" w:sz="0" w:space="0" w:color="auto"/>
            <w:bottom w:val="none" w:sz="0" w:space="0" w:color="auto"/>
            <w:right w:val="none" w:sz="0" w:space="0" w:color="auto"/>
          </w:divBdr>
          <w:divsChild>
            <w:div w:id="33700589">
              <w:marLeft w:val="0"/>
              <w:marRight w:val="0"/>
              <w:marTop w:val="0"/>
              <w:marBottom w:val="0"/>
              <w:divBdr>
                <w:top w:val="none" w:sz="0" w:space="0" w:color="auto"/>
                <w:left w:val="none" w:sz="0" w:space="0" w:color="auto"/>
                <w:bottom w:val="none" w:sz="0" w:space="0" w:color="auto"/>
                <w:right w:val="none" w:sz="0" w:space="0" w:color="auto"/>
              </w:divBdr>
            </w:div>
          </w:divsChild>
        </w:div>
        <w:div w:id="951670992">
          <w:marLeft w:val="0"/>
          <w:marRight w:val="0"/>
          <w:marTop w:val="0"/>
          <w:marBottom w:val="0"/>
          <w:divBdr>
            <w:top w:val="none" w:sz="0" w:space="0" w:color="auto"/>
            <w:left w:val="none" w:sz="0" w:space="0" w:color="auto"/>
            <w:bottom w:val="none" w:sz="0" w:space="0" w:color="auto"/>
            <w:right w:val="none" w:sz="0" w:space="0" w:color="auto"/>
          </w:divBdr>
          <w:divsChild>
            <w:div w:id="1249727122">
              <w:marLeft w:val="0"/>
              <w:marRight w:val="0"/>
              <w:marTop w:val="0"/>
              <w:marBottom w:val="0"/>
              <w:divBdr>
                <w:top w:val="none" w:sz="0" w:space="0" w:color="auto"/>
                <w:left w:val="none" w:sz="0" w:space="0" w:color="auto"/>
                <w:bottom w:val="none" w:sz="0" w:space="0" w:color="auto"/>
                <w:right w:val="none" w:sz="0" w:space="0" w:color="auto"/>
              </w:divBdr>
            </w:div>
          </w:divsChild>
        </w:div>
        <w:div w:id="960958734">
          <w:marLeft w:val="0"/>
          <w:marRight w:val="0"/>
          <w:marTop w:val="0"/>
          <w:marBottom w:val="0"/>
          <w:divBdr>
            <w:top w:val="none" w:sz="0" w:space="0" w:color="auto"/>
            <w:left w:val="none" w:sz="0" w:space="0" w:color="auto"/>
            <w:bottom w:val="none" w:sz="0" w:space="0" w:color="auto"/>
            <w:right w:val="none" w:sz="0" w:space="0" w:color="auto"/>
          </w:divBdr>
          <w:divsChild>
            <w:div w:id="408887984">
              <w:marLeft w:val="0"/>
              <w:marRight w:val="0"/>
              <w:marTop w:val="0"/>
              <w:marBottom w:val="0"/>
              <w:divBdr>
                <w:top w:val="none" w:sz="0" w:space="0" w:color="auto"/>
                <w:left w:val="none" w:sz="0" w:space="0" w:color="auto"/>
                <w:bottom w:val="none" w:sz="0" w:space="0" w:color="auto"/>
                <w:right w:val="none" w:sz="0" w:space="0" w:color="auto"/>
              </w:divBdr>
            </w:div>
          </w:divsChild>
        </w:div>
        <w:div w:id="1237781147">
          <w:marLeft w:val="0"/>
          <w:marRight w:val="0"/>
          <w:marTop w:val="0"/>
          <w:marBottom w:val="0"/>
          <w:divBdr>
            <w:top w:val="none" w:sz="0" w:space="0" w:color="auto"/>
            <w:left w:val="none" w:sz="0" w:space="0" w:color="auto"/>
            <w:bottom w:val="none" w:sz="0" w:space="0" w:color="auto"/>
            <w:right w:val="none" w:sz="0" w:space="0" w:color="auto"/>
          </w:divBdr>
          <w:divsChild>
            <w:div w:id="969632170">
              <w:marLeft w:val="0"/>
              <w:marRight w:val="0"/>
              <w:marTop w:val="0"/>
              <w:marBottom w:val="0"/>
              <w:divBdr>
                <w:top w:val="none" w:sz="0" w:space="0" w:color="auto"/>
                <w:left w:val="none" w:sz="0" w:space="0" w:color="auto"/>
                <w:bottom w:val="none" w:sz="0" w:space="0" w:color="auto"/>
                <w:right w:val="none" w:sz="0" w:space="0" w:color="auto"/>
              </w:divBdr>
            </w:div>
          </w:divsChild>
        </w:div>
        <w:div w:id="1305086753">
          <w:marLeft w:val="0"/>
          <w:marRight w:val="0"/>
          <w:marTop w:val="0"/>
          <w:marBottom w:val="0"/>
          <w:divBdr>
            <w:top w:val="none" w:sz="0" w:space="0" w:color="auto"/>
            <w:left w:val="none" w:sz="0" w:space="0" w:color="auto"/>
            <w:bottom w:val="none" w:sz="0" w:space="0" w:color="auto"/>
            <w:right w:val="none" w:sz="0" w:space="0" w:color="auto"/>
          </w:divBdr>
          <w:divsChild>
            <w:div w:id="370763929">
              <w:marLeft w:val="0"/>
              <w:marRight w:val="0"/>
              <w:marTop w:val="0"/>
              <w:marBottom w:val="0"/>
              <w:divBdr>
                <w:top w:val="none" w:sz="0" w:space="0" w:color="auto"/>
                <w:left w:val="none" w:sz="0" w:space="0" w:color="auto"/>
                <w:bottom w:val="none" w:sz="0" w:space="0" w:color="auto"/>
                <w:right w:val="none" w:sz="0" w:space="0" w:color="auto"/>
              </w:divBdr>
            </w:div>
          </w:divsChild>
        </w:div>
        <w:div w:id="1321809034">
          <w:marLeft w:val="0"/>
          <w:marRight w:val="0"/>
          <w:marTop w:val="0"/>
          <w:marBottom w:val="0"/>
          <w:divBdr>
            <w:top w:val="none" w:sz="0" w:space="0" w:color="auto"/>
            <w:left w:val="none" w:sz="0" w:space="0" w:color="auto"/>
            <w:bottom w:val="none" w:sz="0" w:space="0" w:color="auto"/>
            <w:right w:val="none" w:sz="0" w:space="0" w:color="auto"/>
          </w:divBdr>
          <w:divsChild>
            <w:div w:id="290864261">
              <w:marLeft w:val="0"/>
              <w:marRight w:val="0"/>
              <w:marTop w:val="0"/>
              <w:marBottom w:val="0"/>
              <w:divBdr>
                <w:top w:val="none" w:sz="0" w:space="0" w:color="auto"/>
                <w:left w:val="none" w:sz="0" w:space="0" w:color="auto"/>
                <w:bottom w:val="none" w:sz="0" w:space="0" w:color="auto"/>
                <w:right w:val="none" w:sz="0" w:space="0" w:color="auto"/>
              </w:divBdr>
            </w:div>
          </w:divsChild>
        </w:div>
        <w:div w:id="1404257568">
          <w:marLeft w:val="0"/>
          <w:marRight w:val="0"/>
          <w:marTop w:val="0"/>
          <w:marBottom w:val="0"/>
          <w:divBdr>
            <w:top w:val="none" w:sz="0" w:space="0" w:color="auto"/>
            <w:left w:val="none" w:sz="0" w:space="0" w:color="auto"/>
            <w:bottom w:val="none" w:sz="0" w:space="0" w:color="auto"/>
            <w:right w:val="none" w:sz="0" w:space="0" w:color="auto"/>
          </w:divBdr>
          <w:divsChild>
            <w:div w:id="1284115355">
              <w:marLeft w:val="0"/>
              <w:marRight w:val="0"/>
              <w:marTop w:val="0"/>
              <w:marBottom w:val="0"/>
              <w:divBdr>
                <w:top w:val="none" w:sz="0" w:space="0" w:color="auto"/>
                <w:left w:val="none" w:sz="0" w:space="0" w:color="auto"/>
                <w:bottom w:val="none" w:sz="0" w:space="0" w:color="auto"/>
                <w:right w:val="none" w:sz="0" w:space="0" w:color="auto"/>
              </w:divBdr>
            </w:div>
          </w:divsChild>
        </w:div>
        <w:div w:id="1570652039">
          <w:marLeft w:val="0"/>
          <w:marRight w:val="0"/>
          <w:marTop w:val="0"/>
          <w:marBottom w:val="0"/>
          <w:divBdr>
            <w:top w:val="none" w:sz="0" w:space="0" w:color="auto"/>
            <w:left w:val="none" w:sz="0" w:space="0" w:color="auto"/>
            <w:bottom w:val="none" w:sz="0" w:space="0" w:color="auto"/>
            <w:right w:val="none" w:sz="0" w:space="0" w:color="auto"/>
          </w:divBdr>
          <w:divsChild>
            <w:div w:id="1901551862">
              <w:marLeft w:val="0"/>
              <w:marRight w:val="0"/>
              <w:marTop w:val="0"/>
              <w:marBottom w:val="0"/>
              <w:divBdr>
                <w:top w:val="none" w:sz="0" w:space="0" w:color="auto"/>
                <w:left w:val="none" w:sz="0" w:space="0" w:color="auto"/>
                <w:bottom w:val="none" w:sz="0" w:space="0" w:color="auto"/>
                <w:right w:val="none" w:sz="0" w:space="0" w:color="auto"/>
              </w:divBdr>
            </w:div>
          </w:divsChild>
        </w:div>
        <w:div w:id="1588880816">
          <w:marLeft w:val="0"/>
          <w:marRight w:val="0"/>
          <w:marTop w:val="0"/>
          <w:marBottom w:val="0"/>
          <w:divBdr>
            <w:top w:val="none" w:sz="0" w:space="0" w:color="auto"/>
            <w:left w:val="none" w:sz="0" w:space="0" w:color="auto"/>
            <w:bottom w:val="none" w:sz="0" w:space="0" w:color="auto"/>
            <w:right w:val="none" w:sz="0" w:space="0" w:color="auto"/>
          </w:divBdr>
          <w:divsChild>
            <w:div w:id="429855641">
              <w:marLeft w:val="0"/>
              <w:marRight w:val="0"/>
              <w:marTop w:val="0"/>
              <w:marBottom w:val="0"/>
              <w:divBdr>
                <w:top w:val="none" w:sz="0" w:space="0" w:color="auto"/>
                <w:left w:val="none" w:sz="0" w:space="0" w:color="auto"/>
                <w:bottom w:val="none" w:sz="0" w:space="0" w:color="auto"/>
                <w:right w:val="none" w:sz="0" w:space="0" w:color="auto"/>
              </w:divBdr>
            </w:div>
          </w:divsChild>
        </w:div>
        <w:div w:id="1636256054">
          <w:marLeft w:val="0"/>
          <w:marRight w:val="0"/>
          <w:marTop w:val="0"/>
          <w:marBottom w:val="0"/>
          <w:divBdr>
            <w:top w:val="none" w:sz="0" w:space="0" w:color="auto"/>
            <w:left w:val="none" w:sz="0" w:space="0" w:color="auto"/>
            <w:bottom w:val="none" w:sz="0" w:space="0" w:color="auto"/>
            <w:right w:val="none" w:sz="0" w:space="0" w:color="auto"/>
          </w:divBdr>
          <w:divsChild>
            <w:div w:id="324358439">
              <w:marLeft w:val="0"/>
              <w:marRight w:val="0"/>
              <w:marTop w:val="0"/>
              <w:marBottom w:val="0"/>
              <w:divBdr>
                <w:top w:val="none" w:sz="0" w:space="0" w:color="auto"/>
                <w:left w:val="none" w:sz="0" w:space="0" w:color="auto"/>
                <w:bottom w:val="none" w:sz="0" w:space="0" w:color="auto"/>
                <w:right w:val="none" w:sz="0" w:space="0" w:color="auto"/>
              </w:divBdr>
            </w:div>
          </w:divsChild>
        </w:div>
        <w:div w:id="1793862906">
          <w:marLeft w:val="0"/>
          <w:marRight w:val="0"/>
          <w:marTop w:val="0"/>
          <w:marBottom w:val="0"/>
          <w:divBdr>
            <w:top w:val="none" w:sz="0" w:space="0" w:color="auto"/>
            <w:left w:val="none" w:sz="0" w:space="0" w:color="auto"/>
            <w:bottom w:val="none" w:sz="0" w:space="0" w:color="auto"/>
            <w:right w:val="none" w:sz="0" w:space="0" w:color="auto"/>
          </w:divBdr>
          <w:divsChild>
            <w:div w:id="1017468023">
              <w:marLeft w:val="0"/>
              <w:marRight w:val="0"/>
              <w:marTop w:val="0"/>
              <w:marBottom w:val="0"/>
              <w:divBdr>
                <w:top w:val="none" w:sz="0" w:space="0" w:color="auto"/>
                <w:left w:val="none" w:sz="0" w:space="0" w:color="auto"/>
                <w:bottom w:val="none" w:sz="0" w:space="0" w:color="auto"/>
                <w:right w:val="none" w:sz="0" w:space="0" w:color="auto"/>
              </w:divBdr>
            </w:div>
          </w:divsChild>
        </w:div>
        <w:div w:id="1821919371">
          <w:marLeft w:val="0"/>
          <w:marRight w:val="0"/>
          <w:marTop w:val="0"/>
          <w:marBottom w:val="0"/>
          <w:divBdr>
            <w:top w:val="none" w:sz="0" w:space="0" w:color="auto"/>
            <w:left w:val="none" w:sz="0" w:space="0" w:color="auto"/>
            <w:bottom w:val="none" w:sz="0" w:space="0" w:color="auto"/>
            <w:right w:val="none" w:sz="0" w:space="0" w:color="auto"/>
          </w:divBdr>
          <w:divsChild>
            <w:div w:id="902641687">
              <w:marLeft w:val="0"/>
              <w:marRight w:val="0"/>
              <w:marTop w:val="0"/>
              <w:marBottom w:val="0"/>
              <w:divBdr>
                <w:top w:val="none" w:sz="0" w:space="0" w:color="auto"/>
                <w:left w:val="none" w:sz="0" w:space="0" w:color="auto"/>
                <w:bottom w:val="none" w:sz="0" w:space="0" w:color="auto"/>
                <w:right w:val="none" w:sz="0" w:space="0" w:color="auto"/>
              </w:divBdr>
            </w:div>
          </w:divsChild>
        </w:div>
        <w:div w:id="1992052563">
          <w:marLeft w:val="0"/>
          <w:marRight w:val="0"/>
          <w:marTop w:val="0"/>
          <w:marBottom w:val="0"/>
          <w:divBdr>
            <w:top w:val="none" w:sz="0" w:space="0" w:color="auto"/>
            <w:left w:val="none" w:sz="0" w:space="0" w:color="auto"/>
            <w:bottom w:val="none" w:sz="0" w:space="0" w:color="auto"/>
            <w:right w:val="none" w:sz="0" w:space="0" w:color="auto"/>
          </w:divBdr>
          <w:divsChild>
            <w:div w:id="1654524785">
              <w:marLeft w:val="0"/>
              <w:marRight w:val="0"/>
              <w:marTop w:val="0"/>
              <w:marBottom w:val="0"/>
              <w:divBdr>
                <w:top w:val="none" w:sz="0" w:space="0" w:color="auto"/>
                <w:left w:val="none" w:sz="0" w:space="0" w:color="auto"/>
                <w:bottom w:val="none" w:sz="0" w:space="0" w:color="auto"/>
                <w:right w:val="none" w:sz="0" w:space="0" w:color="auto"/>
              </w:divBdr>
            </w:div>
          </w:divsChild>
        </w:div>
        <w:div w:id="2002272537">
          <w:marLeft w:val="0"/>
          <w:marRight w:val="0"/>
          <w:marTop w:val="0"/>
          <w:marBottom w:val="0"/>
          <w:divBdr>
            <w:top w:val="none" w:sz="0" w:space="0" w:color="auto"/>
            <w:left w:val="none" w:sz="0" w:space="0" w:color="auto"/>
            <w:bottom w:val="none" w:sz="0" w:space="0" w:color="auto"/>
            <w:right w:val="none" w:sz="0" w:space="0" w:color="auto"/>
          </w:divBdr>
          <w:divsChild>
            <w:div w:id="832645189">
              <w:marLeft w:val="0"/>
              <w:marRight w:val="0"/>
              <w:marTop w:val="0"/>
              <w:marBottom w:val="0"/>
              <w:divBdr>
                <w:top w:val="none" w:sz="0" w:space="0" w:color="auto"/>
                <w:left w:val="none" w:sz="0" w:space="0" w:color="auto"/>
                <w:bottom w:val="none" w:sz="0" w:space="0" w:color="auto"/>
                <w:right w:val="none" w:sz="0" w:space="0" w:color="auto"/>
              </w:divBdr>
            </w:div>
          </w:divsChild>
        </w:div>
        <w:div w:id="2052608593">
          <w:marLeft w:val="0"/>
          <w:marRight w:val="0"/>
          <w:marTop w:val="0"/>
          <w:marBottom w:val="0"/>
          <w:divBdr>
            <w:top w:val="none" w:sz="0" w:space="0" w:color="auto"/>
            <w:left w:val="none" w:sz="0" w:space="0" w:color="auto"/>
            <w:bottom w:val="none" w:sz="0" w:space="0" w:color="auto"/>
            <w:right w:val="none" w:sz="0" w:space="0" w:color="auto"/>
          </w:divBdr>
          <w:divsChild>
            <w:div w:id="1407848556">
              <w:marLeft w:val="0"/>
              <w:marRight w:val="0"/>
              <w:marTop w:val="0"/>
              <w:marBottom w:val="0"/>
              <w:divBdr>
                <w:top w:val="none" w:sz="0" w:space="0" w:color="auto"/>
                <w:left w:val="none" w:sz="0" w:space="0" w:color="auto"/>
                <w:bottom w:val="none" w:sz="0" w:space="0" w:color="auto"/>
                <w:right w:val="none" w:sz="0" w:space="0" w:color="auto"/>
              </w:divBdr>
            </w:div>
          </w:divsChild>
        </w:div>
        <w:div w:id="2138404394">
          <w:marLeft w:val="0"/>
          <w:marRight w:val="0"/>
          <w:marTop w:val="0"/>
          <w:marBottom w:val="0"/>
          <w:divBdr>
            <w:top w:val="none" w:sz="0" w:space="0" w:color="auto"/>
            <w:left w:val="none" w:sz="0" w:space="0" w:color="auto"/>
            <w:bottom w:val="none" w:sz="0" w:space="0" w:color="auto"/>
            <w:right w:val="none" w:sz="0" w:space="0" w:color="auto"/>
          </w:divBdr>
          <w:divsChild>
            <w:div w:id="106792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121017">
      <w:bodyDiv w:val="1"/>
      <w:marLeft w:val="0"/>
      <w:marRight w:val="0"/>
      <w:marTop w:val="0"/>
      <w:marBottom w:val="0"/>
      <w:divBdr>
        <w:top w:val="none" w:sz="0" w:space="0" w:color="auto"/>
        <w:left w:val="none" w:sz="0" w:space="0" w:color="auto"/>
        <w:bottom w:val="none" w:sz="0" w:space="0" w:color="auto"/>
        <w:right w:val="none" w:sz="0" w:space="0" w:color="auto"/>
      </w:divBdr>
    </w:div>
    <w:div w:id="1793865630">
      <w:bodyDiv w:val="1"/>
      <w:marLeft w:val="0"/>
      <w:marRight w:val="0"/>
      <w:marTop w:val="0"/>
      <w:marBottom w:val="0"/>
      <w:divBdr>
        <w:top w:val="none" w:sz="0" w:space="0" w:color="auto"/>
        <w:left w:val="none" w:sz="0" w:space="0" w:color="auto"/>
        <w:bottom w:val="none" w:sz="0" w:space="0" w:color="auto"/>
        <w:right w:val="none" w:sz="0" w:space="0" w:color="auto"/>
      </w:divBdr>
    </w:div>
    <w:div w:id="1808861339">
      <w:bodyDiv w:val="1"/>
      <w:marLeft w:val="0"/>
      <w:marRight w:val="0"/>
      <w:marTop w:val="0"/>
      <w:marBottom w:val="0"/>
      <w:divBdr>
        <w:top w:val="none" w:sz="0" w:space="0" w:color="auto"/>
        <w:left w:val="none" w:sz="0" w:space="0" w:color="auto"/>
        <w:bottom w:val="none" w:sz="0" w:space="0" w:color="auto"/>
        <w:right w:val="none" w:sz="0" w:space="0" w:color="auto"/>
      </w:divBdr>
    </w:div>
    <w:div w:id="1810705829">
      <w:bodyDiv w:val="1"/>
      <w:marLeft w:val="0"/>
      <w:marRight w:val="0"/>
      <w:marTop w:val="0"/>
      <w:marBottom w:val="0"/>
      <w:divBdr>
        <w:top w:val="none" w:sz="0" w:space="0" w:color="auto"/>
        <w:left w:val="none" w:sz="0" w:space="0" w:color="auto"/>
        <w:bottom w:val="none" w:sz="0" w:space="0" w:color="auto"/>
        <w:right w:val="none" w:sz="0" w:space="0" w:color="auto"/>
      </w:divBdr>
    </w:div>
    <w:div w:id="1964070805">
      <w:bodyDiv w:val="1"/>
      <w:marLeft w:val="0"/>
      <w:marRight w:val="0"/>
      <w:marTop w:val="0"/>
      <w:marBottom w:val="0"/>
      <w:divBdr>
        <w:top w:val="none" w:sz="0" w:space="0" w:color="auto"/>
        <w:left w:val="none" w:sz="0" w:space="0" w:color="auto"/>
        <w:bottom w:val="none" w:sz="0" w:space="0" w:color="auto"/>
        <w:right w:val="none" w:sz="0" w:space="0" w:color="auto"/>
      </w:divBdr>
    </w:div>
    <w:div w:id="2013293652">
      <w:bodyDiv w:val="1"/>
      <w:marLeft w:val="0"/>
      <w:marRight w:val="0"/>
      <w:marTop w:val="0"/>
      <w:marBottom w:val="0"/>
      <w:divBdr>
        <w:top w:val="none" w:sz="0" w:space="0" w:color="auto"/>
        <w:left w:val="none" w:sz="0" w:space="0" w:color="auto"/>
        <w:bottom w:val="none" w:sz="0" w:space="0" w:color="auto"/>
        <w:right w:val="none" w:sz="0" w:space="0" w:color="auto"/>
      </w:divBdr>
    </w:div>
    <w:div w:id="2037000616">
      <w:bodyDiv w:val="1"/>
      <w:marLeft w:val="0"/>
      <w:marRight w:val="0"/>
      <w:marTop w:val="0"/>
      <w:marBottom w:val="0"/>
      <w:divBdr>
        <w:top w:val="none" w:sz="0" w:space="0" w:color="auto"/>
        <w:left w:val="none" w:sz="0" w:space="0" w:color="auto"/>
        <w:bottom w:val="none" w:sz="0" w:space="0" w:color="auto"/>
        <w:right w:val="none" w:sz="0" w:space="0" w:color="auto"/>
      </w:divBdr>
    </w:div>
    <w:div w:id="2046638640">
      <w:bodyDiv w:val="1"/>
      <w:marLeft w:val="0"/>
      <w:marRight w:val="0"/>
      <w:marTop w:val="0"/>
      <w:marBottom w:val="0"/>
      <w:divBdr>
        <w:top w:val="none" w:sz="0" w:space="0" w:color="auto"/>
        <w:left w:val="none" w:sz="0" w:space="0" w:color="auto"/>
        <w:bottom w:val="none" w:sz="0" w:space="0" w:color="auto"/>
        <w:right w:val="none" w:sz="0" w:space="0" w:color="auto"/>
      </w:divBdr>
    </w:div>
    <w:div w:id="2047296202">
      <w:bodyDiv w:val="1"/>
      <w:marLeft w:val="0"/>
      <w:marRight w:val="0"/>
      <w:marTop w:val="0"/>
      <w:marBottom w:val="0"/>
      <w:divBdr>
        <w:top w:val="none" w:sz="0" w:space="0" w:color="auto"/>
        <w:left w:val="none" w:sz="0" w:space="0" w:color="auto"/>
        <w:bottom w:val="none" w:sz="0" w:space="0" w:color="auto"/>
        <w:right w:val="none" w:sz="0" w:space="0" w:color="auto"/>
      </w:divBdr>
    </w:div>
    <w:div w:id="2083403633">
      <w:bodyDiv w:val="1"/>
      <w:marLeft w:val="0"/>
      <w:marRight w:val="0"/>
      <w:marTop w:val="0"/>
      <w:marBottom w:val="0"/>
      <w:divBdr>
        <w:top w:val="none" w:sz="0" w:space="0" w:color="auto"/>
        <w:left w:val="none" w:sz="0" w:space="0" w:color="auto"/>
        <w:bottom w:val="none" w:sz="0" w:space="0" w:color="auto"/>
        <w:right w:val="none" w:sz="0" w:space="0" w:color="auto"/>
      </w:divBdr>
    </w:div>
    <w:div w:id="2089577566">
      <w:bodyDiv w:val="1"/>
      <w:marLeft w:val="0"/>
      <w:marRight w:val="0"/>
      <w:marTop w:val="0"/>
      <w:marBottom w:val="0"/>
      <w:divBdr>
        <w:top w:val="none" w:sz="0" w:space="0" w:color="auto"/>
        <w:left w:val="none" w:sz="0" w:space="0" w:color="auto"/>
        <w:bottom w:val="none" w:sz="0" w:space="0" w:color="auto"/>
        <w:right w:val="none" w:sz="0" w:space="0" w:color="auto"/>
      </w:divBdr>
    </w:div>
    <w:div w:id="2099249499">
      <w:bodyDiv w:val="1"/>
      <w:marLeft w:val="0"/>
      <w:marRight w:val="0"/>
      <w:marTop w:val="0"/>
      <w:marBottom w:val="0"/>
      <w:divBdr>
        <w:top w:val="none" w:sz="0" w:space="0" w:color="auto"/>
        <w:left w:val="none" w:sz="0" w:space="0" w:color="auto"/>
        <w:bottom w:val="none" w:sz="0" w:space="0" w:color="auto"/>
        <w:right w:val="none" w:sz="0" w:space="0" w:color="auto"/>
      </w:divBdr>
    </w:div>
    <w:div w:id="2135050917">
      <w:bodyDiv w:val="1"/>
      <w:marLeft w:val="0"/>
      <w:marRight w:val="0"/>
      <w:marTop w:val="0"/>
      <w:marBottom w:val="0"/>
      <w:divBdr>
        <w:top w:val="none" w:sz="0" w:space="0" w:color="auto"/>
        <w:left w:val="none" w:sz="0" w:space="0" w:color="auto"/>
        <w:bottom w:val="none" w:sz="0" w:space="0" w:color="auto"/>
        <w:right w:val="none" w:sz="0" w:space="0" w:color="auto"/>
      </w:divBdr>
    </w:div>
    <w:div w:id="21445383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Users/chaitali/Documents/MWGE%20Evaluation%20Synthesis%20Report%20-%20comparator.docx" TargetMode="External"/><Relationship Id="rId18" Type="http://schemas.openxmlformats.org/officeDocument/2006/relationships/image" Target="media/image3.png"/><Relationship Id="rId26" Type="http://schemas.openxmlformats.org/officeDocument/2006/relationships/chart" Target="charts/chart3.xml"/><Relationship Id="rId39" Type="http://schemas.openxmlformats.org/officeDocument/2006/relationships/theme" Target="theme/theme1.xml"/><Relationship Id="rId3" Type="http://schemas.openxmlformats.org/officeDocument/2006/relationships/customXml" Target="../customXml/item3.xm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file:////Users/chaitali/Documents/MWGE%20Evaluation%20Synthesis%20Report%20-%20comparator.docx" TargetMode="External"/><Relationship Id="rId17" Type="http://schemas.openxmlformats.org/officeDocument/2006/relationships/chart" Target="charts/chart2.xml"/><Relationship Id="rId25" Type="http://schemas.openxmlformats.org/officeDocument/2006/relationships/image" Target="media/image8.png"/><Relationship Id="rId33" Type="http://schemas.openxmlformats.org/officeDocument/2006/relationships/image" Target="media/image4.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1.xm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32" Type="http://schemas.openxmlformats.org/officeDocument/2006/relationships/footer" Target="footer2.xml"/><Relationship Id="rId37" Type="http://schemas.openxmlformats.org/officeDocument/2006/relationships/footer" Target="footer4.xml"/><Relationship Id="rId40"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footer" Target="footer1.xml"/><Relationship Id="rId28" Type="http://schemas.microsoft.com/office/2014/relationships/chartEx" Target="charts/chartEx2.xml"/><Relationship Id="rId36" Type="http://schemas.openxmlformats.org/officeDocument/2006/relationships/header" Target="header3.xml"/><Relationship Id="rId10" Type="http://schemas.openxmlformats.org/officeDocument/2006/relationships/endnotes" Target="endnotes.xml"/><Relationship Id="rId19" Type="http://schemas.microsoft.com/office/2014/relationships/chartEx" Target="charts/chartEx1.xm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7" Type="http://schemas.openxmlformats.org/officeDocument/2006/relationships/chart" Target="charts/chart4.xml"/><Relationship Id="rId30" Type="http://schemas.openxmlformats.org/officeDocument/2006/relationships/chart" Target="charts/chart5.xml"/><Relationship Id="rId35" Type="http://schemas.openxmlformats.org/officeDocument/2006/relationships/image" Target="media/image5.png"/><Relationship Id="rId8"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hdr.undp.org/en/content/gender-development-index-gdi" TargetMode="External"/><Relationship Id="rId13" Type="http://schemas.openxmlformats.org/officeDocument/2006/relationships/hyperlink" Target="https://tguskey.com/wp-content/uploads/Professional-Learning-1-Gauge-Impact-with-Five-Levels-of-Data.pdf" TargetMode="External"/><Relationship Id="rId18" Type="http://schemas.openxmlformats.org/officeDocument/2006/relationships/hyperlink" Target="https://ap.ohchr.org/documents/dpage_e.aspx?si=A/HRC/RES/35/10" TargetMode="External"/><Relationship Id="rId26" Type="http://schemas.openxmlformats.org/officeDocument/2006/relationships/hyperlink" Target="https://www.musawah.org/knowledge-building/qiwamah-wilayah/" TargetMode="External"/><Relationship Id="rId3" Type="http://schemas.openxmlformats.org/officeDocument/2006/relationships/hyperlink" Target="https://www.un.org/en/events/pastevents/pdfs/Beijing_Declaration_and_Platform_for_Action.pdf" TargetMode="External"/><Relationship Id="rId21" Type="http://schemas.openxmlformats.org/officeDocument/2006/relationships/hyperlink" Target="https://en.wikipedia.org/wiki/Islamic_feminism" TargetMode="External"/><Relationship Id="rId7" Type="http://schemas.openxmlformats.org/officeDocument/2006/relationships/hyperlink" Target="https://www3.weforum.org/docs/WEF_GGGR_2021.pdf" TargetMode="External"/><Relationship Id="rId12" Type="http://schemas.openxmlformats.org/officeDocument/2006/relationships/hyperlink" Target="https://promundoglobal.org/programs/program-p/" TargetMode="External"/><Relationship Id="rId17" Type="http://schemas.openxmlformats.org/officeDocument/2006/relationships/hyperlink" Target="https://www.un.org/womenwatch/daw/csw/csw48/Thematic1.html" TargetMode="External"/><Relationship Id="rId25" Type="http://schemas.openxmlformats.org/officeDocument/2006/relationships/hyperlink" Target="https://en.wikipedia.org/wiki/Arabic" TargetMode="External"/><Relationship Id="rId2" Type="http://schemas.openxmlformats.org/officeDocument/2006/relationships/hyperlink" Target="https://www.un.org/womenwatch/daw/csw/csw48/Thematic1.html" TargetMode="External"/><Relationship Id="rId16" Type="http://schemas.openxmlformats.org/officeDocument/2006/relationships/hyperlink" Target="https://www.un.org/en/events/pastevents/pdfs/Beijing_Declaration_and_Platform_for_Action.pdf" TargetMode="External"/><Relationship Id="rId20" Type="http://schemas.openxmlformats.org/officeDocument/2006/relationships/hyperlink" Target="https://www.unicef.org/documents/act-framework" TargetMode="External"/><Relationship Id="rId1" Type="http://schemas.openxmlformats.org/officeDocument/2006/relationships/hyperlink" Target="https://www.un.org/womenwatch/daw/cedaw/" TargetMode="External"/><Relationship Id="rId6" Type="http://schemas.openxmlformats.org/officeDocument/2006/relationships/hyperlink" Target="http://www3.weforum.org/docs/WEF_GGGR_2020.pdf" TargetMode="External"/><Relationship Id="rId11" Type="http://schemas.openxmlformats.org/officeDocument/2006/relationships/hyperlink" Target="https://imagesmena.org/en/" TargetMode="External"/><Relationship Id="rId24" Type="http://schemas.openxmlformats.org/officeDocument/2006/relationships/hyperlink" Target="https://en.wikipedia.org/wiki/Hermeneutics_of_feminism_in_Islam" TargetMode="External"/><Relationship Id="rId5" Type="http://schemas.openxmlformats.org/officeDocument/2006/relationships/hyperlink" Target="https://arabstates.unfpa.org/sites/default/files/pub-pdf/violence_against_women_and_covid19_in_the_arab_states_region_-_english_version_2.pdf" TargetMode="External"/><Relationship Id="rId15" Type="http://schemas.openxmlformats.org/officeDocument/2006/relationships/hyperlink" Target="http://www.uneval.org/document/detail/980" TargetMode="External"/><Relationship Id="rId23" Type="http://schemas.openxmlformats.org/officeDocument/2006/relationships/hyperlink" Target="https://en.wikipedia.org/wiki/Hermeneutics_of_feminism_in_Islam" TargetMode="External"/><Relationship Id="rId10" Type="http://schemas.openxmlformats.org/officeDocument/2006/relationships/hyperlink" Target="http://hdr.undp.org/en/indicators/137906" TargetMode="External"/><Relationship Id="rId19" Type="http://schemas.openxmlformats.org/officeDocument/2006/relationships/hyperlink" Target="https://arabstates.unwomen.org/en/digital-library/publications/2020/08/charter-of-demands-lebanon" TargetMode="External"/><Relationship Id="rId4" Type="http://schemas.openxmlformats.org/officeDocument/2006/relationships/hyperlink" Target="https://ap.ohchr.org/documents/dpage_e.aspx?si=A/HRC/RES/35/10" TargetMode="External"/><Relationship Id="rId9" Type="http://schemas.openxmlformats.org/officeDocument/2006/relationships/hyperlink" Target="https://www.arabdevelopmentportal.com/indicator/gender" TargetMode="External"/><Relationship Id="rId14" Type="http://schemas.openxmlformats.org/officeDocument/2006/relationships/hyperlink" Target="https://www.unicef.org/documents/act-framework" TargetMode="External"/><Relationship Id="rId22" Type="http://schemas.openxmlformats.org/officeDocument/2006/relationships/hyperlink" Target="https://en.wikipedia.org/wiki/Kora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cales\Desktop\Itad%20Technical%20Proposal%20Template%202020%20(DRAFT%20-%20DO%20NOT%20USE)%20(ID%20228589).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itadltd-my.sharepoint.com/personal/david_walker_itad_com/Documents/Documents/MWGE%20main%20budget%20fig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itadltd-my.sharepoint.com/personal/david_walker_itad_com/Documents/Documents/MWGE%20main%20budget%20fig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itadltd.sharepoint.com/sites/msteams_0360dd_073370/Shared%20Documents/General/Implementation%20stage/Main%20report/MWGE%20graph%20content.xlsx" TargetMode="External"/><Relationship Id="rId2" Type="http://schemas.microsoft.com/office/2011/relationships/chartColorStyle" Target="colors4.xml"/><Relationship Id="rId1" Type="http://schemas.microsoft.com/office/2011/relationships/chartStyle" Target="style4.xml"/></Relationships>
</file>

<file path=word/charts/_rels/chart4.xml.rels><?xml version="1.0" encoding="UTF-8" standalone="yes"?>
<Relationships xmlns="http://schemas.openxmlformats.org/package/2006/relationships"><Relationship Id="rId3" Type="http://schemas.openxmlformats.org/officeDocument/2006/relationships/oleObject" Target="https://itadltd.sharepoint.com/sites/msteams_0360dd_073370/Shared%20Documents/General/Implementation%20stage/Main%20report/MWGE%20graph%20content.xlsx" TargetMode="External"/><Relationship Id="rId2" Type="http://schemas.microsoft.com/office/2011/relationships/chartColorStyle" Target="colors5.xml"/><Relationship Id="rId1" Type="http://schemas.microsoft.com/office/2011/relationships/chartStyle" Target="style5.xml"/></Relationships>
</file>

<file path=word/charts/_rels/chart5.xml.rels><?xml version="1.0" encoding="UTF-8" standalone="yes"?>
<Relationships xmlns="http://schemas.openxmlformats.org/package/2006/relationships"><Relationship Id="rId3" Type="http://schemas.openxmlformats.org/officeDocument/2006/relationships/oleObject" Target="https://itadltd.sharepoint.com/sites/msteams_0360dd_073370/Shared%20Documents/General/Implementation%20stage/Main%20report/MWGE%20graph%20content.xlsx" TargetMode="External"/><Relationship Id="rId2" Type="http://schemas.microsoft.com/office/2011/relationships/chartColorStyle" Target="colors7.xml"/><Relationship Id="rId1" Type="http://schemas.microsoft.com/office/2011/relationships/chartStyle" Target="style7.xml"/></Relationships>
</file>

<file path=word/charts/_rels/chartEx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https://itadltd.sharepoint.com/sites/msteams_0360dd_073370/Shared%20Documents/General/Implementation%20stage/Main%20report/MWGE%20graph%20content.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https://itadltd.sharepoint.com/sites/msteams_0360dd_073370/Shared%20Documents/General/Implementation%20stage/Main%20report/MWGE%20graph%20conten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chemeClr val="bg1">
                  <a:lumMod val="65000"/>
                </a:schemeClr>
              </a:solidFill>
              <a:ln>
                <a:noFill/>
              </a:ln>
              <a:effectLst/>
            </c:spPr>
            <c:extLst>
              <c:ext xmlns:c16="http://schemas.microsoft.com/office/drawing/2014/chart" uri="{C3380CC4-5D6E-409C-BE32-E72D297353CC}">
                <c16:uniqueId val="{00000007-10BC-453B-9FEA-0CD10DFD61CD}"/>
              </c:ext>
            </c:extLst>
          </c:dPt>
          <c:dPt>
            <c:idx val="1"/>
            <c:invertIfNegative val="0"/>
            <c:bubble3D val="0"/>
            <c:spPr>
              <a:solidFill>
                <a:schemeClr val="bg1">
                  <a:lumMod val="65000"/>
                </a:schemeClr>
              </a:solidFill>
              <a:ln>
                <a:noFill/>
              </a:ln>
              <a:effectLst/>
            </c:spPr>
            <c:extLst>
              <c:ext xmlns:c16="http://schemas.microsoft.com/office/drawing/2014/chart" uri="{C3380CC4-5D6E-409C-BE32-E72D297353CC}">
                <c16:uniqueId val="{00000006-10BC-453B-9FEA-0CD10DFD61CD}"/>
              </c:ext>
            </c:extLst>
          </c:dPt>
          <c:dPt>
            <c:idx val="2"/>
            <c:invertIfNegative val="0"/>
            <c:bubble3D val="0"/>
            <c:spPr>
              <a:solidFill>
                <a:schemeClr val="bg1">
                  <a:lumMod val="65000"/>
                </a:schemeClr>
              </a:solidFill>
              <a:ln>
                <a:noFill/>
              </a:ln>
              <a:effectLst/>
            </c:spPr>
            <c:extLst>
              <c:ext xmlns:c16="http://schemas.microsoft.com/office/drawing/2014/chart" uri="{C3380CC4-5D6E-409C-BE32-E72D297353CC}">
                <c16:uniqueId val="{00000005-10BC-453B-9FEA-0CD10DFD61CD}"/>
              </c:ext>
            </c:extLst>
          </c:dPt>
          <c:dPt>
            <c:idx val="3"/>
            <c:invertIfNegative val="0"/>
            <c:bubble3D val="0"/>
            <c:spPr>
              <a:solidFill>
                <a:schemeClr val="accent2"/>
              </a:solidFill>
              <a:ln>
                <a:noFill/>
              </a:ln>
              <a:effectLst/>
            </c:spPr>
            <c:extLst>
              <c:ext xmlns:c16="http://schemas.microsoft.com/office/drawing/2014/chart" uri="{C3380CC4-5D6E-409C-BE32-E72D297353CC}">
                <c16:uniqueId val="{00000004-10BC-453B-9FEA-0CD10DFD61CD}"/>
              </c:ext>
            </c:extLst>
          </c:dPt>
          <c:dPt>
            <c:idx val="4"/>
            <c:invertIfNegative val="0"/>
            <c:bubble3D val="0"/>
            <c:spPr>
              <a:solidFill>
                <a:schemeClr val="accent2"/>
              </a:solidFill>
              <a:ln>
                <a:noFill/>
              </a:ln>
              <a:effectLst/>
            </c:spPr>
            <c:extLst>
              <c:ext xmlns:c16="http://schemas.microsoft.com/office/drawing/2014/chart" uri="{C3380CC4-5D6E-409C-BE32-E72D297353CC}">
                <c16:uniqueId val="{00000003-10BC-453B-9FEA-0CD10DFD61CD}"/>
              </c:ext>
            </c:extLst>
          </c:dPt>
          <c:dPt>
            <c:idx val="5"/>
            <c:invertIfNegative val="0"/>
            <c:bubble3D val="0"/>
            <c:spPr>
              <a:solidFill>
                <a:schemeClr val="accent2"/>
              </a:solidFill>
              <a:ln>
                <a:noFill/>
              </a:ln>
              <a:effectLst/>
            </c:spPr>
            <c:extLst>
              <c:ext xmlns:c16="http://schemas.microsoft.com/office/drawing/2014/chart" uri="{C3380CC4-5D6E-409C-BE32-E72D297353CC}">
                <c16:uniqueId val="{00000002-10BC-453B-9FEA-0CD10DFD61CD}"/>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0BC-453B-9FEA-0CD10DFD61CD}"/>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0BC-453B-9FEA-0CD10DFD61CD}"/>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0BC-453B-9FEA-0CD10DFD61CD}"/>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0BC-453B-9FEA-0CD10DFD61CD}"/>
                </c:ext>
              </c:extLst>
            </c:dLbl>
            <c:dLbl>
              <c:idx val="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0BC-453B-9FEA-0CD10DFD61CD}"/>
                </c:ext>
              </c:extLst>
            </c:dLbl>
            <c:dLbl>
              <c:idx val="5"/>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0BC-453B-9FEA-0CD10DFD61C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Sheet1!$V$2:$V$7</c:f>
              <c:strCache>
                <c:ptCount val="6"/>
                <c:pt idx="0">
                  <c:v>Outcome 3 (Phase II): Laws, policies, and strategies to promote gender equality drafted, revised and/or approved</c:v>
                </c:pt>
                <c:pt idx="1">
                  <c:v>Outcome 2 (Phase II): Key regional and national institutions &amp; regional networks  integrate/promote gender responsive practices</c:v>
                </c:pt>
                <c:pt idx="2">
                  <c:v>Outcome 1 (Phase II): Communities have more gender equitable behaviours</c:v>
                </c:pt>
                <c:pt idx="3">
                  <c:v>Outcome 3 (Phase I): Communities engage in developing solutions to promote gender equality based on innovative approaches and best practices</c:v>
                </c:pt>
                <c:pt idx="4">
                  <c:v>Outcome 2 (Phase I): Civil society, including new and emerging movements, promotes gender equality effectively</c:v>
                </c:pt>
                <c:pt idx="5">
                  <c:v>Outcome 1 (Phase I): CSO and other actors contribute toward legislative and policy change through evidence-based advoacy</c:v>
                </c:pt>
              </c:strCache>
            </c:strRef>
          </c:cat>
          <c:val>
            <c:numRef>
              <c:f>Sheet1!$W$2:$W$7</c:f>
              <c:numCache>
                <c:formatCode>0.0%</c:formatCode>
                <c:ptCount val="6"/>
                <c:pt idx="0">
                  <c:v>0.30061997908071353</c:v>
                </c:pt>
                <c:pt idx="1">
                  <c:v>0.11709066574424003</c:v>
                </c:pt>
                <c:pt idx="2">
                  <c:v>0.58228935517504643</c:v>
                </c:pt>
                <c:pt idx="3">
                  <c:v>0.36359741307425036</c:v>
                </c:pt>
                <c:pt idx="4">
                  <c:v>0.2139330188911861</c:v>
                </c:pt>
                <c:pt idx="5">
                  <c:v>0.42246956803456359</c:v>
                </c:pt>
              </c:numCache>
            </c:numRef>
          </c:val>
          <c:extLst>
            <c:ext xmlns:c16="http://schemas.microsoft.com/office/drawing/2014/chart" uri="{C3380CC4-5D6E-409C-BE32-E72D297353CC}">
              <c16:uniqueId val="{00000000-10BC-453B-9FEA-0CD10DFD61CD}"/>
            </c:ext>
          </c:extLst>
        </c:ser>
        <c:dLbls>
          <c:showLegendKey val="0"/>
          <c:showVal val="0"/>
          <c:showCatName val="0"/>
          <c:showSerName val="0"/>
          <c:showPercent val="0"/>
          <c:showBubbleSize val="0"/>
        </c:dLbls>
        <c:gapWidth val="182"/>
        <c:axId val="1984824287"/>
        <c:axId val="1984813471"/>
      </c:barChart>
      <c:catAx>
        <c:axId val="198482428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4813471"/>
        <c:crosses val="autoZero"/>
        <c:auto val="1"/>
        <c:lblAlgn val="ctr"/>
        <c:lblOffset val="100"/>
        <c:noMultiLvlLbl val="0"/>
      </c:catAx>
      <c:valAx>
        <c:axId val="1984813471"/>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48242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Sheet1!$B$8</c:f>
              <c:strCache>
                <c:ptCount val="1"/>
                <c:pt idx="0">
                  <c:v>Phase I (2015-2018)</c:v>
                </c:pt>
              </c:strCache>
            </c:strRef>
          </c:tx>
          <c:spPr>
            <a:solidFill>
              <a:schemeClr val="accent2"/>
            </a:solidFill>
            <a:ln>
              <a:noFill/>
            </a:ln>
            <a:effectLst/>
          </c:spPr>
          <c:invertIfNegative val="0"/>
          <c:dLbls>
            <c:dLbl>
              <c:idx val="5"/>
              <c:delete val="1"/>
              <c:extLst>
                <c:ext xmlns:c15="http://schemas.microsoft.com/office/drawing/2012/chart" uri="{CE6537A1-D6FC-4f65-9D91-7224C49458BB}"/>
                <c:ext xmlns:c16="http://schemas.microsoft.com/office/drawing/2014/chart" uri="{C3380CC4-5D6E-409C-BE32-E72D297353CC}">
                  <c16:uniqueId val="{00000000-43D7-41DE-9473-9CCB009369F7}"/>
                </c:ext>
              </c:extLst>
            </c:dLbl>
            <c:dLbl>
              <c:idx val="6"/>
              <c:delete val="1"/>
              <c:extLst>
                <c:ext xmlns:c15="http://schemas.microsoft.com/office/drawing/2012/chart" uri="{CE6537A1-D6FC-4f65-9D91-7224C49458BB}"/>
                <c:ext xmlns:c16="http://schemas.microsoft.com/office/drawing/2014/chart" uri="{C3380CC4-5D6E-409C-BE32-E72D297353CC}">
                  <c16:uniqueId val="{00000001-43D7-41DE-9473-9CCB009369F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Sheet1!$A$9:$A$15</c:f>
              <c:strCache>
                <c:ptCount val="7"/>
                <c:pt idx="0">
                  <c:v>Egypt</c:v>
                </c:pt>
                <c:pt idx="1">
                  <c:v>Lebanon</c:v>
                </c:pt>
                <c:pt idx="2">
                  <c:v>Morocco </c:v>
                </c:pt>
                <c:pt idx="3">
                  <c:v>Palestine</c:v>
                </c:pt>
                <c:pt idx="4">
                  <c:v>ROAS</c:v>
                </c:pt>
                <c:pt idx="5">
                  <c:v>Jordan</c:v>
                </c:pt>
                <c:pt idx="6">
                  <c:v>Tunisia</c:v>
                </c:pt>
              </c:strCache>
            </c:strRef>
          </c:cat>
          <c:val>
            <c:numRef>
              <c:f>Sheet1!$B$9:$B$15</c:f>
              <c:numCache>
                <c:formatCode>0%</c:formatCode>
                <c:ptCount val="7"/>
                <c:pt idx="0">
                  <c:v>0.13</c:v>
                </c:pt>
                <c:pt idx="1">
                  <c:v>0.15</c:v>
                </c:pt>
                <c:pt idx="2">
                  <c:v>0.12</c:v>
                </c:pt>
                <c:pt idx="3">
                  <c:v>0.12</c:v>
                </c:pt>
                <c:pt idx="4">
                  <c:v>0.46</c:v>
                </c:pt>
                <c:pt idx="5">
                  <c:v>0</c:v>
                </c:pt>
                <c:pt idx="6">
                  <c:v>0</c:v>
                </c:pt>
              </c:numCache>
            </c:numRef>
          </c:val>
          <c:extLst>
            <c:ext xmlns:c16="http://schemas.microsoft.com/office/drawing/2014/chart" uri="{C3380CC4-5D6E-409C-BE32-E72D297353CC}">
              <c16:uniqueId val="{00000002-43D7-41DE-9473-9CCB009369F7}"/>
            </c:ext>
          </c:extLst>
        </c:ser>
        <c:ser>
          <c:idx val="2"/>
          <c:order val="2"/>
          <c:tx>
            <c:strRef>
              <c:f>Sheet1!$D$8</c:f>
              <c:strCache>
                <c:ptCount val="1"/>
              </c:strCache>
            </c:strRef>
          </c:tx>
          <c:spPr>
            <a:solidFill>
              <a:schemeClr val="accent4"/>
            </a:solidFill>
            <a:ln>
              <a:noFill/>
            </a:ln>
            <a:effectLst/>
          </c:spPr>
          <c:invertIfNegative val="0"/>
          <c:cat>
            <c:strRef>
              <c:f>Sheet1!$A$9:$A$15</c:f>
              <c:strCache>
                <c:ptCount val="7"/>
                <c:pt idx="0">
                  <c:v>Egypt</c:v>
                </c:pt>
                <c:pt idx="1">
                  <c:v>Lebanon</c:v>
                </c:pt>
                <c:pt idx="2">
                  <c:v>Morocco </c:v>
                </c:pt>
                <c:pt idx="3">
                  <c:v>Palestine</c:v>
                </c:pt>
                <c:pt idx="4">
                  <c:v>ROAS</c:v>
                </c:pt>
                <c:pt idx="5">
                  <c:v>Jordan</c:v>
                </c:pt>
                <c:pt idx="6">
                  <c:v>Tunisia</c:v>
                </c:pt>
              </c:strCache>
            </c:strRef>
          </c:cat>
          <c:val>
            <c:numRef>
              <c:f>Sheet1!$D$9:$D$15</c:f>
              <c:numCache>
                <c:formatCode>General</c:formatCode>
                <c:ptCount val="7"/>
                <c:pt idx="0">
                  <c:v>0</c:v>
                </c:pt>
                <c:pt idx="1">
                  <c:v>0</c:v>
                </c:pt>
                <c:pt idx="2">
                  <c:v>0</c:v>
                </c:pt>
                <c:pt idx="3">
                  <c:v>0</c:v>
                </c:pt>
                <c:pt idx="4">
                  <c:v>0</c:v>
                </c:pt>
                <c:pt idx="5">
                  <c:v>0</c:v>
                </c:pt>
                <c:pt idx="6">
                  <c:v>0</c:v>
                </c:pt>
              </c:numCache>
            </c:numRef>
          </c:val>
          <c:extLst>
            <c:ext xmlns:c16="http://schemas.microsoft.com/office/drawing/2014/chart" uri="{C3380CC4-5D6E-409C-BE32-E72D297353CC}">
              <c16:uniqueId val="{00000003-43D7-41DE-9473-9CCB009369F7}"/>
            </c:ext>
          </c:extLst>
        </c:ser>
        <c:ser>
          <c:idx val="3"/>
          <c:order val="3"/>
          <c:tx>
            <c:strRef>
              <c:f>Sheet1!$E$8</c:f>
              <c:strCache>
                <c:ptCount val="1"/>
                <c:pt idx="0">
                  <c:v>Phase II (2018-2022)</c:v>
                </c:pt>
              </c:strCache>
            </c:strRef>
          </c:tx>
          <c:spPr>
            <a:solidFill>
              <a:schemeClr val="bg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Sheet1!$A$9:$A$15</c:f>
              <c:strCache>
                <c:ptCount val="7"/>
                <c:pt idx="0">
                  <c:v>Egypt</c:v>
                </c:pt>
                <c:pt idx="1">
                  <c:v>Lebanon</c:v>
                </c:pt>
                <c:pt idx="2">
                  <c:v>Morocco </c:v>
                </c:pt>
                <c:pt idx="3">
                  <c:v>Palestine</c:v>
                </c:pt>
                <c:pt idx="4">
                  <c:v>ROAS</c:v>
                </c:pt>
                <c:pt idx="5">
                  <c:v>Jordan</c:v>
                </c:pt>
                <c:pt idx="6">
                  <c:v>Tunisia</c:v>
                </c:pt>
              </c:strCache>
            </c:strRef>
          </c:cat>
          <c:val>
            <c:numRef>
              <c:f>Sheet1!$E$9:$E$15</c:f>
              <c:numCache>
                <c:formatCode>0%</c:formatCode>
                <c:ptCount val="7"/>
                <c:pt idx="0">
                  <c:v>0.13</c:v>
                </c:pt>
                <c:pt idx="1">
                  <c:v>0.14000000000000001</c:v>
                </c:pt>
                <c:pt idx="2">
                  <c:v>0.15</c:v>
                </c:pt>
                <c:pt idx="3">
                  <c:v>0.15</c:v>
                </c:pt>
                <c:pt idx="4">
                  <c:v>0.31</c:v>
                </c:pt>
                <c:pt idx="5">
                  <c:v>0.06</c:v>
                </c:pt>
                <c:pt idx="6">
                  <c:v>0.06</c:v>
                </c:pt>
              </c:numCache>
            </c:numRef>
          </c:val>
          <c:extLst>
            <c:ext xmlns:c16="http://schemas.microsoft.com/office/drawing/2014/chart" uri="{C3380CC4-5D6E-409C-BE32-E72D297353CC}">
              <c16:uniqueId val="{00000004-43D7-41DE-9473-9CCB009369F7}"/>
            </c:ext>
          </c:extLst>
        </c:ser>
        <c:dLbls>
          <c:showLegendKey val="0"/>
          <c:showVal val="0"/>
          <c:showCatName val="0"/>
          <c:showSerName val="0"/>
          <c:showPercent val="0"/>
          <c:showBubbleSize val="0"/>
        </c:dLbls>
        <c:gapWidth val="150"/>
        <c:overlap val="100"/>
        <c:axId val="1846409936"/>
        <c:axId val="1846407024"/>
        <c:extLst>
          <c:ext xmlns:c15="http://schemas.microsoft.com/office/drawing/2012/chart" uri="{02D57815-91ED-43cb-92C2-25804820EDAC}">
            <c15:filteredBarSeries>
              <c15:ser>
                <c:idx val="1"/>
                <c:order val="1"/>
                <c:tx>
                  <c:strRef>
                    <c:extLst>
                      <c:ext uri="{02D57815-91ED-43cb-92C2-25804820EDAC}">
                        <c15:formulaRef>
                          <c15:sqref>Sheet1!$C$8</c15:sqref>
                        </c15:formulaRef>
                      </c:ext>
                    </c:extLst>
                    <c:strCache>
                      <c:ptCount val="1"/>
                    </c:strCache>
                  </c:strRef>
                </c:tx>
                <c:spPr>
                  <a:solidFill>
                    <a:schemeClr val="accent5"/>
                  </a:solidFill>
                  <a:ln>
                    <a:noFill/>
                  </a:ln>
                  <a:effectLst/>
                </c:spPr>
                <c:invertIfNegative val="0"/>
                <c:cat>
                  <c:strRef>
                    <c:extLst>
                      <c:ext uri="{02D57815-91ED-43cb-92C2-25804820EDAC}">
                        <c15:formulaRef>
                          <c15:sqref>Sheet1!$A$9:$A$15</c15:sqref>
                        </c15:formulaRef>
                      </c:ext>
                    </c:extLst>
                    <c:strCache>
                      <c:ptCount val="7"/>
                      <c:pt idx="0">
                        <c:v>Egypt</c:v>
                      </c:pt>
                      <c:pt idx="1">
                        <c:v>Lebanon</c:v>
                      </c:pt>
                      <c:pt idx="2">
                        <c:v>Morocco </c:v>
                      </c:pt>
                      <c:pt idx="3">
                        <c:v>Palestine</c:v>
                      </c:pt>
                      <c:pt idx="4">
                        <c:v>ROAS</c:v>
                      </c:pt>
                      <c:pt idx="5">
                        <c:v>Jordan</c:v>
                      </c:pt>
                      <c:pt idx="6">
                        <c:v>Tunisia</c:v>
                      </c:pt>
                    </c:strCache>
                  </c:strRef>
                </c:cat>
                <c:val>
                  <c:numRef>
                    <c:extLst>
                      <c:ext uri="{02D57815-91ED-43cb-92C2-25804820EDAC}">
                        <c15:formulaRef>
                          <c15:sqref>Sheet1!$C$9:$C$15</c15:sqref>
                        </c15:formulaRef>
                      </c:ext>
                    </c:extLst>
                    <c:numCache>
                      <c:formatCode>General</c:formatCode>
                      <c:ptCount val="7"/>
                    </c:numCache>
                  </c:numRef>
                </c:val>
                <c:extLst>
                  <c:ext xmlns:c16="http://schemas.microsoft.com/office/drawing/2014/chart" uri="{C3380CC4-5D6E-409C-BE32-E72D297353CC}">
                    <c16:uniqueId val="{00000005-43D7-41DE-9473-9CCB009369F7}"/>
                  </c:ext>
                </c:extLst>
              </c15:ser>
            </c15:filteredBarSeries>
          </c:ext>
        </c:extLst>
      </c:barChart>
      <c:catAx>
        <c:axId val="1846409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6407024"/>
        <c:crosses val="autoZero"/>
        <c:auto val="1"/>
        <c:lblAlgn val="ctr"/>
        <c:lblOffset val="100"/>
        <c:noMultiLvlLbl val="0"/>
      </c:catAx>
      <c:valAx>
        <c:axId val="18464070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6409936"/>
        <c:crosses val="autoZero"/>
        <c:crossBetween val="between"/>
      </c:valAx>
      <c:spPr>
        <a:noFill/>
        <a:ln>
          <a:noFill/>
        </a:ln>
        <a:effectLst/>
      </c:spPr>
    </c:plotArea>
    <c:legend>
      <c:legendPos val="b"/>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Sheet2!$L$9</c:f>
              <c:strCache>
                <c:ptCount val="1"/>
                <c:pt idx="0">
                  <c:v>Changes in GEMS score for Males (pre-post)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Sheet2!$K$10:$K$13</c:f>
              <c:strCache>
                <c:ptCount val="4"/>
                <c:pt idx="0">
                  <c:v>Egypt</c:v>
                </c:pt>
                <c:pt idx="1">
                  <c:v>Lebanon</c:v>
                </c:pt>
                <c:pt idx="2">
                  <c:v>Palestine</c:v>
                </c:pt>
                <c:pt idx="3">
                  <c:v>Morocco</c:v>
                </c:pt>
              </c:strCache>
            </c:strRef>
          </c:cat>
          <c:val>
            <c:numRef>
              <c:f>Sheet2!$L$10:$L$13</c:f>
              <c:numCache>
                <c:formatCode>General</c:formatCode>
                <c:ptCount val="4"/>
                <c:pt idx="0">
                  <c:v>10.4</c:v>
                </c:pt>
                <c:pt idx="1">
                  <c:v>22.9</c:v>
                </c:pt>
                <c:pt idx="2">
                  <c:v>41.1</c:v>
                </c:pt>
                <c:pt idx="3">
                  <c:v>48.2</c:v>
                </c:pt>
              </c:numCache>
            </c:numRef>
          </c:val>
          <c:extLst>
            <c:ext xmlns:c16="http://schemas.microsoft.com/office/drawing/2014/chart" uri="{C3380CC4-5D6E-409C-BE32-E72D297353CC}">
              <c16:uniqueId val="{00000000-96BA-4943-8135-DD7031D29812}"/>
            </c:ext>
          </c:extLst>
        </c:ser>
        <c:ser>
          <c:idx val="1"/>
          <c:order val="1"/>
          <c:tx>
            <c:strRef>
              <c:f>Sheet2!$M$9</c:f>
              <c:strCache>
                <c:ptCount val="1"/>
                <c:pt idx="0">
                  <c:v>Changes in GEMS score for Females (pre-post) </c:v>
                </c:pt>
              </c:strCache>
            </c:strRef>
          </c:tx>
          <c:spPr>
            <a:solidFill>
              <a:schemeClr val="bg1">
                <a:lumMod val="8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Sheet2!$K$10:$K$13</c:f>
              <c:strCache>
                <c:ptCount val="4"/>
                <c:pt idx="0">
                  <c:v>Egypt</c:v>
                </c:pt>
                <c:pt idx="1">
                  <c:v>Lebanon</c:v>
                </c:pt>
                <c:pt idx="2">
                  <c:v>Palestine</c:v>
                </c:pt>
                <c:pt idx="3">
                  <c:v>Morocco</c:v>
                </c:pt>
              </c:strCache>
            </c:strRef>
          </c:cat>
          <c:val>
            <c:numRef>
              <c:f>Sheet2!$M$10:$M$13</c:f>
              <c:numCache>
                <c:formatCode>General</c:formatCode>
                <c:ptCount val="4"/>
                <c:pt idx="0">
                  <c:v>15.5</c:v>
                </c:pt>
                <c:pt idx="1">
                  <c:v>26</c:v>
                </c:pt>
                <c:pt idx="2">
                  <c:v>30.8</c:v>
                </c:pt>
                <c:pt idx="3">
                  <c:v>24</c:v>
                </c:pt>
              </c:numCache>
            </c:numRef>
          </c:val>
          <c:extLst>
            <c:ext xmlns:c16="http://schemas.microsoft.com/office/drawing/2014/chart" uri="{C3380CC4-5D6E-409C-BE32-E72D297353CC}">
              <c16:uniqueId val="{00000001-96BA-4943-8135-DD7031D29812}"/>
            </c:ext>
          </c:extLst>
        </c:ser>
        <c:dLbls>
          <c:showLegendKey val="0"/>
          <c:showVal val="0"/>
          <c:showCatName val="0"/>
          <c:showSerName val="0"/>
          <c:showPercent val="0"/>
          <c:showBubbleSize val="0"/>
        </c:dLbls>
        <c:gapWidth val="150"/>
        <c:overlap val="100"/>
        <c:axId val="1740456191"/>
        <c:axId val="1740452863"/>
      </c:barChart>
      <c:catAx>
        <c:axId val="17404561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0452863"/>
        <c:crosses val="autoZero"/>
        <c:auto val="1"/>
        <c:lblAlgn val="ctr"/>
        <c:lblOffset val="100"/>
        <c:noMultiLvlLbl val="0"/>
      </c:catAx>
      <c:valAx>
        <c:axId val="17404528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04561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Sheet2!$M$31</c:f>
              <c:strCache>
                <c:ptCount val="1"/>
                <c:pt idx="0">
                  <c:v>Changes in positive behaviours for Males (pre-post)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Sheet2!$L$32:$L$35</c:f>
              <c:strCache>
                <c:ptCount val="4"/>
                <c:pt idx="0">
                  <c:v>Egypt</c:v>
                </c:pt>
                <c:pt idx="1">
                  <c:v>Lebanon</c:v>
                </c:pt>
                <c:pt idx="2">
                  <c:v>Palestine</c:v>
                </c:pt>
                <c:pt idx="3">
                  <c:v>Morocco</c:v>
                </c:pt>
              </c:strCache>
            </c:strRef>
          </c:cat>
          <c:val>
            <c:numRef>
              <c:f>Sheet2!$M$32:$M$35</c:f>
              <c:numCache>
                <c:formatCode>General</c:formatCode>
                <c:ptCount val="4"/>
                <c:pt idx="0">
                  <c:v>2.2999999999999998</c:v>
                </c:pt>
                <c:pt idx="1">
                  <c:v>8.4</c:v>
                </c:pt>
                <c:pt idx="2">
                  <c:v>24.6</c:v>
                </c:pt>
                <c:pt idx="3">
                  <c:v>26.1</c:v>
                </c:pt>
              </c:numCache>
            </c:numRef>
          </c:val>
          <c:extLst>
            <c:ext xmlns:c16="http://schemas.microsoft.com/office/drawing/2014/chart" uri="{C3380CC4-5D6E-409C-BE32-E72D297353CC}">
              <c16:uniqueId val="{00000000-CCDF-4A83-B821-4FF8DCBECC23}"/>
            </c:ext>
          </c:extLst>
        </c:ser>
        <c:ser>
          <c:idx val="1"/>
          <c:order val="1"/>
          <c:tx>
            <c:strRef>
              <c:f>Sheet2!$N$31</c:f>
              <c:strCache>
                <c:ptCount val="1"/>
                <c:pt idx="0">
                  <c:v>Changes in positive behaviours for Females (pre-post) </c:v>
                </c:pt>
              </c:strCache>
            </c:strRef>
          </c:tx>
          <c:spPr>
            <a:solidFill>
              <a:schemeClr val="bg1">
                <a:lumMod val="8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Sheet2!$L$32:$L$35</c:f>
              <c:strCache>
                <c:ptCount val="4"/>
                <c:pt idx="0">
                  <c:v>Egypt</c:v>
                </c:pt>
                <c:pt idx="1">
                  <c:v>Lebanon</c:v>
                </c:pt>
                <c:pt idx="2">
                  <c:v>Palestine</c:v>
                </c:pt>
                <c:pt idx="3">
                  <c:v>Morocco</c:v>
                </c:pt>
              </c:strCache>
            </c:strRef>
          </c:cat>
          <c:val>
            <c:numRef>
              <c:f>Sheet2!$N$32:$N$35</c:f>
              <c:numCache>
                <c:formatCode>General</c:formatCode>
                <c:ptCount val="4"/>
                <c:pt idx="0">
                  <c:v>20.100000000000001</c:v>
                </c:pt>
                <c:pt idx="1">
                  <c:v>15.5</c:v>
                </c:pt>
                <c:pt idx="2">
                  <c:v>22.7</c:v>
                </c:pt>
                <c:pt idx="3">
                  <c:v>15.3</c:v>
                </c:pt>
              </c:numCache>
            </c:numRef>
          </c:val>
          <c:extLst>
            <c:ext xmlns:c16="http://schemas.microsoft.com/office/drawing/2014/chart" uri="{C3380CC4-5D6E-409C-BE32-E72D297353CC}">
              <c16:uniqueId val="{00000001-CCDF-4A83-B821-4FF8DCBECC23}"/>
            </c:ext>
          </c:extLst>
        </c:ser>
        <c:dLbls>
          <c:showLegendKey val="0"/>
          <c:showVal val="0"/>
          <c:showCatName val="0"/>
          <c:showSerName val="0"/>
          <c:showPercent val="0"/>
          <c:showBubbleSize val="0"/>
        </c:dLbls>
        <c:gapWidth val="150"/>
        <c:overlap val="100"/>
        <c:axId val="52022655"/>
        <c:axId val="52023071"/>
      </c:barChart>
      <c:catAx>
        <c:axId val="520226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023071"/>
        <c:crosses val="autoZero"/>
        <c:auto val="1"/>
        <c:lblAlgn val="ctr"/>
        <c:lblOffset val="100"/>
        <c:noMultiLvlLbl val="0"/>
      </c:catAx>
      <c:valAx>
        <c:axId val="520230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0226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Sheet3!$L$31</c:f>
              <c:strCache>
                <c:ptCount val="1"/>
                <c:pt idx="0">
                  <c:v>Average before</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Sheet3!$K$32:$K$36</c:f>
              <c:strCache>
                <c:ptCount val="5"/>
                <c:pt idx="0">
                  <c:v>Egypt</c:v>
                </c:pt>
                <c:pt idx="1">
                  <c:v>Lebanon</c:v>
                </c:pt>
                <c:pt idx="2">
                  <c:v>Morocco</c:v>
                </c:pt>
                <c:pt idx="3">
                  <c:v>Palestine</c:v>
                </c:pt>
                <c:pt idx="4">
                  <c:v>Grand Total</c:v>
                </c:pt>
              </c:strCache>
            </c:strRef>
          </c:cat>
          <c:val>
            <c:numRef>
              <c:f>Sheet3!$L$32:$L$36</c:f>
              <c:numCache>
                <c:formatCode>0.0</c:formatCode>
                <c:ptCount val="5"/>
                <c:pt idx="0">
                  <c:v>3.0138888888888888</c:v>
                </c:pt>
                <c:pt idx="1">
                  <c:v>3.4132936507936509</c:v>
                </c:pt>
                <c:pt idx="2">
                  <c:v>3.0729166666666665</c:v>
                </c:pt>
                <c:pt idx="3">
                  <c:v>2.5066666666666668</c:v>
                </c:pt>
                <c:pt idx="4">
                  <c:v>2.9745400432900428</c:v>
                </c:pt>
              </c:numCache>
            </c:numRef>
          </c:val>
          <c:extLst>
            <c:ext xmlns:c16="http://schemas.microsoft.com/office/drawing/2014/chart" uri="{C3380CC4-5D6E-409C-BE32-E72D297353CC}">
              <c16:uniqueId val="{00000000-F6FB-46FF-A48F-C05845754B10}"/>
            </c:ext>
          </c:extLst>
        </c:ser>
        <c:ser>
          <c:idx val="1"/>
          <c:order val="1"/>
          <c:tx>
            <c:strRef>
              <c:f>Sheet3!$M$31</c:f>
              <c:strCache>
                <c:ptCount val="1"/>
                <c:pt idx="0">
                  <c:v>Average after</c:v>
                </c:pt>
              </c:strCache>
            </c:strRef>
          </c:tx>
          <c:spPr>
            <a:solidFill>
              <a:schemeClr val="tx1">
                <a:lumMod val="60000"/>
                <a:lumOff val="40000"/>
              </a:schemeClr>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Sheet3!$K$32:$K$36</c:f>
              <c:strCache>
                <c:ptCount val="5"/>
                <c:pt idx="0">
                  <c:v>Egypt</c:v>
                </c:pt>
                <c:pt idx="1">
                  <c:v>Lebanon</c:v>
                </c:pt>
                <c:pt idx="2">
                  <c:v>Morocco</c:v>
                </c:pt>
                <c:pt idx="3">
                  <c:v>Palestine</c:v>
                </c:pt>
                <c:pt idx="4">
                  <c:v>Grand Total</c:v>
                </c:pt>
              </c:strCache>
            </c:strRef>
          </c:cat>
          <c:val>
            <c:numRef>
              <c:f>Sheet3!$M$32:$M$36</c:f>
              <c:numCache>
                <c:formatCode>0.0</c:formatCode>
                <c:ptCount val="5"/>
                <c:pt idx="0">
                  <c:v>4.322222222222222</c:v>
                </c:pt>
                <c:pt idx="1">
                  <c:v>4.2555555555555555</c:v>
                </c:pt>
                <c:pt idx="2">
                  <c:v>3.520833333333333</c:v>
                </c:pt>
                <c:pt idx="3">
                  <c:v>3.8</c:v>
                </c:pt>
                <c:pt idx="4">
                  <c:v>3.9030303030303033</c:v>
                </c:pt>
              </c:numCache>
            </c:numRef>
          </c:val>
          <c:extLst>
            <c:ext xmlns:c16="http://schemas.microsoft.com/office/drawing/2014/chart" uri="{C3380CC4-5D6E-409C-BE32-E72D297353CC}">
              <c16:uniqueId val="{00000001-F6FB-46FF-A48F-C05845754B10}"/>
            </c:ext>
          </c:extLst>
        </c:ser>
        <c:dLbls>
          <c:showLegendKey val="0"/>
          <c:showVal val="0"/>
          <c:showCatName val="0"/>
          <c:showSerName val="0"/>
          <c:showPercent val="0"/>
          <c:showBubbleSize val="0"/>
        </c:dLbls>
        <c:gapWidth val="219"/>
        <c:overlap val="-27"/>
        <c:axId val="1952963871"/>
        <c:axId val="1952964287"/>
      </c:barChart>
      <c:barChart>
        <c:barDir val="col"/>
        <c:grouping val="clustered"/>
        <c:varyColors val="0"/>
        <c:ser>
          <c:idx val="2"/>
          <c:order val="2"/>
          <c:tx>
            <c:strRef>
              <c:f>Sheet3!$N$31</c:f>
              <c:strCache>
                <c:ptCount val="1"/>
                <c:pt idx="0">
                  <c:v>Average of % of improvement</c:v>
                </c:pt>
              </c:strCache>
            </c:strRef>
          </c:tx>
          <c:spPr>
            <a:solidFill>
              <a:schemeClr val="bg1">
                <a:lumMod val="85000"/>
              </a:schemeClr>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Sheet3!$K$32:$K$36</c:f>
              <c:strCache>
                <c:ptCount val="5"/>
                <c:pt idx="0">
                  <c:v>Egypt</c:v>
                </c:pt>
                <c:pt idx="1">
                  <c:v>Lebanon</c:v>
                </c:pt>
                <c:pt idx="2">
                  <c:v>Morocco</c:v>
                </c:pt>
                <c:pt idx="3">
                  <c:v>Palestine</c:v>
                </c:pt>
                <c:pt idx="4">
                  <c:v>Grand Total</c:v>
                </c:pt>
              </c:strCache>
            </c:strRef>
          </c:cat>
          <c:val>
            <c:numRef>
              <c:f>Sheet3!$N$32:$N$36</c:f>
              <c:numCache>
                <c:formatCode>0.0</c:formatCode>
                <c:ptCount val="5"/>
                <c:pt idx="0">
                  <c:v>56</c:v>
                </c:pt>
                <c:pt idx="1">
                  <c:v>26</c:v>
                </c:pt>
                <c:pt idx="2">
                  <c:v>15.6</c:v>
                </c:pt>
                <c:pt idx="3">
                  <c:v>56.6</c:v>
                </c:pt>
                <c:pt idx="4">
                  <c:v>37.299999999999997</c:v>
                </c:pt>
              </c:numCache>
            </c:numRef>
          </c:val>
          <c:extLst>
            <c:ext xmlns:c16="http://schemas.microsoft.com/office/drawing/2014/chart" uri="{C3380CC4-5D6E-409C-BE32-E72D297353CC}">
              <c16:uniqueId val="{00000002-F6FB-46FF-A48F-C05845754B10}"/>
            </c:ext>
          </c:extLst>
        </c:ser>
        <c:dLbls>
          <c:showLegendKey val="0"/>
          <c:showVal val="0"/>
          <c:showCatName val="0"/>
          <c:showSerName val="0"/>
          <c:showPercent val="0"/>
          <c:showBubbleSize val="0"/>
        </c:dLbls>
        <c:gapWidth val="362"/>
        <c:overlap val="-27"/>
        <c:axId val="1736720607"/>
        <c:axId val="1736728927"/>
      </c:barChart>
      <c:catAx>
        <c:axId val="19529638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1952964287"/>
        <c:crosses val="autoZero"/>
        <c:auto val="1"/>
        <c:lblAlgn val="ctr"/>
        <c:lblOffset val="100"/>
        <c:noMultiLvlLbl val="0"/>
      </c:catAx>
      <c:valAx>
        <c:axId val="1952964287"/>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1952963871"/>
        <c:crosses val="autoZero"/>
        <c:crossBetween val="between"/>
      </c:valAx>
      <c:valAx>
        <c:axId val="1736728927"/>
        <c:scaling>
          <c:orientation val="minMax"/>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1736720607"/>
        <c:crosses val="max"/>
        <c:crossBetween val="between"/>
      </c:valAx>
      <c:catAx>
        <c:axId val="1736720607"/>
        <c:scaling>
          <c:orientation val="minMax"/>
        </c:scaling>
        <c:delete val="1"/>
        <c:axPos val="b"/>
        <c:numFmt formatCode="General" sourceLinked="1"/>
        <c:majorTickMark val="out"/>
        <c:minorTickMark val="none"/>
        <c:tickLblPos val="nextTo"/>
        <c:crossAx val="1736728927"/>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n>
            <a:noFill/>
          </a:ln>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Sheet1!$K$23:$K$32</cx:f>
        <cx:lvl ptCount="10">
          <cx:pt idx="0">Global 2</cx:pt>
          <cx:pt idx="1">Regional &amp; comparator 18</cx:pt>
          <cx:pt idx="2">Egypt 19</cx:pt>
          <cx:pt idx="3">Jordan 5</cx:pt>
          <cx:pt idx="4">Lebanon 16</cx:pt>
          <cx:pt idx="5">Morocco 13</cx:pt>
          <cx:pt idx="6">Palestine 20</cx:pt>
          <cx:pt idx="7">Tunisia 11</cx:pt>
          <cx:pt idx="8">Total 104</cx:pt>
          <cx:pt idx="9">[Target 72]</cx:pt>
        </cx:lvl>
      </cx:strDim>
      <cx:numDim type="size">
        <cx:f>Sheet1!$L$23:$L$32</cx:f>
        <cx:lvl ptCount="10" formatCode="General">
          <cx:pt idx="0">2</cx:pt>
          <cx:pt idx="1">18</cx:pt>
          <cx:pt idx="2">19</cx:pt>
          <cx:pt idx="3">5</cx:pt>
          <cx:pt idx="4">16</cx:pt>
          <cx:pt idx="5">13</cx:pt>
          <cx:pt idx="6">20</cx:pt>
          <cx:pt idx="7">11</cx:pt>
          <cx:pt idx="8">104</cx:pt>
          <cx:pt idx="9">72</cx:pt>
        </cx:lvl>
      </cx:numDim>
    </cx:data>
    <cx:data id="1">
      <cx:strDim type="cat">
        <cx:f>Sheet1!$K$23:$K$32</cx:f>
        <cx:lvl ptCount="10">
          <cx:pt idx="0">Global 2</cx:pt>
          <cx:pt idx="1">Regional &amp; comparator 18</cx:pt>
          <cx:pt idx="2">Egypt 19</cx:pt>
          <cx:pt idx="3">Jordan 5</cx:pt>
          <cx:pt idx="4">Lebanon 16</cx:pt>
          <cx:pt idx="5">Morocco 13</cx:pt>
          <cx:pt idx="6">Palestine 20</cx:pt>
          <cx:pt idx="7">Tunisia 11</cx:pt>
          <cx:pt idx="8">Total 104</cx:pt>
          <cx:pt idx="9">[Target 72]</cx:pt>
        </cx:lvl>
      </cx:strDim>
      <cx:numDim type="size">
        <cx:f>Sheet1!$M$23:$M$32</cx:f>
        <cx:lvl ptCount="10" formatCode="General">
          <cx:pt idx="2">8</cx:pt>
          <cx:pt idx="5">4</cx:pt>
          <cx:pt idx="6">6</cx:pt>
        </cx:lvl>
      </cx:numDim>
    </cx:data>
  </cx:chartData>
  <cx:chart>
    <cx:plotArea>
      <cx:plotAreaRegion>
        <cx:series layoutId="treemap" uniqueId="{08FE314C-29D1-460F-939D-CF1559042C4F}" formatIdx="0">
          <cx:tx>
            <cx:txData>
              <cx:f>Sheet1!$L$22</cx:f>
              <cx:v>KIIs</cx:v>
            </cx:txData>
          </cx:tx>
          <cx:dataPt idx="0">
            <cx:spPr>
              <a:solidFill>
                <a:srgbClr val="3B3B3C"/>
              </a:solidFill>
            </cx:spPr>
          </cx:dataPt>
          <cx:dataPt idx="5">
            <cx:spPr>
              <a:solidFill>
                <a:srgbClr val="89803D"/>
              </a:solidFill>
            </cx:spPr>
          </cx:dataPt>
          <cx:dataPt idx="6">
            <cx:spPr>
              <a:solidFill>
                <a:srgbClr val="E7E6E6">
                  <a:lumMod val="50000"/>
                </a:srgbClr>
              </a:solidFill>
            </cx:spPr>
          </cx:dataPt>
          <cx:dataPt idx="7">
            <cx:spPr>
              <a:solidFill>
                <a:sysClr val="window" lastClr="FFFFFF">
                  <a:lumMod val="75000"/>
                </a:sysClr>
              </a:solidFill>
            </cx:spPr>
          </cx:dataPt>
          <cx:dataPt idx="9">
            <cx:spPr>
              <a:solidFill>
                <a:sysClr val="window" lastClr="FFFFFF">
                  <a:lumMod val="95000"/>
                </a:sysClr>
              </a:solidFill>
            </cx:spPr>
          </cx:dataPt>
          <cx:dataLabels>
            <cx:txPr>
              <a:bodyPr spcFirstLastPara="1" vertOverflow="ellipsis" horzOverflow="overflow" wrap="square" lIns="0" tIns="0" rIns="0" bIns="0" anchor="ctr" anchorCtr="1"/>
              <a:lstStyle/>
              <a:p>
                <a:pPr algn="ctr" rtl="0">
                  <a:defRPr sz="900"/>
                </a:pPr>
                <a:endParaRPr lang="en-US" sz="900" b="0" i="0" u="none" strike="noStrike" baseline="0">
                  <a:solidFill>
                    <a:sysClr val="window" lastClr="FFFFFF"/>
                  </a:solidFill>
                  <a:latin typeface="Calibri"/>
                </a:endParaRPr>
              </a:p>
            </cx:txPr>
            <cx:visibility seriesName="0" categoryName="1" value="0"/>
            <cx:dataLabel idx="4">
              <cx:txPr>
                <a:bodyPr spcFirstLastPara="1" vertOverflow="ellipsis" horzOverflow="overflow" wrap="square" lIns="0" tIns="0" rIns="0" bIns="0" anchor="ctr" anchorCtr="1"/>
                <a:lstStyle/>
                <a:p>
                  <a:pPr algn="ctr" rtl="0">
                    <a:defRPr>
                      <a:solidFill>
                        <a:sysClr val="windowText" lastClr="000000"/>
                      </a:solidFill>
                    </a:defRPr>
                  </a:pPr>
                  <a:r>
                    <a:rPr lang="en-US" sz="900" b="0" i="0" u="none" strike="noStrike" baseline="0">
                      <a:solidFill>
                        <a:sysClr val="windowText" lastClr="000000"/>
                      </a:solidFill>
                      <a:latin typeface="Calibri"/>
                    </a:rPr>
                    <a:t>Lebanon 16</a:t>
                  </a:r>
                </a:p>
              </cx:txPr>
              <cx:visibility seriesName="0" categoryName="1" value="0"/>
            </cx:dataLabel>
            <cx:dataLabel idx="9">
              <cx:txPr>
                <a:bodyPr spcFirstLastPara="1" vertOverflow="ellipsis" horzOverflow="overflow" wrap="square" lIns="0" tIns="0" rIns="0" bIns="0" anchor="ctr" anchorCtr="1"/>
                <a:lstStyle/>
                <a:p>
                  <a:pPr algn="ctr" rtl="0">
                    <a:defRPr>
                      <a:solidFill>
                        <a:sysClr val="windowText" lastClr="000000"/>
                      </a:solidFill>
                    </a:defRPr>
                  </a:pPr>
                  <a:r>
                    <a:rPr lang="en-US" sz="900" b="0" i="0" u="none" strike="noStrike" baseline="0">
                      <a:solidFill>
                        <a:sysClr val="windowText" lastClr="000000"/>
                      </a:solidFill>
                      <a:latin typeface="Calibri"/>
                    </a:rPr>
                    <a:t>[Target 72]</a:t>
                  </a:r>
                </a:p>
              </cx:txPr>
              <cx:visibility seriesName="0" categoryName="1" value="0"/>
            </cx:dataLabel>
          </cx:dataLabels>
          <cx:dataId val="0"/>
          <cx:layoutPr>
            <cx:parentLabelLayout val="overlapping"/>
          </cx:layoutPr>
        </cx:series>
        <cx:series layoutId="treemap" hidden="1" uniqueId="{01366D84-FBDD-479E-A090-D8044704883A}" formatIdx="1">
          <cx:tx>
            <cx:txData>
              <cx:f>Sheet1!$M$22</cx:f>
              <cx:v>FGDs</cx:v>
            </cx:txData>
          </cx:tx>
          <cx:dataLabels>
            <cx:visibility seriesName="0" categoryName="1" value="0"/>
          </cx:dataLabels>
          <cx:dataId val="1"/>
          <cx:layoutPr>
            <cx:parentLabelLayout val="none"/>
          </cx:layoutPr>
        </cx:series>
      </cx:plotAreaRegion>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Sheet4!$B$37:$B$48</cx:f>
        <cx:lvl ptCount="12">
          <cx:pt idx="0">External Linkages </cx:pt>
          <cx:pt idx="1">Community Mobilization</cx:pt>
          <cx:pt idx="2">Networking and Coalitions </cx:pt>
          <cx:pt idx="3">Development and Learning for Advocacy</cx:pt>
          <cx:pt idx="4">Reporting and Publications </cx:pt>
          <cx:pt idx="5">Safeguarding Beneficiaries </cx:pt>
          <cx:pt idx="6">Research and Analysis</cx:pt>
          <cx:pt idx="7">Communications and Messaging</cx:pt>
          <cx:pt idx="8">Resources for Advocacy</cx:pt>
          <cx:pt idx="9">M&amp;E for Advocacy</cx:pt>
          <cx:pt idx="10">Implementation of Advocacy Plan</cx:pt>
          <cx:pt idx="11">Advocacy Planning</cx:pt>
        </cx:lvl>
      </cx:strDim>
      <cx:numDim type="val">
        <cx:f>Sheet4!$C$37:$C$48</cx:f>
        <cx:lvl ptCount="12" formatCode="0%">
          <cx:pt idx="0">0.090291921249151322</cx:pt>
          <cx:pt idx="1">0.17660125879303942</cx:pt>
          <cx:pt idx="2">0.18266310849360454</cx:pt>
          <cx:pt idx="3">0.22923452768729632</cx:pt>
          <cx:pt idx="4">0.23596059113300491</cx:pt>
          <cx:pt idx="5">0.30253940455341516</cx:pt>
          <cx:pt idx="6">0.32593778591033862</cx:pt>
          <cx:pt idx="7">0.36729339746392625</cx:pt>
          <cx:pt idx="8">0.38239247311827929</cx:pt>
          <cx:pt idx="9">0.41242661448140933</cx:pt>
          <cx:pt idx="10">0.59999999999999998</cx:pt>
          <cx:pt idx="11">0.67692307692307685</cx:pt>
        </cx:lvl>
      </cx:numDim>
    </cx:data>
  </cx:chartData>
  <cx:chart>
    <cx:plotArea>
      <cx:plotAreaRegion>
        <cx:series layoutId="funnel" uniqueId="{7B6F3DED-3412-4048-B7E0-FF7FD59DE462}">
          <cx:tx>
            <cx:txData>
              <cx:f>Sheet4!$C$36</cx:f>
              <cx:v>Advocacy Capacity Improvement by Category</cx:v>
            </cx:txData>
          </cx:tx>
          <cx:spPr>
            <a:solidFill>
              <a:schemeClr val="bg1">
                <a:lumMod val="75000"/>
              </a:schemeClr>
            </a:solidFill>
          </cx:spPr>
          <cx:dataLabels>
            <cx:visibility seriesName="0" categoryName="0" value="1"/>
          </cx:dataLabels>
          <cx:dataId val="0"/>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410">
  <cs:axisTitle>
    <cs:lnRef idx="0"/>
    <cs:fillRef idx="0"/>
    <cs:effectRef idx="0"/>
    <cs:fontRef idx="minor">
      <a:schemeClr val="tx1">
        <a:lumMod val="65000"/>
        <a:lumOff val="35000"/>
      </a:schemeClr>
    </cs:fontRef>
    <cs:spPr>
      <a:solidFill>
        <a:schemeClr val="bg1">
          <a:lumMod val="65000"/>
        </a:schemeClr>
      </a:solidFill>
      <a:ln w="19050">
        <a:solidFill>
          <a:schemeClr val="bg1"/>
        </a:solidFill>
      </a:ln>
    </cs:spPr>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ocumenttasks/documenttasks1.xml><?xml version="1.0" encoding="utf-8"?>
<t:Tasks xmlns:t="http://schemas.microsoft.com/office/tasks/2019/documenttasks" xmlns:oel="http://schemas.microsoft.com/office/2019/extlst">
  <t:Task id="{F316030C-15A8-4C63-8D21-C88E30D4CFC5}">
    <t:Anchor>
      <t:Comment id="151404834"/>
    </t:Anchor>
    <t:History>
      <t:Event id="{172F183F-CFF2-4A5D-B77E-AB24F7F7DC9A}" time="2021-09-29T08:50:27.966Z">
        <t:Attribution userId="S::c.chattopadhyay@unwomen.org::1f634029-8e72-46cb-8a81-7bcd327d2576" userProvider="AD" userName="Chaitali Chattopadhyay"/>
        <t:Anchor>
          <t:Comment id="676505767"/>
        </t:Anchor>
        <t:Create/>
      </t:Event>
      <t:Event id="{14396474-AE99-49A6-8E7D-5BCBEBB9D6BD}" time="2021-09-29T08:50:27.966Z">
        <t:Attribution userId="S::c.chattopadhyay@unwomen.org::1f634029-8e72-46cb-8a81-7bcd327d2576" userProvider="AD" userName="Chaitali Chattopadhyay"/>
        <t:Anchor>
          <t:Comment id="676505767"/>
        </t:Anchor>
        <t:Assign userId="S::rodrigo.montero@unwomen.org::320c33e1-c34f-4754-84d8-80c3bbcd825b" userProvider="AD" userName="Rodrigo Montero"/>
      </t:Event>
      <t:Event id="{FEA78EBC-1C8B-4000-BE95-91219A9A2FB5}" time="2021-09-29T08:50:27.966Z">
        <t:Attribution userId="S::c.chattopadhyay@unwomen.org::1f634029-8e72-46cb-8a81-7bcd327d2576" userProvider="AD" userName="Chaitali Chattopadhyay"/>
        <t:Anchor>
          <t:Comment id="676505767"/>
        </t:Anchor>
        <t:SetTitle title="@Rodrigo Montero perhaps it is because of the online doc...takes a bit of manoeuvring but i can read all the footnotes."/>
      </t:Event>
    </t:History>
  </t:Task>
  <t:Task id="{3EDC5134-271C-41EF-9020-7D4022AF8745}">
    <t:Anchor>
      <t:Comment id="565280653"/>
    </t:Anchor>
    <t:History>
      <t:Event id="{3E71FF3F-45EA-425F-A4FA-EDD8DAA46C68}" time="2021-09-29T08:56:26.848Z">
        <t:Attribution userId="S::c.chattopadhyay@unwomen.org::1f634029-8e72-46cb-8a81-7bcd327d2576" userProvider="AD" userName="Chaitali Chattopadhyay"/>
        <t:Anchor>
          <t:Comment id="84666474"/>
        </t:Anchor>
        <t:Create/>
      </t:Event>
      <t:Event id="{C5AF6FA3-E197-4B54-BFC8-071A4829AA86}" time="2021-09-29T08:56:26.848Z">
        <t:Attribution userId="S::c.chattopadhyay@unwomen.org::1f634029-8e72-46cb-8a81-7bcd327d2576" userProvider="AD" userName="Chaitali Chattopadhyay"/>
        <t:Anchor>
          <t:Comment id="84666474"/>
        </t:Anchor>
        <t:Assign userId="S::rodrigo.montero@unwomen.org::320c33e1-c34f-4754-84d8-80c3bbcd825b" userProvider="AD" userName="Rodrigo Montero"/>
      </t:Event>
      <t:Event id="{31042AD7-BCFE-487E-AA59-01A14BFA54BA}" time="2021-09-29T08:56:26.848Z">
        <t:Attribution userId="S::c.chattopadhyay@unwomen.org::1f634029-8e72-46cb-8a81-7bcd327d2576" userProvider="AD" userName="Chaitali Chattopadhyay"/>
        <t:Anchor>
          <t:Comment id="84666474"/>
        </t:Anchor>
        <t:SetTitle title="@Rodrigo Montero we generally do not do a debriefing for RO stakeholders but if you want we can discuss this with ITAD."/>
      </t:Event>
    </t:History>
  </t:Task>
  <t:Task id="{1CCDD538-23AE-4D74-AAB9-1DBB7F8EE45C}">
    <t:Anchor>
      <t:Comment id="1311923866"/>
    </t:Anchor>
    <t:History>
      <t:Event id="{95B50175-2DC7-4890-ABD8-101F2F2E1375}" time="2021-09-29T08:58:11.856Z">
        <t:Attribution userId="S::c.chattopadhyay@unwomen.org::1f634029-8e72-46cb-8a81-7bcd327d2576" userProvider="AD" userName="Chaitali Chattopadhyay"/>
        <t:Anchor>
          <t:Comment id="1609430449"/>
        </t:Anchor>
        <t:Create/>
      </t:Event>
      <t:Event id="{781E20EC-FFCC-49C0-89E6-161767F890B9}" time="2021-09-29T08:58:11.856Z">
        <t:Attribution userId="S::c.chattopadhyay@unwomen.org::1f634029-8e72-46cb-8a81-7bcd327d2576" userProvider="AD" userName="Chaitali Chattopadhyay"/>
        <t:Anchor>
          <t:Comment id="1609430449"/>
        </t:Anchor>
        <t:Assign userId="S::rodrigo.montero@unwomen.org::320c33e1-c34f-4754-84d8-80c3bbcd825b" userProvider="AD" userName="Rodrigo Montero"/>
      </t:Event>
      <t:Event id="{67F17325-614D-4446-BE60-77B08D234C86}" time="2021-09-29T08:58:11.856Z">
        <t:Attribution userId="S::c.chattopadhyay@unwomen.org::1f634029-8e72-46cb-8a81-7bcd327d2576" userProvider="AD" userName="Chaitali Chattopadhyay"/>
        <t:Anchor>
          <t:Comment id="1609430449"/>
        </t:Anchor>
        <t:SetTitle title="@Rodrigo Montero yes, and this is different from the gender criteria which usues transformative approach. This refers to the standard gender responsive evaluation terminology that UN Women and UNEG uses. Most of UN Women programme are designed to be …"/>
      </t:Event>
    </t:History>
  </t:Task>
  <t:Task id="{70C4413E-5F41-431E-BC6E-83491E288BAB}">
    <t:Anchor>
      <t:Comment id="2116991129"/>
    </t:Anchor>
    <t:History>
      <t:Event id="{5B5BA592-E6DC-444D-BCC6-A9C8D42CFFE7}" time="2022-03-23T13:57:17.402Z">
        <t:Attribution userId="S::c.chattopadhyay@unwomen.org::1f634029-8e72-46cb-8a81-7bcd327d2576" userProvider="AD" userName="Chaitali Chattopadhyay"/>
        <t:Anchor>
          <t:Comment id="2116991129"/>
        </t:Anchor>
        <t:Create/>
      </t:Event>
      <t:Event id="{C2D934E5-3108-4C38-9B9F-934247EB4298}" time="2022-03-23T13:57:17.402Z">
        <t:Attribution userId="S::c.chattopadhyay@unwomen.org::1f634029-8e72-46cb-8a81-7bcd327d2576" userProvider="AD" userName="Chaitali Chattopadhyay"/>
        <t:Anchor>
          <t:Comment id="2116991129"/>
        </t:Anchor>
        <t:Assign userId="S::rodrigo.montero@unwomen.org::320c33e1-c34f-4754-84d8-80c3bbcd825b" userProvider="AD" userName="Rodrigo Montero"/>
      </t:Event>
      <t:Event id="{235C4A12-FDE1-4E23-AF96-BD9336A0C475}" time="2022-03-23T13:57:17.402Z">
        <t:Attribution userId="S::c.chattopadhyay@unwomen.org::1f634029-8e72-46cb-8a81-7bcd327d2576" userProvider="AD" userName="Chaitali Chattopadhyay"/>
        <t:Anchor>
          <t:Comment id="2116991129"/>
        </t:Anchor>
        <t:SetTitle title="Is this a valid statement @Rodrigo Montero and @Nicola Musa ?"/>
      </t:Event>
    </t:History>
  </t:Task>
</t:Tasks>
</file>

<file path=word/theme/theme1.xml><?xml version="1.0" encoding="utf-8"?>
<a:theme xmlns:a="http://schemas.openxmlformats.org/drawingml/2006/main" name="Office Theme">
  <a:themeElements>
    <a:clrScheme name="Itad">
      <a:dk1>
        <a:srgbClr val="3B3B3C"/>
      </a:dk1>
      <a:lt1>
        <a:sysClr val="window" lastClr="FFFFFF"/>
      </a:lt1>
      <a:dk2>
        <a:srgbClr val="588B46"/>
      </a:dk2>
      <a:lt2>
        <a:srgbClr val="E7E6E6"/>
      </a:lt2>
      <a:accent1>
        <a:srgbClr val="89803D"/>
      </a:accent1>
      <a:accent2>
        <a:srgbClr val="E37230"/>
      </a:accent2>
      <a:accent3>
        <a:srgbClr val="3FB84E"/>
      </a:accent3>
      <a:accent4>
        <a:srgbClr val="F1B249"/>
      </a:accent4>
      <a:accent5>
        <a:srgbClr val="F4F142"/>
      </a:accent5>
      <a:accent6>
        <a:srgbClr val="8CCA45"/>
      </a:accent6>
      <a:hlink>
        <a:srgbClr val="3B3B3C"/>
      </a:hlink>
      <a:folHlink>
        <a:srgbClr val="F3932D"/>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fa9b0e4-1863-4bdd-93f6-2263a2f8be6d">
      <Terms xmlns="http://schemas.microsoft.com/office/infopath/2007/PartnerControls"/>
    </lcf76f155ced4ddcb4097134ff3c332f>
    <TaxCatchAll xmlns="927849de-6c95-4165-ab85-328bc3f81ac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B6CB64899207B046B21F8BE87F8A91D9" ma:contentTypeVersion="15" ma:contentTypeDescription="Create a new document." ma:contentTypeScope="" ma:versionID="0cdb6244fac9d7dcd53b0475abb50107">
  <xsd:schema xmlns:xsd="http://www.w3.org/2001/XMLSchema" xmlns:xs="http://www.w3.org/2001/XMLSchema" xmlns:p="http://schemas.microsoft.com/office/2006/metadata/properties" xmlns:ns2="1fa9b0e4-1863-4bdd-93f6-2263a2f8be6d" xmlns:ns3="927849de-6c95-4165-ab85-328bc3f81ace" targetNamespace="http://schemas.microsoft.com/office/2006/metadata/properties" ma:root="true" ma:fieldsID="8c92956ad2b26ede69b05c2c71c4408e" ns2:_="" ns3:_="">
    <xsd:import namespace="1fa9b0e4-1863-4bdd-93f6-2263a2f8be6d"/>
    <xsd:import namespace="927849de-6c95-4165-ab85-328bc3f81ac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a9b0e4-1863-4bdd-93f6-2263a2f8b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ee52fc0-0c1d-4433-a19f-e43869d4122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27849de-6c95-4165-ab85-328bc3f81ac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a54d730-10b6-4e00-be7e-5c76225d6ecd}" ma:internalName="TaxCatchAll" ma:showField="CatchAllData" ma:web="927849de-6c95-4165-ab85-328bc3f81ac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7E8FF0-D539-4F83-A97A-0847A45EABEA}">
  <ds:schemaRefs>
    <ds:schemaRef ds:uri="http://schemas.microsoft.com/sharepoint/v3/contenttype/forms"/>
  </ds:schemaRefs>
</ds:datastoreItem>
</file>

<file path=customXml/itemProps2.xml><?xml version="1.0" encoding="utf-8"?>
<ds:datastoreItem xmlns:ds="http://schemas.openxmlformats.org/officeDocument/2006/customXml" ds:itemID="{4EA433E5-42A5-43B4-90E0-2AADFA63144F}">
  <ds:schemaRefs>
    <ds:schemaRef ds:uri="http://schemas.microsoft.com/office/2006/metadata/properties"/>
    <ds:schemaRef ds:uri="http://schemas.microsoft.com/office/infopath/2007/PartnerControls"/>
    <ds:schemaRef ds:uri="1fa9b0e4-1863-4bdd-93f6-2263a2f8be6d"/>
    <ds:schemaRef ds:uri="927849de-6c95-4165-ab85-328bc3f81ace"/>
  </ds:schemaRefs>
</ds:datastoreItem>
</file>

<file path=customXml/itemProps3.xml><?xml version="1.0" encoding="utf-8"?>
<ds:datastoreItem xmlns:ds="http://schemas.openxmlformats.org/officeDocument/2006/customXml" ds:itemID="{D68F17B1-AC15-4E5D-A028-73112551C055}">
  <ds:schemaRefs>
    <ds:schemaRef ds:uri="http://schemas.openxmlformats.org/officeDocument/2006/bibliography"/>
  </ds:schemaRefs>
</ds:datastoreItem>
</file>

<file path=customXml/itemProps4.xml><?xml version="1.0" encoding="utf-8"?>
<ds:datastoreItem xmlns:ds="http://schemas.openxmlformats.org/officeDocument/2006/customXml" ds:itemID="{8AB3487F-9B80-487F-BE19-F22586E22D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a9b0e4-1863-4bdd-93f6-2263a2f8be6d"/>
    <ds:schemaRef ds:uri="927849de-6c95-4165-ab85-328bc3f81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C:\Users\Alex.Scales\Desktop\Itad Technical Proposal Template 2020 (DRAFT - DO NOT USE) (ID 228589).dotx</Template>
  <TotalTime>359</TotalTime>
  <Pages>96</Pages>
  <Words>41426</Words>
  <Characters>236132</Characters>
  <Application>Microsoft Office Word</Application>
  <DocSecurity>0</DocSecurity>
  <Lines>1967</Lines>
  <Paragraphs>554</Paragraphs>
  <ScaleCrop>false</ScaleCrop>
  <HeadingPairs>
    <vt:vector size="2" baseType="variant">
      <vt:variant>
        <vt:lpstr>Title</vt:lpstr>
      </vt:variant>
      <vt:variant>
        <vt:i4>1</vt:i4>
      </vt:variant>
    </vt:vector>
  </HeadingPairs>
  <TitlesOfParts>
    <vt:vector size="1" baseType="lpstr">
      <vt:lpstr>Report</vt:lpstr>
    </vt:vector>
  </TitlesOfParts>
  <Company>Itad</Company>
  <LinksUpToDate>false</LinksUpToDate>
  <CharactersWithSpaces>277004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Alex Scales</dc:creator>
  <cp:keywords>Report</cp:keywords>
  <dc:description/>
  <cp:lastModifiedBy>Chaitali Chattopadhyay</cp:lastModifiedBy>
  <cp:revision>31</cp:revision>
  <cp:lastPrinted>2017-11-07T20:07:00Z</cp:lastPrinted>
  <dcterms:created xsi:type="dcterms:W3CDTF">2022-12-27T11:07:00Z</dcterms:created>
  <dcterms:modified xsi:type="dcterms:W3CDTF">2022-12-28T12:11:00Z</dcterms:modified>
  <cp:category>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ient">
    <vt:lpwstr>Itad</vt:lpwstr>
  </property>
  <property fmtid="{D5CDD505-2E9C-101B-9397-08002B2CF9AE}" pid="3" name="Language">
    <vt:lpwstr>English (UK)</vt:lpwstr>
  </property>
  <property fmtid="{D5CDD505-2E9C-101B-9397-08002B2CF9AE}" pid="4" name="Owner">
    <vt:lpwstr>P L Kessler</vt:lpwstr>
  </property>
  <property fmtid="{D5CDD505-2E9C-101B-9397-08002B2CF9AE}" pid="5" name="Project">
    <vt:lpwstr>Fruit Design</vt:lpwstr>
  </property>
  <property fmtid="{D5CDD505-2E9C-101B-9397-08002B2CF9AE}" pid="6" name="Publisher">
    <vt:lpwstr>Kessler Associates</vt:lpwstr>
  </property>
  <property fmtid="{D5CDD505-2E9C-101B-9397-08002B2CF9AE}" pid="7" name="ContentTypeId">
    <vt:lpwstr>0x010100B6CB64899207B046B21F8BE87F8A91D9</vt:lpwstr>
  </property>
  <property fmtid="{D5CDD505-2E9C-101B-9397-08002B2CF9AE}" pid="8" name="MediaServiceImageTags">
    <vt:lpwstr/>
  </property>
</Properties>
</file>