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E6AA" w14:textId="77777777" w:rsidR="00455EC5" w:rsidRPr="0088471F" w:rsidRDefault="00455EC5" w:rsidP="00455EC5">
      <w:pPr>
        <w:jc w:val="center"/>
        <w:rPr>
          <w:b/>
          <w:bCs/>
          <w:rtl/>
        </w:rPr>
      </w:pPr>
    </w:p>
    <w:p w14:paraId="120244B2" w14:textId="77777777" w:rsidR="00455EC5" w:rsidRDefault="00455EC5" w:rsidP="00455EC5">
      <w:pPr>
        <w:jc w:val="center"/>
        <w:rPr>
          <w:b/>
          <w:bCs/>
        </w:rPr>
      </w:pPr>
    </w:p>
    <w:p w14:paraId="5B2B8B4D" w14:textId="77777777" w:rsidR="00455EC5" w:rsidRDefault="00455EC5" w:rsidP="00455EC5">
      <w:pPr>
        <w:jc w:val="center"/>
        <w:rPr>
          <w:b/>
          <w:bCs/>
        </w:rPr>
      </w:pPr>
    </w:p>
    <w:p w14:paraId="05CD6618" w14:textId="77777777" w:rsidR="00455EC5" w:rsidRDefault="00455EC5" w:rsidP="00455EC5">
      <w:pPr>
        <w:jc w:val="center"/>
        <w:rPr>
          <w:b/>
          <w:bCs/>
        </w:rPr>
      </w:pPr>
    </w:p>
    <w:p w14:paraId="28D236B7" w14:textId="77777777" w:rsidR="00455EC5" w:rsidRDefault="00455EC5" w:rsidP="00455EC5">
      <w:pPr>
        <w:jc w:val="center"/>
        <w:rPr>
          <w:b/>
          <w:bCs/>
        </w:rPr>
      </w:pPr>
    </w:p>
    <w:p w14:paraId="7A990003" w14:textId="77777777" w:rsidR="00455EC5" w:rsidRDefault="00455EC5" w:rsidP="00455EC5">
      <w:pPr>
        <w:jc w:val="center"/>
        <w:rPr>
          <w:b/>
          <w:bCs/>
        </w:rPr>
      </w:pPr>
    </w:p>
    <w:p w14:paraId="35AE7EF9" w14:textId="2389DABB" w:rsidR="00455EC5" w:rsidRPr="00455EC5" w:rsidRDefault="00455EC5" w:rsidP="00455EC5">
      <w:pPr>
        <w:jc w:val="center"/>
        <w:rPr>
          <w:b/>
          <w:bCs/>
          <w:sz w:val="28"/>
          <w:szCs w:val="28"/>
        </w:rPr>
      </w:pPr>
      <w:r w:rsidRPr="00455EC5">
        <w:rPr>
          <w:b/>
          <w:bCs/>
          <w:sz w:val="28"/>
          <w:szCs w:val="28"/>
        </w:rPr>
        <w:t>Promoting Productive Employment and Decent Work for Women, in Egypt, Jordan and Palestine: Joint Programme, UN Women and ILO</w:t>
      </w:r>
    </w:p>
    <w:p w14:paraId="6AB6B838" w14:textId="77777777" w:rsidR="00455EC5" w:rsidRPr="00455EC5" w:rsidRDefault="00455EC5" w:rsidP="00455EC5">
      <w:pPr>
        <w:jc w:val="center"/>
        <w:rPr>
          <w:sz w:val="28"/>
          <w:szCs w:val="28"/>
        </w:rPr>
      </w:pPr>
    </w:p>
    <w:p w14:paraId="75A7087E" w14:textId="5AA66AA6" w:rsidR="00617267" w:rsidRPr="00455EC5" w:rsidRDefault="00455EC5" w:rsidP="00455EC5">
      <w:pPr>
        <w:jc w:val="center"/>
        <w:rPr>
          <w:sz w:val="28"/>
          <w:szCs w:val="28"/>
        </w:rPr>
      </w:pPr>
      <w:r w:rsidRPr="5DC39AF9">
        <w:rPr>
          <w:sz w:val="28"/>
          <w:szCs w:val="28"/>
        </w:rPr>
        <w:t xml:space="preserve">Mid-Term Evaluation </w:t>
      </w:r>
      <w:r w:rsidR="161EA8F2" w:rsidRPr="5DC39AF9">
        <w:rPr>
          <w:sz w:val="28"/>
          <w:szCs w:val="28"/>
        </w:rPr>
        <w:t>D</w:t>
      </w:r>
      <w:r w:rsidRPr="5DC39AF9">
        <w:rPr>
          <w:sz w:val="28"/>
          <w:szCs w:val="28"/>
        </w:rPr>
        <w:t xml:space="preserve">raft Inception Report </w:t>
      </w:r>
      <w:r w:rsidR="367974FF" w:rsidRPr="5DC39AF9">
        <w:rPr>
          <w:sz w:val="28"/>
          <w:szCs w:val="28"/>
        </w:rPr>
        <w:t>(</w:t>
      </w:r>
      <w:r w:rsidR="00B613EB">
        <w:rPr>
          <w:sz w:val="28"/>
          <w:szCs w:val="28"/>
        </w:rPr>
        <w:t>06 March</w:t>
      </w:r>
      <w:r w:rsidR="00BD5B00" w:rsidRPr="5DC39AF9">
        <w:rPr>
          <w:sz w:val="28"/>
          <w:szCs w:val="28"/>
        </w:rPr>
        <w:t xml:space="preserve"> 2022)</w:t>
      </w:r>
    </w:p>
    <w:p w14:paraId="79E37A41" w14:textId="26D600C2" w:rsidR="00455EC5" w:rsidRPr="00455EC5" w:rsidRDefault="00455EC5" w:rsidP="00455EC5">
      <w:pPr>
        <w:jc w:val="center"/>
        <w:rPr>
          <w:sz w:val="28"/>
          <w:szCs w:val="28"/>
        </w:rPr>
      </w:pPr>
    </w:p>
    <w:p w14:paraId="7AE7D0BD" w14:textId="2A3FE0B1" w:rsidR="00455EC5" w:rsidRPr="00455EC5" w:rsidRDefault="00455EC5" w:rsidP="00455EC5">
      <w:pPr>
        <w:jc w:val="center"/>
        <w:rPr>
          <w:sz w:val="28"/>
          <w:szCs w:val="28"/>
        </w:rPr>
      </w:pPr>
    </w:p>
    <w:p w14:paraId="6F9BADDB" w14:textId="4269964E" w:rsidR="00455EC5" w:rsidRPr="00455EC5" w:rsidRDefault="00455EC5" w:rsidP="00455EC5">
      <w:pPr>
        <w:jc w:val="center"/>
        <w:rPr>
          <w:sz w:val="28"/>
          <w:szCs w:val="28"/>
        </w:rPr>
      </w:pPr>
    </w:p>
    <w:p w14:paraId="67B80FF7" w14:textId="1B496A92" w:rsidR="00455EC5" w:rsidRPr="00455EC5" w:rsidRDefault="00455EC5" w:rsidP="00455EC5">
      <w:pPr>
        <w:jc w:val="center"/>
        <w:rPr>
          <w:sz w:val="28"/>
          <w:szCs w:val="28"/>
        </w:rPr>
      </w:pPr>
    </w:p>
    <w:p w14:paraId="6A8A35D5" w14:textId="53402191" w:rsidR="00455EC5" w:rsidRPr="00455EC5" w:rsidRDefault="00455EC5" w:rsidP="00455EC5">
      <w:pPr>
        <w:jc w:val="center"/>
        <w:rPr>
          <w:sz w:val="28"/>
          <w:szCs w:val="28"/>
        </w:rPr>
      </w:pPr>
    </w:p>
    <w:p w14:paraId="5E5494CF" w14:textId="6DDDC0EF" w:rsidR="00455EC5" w:rsidRPr="00455EC5" w:rsidRDefault="00455EC5" w:rsidP="00455EC5">
      <w:pPr>
        <w:jc w:val="center"/>
        <w:rPr>
          <w:sz w:val="28"/>
          <w:szCs w:val="28"/>
        </w:rPr>
      </w:pPr>
    </w:p>
    <w:p w14:paraId="6F3F74B3" w14:textId="706CFC2C" w:rsidR="00455EC5" w:rsidRDefault="00455EC5" w:rsidP="00455EC5">
      <w:pPr>
        <w:jc w:val="center"/>
      </w:pPr>
    </w:p>
    <w:p w14:paraId="20131BA6" w14:textId="181865EE" w:rsidR="00455EC5" w:rsidRDefault="00455EC5" w:rsidP="00455EC5">
      <w:pPr>
        <w:jc w:val="center"/>
      </w:pPr>
    </w:p>
    <w:p w14:paraId="7B0B1EE5" w14:textId="74AD234F" w:rsidR="00455EC5" w:rsidRDefault="00455EC5" w:rsidP="00455EC5">
      <w:pPr>
        <w:jc w:val="center"/>
      </w:pPr>
    </w:p>
    <w:p w14:paraId="31309219" w14:textId="2F61A16C" w:rsidR="00455EC5" w:rsidRDefault="00455EC5" w:rsidP="00455EC5">
      <w:pPr>
        <w:jc w:val="center"/>
      </w:pPr>
    </w:p>
    <w:p w14:paraId="4F7A8BFE" w14:textId="2B596E5C" w:rsidR="00455EC5" w:rsidRDefault="00455EC5" w:rsidP="00455EC5">
      <w:pPr>
        <w:jc w:val="center"/>
      </w:pPr>
    </w:p>
    <w:p w14:paraId="20EB8628" w14:textId="068671FE" w:rsidR="00455EC5" w:rsidRDefault="00455EC5" w:rsidP="00455EC5">
      <w:pPr>
        <w:jc w:val="center"/>
      </w:pPr>
    </w:p>
    <w:p w14:paraId="6ECFDF5C" w14:textId="37B8AE34" w:rsidR="00455EC5" w:rsidRDefault="00455EC5" w:rsidP="00455EC5">
      <w:pPr>
        <w:jc w:val="center"/>
      </w:pPr>
    </w:p>
    <w:p w14:paraId="42FFDC61" w14:textId="6CB646C2" w:rsidR="00455EC5" w:rsidRDefault="00455EC5" w:rsidP="00455EC5">
      <w:pPr>
        <w:jc w:val="center"/>
      </w:pPr>
    </w:p>
    <w:p w14:paraId="27C5724B" w14:textId="5CBE7DC9" w:rsidR="00455EC5" w:rsidRDefault="00455EC5" w:rsidP="00455EC5">
      <w:pPr>
        <w:jc w:val="center"/>
      </w:pPr>
    </w:p>
    <w:p w14:paraId="12EC805C" w14:textId="1604F1F6" w:rsidR="00455EC5" w:rsidRDefault="00455EC5" w:rsidP="00455EC5">
      <w:pPr>
        <w:jc w:val="center"/>
      </w:pPr>
    </w:p>
    <w:p w14:paraId="56C3281B" w14:textId="17E6876D" w:rsidR="00455EC5" w:rsidRDefault="00455EC5" w:rsidP="00455EC5">
      <w:pPr>
        <w:jc w:val="center"/>
      </w:pPr>
    </w:p>
    <w:p w14:paraId="01E61E7E" w14:textId="742C7C98" w:rsidR="00455EC5" w:rsidRDefault="00455EC5" w:rsidP="00455EC5">
      <w:pPr>
        <w:jc w:val="center"/>
      </w:pPr>
    </w:p>
    <w:p w14:paraId="69B4D598" w14:textId="59731B3C" w:rsidR="00455EC5" w:rsidRDefault="00455EC5" w:rsidP="00455EC5">
      <w:pPr>
        <w:jc w:val="center"/>
      </w:pPr>
    </w:p>
    <w:p w14:paraId="2FE89FAB" w14:textId="0A4238EB" w:rsidR="00455EC5" w:rsidRDefault="00455EC5" w:rsidP="00455EC5">
      <w:pPr>
        <w:jc w:val="center"/>
      </w:pPr>
    </w:p>
    <w:p w14:paraId="298E4206" w14:textId="5187B1ED" w:rsidR="00455EC5" w:rsidRDefault="00455EC5" w:rsidP="00455EC5">
      <w:pPr>
        <w:jc w:val="center"/>
      </w:pPr>
    </w:p>
    <w:p w14:paraId="5DC1B174" w14:textId="6AC19F9B" w:rsidR="00455EC5" w:rsidRDefault="00455EC5" w:rsidP="00455EC5">
      <w:pPr>
        <w:jc w:val="center"/>
      </w:pPr>
    </w:p>
    <w:p w14:paraId="2114EFCD" w14:textId="3B4053EE" w:rsidR="00455EC5" w:rsidRDefault="00455EC5" w:rsidP="00455EC5">
      <w:pPr>
        <w:jc w:val="center"/>
      </w:pPr>
    </w:p>
    <w:p w14:paraId="2DE09DBD" w14:textId="1D10320E" w:rsidR="00455EC5" w:rsidRDefault="00455EC5" w:rsidP="00455EC5">
      <w:pPr>
        <w:jc w:val="center"/>
      </w:pPr>
    </w:p>
    <w:p w14:paraId="115D0720" w14:textId="38E70767" w:rsidR="00455EC5" w:rsidRDefault="00455EC5" w:rsidP="00455EC5">
      <w:pPr>
        <w:jc w:val="center"/>
      </w:pPr>
    </w:p>
    <w:p w14:paraId="1213DDC7" w14:textId="1F2FC93A" w:rsidR="00455EC5" w:rsidRDefault="00455EC5" w:rsidP="00455EC5">
      <w:pPr>
        <w:jc w:val="center"/>
      </w:pPr>
    </w:p>
    <w:p w14:paraId="074776D0" w14:textId="5BA5BAA4" w:rsidR="00455EC5" w:rsidRDefault="00455EC5" w:rsidP="00455EC5">
      <w:pPr>
        <w:jc w:val="center"/>
      </w:pPr>
    </w:p>
    <w:p w14:paraId="7FF5FE71" w14:textId="1B2F1F3A" w:rsidR="00455EC5" w:rsidRDefault="00455EC5" w:rsidP="00455EC5">
      <w:pPr>
        <w:jc w:val="center"/>
      </w:pPr>
    </w:p>
    <w:p w14:paraId="79CDB661" w14:textId="63DA9DEC" w:rsidR="00455EC5" w:rsidRDefault="00455EC5" w:rsidP="00455EC5">
      <w:pPr>
        <w:jc w:val="center"/>
      </w:pPr>
    </w:p>
    <w:p w14:paraId="54E95C25" w14:textId="1780E97C" w:rsidR="00455EC5" w:rsidRDefault="00455EC5" w:rsidP="00455EC5">
      <w:pPr>
        <w:jc w:val="center"/>
      </w:pPr>
    </w:p>
    <w:p w14:paraId="4789FF0E" w14:textId="140AA118" w:rsidR="00455EC5" w:rsidRDefault="00455EC5" w:rsidP="00455EC5">
      <w:pPr>
        <w:jc w:val="center"/>
      </w:pPr>
    </w:p>
    <w:p w14:paraId="3D54C4B2" w14:textId="780AA78B" w:rsidR="00455EC5" w:rsidRDefault="00455EC5" w:rsidP="00455EC5">
      <w:pPr>
        <w:jc w:val="center"/>
      </w:pPr>
    </w:p>
    <w:p w14:paraId="4BCA7941" w14:textId="77777777" w:rsidR="00455EC5" w:rsidRPr="00354F87" w:rsidRDefault="00455EC5" w:rsidP="00455EC5">
      <w:pPr>
        <w:jc w:val="center"/>
      </w:pPr>
    </w:p>
    <w:p w14:paraId="086A9C98" w14:textId="46F9BD5D" w:rsidR="00617267" w:rsidRDefault="00617267"/>
    <w:sdt>
      <w:sdtPr>
        <w:rPr>
          <w:rFonts w:asciiTheme="minorHAnsi" w:eastAsiaTheme="minorHAnsi" w:hAnsiTheme="minorHAnsi" w:cstheme="minorHAnsi"/>
          <w:i/>
          <w:iCs/>
          <w:color w:val="auto"/>
          <w:sz w:val="24"/>
          <w:szCs w:val="24"/>
        </w:rPr>
        <w:id w:val="780087389"/>
        <w:docPartObj>
          <w:docPartGallery w:val="Table of Contents"/>
          <w:docPartUnique/>
        </w:docPartObj>
      </w:sdtPr>
      <w:sdtContent>
        <w:p w14:paraId="2943FD17" w14:textId="627EBF4F" w:rsidR="00354F87" w:rsidRDefault="00354F87" w:rsidP="5DC39AF9">
          <w:pPr>
            <w:pStyle w:val="TOCHeading"/>
            <w:rPr>
              <w:sz w:val="18"/>
              <w:szCs w:val="18"/>
            </w:rPr>
          </w:pPr>
          <w:r w:rsidRPr="5DC39AF9">
            <w:rPr>
              <w:sz w:val="18"/>
              <w:szCs w:val="18"/>
            </w:rPr>
            <w:t>Table of Contents</w:t>
          </w:r>
        </w:p>
        <w:p w14:paraId="145E9CC9" w14:textId="04DB4058" w:rsidR="000B3B41" w:rsidRDefault="00D673D4">
          <w:pPr>
            <w:pStyle w:val="TOC1"/>
            <w:tabs>
              <w:tab w:val="left" w:pos="440"/>
              <w:tab w:val="right" w:pos="9350"/>
            </w:tabs>
            <w:rPr>
              <w:rFonts w:eastAsiaTheme="minorEastAsia" w:cstheme="minorBidi"/>
              <w:b w:val="0"/>
              <w:bCs w:val="0"/>
              <w:i w:val="0"/>
              <w:iCs w:val="0"/>
              <w:noProof/>
              <w:lang w:val="en-GB" w:eastAsia="en-GB"/>
            </w:rPr>
          </w:pPr>
          <w:r>
            <w:fldChar w:fldCharType="begin"/>
          </w:r>
          <w:r w:rsidR="00354F87">
            <w:instrText>TOC \o "1-3" \h \z \u</w:instrText>
          </w:r>
          <w:r>
            <w:fldChar w:fldCharType="separate"/>
          </w:r>
          <w:hyperlink w:anchor="_Toc97453922" w:history="1">
            <w:r w:rsidR="000B3B41" w:rsidRPr="00CB3EC5">
              <w:rPr>
                <w:rStyle w:val="Hyperlink"/>
                <w:rFonts w:ascii="Times New Roman" w:hAnsi="Times New Roman" w:cs="Times New Roman"/>
                <w:noProof/>
              </w:rPr>
              <w:t>1.</w:t>
            </w:r>
            <w:r w:rsidR="000B3B41">
              <w:rPr>
                <w:rFonts w:eastAsiaTheme="minorEastAsia" w:cstheme="minorBidi"/>
                <w:b w:val="0"/>
                <w:bCs w:val="0"/>
                <w:i w:val="0"/>
                <w:iCs w:val="0"/>
                <w:noProof/>
                <w:lang w:val="en-GB" w:eastAsia="en-GB"/>
              </w:rPr>
              <w:tab/>
            </w:r>
            <w:r w:rsidR="000B3B41" w:rsidRPr="00CB3EC5">
              <w:rPr>
                <w:rStyle w:val="Hyperlink"/>
                <w:rFonts w:ascii="Times New Roman" w:hAnsi="Times New Roman" w:cs="Times New Roman"/>
                <w:noProof/>
              </w:rPr>
              <w:t>Background and context</w:t>
            </w:r>
            <w:r w:rsidR="000B3B41">
              <w:rPr>
                <w:noProof/>
                <w:webHidden/>
              </w:rPr>
              <w:tab/>
            </w:r>
            <w:r w:rsidR="000B3B41">
              <w:rPr>
                <w:noProof/>
                <w:webHidden/>
              </w:rPr>
              <w:fldChar w:fldCharType="begin"/>
            </w:r>
            <w:r w:rsidR="000B3B41">
              <w:rPr>
                <w:noProof/>
                <w:webHidden/>
              </w:rPr>
              <w:instrText xml:space="preserve"> PAGEREF _Toc97453922 \h </w:instrText>
            </w:r>
            <w:r w:rsidR="000B3B41">
              <w:rPr>
                <w:noProof/>
                <w:webHidden/>
              </w:rPr>
            </w:r>
            <w:r w:rsidR="000B3B41">
              <w:rPr>
                <w:noProof/>
                <w:webHidden/>
              </w:rPr>
              <w:fldChar w:fldCharType="separate"/>
            </w:r>
            <w:r w:rsidR="000B3B41">
              <w:rPr>
                <w:noProof/>
                <w:webHidden/>
              </w:rPr>
              <w:t>5</w:t>
            </w:r>
            <w:r w:rsidR="000B3B41">
              <w:rPr>
                <w:noProof/>
                <w:webHidden/>
              </w:rPr>
              <w:fldChar w:fldCharType="end"/>
            </w:r>
          </w:hyperlink>
        </w:p>
        <w:p w14:paraId="0CB17535" w14:textId="494A2C3B" w:rsidR="000B3B41" w:rsidRDefault="00000000">
          <w:pPr>
            <w:pStyle w:val="TOC2"/>
            <w:tabs>
              <w:tab w:val="left" w:pos="660"/>
              <w:tab w:val="right" w:pos="9350"/>
            </w:tabs>
            <w:rPr>
              <w:rFonts w:eastAsiaTheme="minorEastAsia" w:cstheme="minorBidi"/>
              <w:b w:val="0"/>
              <w:bCs w:val="0"/>
              <w:noProof/>
              <w:sz w:val="24"/>
              <w:szCs w:val="24"/>
              <w:lang w:val="en-GB" w:eastAsia="en-GB"/>
            </w:rPr>
          </w:pPr>
          <w:hyperlink w:anchor="_Toc97453923" w:history="1">
            <w:r w:rsidR="000B3B41" w:rsidRPr="00CB3EC5">
              <w:rPr>
                <w:rStyle w:val="Hyperlink"/>
                <w:rFonts w:ascii="Times New Roman" w:hAnsi="Times New Roman" w:cs="Times New Roman"/>
                <w:noProof/>
              </w:rPr>
              <w:t>2.</w:t>
            </w:r>
            <w:r w:rsidR="000B3B41">
              <w:rPr>
                <w:rFonts w:eastAsiaTheme="minorEastAsia" w:cstheme="minorBidi"/>
                <w:b w:val="0"/>
                <w:bCs w:val="0"/>
                <w:noProof/>
                <w:sz w:val="24"/>
                <w:szCs w:val="24"/>
                <w:lang w:val="en-GB" w:eastAsia="en-GB"/>
              </w:rPr>
              <w:tab/>
            </w:r>
            <w:r w:rsidR="000B3B41" w:rsidRPr="00CB3EC5">
              <w:rPr>
                <w:rStyle w:val="Hyperlink"/>
                <w:rFonts w:ascii="Times New Roman" w:hAnsi="Times New Roman" w:cs="Times New Roman"/>
                <w:noProof/>
              </w:rPr>
              <w:t>Regional Overview</w:t>
            </w:r>
            <w:r w:rsidR="000B3B41">
              <w:rPr>
                <w:noProof/>
                <w:webHidden/>
              </w:rPr>
              <w:tab/>
            </w:r>
            <w:r w:rsidR="000B3B41">
              <w:rPr>
                <w:noProof/>
                <w:webHidden/>
              </w:rPr>
              <w:fldChar w:fldCharType="begin"/>
            </w:r>
            <w:r w:rsidR="000B3B41">
              <w:rPr>
                <w:noProof/>
                <w:webHidden/>
              </w:rPr>
              <w:instrText xml:space="preserve"> PAGEREF _Toc97453923 \h </w:instrText>
            </w:r>
            <w:r w:rsidR="000B3B41">
              <w:rPr>
                <w:noProof/>
                <w:webHidden/>
              </w:rPr>
            </w:r>
            <w:r w:rsidR="000B3B41">
              <w:rPr>
                <w:noProof/>
                <w:webHidden/>
              </w:rPr>
              <w:fldChar w:fldCharType="separate"/>
            </w:r>
            <w:r w:rsidR="000B3B41">
              <w:rPr>
                <w:noProof/>
                <w:webHidden/>
              </w:rPr>
              <w:t>6</w:t>
            </w:r>
            <w:r w:rsidR="000B3B41">
              <w:rPr>
                <w:noProof/>
                <w:webHidden/>
              </w:rPr>
              <w:fldChar w:fldCharType="end"/>
            </w:r>
          </w:hyperlink>
        </w:p>
        <w:p w14:paraId="0EEA2FD9" w14:textId="5D12D2AD" w:rsidR="000B3B41" w:rsidRDefault="00000000">
          <w:pPr>
            <w:pStyle w:val="TOC1"/>
            <w:tabs>
              <w:tab w:val="left" w:pos="440"/>
              <w:tab w:val="right" w:pos="9350"/>
            </w:tabs>
            <w:rPr>
              <w:rFonts w:eastAsiaTheme="minorEastAsia" w:cstheme="minorBidi"/>
              <w:b w:val="0"/>
              <w:bCs w:val="0"/>
              <w:i w:val="0"/>
              <w:iCs w:val="0"/>
              <w:noProof/>
              <w:lang w:val="en-GB" w:eastAsia="en-GB"/>
            </w:rPr>
          </w:pPr>
          <w:hyperlink w:anchor="_Toc97453924" w:history="1">
            <w:r w:rsidR="000B3B41" w:rsidRPr="00CB3EC5">
              <w:rPr>
                <w:rStyle w:val="Hyperlink"/>
                <w:rFonts w:ascii="Times New Roman" w:eastAsia="Calibri" w:hAnsi="Times New Roman" w:cs="Times New Roman"/>
                <w:noProof/>
                <w:lang w:val="en-GB"/>
              </w:rPr>
              <w:t>3.</w:t>
            </w:r>
            <w:r w:rsidR="000B3B41">
              <w:rPr>
                <w:rFonts w:eastAsiaTheme="minorEastAsia" w:cstheme="minorBidi"/>
                <w:b w:val="0"/>
                <w:bCs w:val="0"/>
                <w:i w:val="0"/>
                <w:iCs w:val="0"/>
                <w:noProof/>
                <w:lang w:val="en-GB" w:eastAsia="en-GB"/>
              </w:rPr>
              <w:tab/>
            </w:r>
            <w:r w:rsidR="000B3B41" w:rsidRPr="00CB3EC5">
              <w:rPr>
                <w:rStyle w:val="Hyperlink"/>
                <w:rFonts w:ascii="Times New Roman" w:eastAsia="Calibri" w:hAnsi="Times New Roman" w:cs="Times New Roman"/>
                <w:noProof/>
              </w:rPr>
              <w:t>Country background: Egypt, Jordan and Palestine</w:t>
            </w:r>
            <w:r w:rsidR="000B3B41" w:rsidRPr="00CB3EC5">
              <w:rPr>
                <w:rStyle w:val="Hyperlink"/>
                <w:rFonts w:ascii="Times New Roman" w:eastAsia="Calibri" w:hAnsi="Times New Roman" w:cs="Times New Roman"/>
                <w:noProof/>
                <w:lang w:val="en-GB"/>
              </w:rPr>
              <w:t xml:space="preserve"> and context of female employment</w:t>
            </w:r>
            <w:r w:rsidR="000B3B41">
              <w:rPr>
                <w:noProof/>
                <w:webHidden/>
              </w:rPr>
              <w:tab/>
            </w:r>
            <w:r w:rsidR="000B3B41">
              <w:rPr>
                <w:noProof/>
                <w:webHidden/>
              </w:rPr>
              <w:fldChar w:fldCharType="begin"/>
            </w:r>
            <w:r w:rsidR="000B3B41">
              <w:rPr>
                <w:noProof/>
                <w:webHidden/>
              </w:rPr>
              <w:instrText xml:space="preserve"> PAGEREF _Toc97453924 \h </w:instrText>
            </w:r>
            <w:r w:rsidR="000B3B41">
              <w:rPr>
                <w:noProof/>
                <w:webHidden/>
              </w:rPr>
            </w:r>
            <w:r w:rsidR="000B3B41">
              <w:rPr>
                <w:noProof/>
                <w:webHidden/>
              </w:rPr>
              <w:fldChar w:fldCharType="separate"/>
            </w:r>
            <w:r w:rsidR="000B3B41">
              <w:rPr>
                <w:noProof/>
                <w:webHidden/>
              </w:rPr>
              <w:t>7</w:t>
            </w:r>
            <w:r w:rsidR="000B3B41">
              <w:rPr>
                <w:noProof/>
                <w:webHidden/>
              </w:rPr>
              <w:fldChar w:fldCharType="end"/>
            </w:r>
          </w:hyperlink>
        </w:p>
        <w:p w14:paraId="493A5725" w14:textId="56C36922" w:rsidR="000B3B41" w:rsidRDefault="00000000">
          <w:pPr>
            <w:pStyle w:val="TOC1"/>
            <w:tabs>
              <w:tab w:val="left" w:pos="440"/>
              <w:tab w:val="right" w:pos="9350"/>
            </w:tabs>
            <w:rPr>
              <w:rFonts w:eastAsiaTheme="minorEastAsia" w:cstheme="minorBidi"/>
              <w:b w:val="0"/>
              <w:bCs w:val="0"/>
              <w:i w:val="0"/>
              <w:iCs w:val="0"/>
              <w:noProof/>
              <w:lang w:val="en-GB" w:eastAsia="en-GB"/>
            </w:rPr>
          </w:pPr>
          <w:hyperlink w:anchor="_Toc97453925" w:history="1">
            <w:r w:rsidR="000B3B41" w:rsidRPr="00CB3EC5">
              <w:rPr>
                <w:rStyle w:val="Hyperlink"/>
                <w:rFonts w:ascii="Times New Roman" w:hAnsi="Times New Roman" w:cs="Times New Roman"/>
                <w:noProof/>
              </w:rPr>
              <w:t>4.</w:t>
            </w:r>
            <w:r w:rsidR="000B3B41">
              <w:rPr>
                <w:rFonts w:eastAsiaTheme="minorEastAsia" w:cstheme="minorBidi"/>
                <w:b w:val="0"/>
                <w:bCs w:val="0"/>
                <w:i w:val="0"/>
                <w:iCs w:val="0"/>
                <w:noProof/>
                <w:lang w:val="en-GB" w:eastAsia="en-GB"/>
              </w:rPr>
              <w:tab/>
            </w:r>
            <w:r w:rsidR="000B3B41" w:rsidRPr="00CB3EC5">
              <w:rPr>
                <w:rStyle w:val="Hyperlink"/>
                <w:rFonts w:ascii="Times New Roman" w:hAnsi="Times New Roman" w:cs="Times New Roman"/>
                <w:noProof/>
              </w:rPr>
              <w:t>Summary of the Programme</w:t>
            </w:r>
            <w:r w:rsidR="000B3B41">
              <w:rPr>
                <w:noProof/>
                <w:webHidden/>
              </w:rPr>
              <w:tab/>
            </w:r>
            <w:r w:rsidR="000B3B41">
              <w:rPr>
                <w:noProof/>
                <w:webHidden/>
              </w:rPr>
              <w:fldChar w:fldCharType="begin"/>
            </w:r>
            <w:r w:rsidR="000B3B41">
              <w:rPr>
                <w:noProof/>
                <w:webHidden/>
              </w:rPr>
              <w:instrText xml:space="preserve"> PAGEREF _Toc97453925 \h </w:instrText>
            </w:r>
            <w:r w:rsidR="000B3B41">
              <w:rPr>
                <w:noProof/>
                <w:webHidden/>
              </w:rPr>
            </w:r>
            <w:r w:rsidR="000B3B41">
              <w:rPr>
                <w:noProof/>
                <w:webHidden/>
              </w:rPr>
              <w:fldChar w:fldCharType="separate"/>
            </w:r>
            <w:r w:rsidR="000B3B41">
              <w:rPr>
                <w:noProof/>
                <w:webHidden/>
              </w:rPr>
              <w:t>14</w:t>
            </w:r>
            <w:r w:rsidR="000B3B41">
              <w:rPr>
                <w:noProof/>
                <w:webHidden/>
              </w:rPr>
              <w:fldChar w:fldCharType="end"/>
            </w:r>
          </w:hyperlink>
        </w:p>
        <w:p w14:paraId="5E2E12F0" w14:textId="5EABC098" w:rsidR="000B3B41" w:rsidRDefault="00000000">
          <w:pPr>
            <w:pStyle w:val="TOC1"/>
            <w:tabs>
              <w:tab w:val="left" w:pos="440"/>
              <w:tab w:val="right" w:pos="9350"/>
            </w:tabs>
            <w:rPr>
              <w:rFonts w:eastAsiaTheme="minorEastAsia" w:cstheme="minorBidi"/>
              <w:b w:val="0"/>
              <w:bCs w:val="0"/>
              <w:i w:val="0"/>
              <w:iCs w:val="0"/>
              <w:noProof/>
              <w:lang w:val="en-GB" w:eastAsia="en-GB"/>
            </w:rPr>
          </w:pPr>
          <w:hyperlink w:anchor="_Toc97453926" w:history="1">
            <w:r w:rsidR="000B3B41" w:rsidRPr="00CB3EC5">
              <w:rPr>
                <w:rStyle w:val="Hyperlink"/>
                <w:rFonts w:ascii="Times New Roman" w:hAnsi="Times New Roman" w:cs="Times New Roman"/>
                <w:noProof/>
              </w:rPr>
              <w:t>7.</w:t>
            </w:r>
            <w:r w:rsidR="000B3B41">
              <w:rPr>
                <w:rFonts w:eastAsiaTheme="minorEastAsia" w:cstheme="minorBidi"/>
                <w:b w:val="0"/>
                <w:bCs w:val="0"/>
                <w:i w:val="0"/>
                <w:iCs w:val="0"/>
                <w:noProof/>
                <w:lang w:val="en-GB" w:eastAsia="en-GB"/>
              </w:rPr>
              <w:tab/>
            </w:r>
            <w:r w:rsidR="000B3B41" w:rsidRPr="00CB3EC5">
              <w:rPr>
                <w:rStyle w:val="Hyperlink"/>
                <w:rFonts w:ascii="Times New Roman" w:hAnsi="Times New Roman" w:cs="Times New Roman"/>
                <w:noProof/>
              </w:rPr>
              <w:t>Theory of change or intervention logic and the logical framework</w:t>
            </w:r>
            <w:r w:rsidR="000B3B41">
              <w:rPr>
                <w:noProof/>
                <w:webHidden/>
              </w:rPr>
              <w:tab/>
            </w:r>
            <w:r w:rsidR="000B3B41">
              <w:rPr>
                <w:noProof/>
                <w:webHidden/>
              </w:rPr>
              <w:fldChar w:fldCharType="begin"/>
            </w:r>
            <w:r w:rsidR="000B3B41">
              <w:rPr>
                <w:noProof/>
                <w:webHidden/>
              </w:rPr>
              <w:instrText xml:space="preserve"> PAGEREF _Toc97453926 \h </w:instrText>
            </w:r>
            <w:r w:rsidR="000B3B41">
              <w:rPr>
                <w:noProof/>
                <w:webHidden/>
              </w:rPr>
            </w:r>
            <w:r w:rsidR="000B3B41">
              <w:rPr>
                <w:noProof/>
                <w:webHidden/>
              </w:rPr>
              <w:fldChar w:fldCharType="separate"/>
            </w:r>
            <w:r w:rsidR="000B3B41">
              <w:rPr>
                <w:noProof/>
                <w:webHidden/>
              </w:rPr>
              <w:t>18</w:t>
            </w:r>
            <w:r w:rsidR="000B3B41">
              <w:rPr>
                <w:noProof/>
                <w:webHidden/>
              </w:rPr>
              <w:fldChar w:fldCharType="end"/>
            </w:r>
          </w:hyperlink>
        </w:p>
        <w:p w14:paraId="28995BA1" w14:textId="229C20F8" w:rsidR="000B3B41" w:rsidRDefault="00000000">
          <w:pPr>
            <w:pStyle w:val="TOC1"/>
            <w:tabs>
              <w:tab w:val="left" w:pos="440"/>
              <w:tab w:val="right" w:pos="9350"/>
            </w:tabs>
            <w:rPr>
              <w:rFonts w:eastAsiaTheme="minorEastAsia" w:cstheme="minorBidi"/>
              <w:b w:val="0"/>
              <w:bCs w:val="0"/>
              <w:i w:val="0"/>
              <w:iCs w:val="0"/>
              <w:noProof/>
              <w:lang w:val="en-GB" w:eastAsia="en-GB"/>
            </w:rPr>
          </w:pPr>
          <w:hyperlink w:anchor="_Toc97453927" w:history="1">
            <w:r w:rsidR="000B3B41" w:rsidRPr="00CB3EC5">
              <w:rPr>
                <w:rStyle w:val="Hyperlink"/>
                <w:rFonts w:ascii="Times New Roman" w:eastAsia="Times New Roman" w:hAnsi="Times New Roman" w:cs="Times New Roman"/>
                <w:noProof/>
              </w:rPr>
              <w:t>8.</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lang w:val="en-GB"/>
              </w:rPr>
              <w:t>Key programmatic interventions</w:t>
            </w:r>
            <w:r w:rsidR="000B3B41">
              <w:rPr>
                <w:noProof/>
                <w:webHidden/>
              </w:rPr>
              <w:tab/>
            </w:r>
            <w:r w:rsidR="000B3B41">
              <w:rPr>
                <w:noProof/>
                <w:webHidden/>
              </w:rPr>
              <w:fldChar w:fldCharType="begin"/>
            </w:r>
            <w:r w:rsidR="000B3B41">
              <w:rPr>
                <w:noProof/>
                <w:webHidden/>
              </w:rPr>
              <w:instrText xml:space="preserve"> PAGEREF _Toc97453927 \h </w:instrText>
            </w:r>
            <w:r w:rsidR="000B3B41">
              <w:rPr>
                <w:noProof/>
                <w:webHidden/>
              </w:rPr>
            </w:r>
            <w:r w:rsidR="000B3B41">
              <w:rPr>
                <w:noProof/>
                <w:webHidden/>
              </w:rPr>
              <w:fldChar w:fldCharType="separate"/>
            </w:r>
            <w:r w:rsidR="000B3B41">
              <w:rPr>
                <w:noProof/>
                <w:webHidden/>
              </w:rPr>
              <w:t>20</w:t>
            </w:r>
            <w:r w:rsidR="000B3B41">
              <w:rPr>
                <w:noProof/>
                <w:webHidden/>
              </w:rPr>
              <w:fldChar w:fldCharType="end"/>
            </w:r>
          </w:hyperlink>
        </w:p>
        <w:p w14:paraId="1E5CEC2F" w14:textId="6C1BC737" w:rsidR="000B3B41" w:rsidRDefault="00000000">
          <w:pPr>
            <w:pStyle w:val="TOC1"/>
            <w:tabs>
              <w:tab w:val="left" w:pos="440"/>
              <w:tab w:val="right" w:pos="9350"/>
            </w:tabs>
            <w:rPr>
              <w:rFonts w:eastAsiaTheme="minorEastAsia" w:cstheme="minorBidi"/>
              <w:b w:val="0"/>
              <w:bCs w:val="0"/>
              <w:i w:val="0"/>
              <w:iCs w:val="0"/>
              <w:noProof/>
              <w:lang w:val="en-GB" w:eastAsia="en-GB"/>
            </w:rPr>
          </w:pPr>
          <w:hyperlink w:anchor="_Toc97453928" w:history="1">
            <w:r w:rsidR="000B3B41" w:rsidRPr="00CB3EC5">
              <w:rPr>
                <w:rStyle w:val="Hyperlink"/>
                <w:rFonts w:ascii="Times New Roman" w:eastAsia="Times New Roman" w:hAnsi="Times New Roman" w:cs="Times New Roman"/>
                <w:noProof/>
                <w:lang w:val="en-GB"/>
              </w:rPr>
              <w:t>9.</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lang w:val="en-GB"/>
              </w:rPr>
              <w:t>Project target groups and key stakeholders</w:t>
            </w:r>
            <w:r w:rsidR="000B3B41">
              <w:rPr>
                <w:noProof/>
                <w:webHidden/>
              </w:rPr>
              <w:tab/>
            </w:r>
            <w:r w:rsidR="000B3B41">
              <w:rPr>
                <w:noProof/>
                <w:webHidden/>
              </w:rPr>
              <w:fldChar w:fldCharType="begin"/>
            </w:r>
            <w:r w:rsidR="000B3B41">
              <w:rPr>
                <w:noProof/>
                <w:webHidden/>
              </w:rPr>
              <w:instrText xml:space="preserve"> PAGEREF _Toc97453928 \h </w:instrText>
            </w:r>
            <w:r w:rsidR="000B3B41">
              <w:rPr>
                <w:noProof/>
                <w:webHidden/>
              </w:rPr>
            </w:r>
            <w:r w:rsidR="000B3B41">
              <w:rPr>
                <w:noProof/>
                <w:webHidden/>
              </w:rPr>
              <w:fldChar w:fldCharType="separate"/>
            </w:r>
            <w:r w:rsidR="000B3B41">
              <w:rPr>
                <w:noProof/>
                <w:webHidden/>
              </w:rPr>
              <w:t>20</w:t>
            </w:r>
            <w:r w:rsidR="000B3B41">
              <w:rPr>
                <w:noProof/>
                <w:webHidden/>
              </w:rPr>
              <w:fldChar w:fldCharType="end"/>
            </w:r>
          </w:hyperlink>
        </w:p>
        <w:p w14:paraId="6DDD7F7E" w14:textId="55133B55"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29" w:history="1">
            <w:r w:rsidR="000B3B41" w:rsidRPr="00CB3EC5">
              <w:rPr>
                <w:rStyle w:val="Hyperlink"/>
                <w:rFonts w:ascii="Times New Roman" w:eastAsia="Times New Roman" w:hAnsi="Times New Roman" w:cs="Times New Roman"/>
                <w:noProof/>
              </w:rPr>
              <w:t>10.</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Evaluation purpose, Objectives and Scope</w:t>
            </w:r>
            <w:r w:rsidR="000B3B41">
              <w:rPr>
                <w:noProof/>
                <w:webHidden/>
              </w:rPr>
              <w:tab/>
            </w:r>
            <w:r w:rsidR="000B3B41">
              <w:rPr>
                <w:noProof/>
                <w:webHidden/>
              </w:rPr>
              <w:fldChar w:fldCharType="begin"/>
            </w:r>
            <w:r w:rsidR="000B3B41">
              <w:rPr>
                <w:noProof/>
                <w:webHidden/>
              </w:rPr>
              <w:instrText xml:space="preserve"> PAGEREF _Toc97453929 \h </w:instrText>
            </w:r>
            <w:r w:rsidR="000B3B41">
              <w:rPr>
                <w:noProof/>
                <w:webHidden/>
              </w:rPr>
            </w:r>
            <w:r w:rsidR="000B3B41">
              <w:rPr>
                <w:noProof/>
                <w:webHidden/>
              </w:rPr>
              <w:fldChar w:fldCharType="separate"/>
            </w:r>
            <w:r w:rsidR="000B3B41">
              <w:rPr>
                <w:noProof/>
                <w:webHidden/>
              </w:rPr>
              <w:t>22</w:t>
            </w:r>
            <w:r w:rsidR="000B3B41">
              <w:rPr>
                <w:noProof/>
                <w:webHidden/>
              </w:rPr>
              <w:fldChar w:fldCharType="end"/>
            </w:r>
          </w:hyperlink>
        </w:p>
        <w:p w14:paraId="6570FC5B" w14:textId="78305C24"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0" w:history="1">
            <w:r w:rsidR="000B3B41" w:rsidRPr="00CB3EC5">
              <w:rPr>
                <w:rStyle w:val="Hyperlink"/>
                <w:rFonts w:ascii="Times New Roman" w:eastAsia="Times New Roman" w:hAnsi="Times New Roman" w:cs="Times New Roman"/>
                <w:noProof/>
                <w:lang w:val="en-GB"/>
              </w:rPr>
              <w:t>11.</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lang w:val="en-GB"/>
              </w:rPr>
              <w:t>Use and users of the evaluation</w:t>
            </w:r>
            <w:r w:rsidR="000B3B41">
              <w:rPr>
                <w:noProof/>
                <w:webHidden/>
              </w:rPr>
              <w:tab/>
            </w:r>
            <w:r w:rsidR="000B3B41">
              <w:rPr>
                <w:noProof/>
                <w:webHidden/>
              </w:rPr>
              <w:fldChar w:fldCharType="begin"/>
            </w:r>
            <w:r w:rsidR="000B3B41">
              <w:rPr>
                <w:noProof/>
                <w:webHidden/>
              </w:rPr>
              <w:instrText xml:space="preserve"> PAGEREF _Toc97453930 \h </w:instrText>
            </w:r>
            <w:r w:rsidR="000B3B41">
              <w:rPr>
                <w:noProof/>
                <w:webHidden/>
              </w:rPr>
            </w:r>
            <w:r w:rsidR="000B3B41">
              <w:rPr>
                <w:noProof/>
                <w:webHidden/>
              </w:rPr>
              <w:fldChar w:fldCharType="separate"/>
            </w:r>
            <w:r w:rsidR="000B3B41">
              <w:rPr>
                <w:noProof/>
                <w:webHidden/>
              </w:rPr>
              <w:t>23</w:t>
            </w:r>
            <w:r w:rsidR="000B3B41">
              <w:rPr>
                <w:noProof/>
                <w:webHidden/>
              </w:rPr>
              <w:fldChar w:fldCharType="end"/>
            </w:r>
          </w:hyperlink>
        </w:p>
        <w:p w14:paraId="3A8E2B5E" w14:textId="5D029CA6"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1" w:history="1">
            <w:r w:rsidR="000B3B41" w:rsidRPr="00CB3EC5">
              <w:rPr>
                <w:rStyle w:val="Hyperlink"/>
                <w:rFonts w:ascii="Times New Roman" w:eastAsia="Times New Roman" w:hAnsi="Times New Roman" w:cs="Times New Roman"/>
                <w:noProof/>
              </w:rPr>
              <w:t>12.</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Evaluation criteria and questions</w:t>
            </w:r>
            <w:r w:rsidR="000B3B41">
              <w:rPr>
                <w:noProof/>
                <w:webHidden/>
              </w:rPr>
              <w:tab/>
            </w:r>
            <w:r w:rsidR="000B3B41">
              <w:rPr>
                <w:noProof/>
                <w:webHidden/>
              </w:rPr>
              <w:fldChar w:fldCharType="begin"/>
            </w:r>
            <w:r w:rsidR="000B3B41">
              <w:rPr>
                <w:noProof/>
                <w:webHidden/>
              </w:rPr>
              <w:instrText xml:space="preserve"> PAGEREF _Toc97453931 \h </w:instrText>
            </w:r>
            <w:r w:rsidR="000B3B41">
              <w:rPr>
                <w:noProof/>
                <w:webHidden/>
              </w:rPr>
            </w:r>
            <w:r w:rsidR="000B3B41">
              <w:rPr>
                <w:noProof/>
                <w:webHidden/>
              </w:rPr>
              <w:fldChar w:fldCharType="separate"/>
            </w:r>
            <w:r w:rsidR="000B3B41">
              <w:rPr>
                <w:noProof/>
                <w:webHidden/>
              </w:rPr>
              <w:t>23</w:t>
            </w:r>
            <w:r w:rsidR="000B3B41">
              <w:rPr>
                <w:noProof/>
                <w:webHidden/>
              </w:rPr>
              <w:fldChar w:fldCharType="end"/>
            </w:r>
          </w:hyperlink>
        </w:p>
        <w:p w14:paraId="7B2275BC" w14:textId="34DDF7DD" w:rsidR="000B3B41" w:rsidRDefault="00000000">
          <w:pPr>
            <w:pStyle w:val="TOC2"/>
            <w:tabs>
              <w:tab w:val="right" w:pos="9350"/>
            </w:tabs>
            <w:rPr>
              <w:rFonts w:eastAsiaTheme="minorEastAsia" w:cstheme="minorBidi"/>
              <w:b w:val="0"/>
              <w:bCs w:val="0"/>
              <w:noProof/>
              <w:sz w:val="24"/>
              <w:szCs w:val="24"/>
              <w:lang w:val="en-GB" w:eastAsia="en-GB"/>
            </w:rPr>
          </w:pPr>
          <w:hyperlink w:anchor="_Toc97453932" w:history="1">
            <w:r w:rsidR="000B3B41" w:rsidRPr="00CB3EC5">
              <w:rPr>
                <w:rStyle w:val="Hyperlink"/>
                <w:rFonts w:ascii="Times New Roman" w:eastAsia="Times New Roman" w:hAnsi="Times New Roman" w:cs="Times New Roman"/>
                <w:noProof/>
                <w:lang w:val="en-GB"/>
              </w:rPr>
              <w:t>Evaluation criteria:</w:t>
            </w:r>
            <w:r w:rsidR="000B3B41">
              <w:rPr>
                <w:noProof/>
                <w:webHidden/>
              </w:rPr>
              <w:tab/>
            </w:r>
            <w:r w:rsidR="000B3B41">
              <w:rPr>
                <w:noProof/>
                <w:webHidden/>
              </w:rPr>
              <w:fldChar w:fldCharType="begin"/>
            </w:r>
            <w:r w:rsidR="000B3B41">
              <w:rPr>
                <w:noProof/>
                <w:webHidden/>
              </w:rPr>
              <w:instrText xml:space="preserve"> PAGEREF _Toc97453932 \h </w:instrText>
            </w:r>
            <w:r w:rsidR="000B3B41">
              <w:rPr>
                <w:noProof/>
                <w:webHidden/>
              </w:rPr>
            </w:r>
            <w:r w:rsidR="000B3B41">
              <w:rPr>
                <w:noProof/>
                <w:webHidden/>
              </w:rPr>
              <w:fldChar w:fldCharType="separate"/>
            </w:r>
            <w:r w:rsidR="000B3B41">
              <w:rPr>
                <w:noProof/>
                <w:webHidden/>
              </w:rPr>
              <w:t>23</w:t>
            </w:r>
            <w:r w:rsidR="000B3B41">
              <w:rPr>
                <w:noProof/>
                <w:webHidden/>
              </w:rPr>
              <w:fldChar w:fldCharType="end"/>
            </w:r>
          </w:hyperlink>
        </w:p>
        <w:p w14:paraId="740B9D29" w14:textId="7ADDB561"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3" w:history="1">
            <w:r w:rsidR="000B3B41" w:rsidRPr="00CB3EC5">
              <w:rPr>
                <w:rStyle w:val="Hyperlink"/>
                <w:rFonts w:ascii="Times New Roman" w:eastAsia="Times New Roman" w:hAnsi="Times New Roman" w:cs="Times New Roman"/>
                <w:noProof/>
              </w:rPr>
              <w:t>14.</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Evaluation Approach, design and Methodology</w:t>
            </w:r>
            <w:r w:rsidR="000B3B41">
              <w:rPr>
                <w:noProof/>
                <w:webHidden/>
              </w:rPr>
              <w:tab/>
            </w:r>
            <w:r w:rsidR="000B3B41">
              <w:rPr>
                <w:noProof/>
                <w:webHidden/>
              </w:rPr>
              <w:fldChar w:fldCharType="begin"/>
            </w:r>
            <w:r w:rsidR="000B3B41">
              <w:rPr>
                <w:noProof/>
                <w:webHidden/>
              </w:rPr>
              <w:instrText xml:space="preserve"> PAGEREF _Toc97453933 \h </w:instrText>
            </w:r>
            <w:r w:rsidR="000B3B41">
              <w:rPr>
                <w:noProof/>
                <w:webHidden/>
              </w:rPr>
            </w:r>
            <w:r w:rsidR="000B3B41">
              <w:rPr>
                <w:noProof/>
                <w:webHidden/>
              </w:rPr>
              <w:fldChar w:fldCharType="separate"/>
            </w:r>
            <w:r w:rsidR="000B3B41">
              <w:rPr>
                <w:noProof/>
                <w:webHidden/>
              </w:rPr>
              <w:t>24</w:t>
            </w:r>
            <w:r w:rsidR="000B3B41">
              <w:rPr>
                <w:noProof/>
                <w:webHidden/>
              </w:rPr>
              <w:fldChar w:fldCharType="end"/>
            </w:r>
          </w:hyperlink>
        </w:p>
        <w:p w14:paraId="7C993570" w14:textId="0DB9D86A"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4" w:history="1">
            <w:r w:rsidR="000B3B41" w:rsidRPr="00CB3EC5">
              <w:rPr>
                <w:rStyle w:val="Hyperlink"/>
                <w:rFonts w:ascii="Times New Roman" w:eastAsia="Times New Roman" w:hAnsi="Times New Roman" w:cs="Times New Roman"/>
                <w:noProof/>
                <w:lang w:val="en-GB"/>
              </w:rPr>
              <w:t>15.</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lang w:val="en-GB"/>
              </w:rPr>
              <w:t>Data and Sampling:</w:t>
            </w:r>
            <w:r w:rsidR="000B3B41">
              <w:rPr>
                <w:noProof/>
                <w:webHidden/>
              </w:rPr>
              <w:tab/>
            </w:r>
            <w:r w:rsidR="000B3B41">
              <w:rPr>
                <w:noProof/>
                <w:webHidden/>
              </w:rPr>
              <w:fldChar w:fldCharType="begin"/>
            </w:r>
            <w:r w:rsidR="000B3B41">
              <w:rPr>
                <w:noProof/>
                <w:webHidden/>
              </w:rPr>
              <w:instrText xml:space="preserve"> PAGEREF _Toc97453934 \h </w:instrText>
            </w:r>
            <w:r w:rsidR="000B3B41">
              <w:rPr>
                <w:noProof/>
                <w:webHidden/>
              </w:rPr>
            </w:r>
            <w:r w:rsidR="000B3B41">
              <w:rPr>
                <w:noProof/>
                <w:webHidden/>
              </w:rPr>
              <w:fldChar w:fldCharType="separate"/>
            </w:r>
            <w:r w:rsidR="000B3B41">
              <w:rPr>
                <w:noProof/>
                <w:webHidden/>
              </w:rPr>
              <w:t>29</w:t>
            </w:r>
            <w:r w:rsidR="000B3B41">
              <w:rPr>
                <w:noProof/>
                <w:webHidden/>
              </w:rPr>
              <w:fldChar w:fldCharType="end"/>
            </w:r>
          </w:hyperlink>
        </w:p>
        <w:p w14:paraId="1CA3FA28" w14:textId="4E492AA2"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5" w:history="1">
            <w:r w:rsidR="000B3B41" w:rsidRPr="00CB3EC5">
              <w:rPr>
                <w:rStyle w:val="Hyperlink"/>
                <w:rFonts w:ascii="Times New Roman" w:eastAsia="Times New Roman" w:hAnsi="Times New Roman" w:cs="Times New Roman"/>
                <w:noProof/>
              </w:rPr>
              <w:t>16.</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Data Analysis &amp; Synthesis</w:t>
            </w:r>
            <w:r w:rsidR="000B3B41">
              <w:rPr>
                <w:noProof/>
                <w:webHidden/>
              </w:rPr>
              <w:tab/>
            </w:r>
            <w:r w:rsidR="000B3B41">
              <w:rPr>
                <w:noProof/>
                <w:webHidden/>
              </w:rPr>
              <w:fldChar w:fldCharType="begin"/>
            </w:r>
            <w:r w:rsidR="000B3B41">
              <w:rPr>
                <w:noProof/>
                <w:webHidden/>
              </w:rPr>
              <w:instrText xml:space="preserve"> PAGEREF _Toc97453935 \h </w:instrText>
            </w:r>
            <w:r w:rsidR="000B3B41">
              <w:rPr>
                <w:noProof/>
                <w:webHidden/>
              </w:rPr>
            </w:r>
            <w:r w:rsidR="000B3B41">
              <w:rPr>
                <w:noProof/>
                <w:webHidden/>
              </w:rPr>
              <w:fldChar w:fldCharType="separate"/>
            </w:r>
            <w:r w:rsidR="000B3B41">
              <w:rPr>
                <w:noProof/>
                <w:webHidden/>
              </w:rPr>
              <w:t>31</w:t>
            </w:r>
            <w:r w:rsidR="000B3B41">
              <w:rPr>
                <w:noProof/>
                <w:webHidden/>
              </w:rPr>
              <w:fldChar w:fldCharType="end"/>
            </w:r>
          </w:hyperlink>
        </w:p>
        <w:p w14:paraId="59C09CBB" w14:textId="625BB2BF"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6" w:history="1">
            <w:r w:rsidR="000B3B41" w:rsidRPr="00CB3EC5">
              <w:rPr>
                <w:rStyle w:val="Hyperlink"/>
                <w:rFonts w:ascii="Times New Roman" w:eastAsia="Times New Roman" w:hAnsi="Times New Roman" w:cs="Times New Roman"/>
                <w:noProof/>
              </w:rPr>
              <w:t>17.</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Report Structure</w:t>
            </w:r>
            <w:r w:rsidR="000B3B41">
              <w:rPr>
                <w:noProof/>
                <w:webHidden/>
              </w:rPr>
              <w:tab/>
            </w:r>
            <w:r w:rsidR="000B3B41">
              <w:rPr>
                <w:noProof/>
                <w:webHidden/>
              </w:rPr>
              <w:fldChar w:fldCharType="begin"/>
            </w:r>
            <w:r w:rsidR="000B3B41">
              <w:rPr>
                <w:noProof/>
                <w:webHidden/>
              </w:rPr>
              <w:instrText xml:space="preserve"> PAGEREF _Toc97453936 \h </w:instrText>
            </w:r>
            <w:r w:rsidR="000B3B41">
              <w:rPr>
                <w:noProof/>
                <w:webHidden/>
              </w:rPr>
            </w:r>
            <w:r w:rsidR="000B3B41">
              <w:rPr>
                <w:noProof/>
                <w:webHidden/>
              </w:rPr>
              <w:fldChar w:fldCharType="separate"/>
            </w:r>
            <w:r w:rsidR="000B3B41">
              <w:rPr>
                <w:noProof/>
                <w:webHidden/>
              </w:rPr>
              <w:t>31</w:t>
            </w:r>
            <w:r w:rsidR="000B3B41">
              <w:rPr>
                <w:noProof/>
                <w:webHidden/>
              </w:rPr>
              <w:fldChar w:fldCharType="end"/>
            </w:r>
          </w:hyperlink>
        </w:p>
        <w:p w14:paraId="4D49A7B8" w14:textId="005B2F29"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7" w:history="1">
            <w:r w:rsidR="000B3B41" w:rsidRPr="00CB3EC5">
              <w:rPr>
                <w:rStyle w:val="Hyperlink"/>
                <w:rFonts w:ascii="Times New Roman" w:eastAsia="Times New Roman" w:hAnsi="Times New Roman" w:cs="Times New Roman"/>
                <w:noProof/>
              </w:rPr>
              <w:t>18.</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Data Management Plan</w:t>
            </w:r>
            <w:r w:rsidR="000B3B41">
              <w:rPr>
                <w:noProof/>
                <w:webHidden/>
              </w:rPr>
              <w:tab/>
            </w:r>
            <w:r w:rsidR="000B3B41">
              <w:rPr>
                <w:noProof/>
                <w:webHidden/>
              </w:rPr>
              <w:fldChar w:fldCharType="begin"/>
            </w:r>
            <w:r w:rsidR="000B3B41">
              <w:rPr>
                <w:noProof/>
                <w:webHidden/>
              </w:rPr>
              <w:instrText xml:space="preserve"> PAGEREF _Toc97453937 \h </w:instrText>
            </w:r>
            <w:r w:rsidR="000B3B41">
              <w:rPr>
                <w:noProof/>
                <w:webHidden/>
              </w:rPr>
            </w:r>
            <w:r w:rsidR="000B3B41">
              <w:rPr>
                <w:noProof/>
                <w:webHidden/>
              </w:rPr>
              <w:fldChar w:fldCharType="separate"/>
            </w:r>
            <w:r w:rsidR="000B3B41">
              <w:rPr>
                <w:noProof/>
                <w:webHidden/>
              </w:rPr>
              <w:t>32</w:t>
            </w:r>
            <w:r w:rsidR="000B3B41">
              <w:rPr>
                <w:noProof/>
                <w:webHidden/>
              </w:rPr>
              <w:fldChar w:fldCharType="end"/>
            </w:r>
          </w:hyperlink>
        </w:p>
        <w:p w14:paraId="1DB42C5E" w14:textId="367D37AF"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8" w:history="1">
            <w:r w:rsidR="000B3B41" w:rsidRPr="00CB3EC5">
              <w:rPr>
                <w:rStyle w:val="Hyperlink"/>
                <w:rFonts w:ascii="Times New Roman" w:eastAsia="Times New Roman" w:hAnsi="Times New Roman" w:cs="Times New Roman"/>
                <w:noProof/>
              </w:rPr>
              <w:t>19.</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Evaluation Team, Oversight and quality assurance</w:t>
            </w:r>
            <w:r w:rsidR="000B3B41">
              <w:rPr>
                <w:noProof/>
                <w:webHidden/>
              </w:rPr>
              <w:tab/>
            </w:r>
            <w:r w:rsidR="000B3B41">
              <w:rPr>
                <w:noProof/>
                <w:webHidden/>
              </w:rPr>
              <w:fldChar w:fldCharType="begin"/>
            </w:r>
            <w:r w:rsidR="000B3B41">
              <w:rPr>
                <w:noProof/>
                <w:webHidden/>
              </w:rPr>
              <w:instrText xml:space="preserve"> PAGEREF _Toc97453938 \h </w:instrText>
            </w:r>
            <w:r w:rsidR="000B3B41">
              <w:rPr>
                <w:noProof/>
                <w:webHidden/>
              </w:rPr>
            </w:r>
            <w:r w:rsidR="000B3B41">
              <w:rPr>
                <w:noProof/>
                <w:webHidden/>
              </w:rPr>
              <w:fldChar w:fldCharType="separate"/>
            </w:r>
            <w:r w:rsidR="000B3B41">
              <w:rPr>
                <w:noProof/>
                <w:webHidden/>
              </w:rPr>
              <w:t>32</w:t>
            </w:r>
            <w:r w:rsidR="000B3B41">
              <w:rPr>
                <w:noProof/>
                <w:webHidden/>
              </w:rPr>
              <w:fldChar w:fldCharType="end"/>
            </w:r>
          </w:hyperlink>
        </w:p>
        <w:p w14:paraId="2416C28E" w14:textId="196E97C1"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39" w:history="1">
            <w:r w:rsidR="000B3B41" w:rsidRPr="00CB3EC5">
              <w:rPr>
                <w:rStyle w:val="Hyperlink"/>
                <w:rFonts w:ascii="Times New Roman" w:hAnsi="Times New Roman" w:cs="Times New Roman"/>
                <w:noProof/>
              </w:rPr>
              <w:t>20.</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Workplan</w:t>
            </w:r>
            <w:r w:rsidR="000B3B41">
              <w:rPr>
                <w:noProof/>
                <w:webHidden/>
              </w:rPr>
              <w:tab/>
            </w:r>
            <w:r w:rsidR="000B3B41">
              <w:rPr>
                <w:noProof/>
                <w:webHidden/>
              </w:rPr>
              <w:fldChar w:fldCharType="begin"/>
            </w:r>
            <w:r w:rsidR="000B3B41">
              <w:rPr>
                <w:noProof/>
                <w:webHidden/>
              </w:rPr>
              <w:instrText xml:space="preserve"> PAGEREF _Toc97453939 \h </w:instrText>
            </w:r>
            <w:r w:rsidR="000B3B41">
              <w:rPr>
                <w:noProof/>
                <w:webHidden/>
              </w:rPr>
            </w:r>
            <w:r w:rsidR="000B3B41">
              <w:rPr>
                <w:noProof/>
                <w:webHidden/>
              </w:rPr>
              <w:fldChar w:fldCharType="separate"/>
            </w:r>
            <w:r w:rsidR="000B3B41">
              <w:rPr>
                <w:noProof/>
                <w:webHidden/>
              </w:rPr>
              <w:t>33</w:t>
            </w:r>
            <w:r w:rsidR="000B3B41">
              <w:rPr>
                <w:noProof/>
                <w:webHidden/>
              </w:rPr>
              <w:fldChar w:fldCharType="end"/>
            </w:r>
          </w:hyperlink>
        </w:p>
        <w:p w14:paraId="1832821A" w14:textId="7A18472A"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40" w:history="1">
            <w:r w:rsidR="000B3B41" w:rsidRPr="00CB3EC5">
              <w:rPr>
                <w:rStyle w:val="Hyperlink"/>
                <w:rFonts w:ascii="Times New Roman" w:eastAsia="Times New Roman" w:hAnsi="Times New Roman" w:cs="Times New Roman"/>
                <w:noProof/>
                <w:lang w:val="en-GB"/>
              </w:rPr>
              <w:t>21.</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Risks and Challenges</w:t>
            </w:r>
            <w:r w:rsidR="000B3B41">
              <w:rPr>
                <w:noProof/>
                <w:webHidden/>
              </w:rPr>
              <w:tab/>
            </w:r>
            <w:r w:rsidR="000B3B41">
              <w:rPr>
                <w:noProof/>
                <w:webHidden/>
              </w:rPr>
              <w:fldChar w:fldCharType="begin"/>
            </w:r>
            <w:r w:rsidR="000B3B41">
              <w:rPr>
                <w:noProof/>
                <w:webHidden/>
              </w:rPr>
              <w:instrText xml:space="preserve"> PAGEREF _Toc97453940 \h </w:instrText>
            </w:r>
            <w:r w:rsidR="000B3B41">
              <w:rPr>
                <w:noProof/>
                <w:webHidden/>
              </w:rPr>
            </w:r>
            <w:r w:rsidR="000B3B41">
              <w:rPr>
                <w:noProof/>
                <w:webHidden/>
              </w:rPr>
              <w:fldChar w:fldCharType="separate"/>
            </w:r>
            <w:r w:rsidR="000B3B41">
              <w:rPr>
                <w:noProof/>
                <w:webHidden/>
              </w:rPr>
              <w:t>34</w:t>
            </w:r>
            <w:r w:rsidR="000B3B41">
              <w:rPr>
                <w:noProof/>
                <w:webHidden/>
              </w:rPr>
              <w:fldChar w:fldCharType="end"/>
            </w:r>
          </w:hyperlink>
        </w:p>
        <w:p w14:paraId="64B5E1FB" w14:textId="0F92F598" w:rsidR="000B3B41" w:rsidRDefault="00000000">
          <w:pPr>
            <w:pStyle w:val="TOC1"/>
            <w:tabs>
              <w:tab w:val="left" w:pos="660"/>
              <w:tab w:val="right" w:pos="9350"/>
            </w:tabs>
            <w:rPr>
              <w:rFonts w:eastAsiaTheme="minorEastAsia" w:cstheme="minorBidi"/>
              <w:b w:val="0"/>
              <w:bCs w:val="0"/>
              <w:i w:val="0"/>
              <w:iCs w:val="0"/>
              <w:noProof/>
              <w:lang w:val="en-GB" w:eastAsia="en-GB"/>
            </w:rPr>
          </w:pPr>
          <w:hyperlink w:anchor="_Toc97453941" w:history="1">
            <w:r w:rsidR="000B3B41" w:rsidRPr="00CB3EC5">
              <w:rPr>
                <w:rStyle w:val="Hyperlink"/>
                <w:rFonts w:ascii="Times New Roman" w:eastAsia="Times New Roman" w:hAnsi="Times New Roman" w:cs="Times New Roman"/>
                <w:noProof/>
              </w:rPr>
              <w:t>22.</w:t>
            </w:r>
            <w:r w:rsidR="000B3B41">
              <w:rPr>
                <w:rFonts w:eastAsiaTheme="minorEastAsia" w:cstheme="minorBidi"/>
                <w:b w:val="0"/>
                <w:bCs w:val="0"/>
                <w:i w:val="0"/>
                <w:iCs w:val="0"/>
                <w:noProof/>
                <w:lang w:val="en-GB" w:eastAsia="en-GB"/>
              </w:rPr>
              <w:tab/>
            </w:r>
            <w:r w:rsidR="000B3B41" w:rsidRPr="00CB3EC5">
              <w:rPr>
                <w:rStyle w:val="Hyperlink"/>
                <w:rFonts w:ascii="Times New Roman" w:eastAsia="Times New Roman" w:hAnsi="Times New Roman" w:cs="Times New Roman"/>
                <w:noProof/>
              </w:rPr>
              <w:t>Ethical Considerations</w:t>
            </w:r>
            <w:r w:rsidR="000B3B41">
              <w:rPr>
                <w:noProof/>
                <w:webHidden/>
              </w:rPr>
              <w:tab/>
            </w:r>
            <w:r w:rsidR="000B3B41">
              <w:rPr>
                <w:noProof/>
                <w:webHidden/>
              </w:rPr>
              <w:fldChar w:fldCharType="begin"/>
            </w:r>
            <w:r w:rsidR="000B3B41">
              <w:rPr>
                <w:noProof/>
                <w:webHidden/>
              </w:rPr>
              <w:instrText xml:space="preserve"> PAGEREF _Toc97453941 \h </w:instrText>
            </w:r>
            <w:r w:rsidR="000B3B41">
              <w:rPr>
                <w:noProof/>
                <w:webHidden/>
              </w:rPr>
            </w:r>
            <w:r w:rsidR="000B3B41">
              <w:rPr>
                <w:noProof/>
                <w:webHidden/>
              </w:rPr>
              <w:fldChar w:fldCharType="separate"/>
            </w:r>
            <w:r w:rsidR="000B3B41">
              <w:rPr>
                <w:noProof/>
                <w:webHidden/>
              </w:rPr>
              <w:t>34</w:t>
            </w:r>
            <w:r w:rsidR="000B3B41">
              <w:rPr>
                <w:noProof/>
                <w:webHidden/>
              </w:rPr>
              <w:fldChar w:fldCharType="end"/>
            </w:r>
          </w:hyperlink>
        </w:p>
        <w:p w14:paraId="776D6BB1" w14:textId="30AB3F6A" w:rsidR="00354F87" w:rsidRDefault="00D673D4" w:rsidP="5DC39AF9">
          <w:pPr>
            <w:pStyle w:val="TOC1"/>
            <w:tabs>
              <w:tab w:val="right" w:leader="dot" w:pos="9360"/>
              <w:tab w:val="left" w:pos="480"/>
            </w:tabs>
            <w:rPr>
              <w:rFonts w:ascii="Calibri" w:eastAsia="Calibri" w:hAnsi="Calibri" w:cs="Calibri"/>
              <w:noProof/>
              <w:lang w:val="en-GB" w:eastAsia="en-GB"/>
            </w:rPr>
          </w:pPr>
          <w:r>
            <w:fldChar w:fldCharType="end"/>
          </w:r>
        </w:p>
      </w:sdtContent>
    </w:sdt>
    <w:p w14:paraId="5E7DFFDC" w14:textId="77777777" w:rsidR="00354F87" w:rsidRDefault="00354F87" w:rsidP="00354F87">
      <w:pPr>
        <w:rPr>
          <w:b/>
          <w:bCs/>
          <w:noProof/>
        </w:rPr>
      </w:pPr>
    </w:p>
    <w:p w14:paraId="294D9744" w14:textId="13E47F72" w:rsidR="5DC39AF9" w:rsidRDefault="5DC39AF9" w:rsidP="5DC39AF9">
      <w:pPr>
        <w:rPr>
          <w:color w:val="2F5496" w:themeColor="accent1" w:themeShade="BF"/>
        </w:rPr>
      </w:pPr>
    </w:p>
    <w:p w14:paraId="3FF9E6DF" w14:textId="164BF99F" w:rsidR="000B3B41" w:rsidRDefault="000B3B41" w:rsidP="5DC39AF9">
      <w:pPr>
        <w:rPr>
          <w:color w:val="2F5496" w:themeColor="accent1" w:themeShade="BF"/>
        </w:rPr>
      </w:pPr>
    </w:p>
    <w:p w14:paraId="7BB401DB" w14:textId="43B81822" w:rsidR="000B3B41" w:rsidRDefault="000B3B41" w:rsidP="5DC39AF9">
      <w:pPr>
        <w:rPr>
          <w:color w:val="2F5496" w:themeColor="accent1" w:themeShade="BF"/>
        </w:rPr>
      </w:pPr>
    </w:p>
    <w:p w14:paraId="0882A7A6" w14:textId="17662FDF" w:rsidR="000B3B41" w:rsidRDefault="000B3B41" w:rsidP="5DC39AF9">
      <w:pPr>
        <w:rPr>
          <w:color w:val="2F5496" w:themeColor="accent1" w:themeShade="BF"/>
        </w:rPr>
      </w:pPr>
    </w:p>
    <w:p w14:paraId="46474A10" w14:textId="37F12FAA" w:rsidR="000B3B41" w:rsidRDefault="000B3B41" w:rsidP="5DC39AF9">
      <w:pPr>
        <w:rPr>
          <w:color w:val="2F5496" w:themeColor="accent1" w:themeShade="BF"/>
        </w:rPr>
      </w:pPr>
    </w:p>
    <w:p w14:paraId="3ABE5D28" w14:textId="34089D8D" w:rsidR="000B3B41" w:rsidRDefault="000B3B41" w:rsidP="5DC39AF9">
      <w:pPr>
        <w:rPr>
          <w:color w:val="2F5496" w:themeColor="accent1" w:themeShade="BF"/>
        </w:rPr>
      </w:pPr>
    </w:p>
    <w:p w14:paraId="4990F1C7" w14:textId="58984B0A" w:rsidR="000B3B41" w:rsidRDefault="000B3B41" w:rsidP="5DC39AF9">
      <w:pPr>
        <w:rPr>
          <w:color w:val="2F5496" w:themeColor="accent1" w:themeShade="BF"/>
        </w:rPr>
      </w:pPr>
    </w:p>
    <w:p w14:paraId="6583A01D" w14:textId="05A25E71" w:rsidR="000B3B41" w:rsidRDefault="000B3B41" w:rsidP="5DC39AF9">
      <w:pPr>
        <w:rPr>
          <w:color w:val="2F5496" w:themeColor="accent1" w:themeShade="BF"/>
        </w:rPr>
      </w:pPr>
    </w:p>
    <w:p w14:paraId="410DC9BA" w14:textId="4900B2A5" w:rsidR="000B3B41" w:rsidRDefault="000B3B41" w:rsidP="5DC39AF9">
      <w:pPr>
        <w:rPr>
          <w:color w:val="2F5496" w:themeColor="accent1" w:themeShade="BF"/>
        </w:rPr>
      </w:pPr>
    </w:p>
    <w:p w14:paraId="3AD2481F" w14:textId="77777777" w:rsidR="000B3B41" w:rsidRDefault="000B3B41" w:rsidP="5DC39AF9">
      <w:pPr>
        <w:rPr>
          <w:color w:val="2F5496" w:themeColor="accent1" w:themeShade="BF"/>
        </w:rPr>
      </w:pPr>
    </w:p>
    <w:p w14:paraId="0EA31107" w14:textId="1038787D" w:rsidR="5DC39AF9" w:rsidRDefault="5DC39AF9" w:rsidP="5DC39AF9">
      <w:pPr>
        <w:rPr>
          <w:color w:val="2F5496" w:themeColor="accent1" w:themeShade="BF"/>
        </w:rPr>
      </w:pPr>
    </w:p>
    <w:p w14:paraId="59FA0FB3" w14:textId="31E46655" w:rsidR="0071787A" w:rsidRDefault="0071787A" w:rsidP="00354F87">
      <w:pPr>
        <w:rPr>
          <w:rFonts w:asciiTheme="majorHAnsi" w:hAnsiTheme="majorHAnsi" w:cstheme="majorHAnsi"/>
          <w:color w:val="2F5496" w:themeColor="accent1" w:themeShade="BF"/>
        </w:rPr>
      </w:pPr>
      <w:r w:rsidRPr="00271DAB">
        <w:rPr>
          <w:rFonts w:asciiTheme="majorHAnsi" w:hAnsiTheme="majorHAnsi" w:cstheme="majorHAnsi"/>
          <w:color w:val="2F5496" w:themeColor="accent1" w:themeShade="BF"/>
        </w:rPr>
        <w:lastRenderedPageBreak/>
        <w:t xml:space="preserve">List of Acronyms  </w:t>
      </w:r>
    </w:p>
    <w:tbl>
      <w:tblPr>
        <w:tblStyle w:val="PlainTable4"/>
        <w:tblW w:w="7371" w:type="dxa"/>
        <w:tblLook w:val="04A0" w:firstRow="1" w:lastRow="0" w:firstColumn="1" w:lastColumn="0" w:noHBand="0" w:noVBand="1"/>
      </w:tblPr>
      <w:tblGrid>
        <w:gridCol w:w="1300"/>
        <w:gridCol w:w="6071"/>
      </w:tblGrid>
      <w:tr w:rsidR="00000448" w:rsidRPr="00000448" w14:paraId="0709AA82" w14:textId="77777777" w:rsidTr="000B3B4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F6FA126" w14:textId="464D2BC9" w:rsidR="00000448" w:rsidRPr="00000448" w:rsidRDefault="6FF4D273" w:rsidP="00000448">
            <w:pPr>
              <w:rPr>
                <w:color w:val="000000"/>
                <w:sz w:val="18"/>
                <w:szCs w:val="18"/>
              </w:rPr>
            </w:pPr>
            <w:r w:rsidRPr="4D27054C">
              <w:rPr>
                <w:color w:val="000000" w:themeColor="text1"/>
                <w:sz w:val="18"/>
                <w:szCs w:val="18"/>
              </w:rPr>
              <w:t xml:space="preserve">AA                </w:t>
            </w:r>
          </w:p>
        </w:tc>
        <w:tc>
          <w:tcPr>
            <w:tcW w:w="6071" w:type="dxa"/>
            <w:noWrap/>
            <w:hideMark/>
          </w:tcPr>
          <w:p w14:paraId="3885FB62" w14:textId="77777777" w:rsidR="00000448" w:rsidRPr="00000448" w:rsidRDefault="00000448" w:rsidP="00000448">
            <w:pPr>
              <w:cnfStyle w:val="100000000000" w:firstRow="1"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Administrative Agent </w:t>
            </w:r>
          </w:p>
        </w:tc>
      </w:tr>
      <w:tr w:rsidR="00000448" w:rsidRPr="00000448" w14:paraId="7D26D817"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8DEF0C8" w14:textId="050B6EFF" w:rsidR="00000448" w:rsidRPr="00000448" w:rsidRDefault="6FF4D273" w:rsidP="00000448">
            <w:pPr>
              <w:rPr>
                <w:color w:val="000000"/>
                <w:sz w:val="18"/>
                <w:szCs w:val="18"/>
              </w:rPr>
            </w:pPr>
            <w:r w:rsidRPr="4D27054C">
              <w:rPr>
                <w:color w:val="000000" w:themeColor="text1"/>
                <w:sz w:val="18"/>
                <w:szCs w:val="18"/>
              </w:rPr>
              <w:t xml:space="preserve">AUC              </w:t>
            </w:r>
          </w:p>
        </w:tc>
        <w:tc>
          <w:tcPr>
            <w:tcW w:w="6071" w:type="dxa"/>
            <w:noWrap/>
            <w:hideMark/>
          </w:tcPr>
          <w:p w14:paraId="3BC7DAEF"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American University in Cairo </w:t>
            </w:r>
          </w:p>
        </w:tc>
      </w:tr>
      <w:tr w:rsidR="00000448" w:rsidRPr="00000448" w14:paraId="33461E6C"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63CDF51" w14:textId="77777777" w:rsidR="00000448" w:rsidRPr="00000448" w:rsidRDefault="00000448" w:rsidP="00000448">
            <w:pPr>
              <w:rPr>
                <w:color w:val="000000"/>
                <w:sz w:val="18"/>
                <w:szCs w:val="18"/>
              </w:rPr>
            </w:pPr>
            <w:r w:rsidRPr="00000448">
              <w:rPr>
                <w:color w:val="000000"/>
                <w:sz w:val="18"/>
                <w:szCs w:val="18"/>
              </w:rPr>
              <w:t xml:space="preserve">AICS </w:t>
            </w:r>
          </w:p>
        </w:tc>
        <w:tc>
          <w:tcPr>
            <w:tcW w:w="6071" w:type="dxa"/>
            <w:noWrap/>
            <w:vAlign w:val="center"/>
            <w:hideMark/>
          </w:tcPr>
          <w:p w14:paraId="78501517"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 Italian Agency for Development Cooperation </w:t>
            </w:r>
          </w:p>
        </w:tc>
      </w:tr>
      <w:tr w:rsidR="00000448" w:rsidRPr="00000448" w14:paraId="46E9C2CB"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409F3DF" w14:textId="6C7C6EB8" w:rsidR="00000448" w:rsidRPr="00000448" w:rsidRDefault="19EA9C5F" w:rsidP="00000448">
            <w:pPr>
              <w:rPr>
                <w:color w:val="000000"/>
                <w:sz w:val="18"/>
                <w:szCs w:val="18"/>
              </w:rPr>
            </w:pPr>
            <w:r w:rsidRPr="5DC39AF9">
              <w:rPr>
                <w:color w:val="000000" w:themeColor="text1"/>
                <w:sz w:val="18"/>
                <w:szCs w:val="18"/>
              </w:rPr>
              <w:t xml:space="preserve">BWF             </w:t>
            </w:r>
          </w:p>
        </w:tc>
        <w:tc>
          <w:tcPr>
            <w:tcW w:w="6071" w:type="dxa"/>
            <w:noWrap/>
            <w:hideMark/>
          </w:tcPr>
          <w:p w14:paraId="2CDD754C"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Business Women Forum</w:t>
            </w:r>
          </w:p>
        </w:tc>
      </w:tr>
      <w:tr w:rsidR="00000448" w:rsidRPr="00000448" w14:paraId="719AF79B"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0E2CBF4" w14:textId="2321F53A" w:rsidR="00000448" w:rsidRPr="00000448" w:rsidRDefault="6FF4D273" w:rsidP="00000448">
            <w:pPr>
              <w:rPr>
                <w:color w:val="000000"/>
                <w:sz w:val="18"/>
                <w:szCs w:val="18"/>
              </w:rPr>
            </w:pPr>
            <w:r w:rsidRPr="4D27054C">
              <w:rPr>
                <w:color w:val="000000" w:themeColor="text1"/>
                <w:sz w:val="18"/>
                <w:szCs w:val="18"/>
              </w:rPr>
              <w:t xml:space="preserve">CA                 </w:t>
            </w:r>
          </w:p>
        </w:tc>
        <w:tc>
          <w:tcPr>
            <w:tcW w:w="6071" w:type="dxa"/>
            <w:noWrap/>
            <w:hideMark/>
          </w:tcPr>
          <w:p w14:paraId="67B6F9D3"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Convening Agent </w:t>
            </w:r>
          </w:p>
        </w:tc>
      </w:tr>
      <w:tr w:rsidR="00000448" w:rsidRPr="00000448" w14:paraId="7BD97A4D"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119DAFC" w14:textId="77777777" w:rsidR="00000448" w:rsidRPr="00000448" w:rsidRDefault="00000448" w:rsidP="00000448">
            <w:pPr>
              <w:rPr>
                <w:color w:val="000000"/>
                <w:sz w:val="18"/>
                <w:szCs w:val="18"/>
              </w:rPr>
            </w:pPr>
            <w:r w:rsidRPr="00000448">
              <w:rPr>
                <w:color w:val="000000"/>
                <w:sz w:val="18"/>
                <w:szCs w:val="18"/>
              </w:rPr>
              <w:t xml:space="preserve">C190 </w:t>
            </w:r>
          </w:p>
        </w:tc>
        <w:tc>
          <w:tcPr>
            <w:tcW w:w="6071" w:type="dxa"/>
            <w:noWrap/>
            <w:hideMark/>
          </w:tcPr>
          <w:p w14:paraId="37F2E21E"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Violence and Harassment Convention, 2019</w:t>
            </w:r>
          </w:p>
        </w:tc>
      </w:tr>
      <w:tr w:rsidR="00000448" w:rsidRPr="00000448" w14:paraId="5DF5A5A4"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135E145" w14:textId="75D812CE" w:rsidR="00000448" w:rsidRPr="00000448" w:rsidRDefault="19EA9C5F" w:rsidP="00000448">
            <w:pPr>
              <w:rPr>
                <w:color w:val="000000"/>
                <w:sz w:val="18"/>
                <w:szCs w:val="18"/>
              </w:rPr>
            </w:pPr>
            <w:r w:rsidRPr="5DC39AF9">
              <w:rPr>
                <w:color w:val="000000" w:themeColor="text1"/>
                <w:sz w:val="18"/>
                <w:szCs w:val="18"/>
              </w:rPr>
              <w:t xml:space="preserve">CEDAW       </w:t>
            </w:r>
          </w:p>
        </w:tc>
        <w:tc>
          <w:tcPr>
            <w:tcW w:w="6071" w:type="dxa"/>
            <w:noWrap/>
            <w:hideMark/>
          </w:tcPr>
          <w:p w14:paraId="6B0FF34C"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 Convention on the Elimination of all Forms of Discriminations Against Women</w:t>
            </w:r>
          </w:p>
        </w:tc>
      </w:tr>
      <w:tr w:rsidR="00000448" w:rsidRPr="00000448" w14:paraId="1BD74775"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3E0684F" w14:textId="77777777" w:rsidR="00000448" w:rsidRPr="00000448" w:rsidRDefault="00000448" w:rsidP="00000448">
            <w:pPr>
              <w:rPr>
                <w:color w:val="000000"/>
                <w:sz w:val="18"/>
                <w:szCs w:val="18"/>
              </w:rPr>
            </w:pPr>
            <w:r w:rsidRPr="00000448">
              <w:rPr>
                <w:color w:val="000000"/>
                <w:sz w:val="18"/>
                <w:szCs w:val="18"/>
              </w:rPr>
              <w:t xml:space="preserve">CoC </w:t>
            </w:r>
          </w:p>
        </w:tc>
        <w:tc>
          <w:tcPr>
            <w:tcW w:w="6071" w:type="dxa"/>
            <w:noWrap/>
            <w:hideMark/>
          </w:tcPr>
          <w:p w14:paraId="430E6F79"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Chambers of Commerce</w:t>
            </w:r>
          </w:p>
        </w:tc>
      </w:tr>
      <w:tr w:rsidR="00000448" w:rsidRPr="00000448" w14:paraId="55DE71B6"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CDD0675" w14:textId="77777777" w:rsidR="00000448" w:rsidRPr="00000448" w:rsidRDefault="00000448" w:rsidP="00000448">
            <w:pPr>
              <w:rPr>
                <w:color w:val="000000"/>
                <w:sz w:val="18"/>
                <w:szCs w:val="18"/>
              </w:rPr>
            </w:pPr>
            <w:r w:rsidRPr="00000448">
              <w:rPr>
                <w:color w:val="000000"/>
                <w:sz w:val="18"/>
                <w:szCs w:val="18"/>
              </w:rPr>
              <w:t xml:space="preserve">CSOs </w:t>
            </w:r>
          </w:p>
        </w:tc>
        <w:tc>
          <w:tcPr>
            <w:tcW w:w="6071" w:type="dxa"/>
            <w:noWrap/>
            <w:hideMark/>
          </w:tcPr>
          <w:p w14:paraId="364D7DC3"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Civil Society Organizations</w:t>
            </w:r>
          </w:p>
        </w:tc>
      </w:tr>
      <w:tr w:rsidR="00000448" w:rsidRPr="00000448" w14:paraId="35E9EB08"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1BD4515" w14:textId="77777777" w:rsidR="00000448" w:rsidRPr="00000448" w:rsidRDefault="00000448" w:rsidP="00000448">
            <w:pPr>
              <w:rPr>
                <w:color w:val="000000"/>
                <w:sz w:val="18"/>
                <w:szCs w:val="18"/>
              </w:rPr>
            </w:pPr>
            <w:r w:rsidRPr="00000448">
              <w:rPr>
                <w:color w:val="000000"/>
                <w:sz w:val="18"/>
                <w:szCs w:val="18"/>
              </w:rPr>
              <w:t xml:space="preserve">CSW </w:t>
            </w:r>
          </w:p>
        </w:tc>
        <w:tc>
          <w:tcPr>
            <w:tcW w:w="6071" w:type="dxa"/>
            <w:noWrap/>
            <w:hideMark/>
          </w:tcPr>
          <w:p w14:paraId="65101B08"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Commission on the Status of Women</w:t>
            </w:r>
          </w:p>
        </w:tc>
      </w:tr>
      <w:tr w:rsidR="00000448" w:rsidRPr="00000448" w14:paraId="4AA8A7B2"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9EA65AD" w14:textId="77777777" w:rsidR="00000448" w:rsidRPr="00000448" w:rsidRDefault="00000448" w:rsidP="00000448">
            <w:pPr>
              <w:rPr>
                <w:color w:val="000000"/>
                <w:sz w:val="18"/>
                <w:szCs w:val="18"/>
              </w:rPr>
            </w:pPr>
            <w:r w:rsidRPr="00000448">
              <w:rPr>
                <w:color w:val="000000"/>
                <w:sz w:val="18"/>
                <w:szCs w:val="18"/>
              </w:rPr>
              <w:t>DWCP</w:t>
            </w:r>
          </w:p>
        </w:tc>
        <w:tc>
          <w:tcPr>
            <w:tcW w:w="6071" w:type="dxa"/>
            <w:noWrap/>
            <w:hideMark/>
          </w:tcPr>
          <w:p w14:paraId="604B7A88"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bookmarkStart w:id="0" w:name="RANGE!D15"/>
            <w:r w:rsidRPr="00000448">
              <w:rPr>
                <w:color w:val="000000"/>
                <w:sz w:val="18"/>
                <w:szCs w:val="18"/>
              </w:rPr>
              <w:t xml:space="preserve"> Decent Work Country Programme </w:t>
            </w:r>
            <w:bookmarkEnd w:id="0"/>
          </w:p>
        </w:tc>
      </w:tr>
      <w:tr w:rsidR="00000448" w:rsidRPr="00000448" w14:paraId="64F8CD68"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3362DE8" w14:textId="77777777" w:rsidR="00000448" w:rsidRPr="00000448" w:rsidRDefault="00000448" w:rsidP="00000448">
            <w:pPr>
              <w:rPr>
                <w:color w:val="000000"/>
                <w:sz w:val="18"/>
                <w:szCs w:val="18"/>
              </w:rPr>
            </w:pPr>
            <w:r w:rsidRPr="00000448">
              <w:rPr>
                <w:color w:val="000000"/>
                <w:sz w:val="18"/>
                <w:szCs w:val="18"/>
              </w:rPr>
              <w:t>EMG</w:t>
            </w:r>
          </w:p>
        </w:tc>
        <w:tc>
          <w:tcPr>
            <w:tcW w:w="6071" w:type="dxa"/>
            <w:noWrap/>
            <w:hideMark/>
          </w:tcPr>
          <w:p w14:paraId="108BF9BF"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Evaluation Management Group </w:t>
            </w:r>
          </w:p>
        </w:tc>
      </w:tr>
      <w:tr w:rsidR="00000448" w:rsidRPr="00000448" w14:paraId="3663F9EC"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7ECF163" w14:textId="77777777" w:rsidR="00000448" w:rsidRPr="00000448" w:rsidRDefault="00000448" w:rsidP="00000448">
            <w:pPr>
              <w:rPr>
                <w:color w:val="000000"/>
                <w:sz w:val="18"/>
                <w:szCs w:val="18"/>
              </w:rPr>
            </w:pPr>
            <w:r w:rsidRPr="00000448">
              <w:rPr>
                <w:color w:val="000000"/>
                <w:sz w:val="18"/>
                <w:szCs w:val="18"/>
              </w:rPr>
              <w:t xml:space="preserve">EPIC </w:t>
            </w:r>
          </w:p>
        </w:tc>
        <w:tc>
          <w:tcPr>
            <w:tcW w:w="6071" w:type="dxa"/>
            <w:noWrap/>
            <w:hideMark/>
          </w:tcPr>
          <w:p w14:paraId="17F53E4E"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Equal Pay International Coalition </w:t>
            </w:r>
          </w:p>
        </w:tc>
      </w:tr>
      <w:tr w:rsidR="00000448" w:rsidRPr="00000448" w14:paraId="3052A842"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477A66E" w14:textId="56F179F2" w:rsidR="00000448" w:rsidRPr="00000448" w:rsidRDefault="6FF4D273" w:rsidP="00000448">
            <w:pPr>
              <w:rPr>
                <w:color w:val="000000"/>
                <w:sz w:val="18"/>
                <w:szCs w:val="18"/>
              </w:rPr>
            </w:pPr>
            <w:r w:rsidRPr="4D27054C">
              <w:rPr>
                <w:color w:val="000000" w:themeColor="text1"/>
                <w:sz w:val="18"/>
                <w:szCs w:val="18"/>
              </w:rPr>
              <w:t xml:space="preserve">ERG              </w:t>
            </w:r>
          </w:p>
        </w:tc>
        <w:tc>
          <w:tcPr>
            <w:tcW w:w="6071" w:type="dxa"/>
            <w:noWrap/>
            <w:hideMark/>
          </w:tcPr>
          <w:p w14:paraId="6D389FAD"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Evaluation Reference Group </w:t>
            </w:r>
          </w:p>
        </w:tc>
      </w:tr>
      <w:tr w:rsidR="00000448" w:rsidRPr="00000448" w14:paraId="2F51A8CF"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E0DC1EB" w14:textId="13A46CDF" w:rsidR="00000448" w:rsidRPr="00000448" w:rsidRDefault="6FF4D273" w:rsidP="00000448">
            <w:pPr>
              <w:rPr>
                <w:color w:val="000000"/>
                <w:sz w:val="18"/>
                <w:szCs w:val="18"/>
              </w:rPr>
            </w:pPr>
            <w:r w:rsidRPr="4D27054C">
              <w:rPr>
                <w:color w:val="000000" w:themeColor="text1"/>
                <w:sz w:val="18"/>
                <w:szCs w:val="18"/>
              </w:rPr>
              <w:t xml:space="preserve">ESG               </w:t>
            </w:r>
          </w:p>
        </w:tc>
        <w:tc>
          <w:tcPr>
            <w:tcW w:w="6071" w:type="dxa"/>
            <w:noWrap/>
            <w:hideMark/>
          </w:tcPr>
          <w:p w14:paraId="20D53B53"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Evaluation Steering Group </w:t>
            </w:r>
          </w:p>
        </w:tc>
      </w:tr>
      <w:tr w:rsidR="00000448" w:rsidRPr="00000448" w14:paraId="34429CD7"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AC5D5E1" w14:textId="7F3A89A6" w:rsidR="00000448" w:rsidRPr="00000448" w:rsidRDefault="6FF4D273" w:rsidP="00000448">
            <w:pPr>
              <w:rPr>
                <w:color w:val="000000"/>
                <w:sz w:val="18"/>
                <w:szCs w:val="18"/>
              </w:rPr>
            </w:pPr>
            <w:r w:rsidRPr="4D27054C">
              <w:rPr>
                <w:color w:val="000000" w:themeColor="text1"/>
                <w:sz w:val="18"/>
                <w:szCs w:val="18"/>
              </w:rPr>
              <w:t xml:space="preserve">ET                 </w:t>
            </w:r>
          </w:p>
        </w:tc>
        <w:tc>
          <w:tcPr>
            <w:tcW w:w="6071" w:type="dxa"/>
            <w:noWrap/>
            <w:hideMark/>
          </w:tcPr>
          <w:p w14:paraId="42AAF9EC"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Evaluation Team </w:t>
            </w:r>
          </w:p>
        </w:tc>
      </w:tr>
      <w:tr w:rsidR="00000448" w:rsidRPr="00000448" w14:paraId="5EDCA7F7"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A87B03B" w14:textId="1C48C73B" w:rsidR="00000448" w:rsidRPr="00000448" w:rsidRDefault="6FF4D273" w:rsidP="00000448">
            <w:pPr>
              <w:rPr>
                <w:color w:val="000000"/>
                <w:sz w:val="18"/>
                <w:szCs w:val="18"/>
              </w:rPr>
            </w:pPr>
            <w:r w:rsidRPr="4D27054C">
              <w:rPr>
                <w:color w:val="000000" w:themeColor="text1"/>
                <w:sz w:val="18"/>
                <w:szCs w:val="18"/>
              </w:rPr>
              <w:t xml:space="preserve">FEI                </w:t>
            </w:r>
          </w:p>
        </w:tc>
        <w:tc>
          <w:tcPr>
            <w:tcW w:w="6071" w:type="dxa"/>
            <w:noWrap/>
            <w:hideMark/>
          </w:tcPr>
          <w:p w14:paraId="4280B641"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Federation of Egyptian Industries </w:t>
            </w:r>
          </w:p>
        </w:tc>
      </w:tr>
      <w:tr w:rsidR="00000448" w:rsidRPr="00000448" w14:paraId="4B33025E"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2248C17" w14:textId="219F01B1" w:rsidR="00000448" w:rsidRPr="00000448" w:rsidRDefault="6FF4D273" w:rsidP="00000448">
            <w:pPr>
              <w:rPr>
                <w:color w:val="000000"/>
                <w:sz w:val="18"/>
                <w:szCs w:val="18"/>
              </w:rPr>
            </w:pPr>
            <w:r w:rsidRPr="4D27054C">
              <w:rPr>
                <w:color w:val="000000" w:themeColor="text1"/>
                <w:sz w:val="18"/>
                <w:szCs w:val="18"/>
              </w:rPr>
              <w:t xml:space="preserve">GDP          </w:t>
            </w:r>
          </w:p>
        </w:tc>
        <w:tc>
          <w:tcPr>
            <w:tcW w:w="6071" w:type="dxa"/>
            <w:noWrap/>
            <w:hideMark/>
          </w:tcPr>
          <w:p w14:paraId="5F1F34A2"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Gross Domestic Product </w:t>
            </w:r>
          </w:p>
        </w:tc>
      </w:tr>
      <w:tr w:rsidR="00000448" w:rsidRPr="00000448" w14:paraId="6D7BE4EB"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EEEAFFA" w14:textId="77777777" w:rsidR="00000448" w:rsidRPr="00000448" w:rsidRDefault="00000448" w:rsidP="00000448">
            <w:pPr>
              <w:rPr>
                <w:color w:val="000000"/>
                <w:sz w:val="18"/>
                <w:szCs w:val="18"/>
              </w:rPr>
            </w:pPr>
            <w:r w:rsidRPr="00000448">
              <w:rPr>
                <w:color w:val="000000"/>
                <w:sz w:val="18"/>
                <w:szCs w:val="18"/>
              </w:rPr>
              <w:t>GEHR</w:t>
            </w:r>
          </w:p>
        </w:tc>
        <w:tc>
          <w:tcPr>
            <w:tcW w:w="6071" w:type="dxa"/>
            <w:noWrap/>
            <w:hideMark/>
          </w:tcPr>
          <w:p w14:paraId="25E2163D"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Gender Integration &amp; Human Rights</w:t>
            </w:r>
          </w:p>
        </w:tc>
      </w:tr>
      <w:tr w:rsidR="00000448" w:rsidRPr="00000448" w14:paraId="12AE68E4"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50A0581" w14:textId="7077D087" w:rsidR="00000448" w:rsidRPr="00000448" w:rsidRDefault="6FF4D273" w:rsidP="00000448">
            <w:pPr>
              <w:rPr>
                <w:color w:val="000000"/>
                <w:sz w:val="18"/>
                <w:szCs w:val="18"/>
              </w:rPr>
            </w:pPr>
            <w:r w:rsidRPr="4D27054C">
              <w:rPr>
                <w:color w:val="000000" w:themeColor="text1"/>
                <w:sz w:val="18"/>
                <w:szCs w:val="18"/>
              </w:rPr>
              <w:t xml:space="preserve">GRE              </w:t>
            </w:r>
          </w:p>
        </w:tc>
        <w:tc>
          <w:tcPr>
            <w:tcW w:w="6071" w:type="dxa"/>
            <w:noWrap/>
            <w:hideMark/>
          </w:tcPr>
          <w:p w14:paraId="2C8202B3"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Gender responsive evaluation </w:t>
            </w:r>
          </w:p>
        </w:tc>
      </w:tr>
      <w:tr w:rsidR="00000448" w:rsidRPr="00000448" w14:paraId="7DF92368"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7FAC0D4" w14:textId="1C009F5B" w:rsidR="00000448" w:rsidRPr="00000448" w:rsidRDefault="6FF4D273" w:rsidP="00000448">
            <w:pPr>
              <w:rPr>
                <w:color w:val="000000"/>
                <w:sz w:val="18"/>
                <w:szCs w:val="18"/>
              </w:rPr>
            </w:pPr>
            <w:r w:rsidRPr="4D27054C">
              <w:rPr>
                <w:color w:val="000000" w:themeColor="text1"/>
                <w:sz w:val="18"/>
                <w:szCs w:val="18"/>
              </w:rPr>
              <w:t xml:space="preserve">GERAAS      </w:t>
            </w:r>
          </w:p>
        </w:tc>
        <w:tc>
          <w:tcPr>
            <w:tcW w:w="6071" w:type="dxa"/>
            <w:noWrap/>
            <w:hideMark/>
          </w:tcPr>
          <w:p w14:paraId="79C46239" w14:textId="24CD3703" w:rsidR="00000448" w:rsidRPr="00000448" w:rsidRDefault="073B0B55"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5DC39AF9">
              <w:rPr>
                <w:color w:val="000000" w:themeColor="text1"/>
                <w:sz w:val="18"/>
                <w:szCs w:val="18"/>
              </w:rPr>
              <w:t xml:space="preserve">Global Evaluation Reports Assessment and Analysis System </w:t>
            </w:r>
          </w:p>
        </w:tc>
      </w:tr>
      <w:tr w:rsidR="00000448" w:rsidRPr="00000448" w14:paraId="753F01DB"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9D052FA" w14:textId="7DC35E5A" w:rsidR="00000448" w:rsidRPr="00000448" w:rsidRDefault="6FF4D273" w:rsidP="00000448">
            <w:pPr>
              <w:rPr>
                <w:color w:val="000000"/>
                <w:sz w:val="18"/>
                <w:szCs w:val="18"/>
              </w:rPr>
            </w:pPr>
            <w:r w:rsidRPr="4D27054C">
              <w:rPr>
                <w:color w:val="000000" w:themeColor="text1"/>
                <w:sz w:val="18"/>
                <w:szCs w:val="18"/>
              </w:rPr>
              <w:t xml:space="preserve">GRES          </w:t>
            </w:r>
          </w:p>
        </w:tc>
        <w:tc>
          <w:tcPr>
            <w:tcW w:w="6071" w:type="dxa"/>
            <w:noWrap/>
            <w:hideMark/>
          </w:tcPr>
          <w:p w14:paraId="280C26F3"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Gender Results Effectiveness Scale </w:t>
            </w:r>
          </w:p>
        </w:tc>
      </w:tr>
      <w:tr w:rsidR="00000448" w:rsidRPr="00000448" w14:paraId="719CEA0E"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D3716A3" w14:textId="77777777" w:rsidR="00000448" w:rsidRPr="00000448" w:rsidRDefault="00000448" w:rsidP="00000448">
            <w:pPr>
              <w:rPr>
                <w:color w:val="000000"/>
                <w:sz w:val="18"/>
                <w:szCs w:val="18"/>
              </w:rPr>
            </w:pPr>
            <w:r w:rsidRPr="00000448">
              <w:rPr>
                <w:color w:val="000000"/>
                <w:sz w:val="18"/>
                <w:szCs w:val="18"/>
              </w:rPr>
              <w:t>GS</w:t>
            </w:r>
          </w:p>
        </w:tc>
        <w:tc>
          <w:tcPr>
            <w:tcW w:w="6071" w:type="dxa"/>
            <w:noWrap/>
            <w:hideMark/>
          </w:tcPr>
          <w:p w14:paraId="156C2A3C"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Gaza Strip</w:t>
            </w:r>
          </w:p>
        </w:tc>
      </w:tr>
      <w:tr w:rsidR="00000448" w:rsidRPr="00000448" w14:paraId="615702E5"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BCC0603" w14:textId="7DFB7C7B" w:rsidR="00000448" w:rsidRPr="00000448" w:rsidRDefault="6FF4D273" w:rsidP="00000448">
            <w:pPr>
              <w:rPr>
                <w:color w:val="000000"/>
                <w:sz w:val="18"/>
                <w:szCs w:val="18"/>
              </w:rPr>
            </w:pPr>
            <w:r w:rsidRPr="4D27054C">
              <w:rPr>
                <w:color w:val="000000" w:themeColor="text1"/>
                <w:sz w:val="18"/>
                <w:szCs w:val="18"/>
              </w:rPr>
              <w:t xml:space="preserve">IEAS            </w:t>
            </w:r>
          </w:p>
        </w:tc>
        <w:tc>
          <w:tcPr>
            <w:tcW w:w="6071" w:type="dxa"/>
            <w:noWrap/>
            <w:hideMark/>
          </w:tcPr>
          <w:p w14:paraId="4D0F5C5C"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 Independent Evaluation and Audit Services </w:t>
            </w:r>
          </w:p>
        </w:tc>
      </w:tr>
      <w:tr w:rsidR="00FC22E4" w:rsidRPr="00000448" w14:paraId="550D0E39"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tcPr>
          <w:p w14:paraId="2A43FEB7" w14:textId="48A6CAB3" w:rsidR="00FC22E4" w:rsidRPr="00000448" w:rsidRDefault="00FC22E4" w:rsidP="00000448">
            <w:pPr>
              <w:rPr>
                <w:color w:val="000000"/>
                <w:sz w:val="18"/>
                <w:szCs w:val="18"/>
              </w:rPr>
            </w:pPr>
            <w:r>
              <w:rPr>
                <w:color w:val="000000"/>
                <w:sz w:val="18"/>
                <w:szCs w:val="18"/>
              </w:rPr>
              <w:t>IES</w:t>
            </w:r>
          </w:p>
        </w:tc>
        <w:tc>
          <w:tcPr>
            <w:tcW w:w="6071" w:type="dxa"/>
            <w:noWrap/>
          </w:tcPr>
          <w:p w14:paraId="0D8F7F23" w14:textId="59ED5178" w:rsidR="00FC22E4" w:rsidRPr="00000448" w:rsidRDefault="00FC22E4"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Independent Evaluation Services </w:t>
            </w:r>
          </w:p>
        </w:tc>
      </w:tr>
      <w:tr w:rsidR="00000448" w:rsidRPr="002D6FF3" w14:paraId="58D62E73"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2170459" w14:textId="2131B2C9" w:rsidR="00000448" w:rsidRPr="00000448" w:rsidRDefault="6FF4D273" w:rsidP="00000448">
            <w:pPr>
              <w:rPr>
                <w:color w:val="444444"/>
                <w:sz w:val="18"/>
                <w:szCs w:val="18"/>
              </w:rPr>
            </w:pPr>
            <w:r w:rsidRPr="4D27054C">
              <w:rPr>
                <w:color w:val="444444"/>
                <w:sz w:val="18"/>
                <w:szCs w:val="18"/>
                <w:lang w:val="fr-FR"/>
              </w:rPr>
              <w:t xml:space="preserve">IECD            </w:t>
            </w:r>
          </w:p>
        </w:tc>
        <w:tc>
          <w:tcPr>
            <w:tcW w:w="6071" w:type="dxa"/>
            <w:noWrap/>
            <w:hideMark/>
          </w:tcPr>
          <w:p w14:paraId="280EBF86"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lang w:val="fr-FR"/>
              </w:rPr>
            </w:pPr>
            <w:r w:rsidRPr="00000448">
              <w:rPr>
                <w:color w:val="000000"/>
                <w:sz w:val="18"/>
                <w:szCs w:val="18"/>
                <w:lang w:val="fr-FR"/>
              </w:rPr>
              <w:t>Institut Européen de Coopération et de Développement </w:t>
            </w:r>
          </w:p>
        </w:tc>
      </w:tr>
      <w:tr w:rsidR="00000448" w:rsidRPr="00000448" w14:paraId="67291C4D"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BC0E984" w14:textId="77777777" w:rsidR="00000448" w:rsidRPr="00000448" w:rsidRDefault="00000448" w:rsidP="00000448">
            <w:pPr>
              <w:rPr>
                <w:color w:val="000000"/>
                <w:sz w:val="18"/>
                <w:szCs w:val="18"/>
              </w:rPr>
            </w:pPr>
            <w:r w:rsidRPr="00000448">
              <w:rPr>
                <w:color w:val="000000"/>
                <w:sz w:val="18"/>
                <w:szCs w:val="18"/>
              </w:rPr>
              <w:t xml:space="preserve">ILO </w:t>
            </w:r>
          </w:p>
        </w:tc>
        <w:tc>
          <w:tcPr>
            <w:tcW w:w="6071" w:type="dxa"/>
            <w:noWrap/>
            <w:hideMark/>
          </w:tcPr>
          <w:p w14:paraId="22CB2A79"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 International Labour Organization  </w:t>
            </w:r>
          </w:p>
        </w:tc>
      </w:tr>
      <w:tr w:rsidR="00000448" w:rsidRPr="00000448" w14:paraId="4F26C5F3"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F2FA697" w14:textId="77777777" w:rsidR="00000448" w:rsidRPr="00000448" w:rsidRDefault="00000448" w:rsidP="00000448">
            <w:pPr>
              <w:rPr>
                <w:color w:val="000000"/>
                <w:sz w:val="18"/>
                <w:szCs w:val="18"/>
              </w:rPr>
            </w:pPr>
            <w:r w:rsidRPr="00000448">
              <w:rPr>
                <w:color w:val="000000"/>
                <w:sz w:val="18"/>
                <w:szCs w:val="18"/>
              </w:rPr>
              <w:t>LI</w:t>
            </w:r>
          </w:p>
        </w:tc>
        <w:tc>
          <w:tcPr>
            <w:tcW w:w="6071" w:type="dxa"/>
            <w:noWrap/>
            <w:hideMark/>
          </w:tcPr>
          <w:p w14:paraId="5216C8EB"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Labour Inspection</w:t>
            </w:r>
          </w:p>
        </w:tc>
      </w:tr>
      <w:tr w:rsidR="00FC22E4" w:rsidRPr="00000448" w14:paraId="4C207539" w14:textId="77777777" w:rsidTr="000B3B41">
        <w:trPr>
          <w:trHeight w:val="300"/>
        </w:trPr>
        <w:tc>
          <w:tcPr>
            <w:cnfStyle w:val="001000000000" w:firstRow="0" w:lastRow="0" w:firstColumn="1" w:lastColumn="0" w:oddVBand="0" w:evenVBand="0" w:oddHBand="0" w:evenHBand="0" w:firstRowFirstColumn="0" w:firstRowLastColumn="0" w:lastRowFirstColumn="0" w:lastRowLastColumn="0"/>
            <w:tcW w:w="1300" w:type="dxa"/>
            <w:noWrap/>
            <w:vAlign w:val="center"/>
          </w:tcPr>
          <w:p w14:paraId="45003BA0" w14:textId="143DDEBB" w:rsidR="00FC22E4" w:rsidRPr="00FC22E4" w:rsidRDefault="00FC22E4" w:rsidP="00000448">
            <w:pPr>
              <w:rPr>
                <w:color w:val="000000"/>
                <w:sz w:val="18"/>
                <w:szCs w:val="18"/>
              </w:rPr>
            </w:pPr>
            <w:r w:rsidRPr="00FC22E4">
              <w:rPr>
                <w:rFonts w:eastAsiaTheme="minorHAnsi"/>
                <w:sz w:val="18"/>
                <w:szCs w:val="18"/>
                <w:lang w:eastAsia="en-US"/>
              </w:rPr>
              <w:t>JPSCC</w:t>
            </w:r>
          </w:p>
        </w:tc>
        <w:tc>
          <w:tcPr>
            <w:tcW w:w="6071" w:type="dxa"/>
            <w:noWrap/>
          </w:tcPr>
          <w:p w14:paraId="34FC3F98" w14:textId="59EAFA91" w:rsidR="00FC22E4" w:rsidRPr="00FC22E4" w:rsidRDefault="6EF26270" w:rsidP="4D27054C">
            <w:pPr>
              <w:cnfStyle w:val="000000000000" w:firstRow="0" w:lastRow="0" w:firstColumn="0" w:lastColumn="0" w:oddVBand="0" w:evenVBand="0" w:oddHBand="0" w:evenHBand="0" w:firstRowFirstColumn="0" w:firstRowLastColumn="0" w:lastRowFirstColumn="0" w:lastRowLastColumn="0"/>
              <w:rPr>
                <w:rFonts w:eastAsiaTheme="minorEastAsia"/>
                <w:sz w:val="18"/>
                <w:szCs w:val="18"/>
                <w:lang w:eastAsia="en-US"/>
              </w:rPr>
            </w:pPr>
            <w:r w:rsidRPr="4D27054C">
              <w:rPr>
                <w:rFonts w:eastAsiaTheme="minorEastAsia"/>
                <w:sz w:val="18"/>
                <w:szCs w:val="18"/>
                <w:lang w:eastAsia="en-US"/>
              </w:rPr>
              <w:t>Joint Programme Strategic Coordination Committee</w:t>
            </w:r>
          </w:p>
        </w:tc>
      </w:tr>
      <w:tr w:rsidR="00000448" w:rsidRPr="00000448" w14:paraId="02D04C21"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D84C84E" w14:textId="77777777" w:rsidR="00000448" w:rsidRPr="00000448" w:rsidRDefault="00000448" w:rsidP="00000448">
            <w:pPr>
              <w:rPr>
                <w:color w:val="000000"/>
                <w:sz w:val="18"/>
                <w:szCs w:val="18"/>
              </w:rPr>
            </w:pPr>
            <w:r w:rsidRPr="00000448">
              <w:rPr>
                <w:color w:val="000000"/>
                <w:sz w:val="18"/>
                <w:szCs w:val="18"/>
              </w:rPr>
              <w:t>MAS</w:t>
            </w:r>
          </w:p>
        </w:tc>
        <w:tc>
          <w:tcPr>
            <w:tcW w:w="6071" w:type="dxa"/>
            <w:noWrap/>
            <w:hideMark/>
          </w:tcPr>
          <w:p w14:paraId="0A0527B0"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Palestine Economic Policy Research Institute</w:t>
            </w:r>
          </w:p>
        </w:tc>
      </w:tr>
      <w:tr w:rsidR="00000448" w:rsidRPr="00000448" w14:paraId="59ECAFC5"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C054284" w14:textId="77777777" w:rsidR="00000448" w:rsidRPr="00000448" w:rsidRDefault="00000448" w:rsidP="00000448">
            <w:pPr>
              <w:rPr>
                <w:color w:val="000000"/>
                <w:sz w:val="18"/>
                <w:szCs w:val="18"/>
              </w:rPr>
            </w:pPr>
            <w:r w:rsidRPr="00000448">
              <w:rPr>
                <w:color w:val="000000"/>
                <w:sz w:val="18"/>
                <w:szCs w:val="18"/>
              </w:rPr>
              <w:t xml:space="preserve">M&amp;E </w:t>
            </w:r>
          </w:p>
        </w:tc>
        <w:tc>
          <w:tcPr>
            <w:tcW w:w="6071" w:type="dxa"/>
            <w:noWrap/>
            <w:hideMark/>
          </w:tcPr>
          <w:p w14:paraId="40D58218"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Monitoring and Evaluation </w:t>
            </w:r>
          </w:p>
        </w:tc>
      </w:tr>
      <w:tr w:rsidR="00000448" w:rsidRPr="00000448" w14:paraId="0086D962"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81FFA0C" w14:textId="77777777" w:rsidR="00000448" w:rsidRPr="00000448" w:rsidRDefault="00000448" w:rsidP="00000448">
            <w:pPr>
              <w:rPr>
                <w:color w:val="000000"/>
                <w:sz w:val="18"/>
                <w:szCs w:val="18"/>
              </w:rPr>
            </w:pPr>
            <w:r w:rsidRPr="00000448">
              <w:rPr>
                <w:color w:val="000000"/>
                <w:sz w:val="18"/>
                <w:szCs w:val="18"/>
              </w:rPr>
              <w:t>MoFP</w:t>
            </w:r>
          </w:p>
        </w:tc>
        <w:tc>
          <w:tcPr>
            <w:tcW w:w="6071" w:type="dxa"/>
            <w:noWrap/>
            <w:hideMark/>
          </w:tcPr>
          <w:p w14:paraId="2DC88443"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Ministry of Finance &amp; Planning</w:t>
            </w:r>
          </w:p>
        </w:tc>
      </w:tr>
      <w:tr w:rsidR="00000448" w:rsidRPr="00000448" w14:paraId="3C627335"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04E2C50" w14:textId="77777777" w:rsidR="00000448" w:rsidRPr="00000448" w:rsidRDefault="00000448" w:rsidP="00000448">
            <w:pPr>
              <w:rPr>
                <w:color w:val="000000"/>
                <w:sz w:val="18"/>
                <w:szCs w:val="18"/>
              </w:rPr>
            </w:pPr>
            <w:r w:rsidRPr="00000448">
              <w:rPr>
                <w:color w:val="000000"/>
                <w:sz w:val="18"/>
                <w:szCs w:val="18"/>
              </w:rPr>
              <w:t xml:space="preserve">MoL </w:t>
            </w:r>
          </w:p>
        </w:tc>
        <w:tc>
          <w:tcPr>
            <w:tcW w:w="6071" w:type="dxa"/>
            <w:noWrap/>
            <w:hideMark/>
          </w:tcPr>
          <w:p w14:paraId="6206DD3E"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Ministry of Labour</w:t>
            </w:r>
          </w:p>
        </w:tc>
      </w:tr>
      <w:tr w:rsidR="00000448" w:rsidRPr="00000448" w14:paraId="6A71763B"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7EA905F" w14:textId="77777777" w:rsidR="00000448" w:rsidRPr="00000448" w:rsidRDefault="00000448" w:rsidP="00000448">
            <w:pPr>
              <w:rPr>
                <w:color w:val="000000"/>
                <w:sz w:val="18"/>
                <w:szCs w:val="18"/>
              </w:rPr>
            </w:pPr>
            <w:r w:rsidRPr="00000448">
              <w:rPr>
                <w:color w:val="000000"/>
                <w:sz w:val="18"/>
                <w:szCs w:val="18"/>
              </w:rPr>
              <w:t xml:space="preserve">MoNE </w:t>
            </w:r>
          </w:p>
        </w:tc>
        <w:tc>
          <w:tcPr>
            <w:tcW w:w="6071" w:type="dxa"/>
            <w:noWrap/>
            <w:hideMark/>
          </w:tcPr>
          <w:p w14:paraId="6CB1575D"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Ministry of National Economy </w:t>
            </w:r>
          </w:p>
        </w:tc>
      </w:tr>
      <w:tr w:rsidR="00000448" w:rsidRPr="00000448" w14:paraId="547BA628"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DD1A18F" w14:textId="77777777" w:rsidR="00000448" w:rsidRPr="00000448" w:rsidRDefault="00000448" w:rsidP="00000448">
            <w:pPr>
              <w:rPr>
                <w:color w:val="000000"/>
                <w:sz w:val="18"/>
                <w:szCs w:val="18"/>
              </w:rPr>
            </w:pPr>
            <w:r w:rsidRPr="00000448">
              <w:rPr>
                <w:color w:val="000000"/>
                <w:sz w:val="18"/>
                <w:szCs w:val="18"/>
              </w:rPr>
              <w:t>MSMEs</w:t>
            </w:r>
          </w:p>
        </w:tc>
        <w:tc>
          <w:tcPr>
            <w:tcW w:w="6071" w:type="dxa"/>
            <w:noWrap/>
            <w:hideMark/>
          </w:tcPr>
          <w:p w14:paraId="0E2FA28D"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Micro, Small and Medium Enterprises</w:t>
            </w:r>
          </w:p>
        </w:tc>
      </w:tr>
      <w:tr w:rsidR="00000448" w:rsidRPr="00000448" w14:paraId="06A0C5FC" w14:textId="77777777" w:rsidTr="000B3B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6A22972" w14:textId="7E2DFA78" w:rsidR="00000448" w:rsidRPr="00000448" w:rsidRDefault="073B0B55" w:rsidP="00000448">
            <w:pPr>
              <w:rPr>
                <w:color w:val="000000"/>
                <w:sz w:val="18"/>
                <w:szCs w:val="18"/>
              </w:rPr>
            </w:pPr>
            <w:r w:rsidRPr="5DC39AF9">
              <w:rPr>
                <w:rFonts w:eastAsia="Calibri"/>
                <w:color w:val="000000" w:themeColor="text1"/>
                <w:sz w:val="18"/>
                <w:szCs w:val="18"/>
              </w:rPr>
              <w:t xml:space="preserve">MoWA          </w:t>
            </w:r>
          </w:p>
        </w:tc>
        <w:tc>
          <w:tcPr>
            <w:tcW w:w="6071" w:type="dxa"/>
            <w:noWrap/>
            <w:hideMark/>
          </w:tcPr>
          <w:p w14:paraId="361CB6E2"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Ministry of Women’s Affairs</w:t>
            </w:r>
          </w:p>
        </w:tc>
      </w:tr>
      <w:tr w:rsidR="00000448" w:rsidRPr="00000448" w14:paraId="0199F61F"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0D80BC4" w14:textId="2CF347C8" w:rsidR="00000448" w:rsidRPr="00000448" w:rsidRDefault="073B0B55" w:rsidP="00000448">
            <w:pPr>
              <w:rPr>
                <w:color w:val="000000"/>
                <w:sz w:val="18"/>
                <w:szCs w:val="18"/>
              </w:rPr>
            </w:pPr>
            <w:r w:rsidRPr="5DC39AF9">
              <w:rPr>
                <w:rFonts w:eastAsia="Calibri"/>
                <w:color w:val="000000" w:themeColor="text1"/>
                <w:sz w:val="18"/>
                <w:szCs w:val="18"/>
              </w:rPr>
              <w:t xml:space="preserve">MoSD            </w:t>
            </w:r>
          </w:p>
        </w:tc>
        <w:tc>
          <w:tcPr>
            <w:tcW w:w="6071" w:type="dxa"/>
            <w:noWrap/>
            <w:hideMark/>
          </w:tcPr>
          <w:p w14:paraId="5B485962"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Ministry of Social Development </w:t>
            </w:r>
          </w:p>
        </w:tc>
      </w:tr>
      <w:tr w:rsidR="00000448" w:rsidRPr="00000448" w14:paraId="494CE762"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A83BDDC" w14:textId="0BD16FFA" w:rsidR="00000448" w:rsidRPr="00000448" w:rsidRDefault="073B0B55" w:rsidP="00000448">
            <w:pPr>
              <w:rPr>
                <w:color w:val="000000"/>
                <w:sz w:val="18"/>
                <w:szCs w:val="18"/>
              </w:rPr>
            </w:pPr>
            <w:r w:rsidRPr="5DC39AF9">
              <w:rPr>
                <w:color w:val="000000" w:themeColor="text1"/>
                <w:sz w:val="18"/>
                <w:szCs w:val="18"/>
              </w:rPr>
              <w:t xml:space="preserve">MTE             </w:t>
            </w:r>
          </w:p>
        </w:tc>
        <w:tc>
          <w:tcPr>
            <w:tcW w:w="6071" w:type="dxa"/>
            <w:noWrap/>
            <w:hideMark/>
          </w:tcPr>
          <w:p w14:paraId="7B17560B"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Mid-term evaluation</w:t>
            </w:r>
          </w:p>
        </w:tc>
      </w:tr>
      <w:tr w:rsidR="00000448" w:rsidRPr="00000448" w14:paraId="544D0E29"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65574BE" w14:textId="77777777" w:rsidR="00000448" w:rsidRPr="00000448" w:rsidRDefault="00000448" w:rsidP="00000448">
            <w:pPr>
              <w:rPr>
                <w:color w:val="000000"/>
                <w:sz w:val="18"/>
                <w:szCs w:val="18"/>
              </w:rPr>
            </w:pPr>
            <w:r w:rsidRPr="00000448">
              <w:rPr>
                <w:color w:val="000000"/>
                <w:sz w:val="18"/>
                <w:szCs w:val="18"/>
              </w:rPr>
              <w:t xml:space="preserve">NCB </w:t>
            </w:r>
          </w:p>
        </w:tc>
        <w:tc>
          <w:tcPr>
            <w:tcW w:w="6071" w:type="dxa"/>
            <w:noWrap/>
            <w:hideMark/>
          </w:tcPr>
          <w:p w14:paraId="376C6435"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Negotiation and Collective Bargaining </w:t>
            </w:r>
          </w:p>
        </w:tc>
      </w:tr>
      <w:tr w:rsidR="00000448" w:rsidRPr="00000448" w14:paraId="1362C93F"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B250A9F" w14:textId="6A3A2BCA" w:rsidR="00000448" w:rsidRPr="00000448" w:rsidRDefault="073B0B55" w:rsidP="00000448">
            <w:pPr>
              <w:rPr>
                <w:color w:val="000000"/>
                <w:sz w:val="18"/>
                <w:szCs w:val="18"/>
              </w:rPr>
            </w:pPr>
            <w:r w:rsidRPr="5DC39AF9">
              <w:rPr>
                <w:rFonts w:eastAsia="Calibri"/>
                <w:color w:val="000000" w:themeColor="text1"/>
                <w:sz w:val="18"/>
                <w:szCs w:val="18"/>
              </w:rPr>
              <w:lastRenderedPageBreak/>
              <w:t xml:space="preserve">NCW             </w:t>
            </w:r>
          </w:p>
        </w:tc>
        <w:tc>
          <w:tcPr>
            <w:tcW w:w="6071" w:type="dxa"/>
            <w:noWrap/>
            <w:hideMark/>
          </w:tcPr>
          <w:p w14:paraId="4715336D"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National Council for Women</w:t>
            </w:r>
          </w:p>
        </w:tc>
      </w:tr>
      <w:tr w:rsidR="00000448" w:rsidRPr="00000448" w14:paraId="2FC4EEAF"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FCF37E6" w14:textId="77777777" w:rsidR="00000448" w:rsidRPr="00000448" w:rsidRDefault="00000448" w:rsidP="00000448">
            <w:pPr>
              <w:rPr>
                <w:color w:val="000000"/>
                <w:sz w:val="18"/>
                <w:szCs w:val="18"/>
              </w:rPr>
            </w:pPr>
            <w:r w:rsidRPr="00000448">
              <w:rPr>
                <w:color w:val="000000"/>
                <w:sz w:val="18"/>
                <w:szCs w:val="18"/>
              </w:rPr>
              <w:t>NCWE</w:t>
            </w:r>
          </w:p>
        </w:tc>
        <w:tc>
          <w:tcPr>
            <w:tcW w:w="6071" w:type="dxa"/>
            <w:noWrap/>
            <w:hideMark/>
          </w:tcPr>
          <w:p w14:paraId="5BA04D5E"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National Committee for Women’s Employment</w:t>
            </w:r>
          </w:p>
        </w:tc>
      </w:tr>
      <w:tr w:rsidR="00000448" w:rsidRPr="00000448" w14:paraId="7A3A3FF3"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10579C1" w14:textId="77777777" w:rsidR="00000448" w:rsidRPr="00000448" w:rsidRDefault="00000448" w:rsidP="00000448">
            <w:pPr>
              <w:rPr>
                <w:color w:val="000000"/>
                <w:sz w:val="18"/>
                <w:szCs w:val="18"/>
              </w:rPr>
            </w:pPr>
            <w:r w:rsidRPr="00000448">
              <w:rPr>
                <w:color w:val="000000"/>
                <w:sz w:val="18"/>
                <w:szCs w:val="18"/>
              </w:rPr>
              <w:t xml:space="preserve">NGOs </w:t>
            </w:r>
          </w:p>
        </w:tc>
        <w:tc>
          <w:tcPr>
            <w:tcW w:w="6071" w:type="dxa"/>
            <w:noWrap/>
            <w:hideMark/>
          </w:tcPr>
          <w:p w14:paraId="3A1CB436"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Non-governmental organizations </w:t>
            </w:r>
          </w:p>
        </w:tc>
      </w:tr>
      <w:tr w:rsidR="00000448" w:rsidRPr="00000448" w14:paraId="04F84491"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7B4404B" w14:textId="77777777" w:rsidR="00000448" w:rsidRPr="00000448" w:rsidRDefault="00000448" w:rsidP="00000448">
            <w:pPr>
              <w:rPr>
                <w:color w:val="000000"/>
                <w:sz w:val="18"/>
                <w:szCs w:val="18"/>
              </w:rPr>
            </w:pPr>
            <w:r w:rsidRPr="00000448">
              <w:rPr>
                <w:color w:val="000000"/>
                <w:sz w:val="18"/>
                <w:szCs w:val="18"/>
              </w:rPr>
              <w:t xml:space="preserve">NPA </w:t>
            </w:r>
          </w:p>
        </w:tc>
        <w:tc>
          <w:tcPr>
            <w:tcW w:w="6071" w:type="dxa"/>
            <w:noWrap/>
            <w:hideMark/>
          </w:tcPr>
          <w:p w14:paraId="49135031"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National Development Agenda</w:t>
            </w:r>
          </w:p>
        </w:tc>
      </w:tr>
      <w:tr w:rsidR="00000448" w:rsidRPr="00000448" w14:paraId="2D1ADBB6"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36B1D35" w14:textId="77777777" w:rsidR="00000448" w:rsidRPr="00000448" w:rsidRDefault="00000448" w:rsidP="00000448">
            <w:pPr>
              <w:rPr>
                <w:color w:val="000000"/>
                <w:sz w:val="18"/>
                <w:szCs w:val="18"/>
              </w:rPr>
            </w:pPr>
            <w:r w:rsidRPr="00000448">
              <w:rPr>
                <w:color w:val="000000"/>
                <w:sz w:val="18"/>
                <w:szCs w:val="18"/>
              </w:rPr>
              <w:t>NDWP</w:t>
            </w:r>
          </w:p>
        </w:tc>
        <w:tc>
          <w:tcPr>
            <w:tcW w:w="6071" w:type="dxa"/>
            <w:noWrap/>
            <w:hideMark/>
          </w:tcPr>
          <w:p w14:paraId="7F4C4C5F"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National Decent Work Programme</w:t>
            </w:r>
          </w:p>
        </w:tc>
      </w:tr>
      <w:tr w:rsidR="00FC22E4" w:rsidRPr="00000448" w14:paraId="2047BDE4"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tcPr>
          <w:p w14:paraId="640A7F20" w14:textId="4384F1C7" w:rsidR="00FC22E4" w:rsidRPr="00FC22E4" w:rsidRDefault="00FC22E4" w:rsidP="00000448">
            <w:pPr>
              <w:rPr>
                <w:color w:val="000000"/>
                <w:sz w:val="18"/>
                <w:szCs w:val="18"/>
              </w:rPr>
            </w:pPr>
            <w:r w:rsidRPr="00FC22E4">
              <w:rPr>
                <w:rFonts w:eastAsiaTheme="minorHAnsi"/>
                <w:sz w:val="18"/>
                <w:szCs w:val="18"/>
                <w:lang w:eastAsia="en-US"/>
              </w:rPr>
              <w:t>NJPSC</w:t>
            </w:r>
          </w:p>
        </w:tc>
        <w:tc>
          <w:tcPr>
            <w:tcW w:w="6071" w:type="dxa"/>
            <w:noWrap/>
          </w:tcPr>
          <w:p w14:paraId="01BBE4DE" w14:textId="01994A0A" w:rsidR="00FC22E4" w:rsidRPr="00FC22E4" w:rsidRDefault="00FC22E4" w:rsidP="00FC22E4">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FC22E4">
              <w:rPr>
                <w:rFonts w:eastAsiaTheme="minorHAnsi"/>
                <w:sz w:val="18"/>
                <w:szCs w:val="18"/>
                <w:lang w:eastAsia="en-US"/>
              </w:rPr>
              <w:t>National Joint Programme Steering Committees</w:t>
            </w:r>
          </w:p>
        </w:tc>
      </w:tr>
      <w:tr w:rsidR="00000448" w:rsidRPr="00000448" w14:paraId="560A6153"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A6BB10D" w14:textId="77777777" w:rsidR="00000448" w:rsidRPr="00000448" w:rsidRDefault="00000448" w:rsidP="00000448">
            <w:pPr>
              <w:rPr>
                <w:color w:val="000000"/>
                <w:sz w:val="18"/>
                <w:szCs w:val="18"/>
              </w:rPr>
            </w:pPr>
            <w:r w:rsidRPr="00000448">
              <w:rPr>
                <w:color w:val="000000"/>
                <w:sz w:val="18"/>
                <w:szCs w:val="18"/>
              </w:rPr>
              <w:t xml:space="preserve">OECD </w:t>
            </w:r>
          </w:p>
        </w:tc>
        <w:tc>
          <w:tcPr>
            <w:tcW w:w="6071" w:type="dxa"/>
            <w:noWrap/>
            <w:hideMark/>
          </w:tcPr>
          <w:p w14:paraId="10743B0F"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bookmarkStart w:id="1" w:name="RANGE!D47"/>
            <w:r w:rsidRPr="00000448">
              <w:rPr>
                <w:color w:val="000000"/>
                <w:sz w:val="18"/>
                <w:szCs w:val="18"/>
              </w:rPr>
              <w:t>Organization for Economic Co-operation and Development</w:t>
            </w:r>
            <w:bookmarkEnd w:id="1"/>
          </w:p>
        </w:tc>
      </w:tr>
      <w:tr w:rsidR="00000448" w:rsidRPr="00000448" w14:paraId="58D6CB9B"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74493CD" w14:textId="77777777" w:rsidR="00000448" w:rsidRPr="00000448" w:rsidRDefault="00000448" w:rsidP="00000448">
            <w:pPr>
              <w:rPr>
                <w:color w:val="000000"/>
                <w:sz w:val="18"/>
                <w:szCs w:val="18"/>
              </w:rPr>
            </w:pPr>
            <w:r w:rsidRPr="00000448">
              <w:rPr>
                <w:color w:val="000000"/>
                <w:sz w:val="18"/>
                <w:szCs w:val="18"/>
              </w:rPr>
              <w:t>OSS</w:t>
            </w:r>
          </w:p>
        </w:tc>
        <w:tc>
          <w:tcPr>
            <w:tcW w:w="6071" w:type="dxa"/>
            <w:noWrap/>
            <w:hideMark/>
          </w:tcPr>
          <w:p w14:paraId="4CE719D5"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One-Stop Shop</w:t>
            </w:r>
          </w:p>
        </w:tc>
      </w:tr>
      <w:tr w:rsidR="00000448" w:rsidRPr="00000448" w14:paraId="65E22727"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34DE13C" w14:textId="77777777" w:rsidR="00000448" w:rsidRPr="00000448" w:rsidRDefault="00000448" w:rsidP="00000448">
            <w:pPr>
              <w:rPr>
                <w:color w:val="000000"/>
                <w:sz w:val="18"/>
                <w:szCs w:val="18"/>
              </w:rPr>
            </w:pPr>
            <w:r w:rsidRPr="00000448">
              <w:rPr>
                <w:color w:val="000000"/>
                <w:sz w:val="18"/>
                <w:szCs w:val="18"/>
              </w:rPr>
              <w:t xml:space="preserve">PA </w:t>
            </w:r>
          </w:p>
        </w:tc>
        <w:tc>
          <w:tcPr>
            <w:tcW w:w="6071" w:type="dxa"/>
            <w:noWrap/>
            <w:hideMark/>
          </w:tcPr>
          <w:p w14:paraId="1DC6922A"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Palestinian Authority</w:t>
            </w:r>
          </w:p>
        </w:tc>
      </w:tr>
      <w:tr w:rsidR="00000448" w:rsidRPr="00000448" w14:paraId="28657999"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004F177" w14:textId="77777777" w:rsidR="00000448" w:rsidRPr="00000448" w:rsidRDefault="00000448" w:rsidP="00000448">
            <w:pPr>
              <w:rPr>
                <w:color w:val="000000"/>
                <w:sz w:val="18"/>
                <w:szCs w:val="18"/>
              </w:rPr>
            </w:pPr>
            <w:r w:rsidRPr="00000448">
              <w:rPr>
                <w:color w:val="000000"/>
                <w:sz w:val="18"/>
                <w:szCs w:val="18"/>
              </w:rPr>
              <w:t>PCBS</w:t>
            </w:r>
          </w:p>
        </w:tc>
        <w:tc>
          <w:tcPr>
            <w:tcW w:w="6071" w:type="dxa"/>
            <w:noWrap/>
            <w:hideMark/>
          </w:tcPr>
          <w:p w14:paraId="48B02418"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Palestinian Central Bureau of Statistics </w:t>
            </w:r>
          </w:p>
        </w:tc>
      </w:tr>
      <w:tr w:rsidR="00000448" w:rsidRPr="00000448" w14:paraId="52936150"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7F6A3FE" w14:textId="77777777" w:rsidR="00000448" w:rsidRPr="00000448" w:rsidRDefault="00000448" w:rsidP="00000448">
            <w:pPr>
              <w:rPr>
                <w:color w:val="000000"/>
                <w:sz w:val="18"/>
                <w:szCs w:val="18"/>
              </w:rPr>
            </w:pPr>
            <w:r w:rsidRPr="00000448">
              <w:rPr>
                <w:color w:val="000000"/>
                <w:sz w:val="18"/>
                <w:szCs w:val="18"/>
              </w:rPr>
              <w:t xml:space="preserve">PGFTU </w:t>
            </w:r>
          </w:p>
        </w:tc>
        <w:tc>
          <w:tcPr>
            <w:tcW w:w="6071" w:type="dxa"/>
            <w:noWrap/>
            <w:hideMark/>
          </w:tcPr>
          <w:p w14:paraId="2BFE3711"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Palestinian General Federation of Trade Unions </w:t>
            </w:r>
          </w:p>
        </w:tc>
      </w:tr>
      <w:tr w:rsidR="00000448" w:rsidRPr="00000448" w14:paraId="4A568190"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B09279B" w14:textId="7A22DA0B" w:rsidR="00000448" w:rsidRPr="00000448" w:rsidRDefault="00000448" w:rsidP="00000448">
            <w:pPr>
              <w:rPr>
                <w:color w:val="000000"/>
                <w:sz w:val="18"/>
                <w:szCs w:val="18"/>
              </w:rPr>
            </w:pPr>
            <w:bookmarkStart w:id="2" w:name="RANGE!C52"/>
            <w:r w:rsidRPr="00000448">
              <w:rPr>
                <w:color w:val="000000"/>
                <w:sz w:val="18"/>
                <w:szCs w:val="18"/>
              </w:rPr>
              <w:t xml:space="preserve">PFCCIA </w:t>
            </w:r>
            <w:bookmarkEnd w:id="2"/>
          </w:p>
        </w:tc>
        <w:tc>
          <w:tcPr>
            <w:tcW w:w="6071" w:type="dxa"/>
            <w:noWrap/>
            <w:hideMark/>
          </w:tcPr>
          <w:p w14:paraId="29415494"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Palestinian Federation of Chambers of Commerce, Industry and Agriculture </w:t>
            </w:r>
          </w:p>
        </w:tc>
      </w:tr>
      <w:tr w:rsidR="00000448" w:rsidRPr="00000448" w14:paraId="01BE1289"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3B55C4F" w14:textId="77777777" w:rsidR="00000448" w:rsidRPr="00C97D57" w:rsidRDefault="00000448" w:rsidP="00000448">
            <w:pPr>
              <w:rPr>
                <w:color w:val="000000" w:themeColor="text1"/>
                <w:sz w:val="18"/>
                <w:szCs w:val="18"/>
              </w:rPr>
            </w:pPr>
            <w:r w:rsidRPr="00C97D57">
              <w:rPr>
                <w:color w:val="000000" w:themeColor="text1"/>
                <w:sz w:val="18"/>
                <w:szCs w:val="18"/>
              </w:rPr>
              <w:t>PMA</w:t>
            </w:r>
          </w:p>
        </w:tc>
        <w:tc>
          <w:tcPr>
            <w:tcW w:w="6071" w:type="dxa"/>
            <w:noWrap/>
            <w:hideMark/>
          </w:tcPr>
          <w:p w14:paraId="0FA32B3A" w14:textId="77777777" w:rsidR="00000448" w:rsidRPr="00C97D57" w:rsidRDefault="6FF4D273" w:rsidP="00000448">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4D27054C">
              <w:rPr>
                <w:color w:val="000000" w:themeColor="text1"/>
                <w:sz w:val="18"/>
                <w:szCs w:val="18"/>
              </w:rPr>
              <w:t xml:space="preserve">Palestinian Monetary Authority </w:t>
            </w:r>
          </w:p>
        </w:tc>
      </w:tr>
      <w:tr w:rsidR="00000448" w:rsidRPr="00000448" w14:paraId="61AB6CE4" w14:textId="77777777" w:rsidTr="000B3B41">
        <w:trPr>
          <w:trHeight w:val="30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3D9C9AA" w14:textId="22561AA1" w:rsidR="00000448" w:rsidRPr="00C97D57" w:rsidRDefault="4078D60E" w:rsidP="00000448">
            <w:pPr>
              <w:rPr>
                <w:color w:val="000000" w:themeColor="text1"/>
                <w:sz w:val="18"/>
                <w:szCs w:val="18"/>
              </w:rPr>
            </w:pPr>
            <w:r w:rsidRPr="5DC39AF9">
              <w:rPr>
                <w:color w:val="000000" w:themeColor="text1"/>
                <w:sz w:val="18"/>
                <w:szCs w:val="18"/>
              </w:rPr>
              <w:t>PMF</w:t>
            </w:r>
            <w:r w:rsidR="19EA9C5F" w:rsidRPr="5DC39AF9">
              <w:rPr>
                <w:color w:val="000000" w:themeColor="text1"/>
                <w:sz w:val="18"/>
                <w:szCs w:val="18"/>
              </w:rPr>
              <w:t xml:space="preserve">              </w:t>
            </w:r>
          </w:p>
        </w:tc>
        <w:tc>
          <w:tcPr>
            <w:tcW w:w="6071" w:type="dxa"/>
            <w:noWrap/>
            <w:hideMark/>
          </w:tcPr>
          <w:p w14:paraId="051A6BEF" w14:textId="6AB10A95" w:rsidR="00000448" w:rsidRPr="00C97D57" w:rsidRDefault="174A5987" w:rsidP="4D27054C">
            <w:pP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4D27054C">
              <w:rPr>
                <w:color w:val="000000" w:themeColor="text1"/>
                <w:sz w:val="18"/>
                <w:szCs w:val="18"/>
              </w:rPr>
              <w:t>Performance Management Framework</w:t>
            </w:r>
            <w:r w:rsidR="2E01A284" w:rsidRPr="4D27054C">
              <w:rPr>
                <w:color w:val="000000" w:themeColor="text1"/>
                <w:sz w:val="18"/>
                <w:szCs w:val="18"/>
              </w:rPr>
              <w:t xml:space="preserve"> </w:t>
            </w:r>
          </w:p>
        </w:tc>
      </w:tr>
      <w:tr w:rsidR="00000448" w:rsidRPr="00000448" w14:paraId="3EB96E0F"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87D4218" w14:textId="603DF094" w:rsidR="00000448" w:rsidRPr="00000448" w:rsidRDefault="6FF4D273" w:rsidP="4D27054C">
            <w:pPr>
              <w:rPr>
                <w:color w:val="000000"/>
                <w:sz w:val="18"/>
                <w:szCs w:val="18"/>
              </w:rPr>
            </w:pPr>
            <w:r w:rsidRPr="4D27054C">
              <w:rPr>
                <w:color w:val="000000" w:themeColor="text1"/>
                <w:sz w:val="18"/>
                <w:szCs w:val="18"/>
              </w:rPr>
              <w:t xml:space="preserve">RES     </w:t>
            </w:r>
          </w:p>
        </w:tc>
        <w:tc>
          <w:tcPr>
            <w:tcW w:w="6071" w:type="dxa"/>
            <w:noWrap/>
            <w:hideMark/>
          </w:tcPr>
          <w:p w14:paraId="485D4F56" w14:textId="0A59B70B" w:rsidR="00000448" w:rsidRPr="00000448" w:rsidRDefault="6FF4D273"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4D27054C">
              <w:rPr>
                <w:color w:val="000000" w:themeColor="text1"/>
                <w:sz w:val="18"/>
                <w:szCs w:val="18"/>
              </w:rPr>
              <w:t>Regional Evaluation Specialist</w:t>
            </w:r>
          </w:p>
        </w:tc>
      </w:tr>
      <w:tr w:rsidR="4D27054C" w14:paraId="12643587" w14:textId="77777777" w:rsidTr="000B3B41">
        <w:trPr>
          <w:trHeight w:val="30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21C7683" w14:textId="6C98DD86" w:rsidR="6FF4D273" w:rsidRDefault="6FF4D273" w:rsidP="4D27054C">
            <w:pPr>
              <w:rPr>
                <w:color w:val="000000" w:themeColor="text1"/>
              </w:rPr>
            </w:pPr>
            <w:r w:rsidRPr="4D27054C">
              <w:rPr>
                <w:color w:val="000000" w:themeColor="text1"/>
                <w:sz w:val="18"/>
                <w:szCs w:val="18"/>
              </w:rPr>
              <w:t xml:space="preserve">RBM       </w:t>
            </w:r>
          </w:p>
        </w:tc>
        <w:tc>
          <w:tcPr>
            <w:tcW w:w="6071" w:type="dxa"/>
            <w:noWrap/>
            <w:hideMark/>
          </w:tcPr>
          <w:p w14:paraId="6B2F6156" w14:textId="1A350F94" w:rsidR="6FF4D273" w:rsidRDefault="6FF4D273" w:rsidP="4D27054C">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4D27054C">
              <w:rPr>
                <w:color w:val="000000" w:themeColor="text1"/>
                <w:sz w:val="18"/>
                <w:szCs w:val="18"/>
              </w:rPr>
              <w:t>Results based management</w:t>
            </w:r>
          </w:p>
        </w:tc>
      </w:tr>
      <w:tr w:rsidR="00000448" w:rsidRPr="00000448" w14:paraId="739F5E88"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AC00ACA" w14:textId="77777777" w:rsidR="00000448" w:rsidRPr="00000448" w:rsidRDefault="00000448" w:rsidP="00000448">
            <w:pPr>
              <w:rPr>
                <w:color w:val="000000"/>
                <w:sz w:val="18"/>
                <w:szCs w:val="18"/>
              </w:rPr>
            </w:pPr>
            <w:r w:rsidRPr="00000448">
              <w:rPr>
                <w:color w:val="000000"/>
                <w:sz w:val="18"/>
                <w:szCs w:val="18"/>
              </w:rPr>
              <w:t xml:space="preserve">SDGs </w:t>
            </w:r>
          </w:p>
        </w:tc>
        <w:tc>
          <w:tcPr>
            <w:tcW w:w="6071" w:type="dxa"/>
            <w:noWrap/>
            <w:hideMark/>
          </w:tcPr>
          <w:p w14:paraId="646AE350"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Sustainable Development Goals </w:t>
            </w:r>
          </w:p>
        </w:tc>
      </w:tr>
      <w:tr w:rsidR="00000448" w:rsidRPr="00000448" w14:paraId="72B8C620"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3FA8BE1" w14:textId="6CCE1AD4" w:rsidR="00000448" w:rsidRPr="00000448" w:rsidRDefault="6FF4D273" w:rsidP="00000448">
            <w:pPr>
              <w:rPr>
                <w:color w:val="000000"/>
                <w:sz w:val="18"/>
                <w:szCs w:val="18"/>
              </w:rPr>
            </w:pPr>
            <w:r w:rsidRPr="4D27054C">
              <w:rPr>
                <w:color w:val="000000" w:themeColor="text1"/>
                <w:sz w:val="18"/>
                <w:szCs w:val="18"/>
              </w:rPr>
              <w:t xml:space="preserve">SIDA          </w:t>
            </w:r>
          </w:p>
        </w:tc>
        <w:tc>
          <w:tcPr>
            <w:tcW w:w="6071" w:type="dxa"/>
            <w:noWrap/>
            <w:hideMark/>
          </w:tcPr>
          <w:p w14:paraId="7DD515F8"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Swedish International Development Cooperation Agency</w:t>
            </w:r>
          </w:p>
        </w:tc>
      </w:tr>
      <w:tr w:rsidR="00000448" w:rsidRPr="00000448" w14:paraId="0B3EA9C0"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5959D5B" w14:textId="77777777" w:rsidR="00000448" w:rsidRPr="00000448" w:rsidRDefault="00000448" w:rsidP="00000448">
            <w:pPr>
              <w:rPr>
                <w:color w:val="000000"/>
                <w:sz w:val="18"/>
                <w:szCs w:val="18"/>
              </w:rPr>
            </w:pPr>
            <w:r w:rsidRPr="00000448">
              <w:rPr>
                <w:color w:val="000000"/>
                <w:sz w:val="18"/>
                <w:szCs w:val="18"/>
              </w:rPr>
              <w:t>TM</w:t>
            </w:r>
          </w:p>
        </w:tc>
        <w:tc>
          <w:tcPr>
            <w:tcW w:w="6071" w:type="dxa"/>
            <w:noWrap/>
            <w:hideMark/>
          </w:tcPr>
          <w:p w14:paraId="47C27CE8"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Task Manager</w:t>
            </w:r>
          </w:p>
        </w:tc>
      </w:tr>
      <w:tr w:rsidR="00000448" w:rsidRPr="00000448" w14:paraId="1E5E3532"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E02D994" w14:textId="582BC248" w:rsidR="00000448" w:rsidRPr="00000448" w:rsidRDefault="6FF4D273" w:rsidP="00000448">
            <w:pPr>
              <w:rPr>
                <w:color w:val="000000"/>
                <w:sz w:val="18"/>
                <w:szCs w:val="18"/>
              </w:rPr>
            </w:pPr>
            <w:r w:rsidRPr="4D27054C">
              <w:rPr>
                <w:color w:val="000000" w:themeColor="text1"/>
                <w:sz w:val="18"/>
                <w:szCs w:val="18"/>
              </w:rPr>
              <w:t xml:space="preserve">ToC            </w:t>
            </w:r>
          </w:p>
        </w:tc>
        <w:tc>
          <w:tcPr>
            <w:tcW w:w="6071" w:type="dxa"/>
            <w:noWrap/>
            <w:hideMark/>
          </w:tcPr>
          <w:p w14:paraId="4E61F0C3"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Theory of Change </w:t>
            </w:r>
          </w:p>
        </w:tc>
      </w:tr>
      <w:tr w:rsidR="00000448" w:rsidRPr="00000448" w14:paraId="5DDE1480"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F2B762A" w14:textId="2082FD01" w:rsidR="00000448" w:rsidRPr="00000448" w:rsidRDefault="6FF4D273" w:rsidP="00000448">
            <w:pPr>
              <w:rPr>
                <w:color w:val="000000"/>
                <w:sz w:val="18"/>
                <w:szCs w:val="18"/>
              </w:rPr>
            </w:pPr>
            <w:r w:rsidRPr="4D27054C">
              <w:rPr>
                <w:color w:val="000000" w:themeColor="text1"/>
                <w:sz w:val="18"/>
                <w:szCs w:val="18"/>
              </w:rPr>
              <w:t xml:space="preserve">TfGE             </w:t>
            </w:r>
          </w:p>
        </w:tc>
        <w:tc>
          <w:tcPr>
            <w:tcW w:w="6071" w:type="dxa"/>
            <w:noWrap/>
            <w:hideMark/>
          </w:tcPr>
          <w:p w14:paraId="6160E92C"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Training for Gender Equality </w:t>
            </w:r>
          </w:p>
        </w:tc>
      </w:tr>
      <w:tr w:rsidR="00000448" w:rsidRPr="00000448" w14:paraId="7B03CF6F"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BC55256" w14:textId="77777777" w:rsidR="00000448" w:rsidRPr="00000448" w:rsidRDefault="00000448" w:rsidP="00000448">
            <w:pPr>
              <w:rPr>
                <w:color w:val="000000"/>
                <w:sz w:val="18"/>
                <w:szCs w:val="18"/>
              </w:rPr>
            </w:pPr>
            <w:r w:rsidRPr="00000448">
              <w:rPr>
                <w:color w:val="000000"/>
                <w:sz w:val="18"/>
                <w:szCs w:val="18"/>
              </w:rPr>
              <w:t xml:space="preserve">UN </w:t>
            </w:r>
          </w:p>
        </w:tc>
        <w:tc>
          <w:tcPr>
            <w:tcW w:w="6071" w:type="dxa"/>
            <w:noWrap/>
            <w:hideMark/>
          </w:tcPr>
          <w:p w14:paraId="4BF46CEE"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United Nations </w:t>
            </w:r>
          </w:p>
        </w:tc>
      </w:tr>
      <w:tr w:rsidR="00000448" w:rsidRPr="00000448" w14:paraId="612A6E10"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C39C185" w14:textId="77777777" w:rsidR="00000448" w:rsidRPr="00000448" w:rsidRDefault="00000448" w:rsidP="00000448">
            <w:pPr>
              <w:rPr>
                <w:color w:val="000000"/>
                <w:sz w:val="18"/>
                <w:szCs w:val="18"/>
              </w:rPr>
            </w:pPr>
            <w:r w:rsidRPr="00000448">
              <w:rPr>
                <w:color w:val="000000"/>
                <w:sz w:val="18"/>
                <w:szCs w:val="18"/>
              </w:rPr>
              <w:t xml:space="preserve">UNDAF </w:t>
            </w:r>
          </w:p>
        </w:tc>
        <w:tc>
          <w:tcPr>
            <w:tcW w:w="6071" w:type="dxa"/>
            <w:noWrap/>
            <w:hideMark/>
          </w:tcPr>
          <w:p w14:paraId="2EC1F03F"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United Nations Development Assistance Framework</w:t>
            </w:r>
          </w:p>
        </w:tc>
      </w:tr>
      <w:tr w:rsidR="00000448" w:rsidRPr="00000448" w14:paraId="1DCFFEF8"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3CD3919" w14:textId="77777777" w:rsidR="00000448" w:rsidRPr="00000448" w:rsidRDefault="00000448" w:rsidP="00000448">
            <w:pPr>
              <w:rPr>
                <w:color w:val="000000"/>
                <w:sz w:val="18"/>
                <w:szCs w:val="18"/>
              </w:rPr>
            </w:pPr>
            <w:r w:rsidRPr="00000448">
              <w:rPr>
                <w:color w:val="000000"/>
                <w:sz w:val="18"/>
                <w:szCs w:val="18"/>
              </w:rPr>
              <w:t>UN Women</w:t>
            </w:r>
          </w:p>
        </w:tc>
        <w:tc>
          <w:tcPr>
            <w:tcW w:w="6071" w:type="dxa"/>
            <w:noWrap/>
            <w:hideMark/>
          </w:tcPr>
          <w:p w14:paraId="63145364"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United Nations Entity for Gender Equality and the Empowerment of Women</w:t>
            </w:r>
          </w:p>
        </w:tc>
      </w:tr>
      <w:tr w:rsidR="00000448" w:rsidRPr="00000448" w14:paraId="669F4A4E" w14:textId="77777777" w:rsidTr="000B3B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F752930" w14:textId="0619C7AD" w:rsidR="00000448" w:rsidRPr="00000448" w:rsidRDefault="6FF4D273" w:rsidP="00000448">
            <w:pPr>
              <w:rPr>
                <w:color w:val="000000"/>
                <w:sz w:val="18"/>
                <w:szCs w:val="18"/>
              </w:rPr>
            </w:pPr>
            <w:r w:rsidRPr="4D27054C">
              <w:rPr>
                <w:color w:val="000000" w:themeColor="text1"/>
                <w:sz w:val="18"/>
                <w:szCs w:val="18"/>
              </w:rPr>
              <w:t xml:space="preserve">UNHCR       </w:t>
            </w:r>
          </w:p>
        </w:tc>
        <w:tc>
          <w:tcPr>
            <w:tcW w:w="6071" w:type="dxa"/>
            <w:noWrap/>
            <w:hideMark/>
          </w:tcPr>
          <w:p w14:paraId="5CBA0003"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 xml:space="preserve">United Nations High Commissioner for Refugees </w:t>
            </w:r>
          </w:p>
        </w:tc>
      </w:tr>
      <w:tr w:rsidR="00000448" w:rsidRPr="00000448" w14:paraId="681EB526"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7F27CAA" w14:textId="1D14381A" w:rsidR="00000448" w:rsidRPr="00000448" w:rsidRDefault="6FF4D273" w:rsidP="00000448">
            <w:pPr>
              <w:rPr>
                <w:color w:val="000000"/>
                <w:sz w:val="18"/>
                <w:szCs w:val="18"/>
              </w:rPr>
            </w:pPr>
            <w:r w:rsidRPr="4D27054C">
              <w:rPr>
                <w:color w:val="000000" w:themeColor="text1"/>
                <w:sz w:val="18"/>
                <w:szCs w:val="18"/>
              </w:rPr>
              <w:t xml:space="preserve"> UfM             </w:t>
            </w:r>
          </w:p>
        </w:tc>
        <w:tc>
          <w:tcPr>
            <w:tcW w:w="6071" w:type="dxa"/>
            <w:noWrap/>
            <w:hideMark/>
          </w:tcPr>
          <w:p w14:paraId="7CA52F90"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 Union for the Mediterranean </w:t>
            </w:r>
          </w:p>
        </w:tc>
      </w:tr>
      <w:tr w:rsidR="00000448" w:rsidRPr="00000448" w14:paraId="59F90FF9"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D186D29" w14:textId="77777777" w:rsidR="00000448" w:rsidRPr="00000448" w:rsidRDefault="00000448" w:rsidP="00000448">
            <w:pPr>
              <w:rPr>
                <w:color w:val="000000"/>
                <w:sz w:val="18"/>
                <w:szCs w:val="18"/>
              </w:rPr>
            </w:pPr>
            <w:r w:rsidRPr="00000448">
              <w:rPr>
                <w:color w:val="000000"/>
                <w:sz w:val="18"/>
                <w:szCs w:val="18"/>
              </w:rPr>
              <w:t>WBGS</w:t>
            </w:r>
          </w:p>
        </w:tc>
        <w:tc>
          <w:tcPr>
            <w:tcW w:w="6071" w:type="dxa"/>
            <w:noWrap/>
            <w:hideMark/>
          </w:tcPr>
          <w:p w14:paraId="2D20AF7D"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West Bank &amp; Gaza Strip</w:t>
            </w:r>
          </w:p>
        </w:tc>
      </w:tr>
      <w:tr w:rsidR="00000448" w:rsidRPr="00000448" w14:paraId="3FA78327"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2E69AD3" w14:textId="77777777" w:rsidR="00000448" w:rsidRPr="00000448" w:rsidRDefault="00000448" w:rsidP="00000448">
            <w:pPr>
              <w:rPr>
                <w:color w:val="000000"/>
                <w:sz w:val="18"/>
                <w:szCs w:val="18"/>
              </w:rPr>
            </w:pPr>
            <w:r w:rsidRPr="00000448">
              <w:rPr>
                <w:color w:val="000000"/>
                <w:sz w:val="18"/>
                <w:szCs w:val="18"/>
              </w:rPr>
              <w:t>WB</w:t>
            </w:r>
          </w:p>
        </w:tc>
        <w:tc>
          <w:tcPr>
            <w:tcW w:w="6071" w:type="dxa"/>
            <w:noWrap/>
            <w:hideMark/>
          </w:tcPr>
          <w:p w14:paraId="23CE628D"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West Bank</w:t>
            </w:r>
          </w:p>
        </w:tc>
      </w:tr>
      <w:tr w:rsidR="00000448" w:rsidRPr="00000448" w14:paraId="08D8C475" w14:textId="77777777" w:rsidTr="000B3B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85F5765" w14:textId="301E488A" w:rsidR="00000448" w:rsidRPr="00000448" w:rsidRDefault="6FF4D273" w:rsidP="00000448">
            <w:pPr>
              <w:rPr>
                <w:color w:val="000000"/>
                <w:sz w:val="18"/>
                <w:szCs w:val="18"/>
              </w:rPr>
            </w:pPr>
            <w:r w:rsidRPr="4D27054C">
              <w:rPr>
                <w:color w:val="000000" w:themeColor="text1"/>
                <w:sz w:val="18"/>
                <w:szCs w:val="18"/>
              </w:rPr>
              <w:t xml:space="preserve">WEF             </w:t>
            </w:r>
          </w:p>
        </w:tc>
        <w:tc>
          <w:tcPr>
            <w:tcW w:w="6071" w:type="dxa"/>
            <w:noWrap/>
            <w:hideMark/>
          </w:tcPr>
          <w:p w14:paraId="1CA88A92" w14:textId="77777777" w:rsidR="00000448" w:rsidRPr="00000448" w:rsidRDefault="00000448" w:rsidP="00000448">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000448">
              <w:rPr>
                <w:color w:val="000000"/>
                <w:sz w:val="18"/>
                <w:szCs w:val="18"/>
              </w:rPr>
              <w:t>World Economic Forum</w:t>
            </w:r>
          </w:p>
        </w:tc>
      </w:tr>
      <w:tr w:rsidR="00000448" w:rsidRPr="00000448" w14:paraId="553E31F7" w14:textId="77777777" w:rsidTr="000B3B41">
        <w:trPr>
          <w:trHeight w:val="320"/>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7EF55F91" w14:textId="76F639E1" w:rsidR="00000448" w:rsidRPr="00000448" w:rsidRDefault="6FF4D273" w:rsidP="00000448">
            <w:pPr>
              <w:rPr>
                <w:color w:val="000000"/>
                <w:sz w:val="18"/>
                <w:szCs w:val="18"/>
              </w:rPr>
            </w:pPr>
            <w:r w:rsidRPr="4D27054C">
              <w:rPr>
                <w:color w:val="000000" w:themeColor="text1"/>
                <w:sz w:val="18"/>
                <w:szCs w:val="18"/>
              </w:rPr>
              <w:t xml:space="preserve">WEPs            </w:t>
            </w:r>
          </w:p>
        </w:tc>
        <w:tc>
          <w:tcPr>
            <w:tcW w:w="6071" w:type="dxa"/>
            <w:noWrap/>
            <w:hideMark/>
          </w:tcPr>
          <w:p w14:paraId="26603E2E" w14:textId="77777777" w:rsidR="00000448" w:rsidRPr="00000448" w:rsidRDefault="00000448" w:rsidP="00000448">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000448">
              <w:rPr>
                <w:color w:val="000000"/>
                <w:sz w:val="18"/>
                <w:szCs w:val="18"/>
              </w:rPr>
              <w:t xml:space="preserve">Women’s Empowerment Principles </w:t>
            </w:r>
          </w:p>
        </w:tc>
      </w:tr>
    </w:tbl>
    <w:p w14:paraId="3E82CDC9" w14:textId="28B5D16F" w:rsidR="00296021" w:rsidRDefault="00296021" w:rsidP="4D27054C">
      <w:pPr>
        <w:rPr>
          <w:color w:val="2F5496" w:themeColor="accent1" w:themeShade="BF"/>
        </w:rPr>
      </w:pPr>
    </w:p>
    <w:p w14:paraId="74AE4AB1" w14:textId="77777777" w:rsidR="00296021" w:rsidRDefault="00296021" w:rsidP="00296021">
      <w:pPr>
        <w:rPr>
          <w:b/>
          <w:bCs/>
          <w:sz w:val="16"/>
          <w:szCs w:val="16"/>
        </w:rPr>
      </w:pPr>
    </w:p>
    <w:p w14:paraId="4ED62537" w14:textId="4376E3AC" w:rsidR="5DC39AF9" w:rsidRDefault="5DC39AF9"/>
    <w:p w14:paraId="1CCCECD5" w14:textId="3CA0449D" w:rsidR="5DC39AF9" w:rsidRDefault="5DC39AF9" w:rsidP="5DC39AF9"/>
    <w:p w14:paraId="3AC2929A" w14:textId="08B3D478" w:rsidR="5DC39AF9" w:rsidRDefault="5DC39AF9" w:rsidP="5DC39AF9"/>
    <w:tbl>
      <w:tblPr>
        <w:tblStyle w:val="PlainTable4"/>
        <w:tblW w:w="0" w:type="auto"/>
        <w:tblLayout w:type="fixed"/>
        <w:tblLook w:val="06A0" w:firstRow="1" w:lastRow="0" w:firstColumn="1" w:lastColumn="0" w:noHBand="1" w:noVBand="1"/>
      </w:tblPr>
      <w:tblGrid>
        <w:gridCol w:w="4976"/>
        <w:gridCol w:w="4354"/>
      </w:tblGrid>
      <w:tr w:rsidR="4D27054C" w14:paraId="43AB4F50" w14:textId="77777777" w:rsidTr="5DC39AF9">
        <w:trPr>
          <w:cnfStyle w:val="100000000000" w:firstRow="1" w:lastRow="0" w:firstColumn="0" w:lastColumn="0" w:oddVBand="0" w:evenVBand="0" w:oddHBand="0" w:evenHBand="0" w:firstRowFirstColumn="0" w:firstRowLastColumn="0" w:lastRowFirstColumn="0" w:lastRowLastColumn="0"/>
          <w:trHeight w:val="2411"/>
        </w:trPr>
        <w:tc>
          <w:tcPr>
            <w:cnfStyle w:val="001000000000" w:firstRow="0" w:lastRow="0" w:firstColumn="1" w:lastColumn="0" w:oddVBand="0" w:evenVBand="0" w:oddHBand="0" w:evenHBand="0" w:firstRowFirstColumn="0" w:firstRowLastColumn="0" w:lastRowFirstColumn="0" w:lastRowLastColumn="0"/>
            <w:tcW w:w="4976" w:type="dxa"/>
          </w:tcPr>
          <w:p w14:paraId="6D56EC37" w14:textId="035FD93E" w:rsidR="4D27054C" w:rsidRDefault="4D27054C" w:rsidP="4D27054C">
            <w:pPr>
              <w:rPr>
                <w:sz w:val="16"/>
                <w:szCs w:val="16"/>
              </w:rPr>
            </w:pPr>
            <w:r w:rsidRPr="4D27054C">
              <w:rPr>
                <w:sz w:val="16"/>
                <w:szCs w:val="16"/>
              </w:rPr>
              <w:lastRenderedPageBreak/>
              <w:t xml:space="preserve">List of Tables  </w:t>
            </w:r>
          </w:p>
          <w:p w14:paraId="3FE41EB7" w14:textId="1370B9B7" w:rsidR="4D27054C" w:rsidRDefault="4D27054C" w:rsidP="4D27054C">
            <w:pPr>
              <w:rPr>
                <w:b w:val="0"/>
                <w:bCs w:val="0"/>
                <w:sz w:val="16"/>
                <w:szCs w:val="16"/>
              </w:rPr>
            </w:pPr>
            <w:r w:rsidRPr="4D27054C">
              <w:rPr>
                <w:b w:val="0"/>
                <w:bCs w:val="0"/>
                <w:sz w:val="16"/>
                <w:szCs w:val="16"/>
              </w:rPr>
              <w:t xml:space="preserve">Table 1: JP resources and SIDA instalments (2019-2023)  </w:t>
            </w:r>
          </w:p>
          <w:p w14:paraId="27BD1464" w14:textId="1E4F92BD" w:rsidR="4D27054C" w:rsidRDefault="4D27054C" w:rsidP="4D27054C">
            <w:pPr>
              <w:rPr>
                <w:b w:val="0"/>
                <w:bCs w:val="0"/>
                <w:sz w:val="16"/>
                <w:szCs w:val="16"/>
              </w:rPr>
            </w:pPr>
            <w:r w:rsidRPr="4D27054C">
              <w:rPr>
                <w:b w:val="0"/>
                <w:bCs w:val="0"/>
                <w:sz w:val="16"/>
                <w:szCs w:val="16"/>
              </w:rPr>
              <w:t xml:space="preserve">Table 2: JP Outcomes and associated outputs  </w:t>
            </w:r>
          </w:p>
          <w:p w14:paraId="1D52E589" w14:textId="678143B1" w:rsidR="4D27054C" w:rsidRDefault="4D27054C" w:rsidP="4D27054C">
            <w:pPr>
              <w:rPr>
                <w:b w:val="0"/>
                <w:bCs w:val="0"/>
                <w:sz w:val="16"/>
                <w:szCs w:val="16"/>
              </w:rPr>
            </w:pPr>
            <w:r w:rsidRPr="4D27054C">
              <w:rPr>
                <w:b w:val="0"/>
                <w:bCs w:val="0"/>
                <w:sz w:val="16"/>
                <w:szCs w:val="16"/>
              </w:rPr>
              <w:t>Table 3: Key programmatic interventions</w:t>
            </w:r>
          </w:p>
          <w:p w14:paraId="269AE002" w14:textId="467FA638" w:rsidR="4D27054C" w:rsidRDefault="4D27054C" w:rsidP="5DC39AF9">
            <w:pPr>
              <w:rPr>
                <w:b w:val="0"/>
                <w:bCs w:val="0"/>
                <w:sz w:val="16"/>
                <w:szCs w:val="16"/>
              </w:rPr>
            </w:pPr>
            <w:r w:rsidRPr="5DC39AF9">
              <w:rPr>
                <w:b w:val="0"/>
                <w:bCs w:val="0"/>
                <w:sz w:val="16"/>
                <w:szCs w:val="16"/>
              </w:rPr>
              <w:t xml:space="preserve">Table 4: Key Evaluation Questions   </w:t>
            </w:r>
          </w:p>
          <w:p w14:paraId="71B10441" w14:textId="1EF01D78" w:rsidR="4D27054C" w:rsidRDefault="4D27054C" w:rsidP="4D27054C">
            <w:pPr>
              <w:jc w:val="both"/>
              <w:rPr>
                <w:b w:val="0"/>
                <w:bCs w:val="0"/>
                <w:sz w:val="16"/>
                <w:szCs w:val="16"/>
              </w:rPr>
            </w:pPr>
            <w:r w:rsidRPr="5DC39AF9">
              <w:rPr>
                <w:b w:val="0"/>
                <w:bCs w:val="0"/>
                <w:sz w:val="16"/>
                <w:szCs w:val="16"/>
              </w:rPr>
              <w:t xml:space="preserve">Table 5: List of identified Bellwethers </w:t>
            </w:r>
          </w:p>
          <w:p w14:paraId="14B84FF5" w14:textId="66CB112F" w:rsidR="4D27054C" w:rsidRDefault="4D27054C" w:rsidP="5DC39AF9">
            <w:pPr>
              <w:rPr>
                <w:b w:val="0"/>
                <w:bCs w:val="0"/>
                <w:i/>
                <w:iCs/>
                <w:sz w:val="16"/>
                <w:szCs w:val="16"/>
              </w:rPr>
            </w:pPr>
            <w:r w:rsidRPr="5DC39AF9">
              <w:rPr>
                <w:b w:val="0"/>
                <w:bCs w:val="0"/>
                <w:sz w:val="16"/>
                <w:szCs w:val="16"/>
                <w:lang w:val="en-CA"/>
              </w:rPr>
              <w:t>Table 6</w:t>
            </w:r>
            <w:r w:rsidRPr="5DC39AF9">
              <w:rPr>
                <w:b w:val="0"/>
                <w:bCs w:val="0"/>
                <w:sz w:val="16"/>
                <w:szCs w:val="16"/>
              </w:rPr>
              <w:t xml:space="preserve">: Framework for analysing JP’s contribution to policy and legal reform </w:t>
            </w:r>
            <w:r w:rsidRPr="5DC39AF9">
              <w:rPr>
                <w:b w:val="0"/>
                <w:bCs w:val="0"/>
                <w:i/>
                <w:iCs/>
                <w:sz w:val="16"/>
                <w:szCs w:val="16"/>
              </w:rPr>
              <w:t xml:space="preserve"> </w:t>
            </w:r>
          </w:p>
          <w:p w14:paraId="57432125" w14:textId="50FF80A5" w:rsidR="4D27054C" w:rsidRDefault="4D27054C" w:rsidP="4D27054C">
            <w:pPr>
              <w:rPr>
                <w:b w:val="0"/>
                <w:bCs w:val="0"/>
                <w:sz w:val="16"/>
                <w:szCs w:val="16"/>
              </w:rPr>
            </w:pPr>
            <w:r w:rsidRPr="5DC39AF9">
              <w:rPr>
                <w:b w:val="0"/>
                <w:bCs w:val="0"/>
                <w:sz w:val="16"/>
                <w:szCs w:val="16"/>
              </w:rPr>
              <w:t xml:space="preserve">Table 7: Data collection sample </w:t>
            </w:r>
          </w:p>
          <w:p w14:paraId="56E08644" w14:textId="266B9FA1" w:rsidR="4D27054C" w:rsidRDefault="4D27054C" w:rsidP="4D27054C">
            <w:pPr>
              <w:rPr>
                <w:b w:val="0"/>
                <w:bCs w:val="0"/>
                <w:sz w:val="16"/>
                <w:szCs w:val="16"/>
              </w:rPr>
            </w:pPr>
            <w:r w:rsidRPr="5DC39AF9">
              <w:rPr>
                <w:b w:val="0"/>
                <w:bCs w:val="0"/>
                <w:sz w:val="16"/>
                <w:szCs w:val="16"/>
              </w:rPr>
              <w:t xml:space="preserve">Table 8: Evaluation timelines and deliverables  </w:t>
            </w:r>
          </w:p>
          <w:p w14:paraId="3634C4B1" w14:textId="4009A0DF" w:rsidR="4D27054C" w:rsidRDefault="4D27054C" w:rsidP="4D27054C">
            <w:pPr>
              <w:rPr>
                <w:sz w:val="20"/>
                <w:szCs w:val="20"/>
              </w:rPr>
            </w:pPr>
            <w:r w:rsidRPr="5DC39AF9">
              <w:rPr>
                <w:b w:val="0"/>
                <w:bCs w:val="0"/>
                <w:sz w:val="16"/>
                <w:szCs w:val="16"/>
              </w:rPr>
              <w:t xml:space="preserve">Table 9: Evaluation risks and mitigation measures </w:t>
            </w:r>
            <w:r w:rsidRPr="5DC39AF9">
              <w:rPr>
                <w:sz w:val="20"/>
                <w:szCs w:val="20"/>
              </w:rPr>
              <w:t xml:space="preserve"> </w:t>
            </w:r>
          </w:p>
          <w:p w14:paraId="7F8FDC38" w14:textId="458D2343" w:rsidR="4D27054C" w:rsidRDefault="4D27054C">
            <w:r w:rsidRPr="4D27054C">
              <w:rPr>
                <w:rFonts w:ascii="Segoe UI" w:eastAsia="Segoe UI" w:hAnsi="Segoe UI" w:cs="Segoe UI"/>
                <w:sz w:val="18"/>
                <w:szCs w:val="18"/>
              </w:rPr>
              <w:t xml:space="preserve"> </w:t>
            </w:r>
          </w:p>
        </w:tc>
        <w:tc>
          <w:tcPr>
            <w:tcW w:w="4354" w:type="dxa"/>
          </w:tcPr>
          <w:p w14:paraId="1C4E8332" w14:textId="6ED459C1" w:rsidR="4D27054C" w:rsidRDefault="4D27054C">
            <w:pPr>
              <w:cnfStyle w:val="100000000000" w:firstRow="1" w:lastRow="0" w:firstColumn="0" w:lastColumn="0" w:oddVBand="0" w:evenVBand="0" w:oddHBand="0" w:evenHBand="0" w:firstRowFirstColumn="0" w:firstRowLastColumn="0" w:lastRowFirstColumn="0" w:lastRowLastColumn="0"/>
            </w:pPr>
            <w:r w:rsidRPr="4D27054C">
              <w:rPr>
                <w:sz w:val="16"/>
                <w:szCs w:val="16"/>
              </w:rPr>
              <w:t xml:space="preserve">List of figures  </w:t>
            </w:r>
          </w:p>
          <w:p w14:paraId="2C6B3AAC" w14:textId="00A6F848" w:rsidR="4D27054C" w:rsidRDefault="4D27054C" w:rsidP="4D27054C">
            <w:pPr>
              <w:jc w:val="both"/>
              <w:cnfStyle w:val="100000000000" w:firstRow="1" w:lastRow="0" w:firstColumn="0" w:lastColumn="0" w:oddVBand="0" w:evenVBand="0" w:oddHBand="0" w:evenHBand="0" w:firstRowFirstColumn="0" w:firstRowLastColumn="0" w:lastRowFirstColumn="0" w:lastRowLastColumn="0"/>
              <w:rPr>
                <w:sz w:val="16"/>
                <w:szCs w:val="16"/>
              </w:rPr>
            </w:pPr>
            <w:r w:rsidRPr="4D27054C">
              <w:rPr>
                <w:b w:val="0"/>
                <w:bCs w:val="0"/>
                <w:sz w:val="16"/>
                <w:szCs w:val="16"/>
              </w:rPr>
              <w:t xml:space="preserve">Figure 1: JP Programme management and implementation arrangement  </w:t>
            </w:r>
          </w:p>
          <w:p w14:paraId="4D6E0348" w14:textId="48678043" w:rsidR="4D27054C" w:rsidRDefault="4D27054C" w:rsidP="4D27054C">
            <w:pPr>
              <w:jc w:val="both"/>
              <w:cnfStyle w:val="100000000000" w:firstRow="1" w:lastRow="0" w:firstColumn="0" w:lastColumn="0" w:oddVBand="0" w:evenVBand="0" w:oddHBand="0" w:evenHBand="0" w:firstRowFirstColumn="0" w:firstRowLastColumn="0" w:lastRowFirstColumn="0" w:lastRowLastColumn="0"/>
              <w:rPr>
                <w:sz w:val="16"/>
                <w:szCs w:val="16"/>
              </w:rPr>
            </w:pPr>
            <w:r w:rsidRPr="4D27054C">
              <w:rPr>
                <w:b w:val="0"/>
                <w:bCs w:val="0"/>
                <w:sz w:val="16"/>
                <w:szCs w:val="16"/>
              </w:rPr>
              <w:t xml:space="preserve">Figure 2: Socio Ecological Framework </w:t>
            </w:r>
          </w:p>
          <w:p w14:paraId="52E0BD30" w14:textId="2BCFD3B6" w:rsidR="4D27054C" w:rsidRDefault="4D27054C" w:rsidP="4D27054C">
            <w:pPr>
              <w:cnfStyle w:val="100000000000" w:firstRow="1" w:lastRow="0" w:firstColumn="0" w:lastColumn="0" w:oddVBand="0" w:evenVBand="0" w:oddHBand="0" w:evenHBand="0" w:firstRowFirstColumn="0" w:firstRowLastColumn="0" w:lastRowFirstColumn="0" w:lastRowLastColumn="0"/>
              <w:rPr>
                <w:sz w:val="16"/>
                <w:szCs w:val="16"/>
              </w:rPr>
            </w:pPr>
            <w:r w:rsidRPr="4D27054C">
              <w:rPr>
                <w:b w:val="0"/>
                <w:bCs w:val="0"/>
                <w:sz w:val="16"/>
                <w:szCs w:val="16"/>
              </w:rPr>
              <w:t xml:space="preserve">Figure 3: Gender and Work Framework </w:t>
            </w:r>
          </w:p>
          <w:p w14:paraId="4D201C7D" w14:textId="08CE9A7E" w:rsidR="4D27054C" w:rsidRDefault="4D27054C">
            <w:pPr>
              <w:cnfStyle w:val="100000000000" w:firstRow="1" w:lastRow="0" w:firstColumn="0" w:lastColumn="0" w:oddVBand="0" w:evenVBand="0" w:oddHBand="0" w:evenHBand="0" w:firstRowFirstColumn="0" w:firstRowLastColumn="0" w:lastRowFirstColumn="0" w:lastRowLastColumn="0"/>
            </w:pPr>
            <w:r w:rsidRPr="4D27054C">
              <w:t xml:space="preserve"> </w:t>
            </w:r>
          </w:p>
          <w:p w14:paraId="32B9CBAB" w14:textId="75CC0ADA" w:rsidR="4D27054C" w:rsidRDefault="4D27054C">
            <w:pPr>
              <w:cnfStyle w:val="100000000000" w:firstRow="1" w:lastRow="0" w:firstColumn="0" w:lastColumn="0" w:oddVBand="0" w:evenVBand="0" w:oddHBand="0" w:evenHBand="0" w:firstRowFirstColumn="0" w:firstRowLastColumn="0" w:lastRowFirstColumn="0" w:lastRowLastColumn="0"/>
            </w:pPr>
            <w:r w:rsidRPr="4D27054C">
              <w:rPr>
                <w:sz w:val="16"/>
                <w:szCs w:val="16"/>
              </w:rPr>
              <w:t xml:space="preserve">  </w:t>
            </w:r>
          </w:p>
          <w:p w14:paraId="0B850319" w14:textId="32F142B4" w:rsidR="4D27054C" w:rsidRDefault="4D27054C">
            <w:pPr>
              <w:cnfStyle w:val="100000000000" w:firstRow="1" w:lastRow="0" w:firstColumn="0" w:lastColumn="0" w:oddVBand="0" w:evenVBand="0" w:oddHBand="0" w:evenHBand="0" w:firstRowFirstColumn="0" w:firstRowLastColumn="0" w:lastRowFirstColumn="0" w:lastRowLastColumn="0"/>
            </w:pPr>
            <w:r w:rsidRPr="4D27054C">
              <w:t xml:space="preserve"> </w:t>
            </w:r>
          </w:p>
          <w:p w14:paraId="127DD7EF" w14:textId="30C59C4E" w:rsidR="4D27054C" w:rsidRDefault="4D27054C" w:rsidP="4D27054C">
            <w:pPr>
              <w:cnfStyle w:val="100000000000" w:firstRow="1" w:lastRow="0" w:firstColumn="0" w:lastColumn="0" w:oddVBand="0" w:evenVBand="0" w:oddHBand="0" w:evenHBand="0" w:firstRowFirstColumn="0" w:firstRowLastColumn="0" w:lastRowFirstColumn="0" w:lastRowLastColumn="0"/>
              <w:rPr>
                <w:sz w:val="16"/>
                <w:szCs w:val="16"/>
              </w:rPr>
            </w:pPr>
          </w:p>
        </w:tc>
      </w:tr>
    </w:tbl>
    <w:p w14:paraId="567527A0" w14:textId="4923C523" w:rsidR="00296021" w:rsidRDefault="00296021" w:rsidP="4D27054C">
      <w:pPr>
        <w:rPr>
          <w:b/>
          <w:bCs/>
        </w:rPr>
      </w:pPr>
    </w:p>
    <w:p w14:paraId="69CA62F5" w14:textId="77777777" w:rsidR="00296021" w:rsidRDefault="00296021" w:rsidP="00296021">
      <w:pPr>
        <w:rPr>
          <w:b/>
          <w:bCs/>
          <w:sz w:val="16"/>
          <w:szCs w:val="16"/>
        </w:rPr>
      </w:pPr>
    </w:p>
    <w:p w14:paraId="73C064BF" w14:textId="77777777" w:rsidR="00296021" w:rsidRDefault="00296021" w:rsidP="00296021">
      <w:pPr>
        <w:rPr>
          <w:b/>
          <w:bCs/>
          <w:sz w:val="16"/>
          <w:szCs w:val="16"/>
        </w:rPr>
      </w:pPr>
    </w:p>
    <w:p w14:paraId="7D1956EF" w14:textId="391F281F" w:rsidR="00B32F7E" w:rsidRDefault="00B32F7E" w:rsidP="00296021"/>
    <w:p w14:paraId="7B530D8B" w14:textId="3C3B8E00" w:rsidR="00296021" w:rsidRDefault="00296021" w:rsidP="00296021"/>
    <w:p w14:paraId="53C35D42" w14:textId="08DD7CDB" w:rsidR="00296021" w:rsidRDefault="00296021" w:rsidP="00296021"/>
    <w:p w14:paraId="340B82CD" w14:textId="38A5B084" w:rsidR="00296021" w:rsidRDefault="00296021" w:rsidP="00296021"/>
    <w:p w14:paraId="47717AB7" w14:textId="677D9240" w:rsidR="00296021" w:rsidRDefault="00296021" w:rsidP="00296021"/>
    <w:p w14:paraId="57607DEF" w14:textId="2BCC2E1D" w:rsidR="00296021" w:rsidRDefault="00296021" w:rsidP="00296021"/>
    <w:p w14:paraId="5311E4C7" w14:textId="708282C0" w:rsidR="00296021" w:rsidRDefault="00296021" w:rsidP="00296021"/>
    <w:p w14:paraId="59DF057F" w14:textId="5BE2BBD1" w:rsidR="00296021" w:rsidRDefault="00296021" w:rsidP="00296021"/>
    <w:p w14:paraId="244C233C" w14:textId="17F07444" w:rsidR="00296021" w:rsidRDefault="00296021" w:rsidP="00296021"/>
    <w:p w14:paraId="7EA90268" w14:textId="34CE4858" w:rsidR="00296021" w:rsidRDefault="00296021" w:rsidP="00296021"/>
    <w:p w14:paraId="68BA157C" w14:textId="45D714C2" w:rsidR="00296021" w:rsidRDefault="00296021" w:rsidP="00296021"/>
    <w:p w14:paraId="674420BA" w14:textId="3BA87FFF" w:rsidR="00296021" w:rsidRDefault="00296021" w:rsidP="00296021"/>
    <w:p w14:paraId="4A434037" w14:textId="11034B03" w:rsidR="00296021" w:rsidRDefault="00296021" w:rsidP="00296021"/>
    <w:p w14:paraId="46615B13" w14:textId="1FEFCF75" w:rsidR="00296021" w:rsidRDefault="00296021" w:rsidP="00296021"/>
    <w:p w14:paraId="4DF67007" w14:textId="0234A30D" w:rsidR="00296021" w:rsidRDefault="00296021" w:rsidP="00296021"/>
    <w:p w14:paraId="21085BBD" w14:textId="5DEA9645" w:rsidR="003856CC" w:rsidRDefault="003856CC" w:rsidP="4D27054C"/>
    <w:p w14:paraId="5BB59032" w14:textId="1C8D70E7" w:rsidR="5DC39AF9" w:rsidRDefault="5DC39AF9" w:rsidP="5DC39AF9"/>
    <w:p w14:paraId="6A5FE279" w14:textId="542DF965" w:rsidR="5DC39AF9" w:rsidRDefault="5DC39AF9" w:rsidP="5DC39AF9"/>
    <w:p w14:paraId="43BAAD7A" w14:textId="57C68E88" w:rsidR="5DC39AF9" w:rsidRDefault="5DC39AF9" w:rsidP="5DC39AF9"/>
    <w:p w14:paraId="6C1A5193" w14:textId="458EDA50" w:rsidR="5DC39AF9" w:rsidRDefault="5DC39AF9" w:rsidP="5DC39AF9"/>
    <w:p w14:paraId="11D21997" w14:textId="293F6153" w:rsidR="5DC39AF9" w:rsidRDefault="5DC39AF9" w:rsidP="5DC39AF9"/>
    <w:p w14:paraId="474685DC" w14:textId="0F56426F" w:rsidR="5DC39AF9" w:rsidRDefault="5DC39AF9" w:rsidP="5DC39AF9"/>
    <w:p w14:paraId="49D9471F" w14:textId="2F4AAB0D" w:rsidR="5DC39AF9" w:rsidRDefault="5DC39AF9" w:rsidP="5DC39AF9"/>
    <w:p w14:paraId="3E3F7B76" w14:textId="3278127A" w:rsidR="5DC39AF9" w:rsidRDefault="5DC39AF9" w:rsidP="5DC39AF9"/>
    <w:p w14:paraId="531DF1E7" w14:textId="50BC85FD" w:rsidR="5DC39AF9" w:rsidRDefault="5DC39AF9" w:rsidP="5DC39AF9"/>
    <w:p w14:paraId="40198472" w14:textId="3E962750" w:rsidR="5DC39AF9" w:rsidRDefault="5DC39AF9" w:rsidP="5DC39AF9"/>
    <w:p w14:paraId="56C2341A" w14:textId="643A8C9A" w:rsidR="5DC39AF9" w:rsidRDefault="5DC39AF9" w:rsidP="5DC39AF9"/>
    <w:p w14:paraId="778008DA" w14:textId="0D6846A3" w:rsidR="5DC39AF9" w:rsidRDefault="5DC39AF9" w:rsidP="5DC39AF9"/>
    <w:p w14:paraId="34A322D5" w14:textId="321B136C" w:rsidR="5DC39AF9" w:rsidRDefault="5DC39AF9" w:rsidP="5DC39AF9"/>
    <w:p w14:paraId="4ABD9A7E" w14:textId="46E209A4" w:rsidR="5DC39AF9" w:rsidRDefault="5DC39AF9" w:rsidP="5DC39AF9"/>
    <w:p w14:paraId="34ED2835" w14:textId="170C384D" w:rsidR="5DC39AF9" w:rsidRDefault="5DC39AF9" w:rsidP="5DC39AF9"/>
    <w:p w14:paraId="6F443916" w14:textId="10768477" w:rsidR="5DC39AF9" w:rsidRDefault="5DC39AF9" w:rsidP="5DC39AF9"/>
    <w:p w14:paraId="54B3CCDF" w14:textId="10AF675F" w:rsidR="5DC39AF9" w:rsidRDefault="5DC39AF9" w:rsidP="5DC39AF9"/>
    <w:p w14:paraId="62A4ABB7" w14:textId="0D03CDF8" w:rsidR="5DC39AF9" w:rsidRDefault="5DC39AF9" w:rsidP="5DC39AF9"/>
    <w:p w14:paraId="1E5134F9" w14:textId="4E7CB3BE" w:rsidR="36364289" w:rsidRPr="0000756D" w:rsidRDefault="1548C4BD" w:rsidP="00B6312C">
      <w:pPr>
        <w:pStyle w:val="Heading1"/>
        <w:numPr>
          <w:ilvl w:val="0"/>
          <w:numId w:val="34"/>
        </w:numPr>
        <w:rPr>
          <w:rFonts w:ascii="Times New Roman" w:hAnsi="Times New Roman" w:cs="Times New Roman"/>
          <w:b/>
          <w:bCs/>
          <w:sz w:val="24"/>
          <w:szCs w:val="24"/>
        </w:rPr>
      </w:pPr>
      <w:bookmarkStart w:id="3" w:name="_Toc90825376"/>
      <w:bookmarkStart w:id="4" w:name="_Toc90825560"/>
      <w:bookmarkStart w:id="5" w:name="_Toc90825743"/>
      <w:bookmarkStart w:id="6" w:name="_Toc90825796"/>
      <w:bookmarkStart w:id="7" w:name="_Toc90825907"/>
      <w:bookmarkStart w:id="8" w:name="_Toc97453922"/>
      <w:r w:rsidRPr="5DC39AF9">
        <w:rPr>
          <w:rFonts w:ascii="Times New Roman" w:hAnsi="Times New Roman" w:cs="Times New Roman"/>
          <w:b/>
          <w:bCs/>
          <w:sz w:val="24"/>
          <w:szCs w:val="24"/>
        </w:rPr>
        <w:lastRenderedPageBreak/>
        <w:t>Background and context</w:t>
      </w:r>
      <w:bookmarkEnd w:id="3"/>
      <w:bookmarkEnd w:id="4"/>
      <w:bookmarkEnd w:id="5"/>
      <w:bookmarkEnd w:id="6"/>
      <w:bookmarkEnd w:id="7"/>
      <w:bookmarkEnd w:id="8"/>
      <w:r w:rsidRPr="5DC39AF9">
        <w:rPr>
          <w:rFonts w:ascii="Times New Roman" w:hAnsi="Times New Roman" w:cs="Times New Roman"/>
          <w:b/>
          <w:bCs/>
          <w:sz w:val="24"/>
          <w:szCs w:val="24"/>
        </w:rPr>
        <w:t xml:space="preserve">  </w:t>
      </w:r>
    </w:p>
    <w:p w14:paraId="7BF858DC" w14:textId="527A5745" w:rsidR="4D27054C" w:rsidRDefault="4D27054C" w:rsidP="4D27054C"/>
    <w:p w14:paraId="55DBE965" w14:textId="2A7D750C" w:rsidR="36364289" w:rsidRDefault="1548C4BD" w:rsidP="4D27054C">
      <w:pPr>
        <w:jc w:val="both"/>
        <w:rPr>
          <w:color w:val="000000" w:themeColor="text1"/>
        </w:rPr>
      </w:pPr>
      <w:r w:rsidRPr="4D27054C">
        <w:rPr>
          <w:color w:val="000000" w:themeColor="text1"/>
        </w:rPr>
        <w:t>Empowering women in the economy and closing the gender gaps at work are central to the 2030 Agenda for Sustainable Development committing to leaving no one behind. This is particularly reflected in Sustainable Development</w:t>
      </w:r>
      <w:r w:rsidR="4D27054C" w:rsidRPr="4D27054C">
        <w:rPr>
          <w:color w:val="000000" w:themeColor="text1"/>
        </w:rPr>
        <w:t xml:space="preserve"> Goal (</w:t>
      </w:r>
      <w:r w:rsidRPr="4D27054C">
        <w:rPr>
          <w:color w:val="000000" w:themeColor="text1"/>
        </w:rPr>
        <w:t xml:space="preserve">SDG) Goal 5, to achieve gender equality, and Goal 8, to promote full and productive employment and decent work for all; and reflects accordingly in other SDGs. </w:t>
      </w:r>
    </w:p>
    <w:p w14:paraId="1DFF18EB" w14:textId="77777777" w:rsidR="00455EC5" w:rsidRPr="006B44CD" w:rsidRDefault="00455EC5" w:rsidP="050676BD">
      <w:pPr>
        <w:jc w:val="both"/>
        <w:rPr>
          <w:color w:val="000000" w:themeColor="text1"/>
        </w:rPr>
      </w:pPr>
    </w:p>
    <w:p w14:paraId="3EC1C67C" w14:textId="12093259" w:rsidR="36364289" w:rsidRDefault="1548C4BD" w:rsidP="4D27054C">
      <w:pPr>
        <w:jc w:val="both"/>
        <w:rPr>
          <w:color w:val="000000" w:themeColor="text1"/>
        </w:rPr>
      </w:pPr>
      <w:r w:rsidRPr="4D27054C">
        <w:rPr>
          <w:color w:val="000000" w:themeColor="text1"/>
        </w:rPr>
        <w:t>Moreover, The Convention on the Elimination of all Forms of Discriminations Against Women (CEDAW), the Beijing Declaration and Platform for Action (1995), relevant outcomes of the Commission on the Status of Women (CSW), such as the resolution on women’s economic empowerment (resolution 54/4, in 2010) and the ILO Conventions such as the Equal Renumeration Convention, No. 100, 1951;</w:t>
      </w:r>
      <w:r w:rsidR="7B042C05" w:rsidRPr="4D27054C">
        <w:rPr>
          <w:color w:val="000000" w:themeColor="text1"/>
        </w:rPr>
        <w:t xml:space="preserve"> </w:t>
      </w:r>
      <w:r w:rsidRPr="4D27054C">
        <w:rPr>
          <w:color w:val="000000" w:themeColor="text1"/>
        </w:rPr>
        <w:t>the Discrimination (Employment and Occupation) Convention, No. 111, 1958; and the Violence and Harassment Convention No. 190, 2019, provides the necessary normative framework for strengthening women’s right to work without discrimination.</w:t>
      </w:r>
    </w:p>
    <w:p w14:paraId="45EE8619" w14:textId="77777777" w:rsidR="0000756D" w:rsidRPr="006B44CD" w:rsidRDefault="0000756D" w:rsidP="050676BD">
      <w:pPr>
        <w:jc w:val="both"/>
        <w:rPr>
          <w:color w:val="000000" w:themeColor="text1"/>
        </w:rPr>
      </w:pPr>
    </w:p>
    <w:p w14:paraId="39BDAFAE" w14:textId="5AC0FB8B" w:rsidR="001661AC" w:rsidRPr="00617267" w:rsidRDefault="1548C4BD" w:rsidP="4D27054C">
      <w:pPr>
        <w:jc w:val="both"/>
        <w:rPr>
          <w:color w:val="202124"/>
        </w:rPr>
      </w:pPr>
      <w:r w:rsidRPr="4D27054C">
        <w:t xml:space="preserve">In addition to that, ensuring equal access to decent work is one of the cornerstones of ILO and UN Women’s work. This is evidenced by UN Women’s </w:t>
      </w:r>
      <w:r w:rsidR="0E822143" w:rsidRPr="4D27054C">
        <w:t>Strategic Plans (SP)- SP 2018-2021</w:t>
      </w:r>
      <w:r w:rsidRPr="4D27054C">
        <w:t xml:space="preserve">, under Impact Area 2: “Women, especially the poorest and most excluded, are economically empowered and benefit from development,”; </w:t>
      </w:r>
      <w:r w:rsidR="0E822143" w:rsidRPr="4D27054C">
        <w:t>UN Women’s current SP (2022-2025) under impact Area 2: “</w:t>
      </w:r>
      <w:r w:rsidR="0E6B4982" w:rsidRPr="4D27054C">
        <w:t xml:space="preserve">Women have income security, decent work and economic autonomy”, as well as </w:t>
      </w:r>
      <w:r w:rsidRPr="4D27054C">
        <w:t xml:space="preserve">ILO’s Centenary Initiative on Women at Work which </w:t>
      </w:r>
      <w:r w:rsidR="4D27054C" w:rsidRPr="4D27054C">
        <w:rPr>
          <w:color w:val="202124"/>
        </w:rPr>
        <w:t>aims to better understand, and to address, why progress on delivering on decent work for women has been so slow and what needs to be done towards securing a better future for women at work.</w:t>
      </w:r>
    </w:p>
    <w:p w14:paraId="570C4910" w14:textId="349C4107" w:rsidR="001661AC" w:rsidRPr="00617267" w:rsidRDefault="001661AC" w:rsidP="4D27054C">
      <w:pPr>
        <w:jc w:val="both"/>
        <w:rPr>
          <w:color w:val="202124"/>
        </w:rPr>
      </w:pPr>
    </w:p>
    <w:p w14:paraId="47178B90" w14:textId="325A2806" w:rsidR="001661AC" w:rsidRPr="00617267" w:rsidRDefault="001661AC" w:rsidP="4D27054C">
      <w:pPr>
        <w:jc w:val="both"/>
        <w:rPr>
          <w:color w:val="4472C4" w:themeColor="accent1"/>
        </w:rPr>
      </w:pPr>
    </w:p>
    <w:p w14:paraId="24667EB1" w14:textId="5E6BC16B" w:rsidR="36364289" w:rsidRPr="0000756D" w:rsidRDefault="1548C4BD" w:rsidP="00617267">
      <w:pPr>
        <w:pStyle w:val="Heading2"/>
        <w:numPr>
          <w:ilvl w:val="0"/>
          <w:numId w:val="34"/>
        </w:numPr>
        <w:spacing w:before="0" w:line="240" w:lineRule="auto"/>
        <w:rPr>
          <w:rFonts w:ascii="Times New Roman" w:hAnsi="Times New Roman" w:cs="Times New Roman"/>
          <w:b/>
          <w:bCs/>
          <w:color w:val="4472C4" w:themeColor="accent1"/>
          <w:sz w:val="24"/>
          <w:szCs w:val="24"/>
        </w:rPr>
      </w:pPr>
      <w:bookmarkStart w:id="9" w:name="_Toc90825377"/>
      <w:bookmarkStart w:id="10" w:name="_Toc90825561"/>
      <w:bookmarkStart w:id="11" w:name="_Toc90825744"/>
      <w:bookmarkStart w:id="12" w:name="_Toc90825797"/>
      <w:bookmarkStart w:id="13" w:name="_Toc90825908"/>
      <w:bookmarkStart w:id="14" w:name="_Toc97453923"/>
      <w:r w:rsidRPr="5DC39AF9">
        <w:rPr>
          <w:rFonts w:ascii="Times New Roman" w:hAnsi="Times New Roman" w:cs="Times New Roman"/>
          <w:b/>
          <w:bCs/>
          <w:color w:val="4471C4"/>
          <w:sz w:val="24"/>
          <w:szCs w:val="24"/>
        </w:rPr>
        <w:t>Regional Overview</w:t>
      </w:r>
      <w:bookmarkEnd w:id="9"/>
      <w:bookmarkEnd w:id="10"/>
      <w:bookmarkEnd w:id="11"/>
      <w:bookmarkEnd w:id="12"/>
      <w:bookmarkEnd w:id="13"/>
      <w:bookmarkEnd w:id="14"/>
      <w:r w:rsidRPr="5DC39AF9">
        <w:rPr>
          <w:rFonts w:ascii="Times New Roman" w:hAnsi="Times New Roman" w:cs="Times New Roman"/>
          <w:b/>
          <w:bCs/>
          <w:color w:val="4471C4"/>
          <w:sz w:val="24"/>
          <w:szCs w:val="24"/>
        </w:rPr>
        <w:t xml:space="preserve"> </w:t>
      </w:r>
    </w:p>
    <w:p w14:paraId="56876796" w14:textId="77777777" w:rsidR="002D6FF3" w:rsidRDefault="002D6FF3" w:rsidP="000B3B41">
      <w:pPr>
        <w:spacing w:line="257" w:lineRule="auto"/>
        <w:jc w:val="both"/>
        <w:rPr>
          <w:lang w:val="en-US" w:eastAsia="en-US"/>
        </w:rPr>
      </w:pPr>
    </w:p>
    <w:p w14:paraId="5B2C7887" w14:textId="158CD300" w:rsidR="00B05165" w:rsidRPr="00403526" w:rsidRDefault="0D3D1DD4" w:rsidP="000B3B41">
      <w:pPr>
        <w:spacing w:line="257" w:lineRule="auto"/>
        <w:jc w:val="both"/>
      </w:pPr>
      <w:r w:rsidRPr="4D27054C">
        <w:rPr>
          <w:lang w:val="en-IE"/>
        </w:rPr>
        <w:t xml:space="preserve">There have been great improvements in terms of women’s </w:t>
      </w:r>
      <w:r w:rsidRPr="4D27054C">
        <w:t>educational attainment and health</w:t>
      </w:r>
      <w:r w:rsidRPr="4D27054C">
        <w:rPr>
          <w:lang w:val="en-IE"/>
        </w:rPr>
        <w:t xml:space="preserve"> across the region</w:t>
      </w:r>
      <w:r w:rsidRPr="4D27054C">
        <w:t xml:space="preserve">. </w:t>
      </w:r>
      <w:r w:rsidRPr="4D27054C">
        <w:rPr>
          <w:lang w:val="en-IE"/>
        </w:rPr>
        <w:t xml:space="preserve">Women have steadily caught up in terms of education over the past 30 years, at a favourable rate in comparison to regions at similar stages of development. In many countries, the gender gap has been closed, with almost equal primary enrolment, reduced illiteracy for both men and women, and female participation in </w:t>
      </w:r>
      <w:r w:rsidRPr="4D27054C">
        <w:t xml:space="preserve">tertiary </w:t>
      </w:r>
      <w:r w:rsidRPr="4D27054C">
        <w:rPr>
          <w:lang w:val="en-IE"/>
        </w:rPr>
        <w:t xml:space="preserve">education </w:t>
      </w:r>
      <w:r w:rsidRPr="4D27054C">
        <w:t xml:space="preserve">exceeding </w:t>
      </w:r>
      <w:r w:rsidRPr="4D27054C">
        <w:rPr>
          <w:lang w:val="en-IE"/>
        </w:rPr>
        <w:t xml:space="preserve">50 percent. This has been accompanied by declining </w:t>
      </w:r>
      <w:r w:rsidRPr="4D27054C">
        <w:t>fertility</w:t>
      </w:r>
      <w:r w:rsidRPr="4D27054C">
        <w:rPr>
          <w:lang w:val="en-IE"/>
        </w:rPr>
        <w:t xml:space="preserve"> rates, as well as declining </w:t>
      </w:r>
      <w:r w:rsidRPr="4D27054C">
        <w:t>maternal and child mortality rates</w:t>
      </w:r>
      <w:r w:rsidR="161DF010" w:rsidRPr="4D27054C">
        <w:rPr>
          <w:rStyle w:val="FootnoteReference"/>
          <w:sz w:val="16"/>
          <w:szCs w:val="16"/>
        </w:rPr>
        <w:footnoteReference w:id="2"/>
      </w:r>
      <w:r w:rsidR="636C2394" w:rsidRPr="4D27054C">
        <w:t xml:space="preserve">. </w:t>
      </w:r>
      <w:r w:rsidRPr="4D27054C">
        <w:rPr>
          <w:lang w:val="en-IE"/>
        </w:rPr>
        <w:t xml:space="preserve">However, this does not always translate into </w:t>
      </w:r>
      <w:r w:rsidRPr="4D27054C">
        <w:t xml:space="preserve">women’s participation in </w:t>
      </w:r>
      <w:r w:rsidRPr="4D27054C">
        <w:rPr>
          <w:lang w:val="en-IE"/>
        </w:rPr>
        <w:t xml:space="preserve">all </w:t>
      </w:r>
      <w:r w:rsidRPr="4D27054C">
        <w:t xml:space="preserve">aspects of </w:t>
      </w:r>
      <w:r w:rsidRPr="4D27054C">
        <w:rPr>
          <w:lang w:val="en-IE"/>
        </w:rPr>
        <w:t xml:space="preserve">a country’s </w:t>
      </w:r>
      <w:r w:rsidRPr="4D27054C">
        <w:t>political, social and economic life.</w:t>
      </w:r>
      <w:r w:rsidR="161DF010">
        <w:br/>
      </w:r>
    </w:p>
    <w:p w14:paraId="759FF9F8" w14:textId="7808C716" w:rsidR="00B05165" w:rsidRPr="00403526" w:rsidRDefault="75353208" w:rsidP="5CF61BAE">
      <w:pPr>
        <w:spacing w:line="257" w:lineRule="auto"/>
        <w:jc w:val="both"/>
        <w:rPr>
          <w:color w:val="000000" w:themeColor="text1"/>
        </w:rPr>
      </w:pPr>
      <w:r w:rsidRPr="00403526">
        <w:t>The world economic and political</w:t>
      </w:r>
      <w:r w:rsidRPr="2932B43C">
        <w:rPr>
          <w:color w:val="000000" w:themeColor="text1"/>
        </w:rPr>
        <w:t xml:space="preserve"> transitions, security challenges, declining oil prices, protracted regional conflicts and the COVID-19 pandemic continue to weigh on the economic prospects of </w:t>
      </w:r>
      <w:r w:rsidRPr="5CF61BAE">
        <w:rPr>
          <w:color w:val="000000" w:themeColor="text1"/>
        </w:rPr>
        <w:t xml:space="preserve">the </w:t>
      </w:r>
      <w:r w:rsidR="5CF61BAE" w:rsidRPr="5CF61BAE">
        <w:t>Middle East and North Africa (</w:t>
      </w:r>
      <w:r w:rsidRPr="5CF61BAE">
        <w:rPr>
          <w:color w:val="000000" w:themeColor="text1"/>
        </w:rPr>
        <w:t xml:space="preserve">MENA) </w:t>
      </w:r>
      <w:r w:rsidRPr="2932B43C">
        <w:rPr>
          <w:color w:val="000000" w:themeColor="text1"/>
        </w:rPr>
        <w:t xml:space="preserve">region. Economic growth in the Arab States has been slower than the world average and, despite having achieved near equal rates of primary school </w:t>
      </w:r>
      <w:r w:rsidRPr="2932B43C">
        <w:rPr>
          <w:color w:val="000000" w:themeColor="text1"/>
        </w:rPr>
        <w:lastRenderedPageBreak/>
        <w:t>enrolment and a dramatic drop in illiteracy rates for both women and men, the region has struggled to translate this into participation in all aspects of political, social, and economic life, particularly for women</w:t>
      </w:r>
      <w:r w:rsidR="00403526" w:rsidRPr="4D27054C">
        <w:rPr>
          <w:rStyle w:val="FootnoteReference"/>
          <w:sz w:val="16"/>
          <w:szCs w:val="16"/>
        </w:rPr>
        <w:footnoteReference w:id="3"/>
      </w:r>
      <w:r w:rsidRPr="00403526">
        <w:t>. The World Economic Forum (WEF) Global Gender Gap Report of 202</w:t>
      </w:r>
      <w:r w:rsidR="1F882CC5" w:rsidRPr="00403526">
        <w:t>1</w:t>
      </w:r>
      <w:r w:rsidRPr="00403526">
        <w:t xml:space="preserve"> </w:t>
      </w:r>
      <w:r w:rsidR="1F882CC5" w:rsidRPr="00403526">
        <w:t>ranks Middle East (and North Africa), as the region with the widest gender gap (60.9%)</w:t>
      </w:r>
      <w:r w:rsidR="161DF010" w:rsidRPr="4D27054C">
        <w:rPr>
          <w:rStyle w:val="FootnoteReference"/>
          <w:sz w:val="16"/>
          <w:szCs w:val="16"/>
        </w:rPr>
        <w:footnoteReference w:id="4"/>
      </w:r>
      <w:r w:rsidR="1F882CC5" w:rsidRPr="00403526">
        <w:t xml:space="preserve">. Progress on Economic Participation and Opportunity in the Middle East has remained largely unchanged </w:t>
      </w:r>
      <w:r w:rsidR="532F0F37" w:rsidRPr="00403526">
        <w:t xml:space="preserve">from 2020 </w:t>
      </w:r>
      <w:r w:rsidR="532F0F37">
        <w:t>i.e., second-to-last, ahead of only South Asia</w:t>
      </w:r>
      <w:r w:rsidR="161DF010" w:rsidRPr="4D27054C">
        <w:rPr>
          <w:rStyle w:val="FootnoteReference"/>
          <w:color w:val="000000" w:themeColor="text1"/>
          <w:sz w:val="16"/>
          <w:szCs w:val="16"/>
        </w:rPr>
        <w:footnoteReference w:id="5"/>
      </w:r>
      <w:r w:rsidR="4D27054C">
        <w:t>.</w:t>
      </w:r>
    </w:p>
    <w:p w14:paraId="1699C53E" w14:textId="4DECA46F" w:rsidR="006C5BCE" w:rsidRPr="006B44CD" w:rsidRDefault="75353208" w:rsidP="4D27054C">
      <w:pPr>
        <w:suppressAutoHyphens/>
        <w:autoSpaceDN w:val="0"/>
        <w:spacing w:beforeAutospacing="1" w:afterAutospacing="1" w:line="254" w:lineRule="auto"/>
        <w:jc w:val="both"/>
        <w:textAlignment w:val="baseline"/>
        <w:rPr>
          <w:rStyle w:val="EndnoteReference"/>
        </w:rPr>
      </w:pPr>
      <w:r w:rsidRPr="5CF61BAE">
        <w:rPr>
          <w:color w:val="000000" w:themeColor="text1"/>
        </w:rPr>
        <w:t xml:space="preserve">The region continues to have the world’s lowest female labour force participation rates, estimated at 18 percent in 2020 compared to 77.7 percent for men (ILOSTAT, 2020), and Arab women perform on average 4.7 times more unpaid care work than men, the highest ratio in the world (UN Women, 2020). As a result of the COVID-19 socioeconomic crisis, Arab women stand to lose over 700,000 jobs particularly in the informal sector where they constitute 61.8 percent of workers. </w:t>
      </w:r>
      <w:r w:rsidR="6352B700" w:rsidRPr="4D27054C">
        <w:t>There are many barriers facing women in access to decent employment. Women tend to work in low-paying jobs and are prevalent in the informal sector, with 33 percent of working women employed in informal employment (versus 23 percent of men)</w:t>
      </w:r>
      <w:r w:rsidR="006C5BCE" w:rsidRPr="4D27054C">
        <w:rPr>
          <w:rStyle w:val="FootnoteReference"/>
          <w:sz w:val="16"/>
          <w:szCs w:val="16"/>
        </w:rPr>
        <w:footnoteReference w:id="6"/>
      </w:r>
      <w:r w:rsidR="69D4EF8B" w:rsidRPr="4D27054C">
        <w:t xml:space="preserve">. </w:t>
      </w:r>
      <w:r w:rsidR="71E88E95" w:rsidRPr="4D27054C">
        <w:t xml:space="preserve">It </w:t>
      </w:r>
      <w:r w:rsidR="6352B700" w:rsidRPr="4D27054C">
        <w:t xml:space="preserve">remains rare for women to be employed in upper management or executive </w:t>
      </w:r>
      <w:r w:rsidR="4BCB0DAE" w:rsidRPr="4D27054C">
        <w:t xml:space="preserve">positions. </w:t>
      </w:r>
      <w:r w:rsidR="0C16C94B" w:rsidRPr="4D27054C">
        <w:t>Skills mismatch is another major impediment</w:t>
      </w:r>
      <w:r w:rsidR="4D8D54C9" w:rsidRPr="4D27054C">
        <w:rPr>
          <w:rStyle w:val="FootnoteReference"/>
          <w:sz w:val="16"/>
          <w:szCs w:val="16"/>
        </w:rPr>
        <w:footnoteReference w:id="7"/>
      </w:r>
      <w:r w:rsidR="0C16C94B" w:rsidRPr="4D27054C">
        <w:t xml:space="preserve">. This includes the lack of well-trained skilled and semi-skilled </w:t>
      </w:r>
      <w:r w:rsidR="27E638C3" w:rsidRPr="4D27054C">
        <w:t xml:space="preserve">Technical and Vocational Education and Training </w:t>
      </w:r>
      <w:r w:rsidR="0C16C94B" w:rsidRPr="4D27054C">
        <w:t>(TVET) workers who can meet the needs of the emerging sectors</w:t>
      </w:r>
      <w:r w:rsidR="4D8D54C9" w:rsidRPr="4D27054C">
        <w:rPr>
          <w:rStyle w:val="FootnoteReference"/>
          <w:sz w:val="16"/>
          <w:szCs w:val="16"/>
        </w:rPr>
        <w:footnoteReference w:id="8"/>
      </w:r>
      <w:r w:rsidR="0C16C94B" w:rsidRPr="4D27054C">
        <w:rPr>
          <w:sz w:val="16"/>
          <w:szCs w:val="16"/>
        </w:rPr>
        <w:t>.</w:t>
      </w:r>
      <w:r w:rsidR="0C16C94B" w:rsidRPr="4D27054C">
        <w:t xml:space="preserve"> Another critical skills mismatch is the number of overeducated (not necessarily over skilled) graduates, including female of the academic higher education stream who have selected and studied programmes that are not in demand in the labour market due to lack of awareness about market needs, leading to unemployment or underemployment</w:t>
      </w:r>
      <w:r w:rsidR="4D8D54C9" w:rsidRPr="4D27054C">
        <w:rPr>
          <w:rStyle w:val="FootnoteReference"/>
          <w:sz w:val="16"/>
          <w:szCs w:val="16"/>
        </w:rPr>
        <w:footnoteReference w:id="9"/>
      </w:r>
      <w:r w:rsidR="636C2394" w:rsidRPr="4D27054C">
        <w:rPr>
          <w:sz w:val="16"/>
          <w:szCs w:val="16"/>
        </w:rPr>
        <w:t>.</w:t>
      </w:r>
    </w:p>
    <w:p w14:paraId="4E6DF772" w14:textId="790F0B87" w:rsidR="006C5BCE" w:rsidRPr="006B44CD" w:rsidRDefault="6352B700" w:rsidP="4D27054C">
      <w:pPr>
        <w:suppressAutoHyphens/>
        <w:autoSpaceDN w:val="0"/>
        <w:spacing w:beforeAutospacing="1" w:afterAutospacing="1" w:line="254" w:lineRule="auto"/>
        <w:jc w:val="both"/>
        <w:textAlignment w:val="baseline"/>
      </w:pPr>
      <w:r w:rsidRPr="4D27054C">
        <w:t>Women and men are also treated differently under the law in many Arab countries, in areas such as working hours, taxation, parental benefits, and retirement. While some of these laws may improve women’s incentives and opportunities, others may inhibit them. Workplace discrimination based on gender is only partially addressed in most countries in the region, despite widespread ratification of ILO Conventions 111 and 100 on discrimination in employment and equal remuneration for work of equal value. Translation of these safeguards into national legislation and enforcement of the resulting laws is thus required to facilitate women’s full participation in the labour market. Efforts to ensure equal pay are undermined by inequalities in non-wage benefits (often allocated to the husband), as unfair remuneration monitoring mechanisms, and failure to carry out gender neutral job evaluations</w:t>
      </w:r>
      <w:r w:rsidR="006C5BCE" w:rsidRPr="4D27054C">
        <w:rPr>
          <w:sz w:val="16"/>
          <w:szCs w:val="16"/>
          <w:vertAlign w:val="superscript"/>
        </w:rPr>
        <w:footnoteReference w:id="10"/>
      </w:r>
      <w:r w:rsidRPr="4D27054C">
        <w:t>. There are also many damaging stereotypes, such as the assumption that women’s income is secondary, and relating to</w:t>
      </w:r>
      <w:r w:rsidR="002D6FF3">
        <w:t xml:space="preserve"> </w:t>
      </w:r>
      <w:r w:rsidRPr="4D27054C">
        <w:lastRenderedPageBreak/>
        <w:t>attributed care responsibilities limiting women’s training opportunities, access to information, or eligibility for promotion.</w:t>
      </w:r>
    </w:p>
    <w:p w14:paraId="6103DE7F" w14:textId="47506E4B" w:rsidR="4D27054C" w:rsidRPr="002E78FA" w:rsidRDefault="40E82098" w:rsidP="002E78FA">
      <w:pPr>
        <w:suppressAutoHyphens/>
        <w:autoSpaceDN w:val="0"/>
        <w:spacing w:beforeAutospacing="1" w:afterAutospacing="1" w:line="257" w:lineRule="auto"/>
        <w:jc w:val="both"/>
        <w:textAlignment w:val="baseline"/>
        <w:rPr>
          <w:color w:val="FF0000"/>
        </w:rPr>
      </w:pPr>
      <w:r w:rsidRPr="4D27054C">
        <w:rPr>
          <w:color w:val="000000" w:themeColor="text1"/>
        </w:rPr>
        <w:t xml:space="preserve">Systemic progress in several interconnected areas is needed to increase the economic participation of women. This includes improvements required in the legal and regulatory frameworks, enhanced access to skills development, recognition, reduction and redistribution of unpaid care work (reduce the high actual as well as opportunity cost of child and elderly care, and household chores), improved access to decent working conditions, ensuring social security coverage (maternity and pension), enhancing access to resources (land, property, finances), gender-responsive COVID-19 response policies and programmes, to mention a few. </w:t>
      </w:r>
    </w:p>
    <w:p w14:paraId="7C63B509" w14:textId="333FB009" w:rsidR="00617267" w:rsidRPr="0000756D" w:rsidRDefault="03A9EE83" w:rsidP="00354F87">
      <w:pPr>
        <w:pStyle w:val="Heading1"/>
        <w:numPr>
          <w:ilvl w:val="0"/>
          <w:numId w:val="34"/>
        </w:numPr>
        <w:rPr>
          <w:rFonts w:ascii="Times New Roman" w:eastAsia="Calibri" w:hAnsi="Times New Roman" w:cs="Times New Roman"/>
          <w:b/>
          <w:bCs/>
          <w:sz w:val="24"/>
          <w:szCs w:val="24"/>
          <w:lang w:val="en-GB"/>
        </w:rPr>
      </w:pPr>
      <w:bookmarkStart w:id="15" w:name="_Toc90825378"/>
      <w:bookmarkStart w:id="16" w:name="_Toc90825562"/>
      <w:bookmarkStart w:id="17" w:name="_Toc90825745"/>
      <w:bookmarkStart w:id="18" w:name="_Toc90825798"/>
      <w:bookmarkStart w:id="19" w:name="_Toc90825909"/>
      <w:bookmarkStart w:id="20" w:name="_Toc97453924"/>
      <w:r w:rsidRPr="5DC39AF9">
        <w:rPr>
          <w:rFonts w:ascii="Times New Roman" w:eastAsia="Calibri" w:hAnsi="Times New Roman" w:cs="Times New Roman"/>
          <w:b/>
          <w:bCs/>
          <w:sz w:val="24"/>
          <w:szCs w:val="24"/>
        </w:rPr>
        <w:t>Country background:</w:t>
      </w:r>
      <w:r w:rsidR="6352B700" w:rsidRPr="5DC39AF9">
        <w:rPr>
          <w:rFonts w:ascii="Times New Roman" w:eastAsia="Calibri" w:hAnsi="Times New Roman" w:cs="Times New Roman"/>
          <w:b/>
          <w:bCs/>
          <w:sz w:val="24"/>
          <w:szCs w:val="24"/>
        </w:rPr>
        <w:t xml:space="preserve"> Egypt, Jordan and Palestine</w:t>
      </w:r>
      <w:r w:rsidR="6352B700" w:rsidRPr="5DC39AF9">
        <w:rPr>
          <w:rFonts w:ascii="Times New Roman" w:eastAsia="Calibri" w:hAnsi="Times New Roman" w:cs="Times New Roman"/>
          <w:b/>
          <w:bCs/>
          <w:sz w:val="24"/>
          <w:szCs w:val="24"/>
          <w:lang w:val="en-GB"/>
        </w:rPr>
        <w:t xml:space="preserve"> and context of female employment</w:t>
      </w:r>
      <w:bookmarkEnd w:id="15"/>
      <w:bookmarkEnd w:id="16"/>
      <w:bookmarkEnd w:id="17"/>
      <w:bookmarkEnd w:id="18"/>
      <w:bookmarkEnd w:id="19"/>
      <w:bookmarkEnd w:id="20"/>
    </w:p>
    <w:p w14:paraId="5FA9982D" w14:textId="77777777" w:rsidR="0000756D" w:rsidRDefault="0000756D" w:rsidP="4D27054C">
      <w:pPr>
        <w:suppressAutoHyphens/>
        <w:autoSpaceDN w:val="0"/>
        <w:spacing w:line="254" w:lineRule="auto"/>
        <w:jc w:val="both"/>
        <w:textAlignment w:val="baseline"/>
      </w:pPr>
    </w:p>
    <w:p w14:paraId="4E3C8931" w14:textId="6A9B3769" w:rsidR="006C5BCE" w:rsidRDefault="6352B700" w:rsidP="4D27054C">
      <w:pPr>
        <w:suppressAutoHyphens/>
        <w:autoSpaceDN w:val="0"/>
        <w:spacing w:line="254" w:lineRule="auto"/>
        <w:jc w:val="both"/>
        <w:textAlignment w:val="baseline"/>
      </w:pPr>
      <w:r w:rsidRPr="4D27054C">
        <w:t>Consecutive economic crises in these countries have worsened the impact of political and security crises and led to civil unrest, economic stagnation, fewer employment opportunities and a reliance on informal work. Young women, female heads of households, mothers, and women refugees are among the vulnerable cohorts of society that are disproportionately affected by such crises. Combined with women’s over-reliance on the informal sector, this results in women facing significant barriers to entry into the labour market</w:t>
      </w:r>
      <w:r w:rsidR="006C5BCE" w:rsidRPr="4D27054C">
        <w:rPr>
          <w:sz w:val="16"/>
          <w:szCs w:val="16"/>
          <w:vertAlign w:val="superscript"/>
        </w:rPr>
        <w:footnoteReference w:id="11"/>
      </w:r>
      <w:r w:rsidRPr="4D27054C">
        <w:rPr>
          <w:sz w:val="16"/>
          <w:szCs w:val="16"/>
        </w:rPr>
        <w:t>.</w:t>
      </w:r>
    </w:p>
    <w:p w14:paraId="58A45E4A" w14:textId="77777777" w:rsidR="00403526" w:rsidRPr="00296021" w:rsidRDefault="00403526" w:rsidP="006C5BCE">
      <w:pPr>
        <w:suppressAutoHyphens/>
        <w:autoSpaceDN w:val="0"/>
        <w:spacing w:line="254" w:lineRule="auto"/>
        <w:jc w:val="both"/>
        <w:textAlignment w:val="baseline"/>
        <w:rPr>
          <w:rFonts w:eastAsia="Calibri"/>
        </w:rPr>
      </w:pPr>
    </w:p>
    <w:p w14:paraId="499B3EA7" w14:textId="7EBD9A4C" w:rsidR="006C5BCE" w:rsidRPr="006B44CD" w:rsidRDefault="7FF3952E" w:rsidP="61B0FC88">
      <w:pPr>
        <w:suppressAutoHyphens/>
        <w:autoSpaceDN w:val="0"/>
        <w:spacing w:line="254" w:lineRule="auto"/>
        <w:jc w:val="both"/>
        <w:textAlignment w:val="baseline"/>
        <w:rPr>
          <w:rFonts w:eastAsia="Calibri"/>
          <w:b/>
          <w:bCs/>
        </w:rPr>
      </w:pPr>
      <w:r w:rsidRPr="006B44CD">
        <w:rPr>
          <w:rFonts w:eastAsia="Calibri"/>
          <w:b/>
          <w:bCs/>
        </w:rPr>
        <w:t xml:space="preserve">3.1 </w:t>
      </w:r>
      <w:r w:rsidR="4D8D54C9" w:rsidRPr="006B44CD">
        <w:rPr>
          <w:rFonts w:eastAsia="Calibri"/>
          <w:b/>
          <w:bCs/>
        </w:rPr>
        <w:t>Egypt</w:t>
      </w:r>
    </w:p>
    <w:p w14:paraId="2F860D39" w14:textId="59992FDA" w:rsidR="10E954D4" w:rsidRDefault="61B9500B" w:rsidP="4D27054C">
      <w:pPr>
        <w:spacing w:line="276" w:lineRule="auto"/>
        <w:jc w:val="both"/>
      </w:pPr>
      <w:r w:rsidRPr="4D27054C">
        <w:t>Positive developments enhancing women’s rights and economic empowerment have taken place in Egypt in the last three years. A National Strategy for the Empowerment of Egyptian Women 2030 (Gender Strategy) has been recently developed, particularly aiming to address the gender pay gap under Pillar 2. Although Egyptian labour law guarantees equal pay for work of equal value, women still tend to work in poorly paid employment, and are less likely to be promoted over the course of their working life. The Strategy aims to “enforce the laws that protect working women and guarantee their rights with regard to working hours, maternity leave and equal wages, particularly in the private sector”</w:t>
      </w:r>
      <w:r w:rsidR="10E954D4" w:rsidRPr="4D27054C">
        <w:rPr>
          <w:rStyle w:val="FootnoteReference"/>
          <w:sz w:val="16"/>
          <w:szCs w:val="16"/>
        </w:rPr>
        <w:footnoteReference w:id="12"/>
      </w:r>
      <w:r w:rsidRPr="4D27054C">
        <w:t>. The Egyptian National Council for Women (ENCW) which now functions at a Ministerial level with its own funding, is consolidating its national leadership to strengthen women’s rights national portfolio, mainly in terms of the enhancement of its role and scope as an independent and integrated body</w:t>
      </w:r>
      <w:r w:rsidR="10E954D4" w:rsidRPr="4D27054C">
        <w:rPr>
          <w:rStyle w:val="FootnoteReference"/>
          <w:sz w:val="16"/>
          <w:szCs w:val="16"/>
        </w:rPr>
        <w:footnoteReference w:id="13"/>
      </w:r>
      <w:r w:rsidR="4D27054C" w:rsidRPr="4D27054C">
        <w:t>.</w:t>
      </w:r>
    </w:p>
    <w:p w14:paraId="63BF56B2" w14:textId="10C43168" w:rsidR="006C5BCE" w:rsidRPr="006B44CD" w:rsidRDefault="4D8D54C9" w:rsidP="516AEA60">
      <w:pPr>
        <w:suppressAutoHyphens/>
        <w:autoSpaceDN w:val="0"/>
        <w:spacing w:line="254" w:lineRule="auto"/>
        <w:jc w:val="both"/>
        <w:textAlignment w:val="baseline"/>
        <w:rPr>
          <w:rFonts w:eastAsia="Calibri"/>
        </w:rPr>
      </w:pPr>
      <w:r>
        <w:br/>
      </w:r>
      <w:r w:rsidR="6352B700" w:rsidRPr="4D27054C">
        <w:rPr>
          <w:rFonts w:eastAsia="Calibri"/>
        </w:rPr>
        <w:t>The Egyptian economy has had serious difficulties over the last 10 years in the context of two significant political upheavals since 2011, falling oil prices, rising costs of food imports, stagnant Suez Canal income and a dramatically devalued currency. Egyptian women continue to disproportionately experience major constraints in accessing employment opportunities.</w:t>
      </w:r>
    </w:p>
    <w:p w14:paraId="146D243D" w14:textId="77777777" w:rsidR="0000756D" w:rsidRDefault="0000756D" w:rsidP="516AEA60">
      <w:pPr>
        <w:suppressAutoHyphens/>
        <w:autoSpaceDN w:val="0"/>
        <w:spacing w:line="254" w:lineRule="auto"/>
        <w:jc w:val="both"/>
        <w:textAlignment w:val="baseline"/>
        <w:rPr>
          <w:rFonts w:eastAsia="Calibri"/>
        </w:rPr>
      </w:pPr>
    </w:p>
    <w:p w14:paraId="3E6DD630" w14:textId="4FB1144A" w:rsidR="006C5BCE" w:rsidRPr="006B44CD" w:rsidRDefault="6352B700" w:rsidP="4D27054C">
      <w:pPr>
        <w:suppressAutoHyphens/>
        <w:autoSpaceDN w:val="0"/>
        <w:spacing w:line="254" w:lineRule="auto"/>
        <w:jc w:val="both"/>
        <w:textAlignment w:val="baseline"/>
      </w:pPr>
      <w:r w:rsidRPr="4D27054C">
        <w:lastRenderedPageBreak/>
        <w:t>Egypt ranks 129th out of 156 countries in the 2021 Global Gender Gap Index</w:t>
      </w:r>
      <w:r w:rsidR="006C5BCE" w:rsidRPr="4D27054C">
        <w:rPr>
          <w:sz w:val="16"/>
          <w:szCs w:val="16"/>
          <w:vertAlign w:val="superscript"/>
        </w:rPr>
        <w:footnoteReference w:id="14"/>
      </w:r>
      <w:r w:rsidRPr="4D27054C">
        <w:rPr>
          <w:sz w:val="16"/>
          <w:szCs w:val="16"/>
        </w:rPr>
        <w:t>,</w:t>
      </w:r>
      <w:r w:rsidRPr="4D27054C">
        <w:t xml:space="preserve"> </w:t>
      </w:r>
      <w:r w:rsidR="1A165D34" w:rsidRPr="4D27054C">
        <w:t xml:space="preserve">(it ranked </w:t>
      </w:r>
      <w:r w:rsidRPr="4D27054C">
        <w:t>134th out of 144 countries in the World Economic Forum’s 2017 Global Gender Gap report</w:t>
      </w:r>
      <w:r w:rsidR="006C5BCE" w:rsidRPr="4D27054C">
        <w:rPr>
          <w:sz w:val="16"/>
          <w:szCs w:val="16"/>
          <w:vertAlign w:val="superscript"/>
        </w:rPr>
        <w:footnoteReference w:id="15"/>
      </w:r>
      <w:r w:rsidR="06EB3EDA" w:rsidRPr="4D27054C">
        <w:t>).</w:t>
      </w:r>
      <w:r w:rsidRPr="4D27054C">
        <w:t xml:space="preserve"> Egypt also ranks 146th in the Economic Participation and Opportunity subindex as of 2021</w:t>
      </w:r>
      <w:r w:rsidR="006C5BCE" w:rsidRPr="4D27054C">
        <w:rPr>
          <w:sz w:val="16"/>
          <w:szCs w:val="16"/>
          <w:vertAlign w:val="superscript"/>
        </w:rPr>
        <w:footnoteReference w:id="16"/>
      </w:r>
      <w:r w:rsidRPr="4D27054C">
        <w:t>. Female labour force participation is 15.6 percent and unemployment is 21.3 percent as of 2019</w:t>
      </w:r>
      <w:r w:rsidR="006C5BCE" w:rsidRPr="4D27054C">
        <w:rPr>
          <w:sz w:val="16"/>
          <w:szCs w:val="16"/>
          <w:vertAlign w:val="superscript"/>
        </w:rPr>
        <w:footnoteReference w:id="17"/>
      </w:r>
      <w:r w:rsidRPr="4D27054C">
        <w:rPr>
          <w:sz w:val="16"/>
          <w:szCs w:val="16"/>
        </w:rPr>
        <w:t>.</w:t>
      </w:r>
      <w:r w:rsidRPr="4D27054C">
        <w:t xml:space="preserve"> Despite a trend of improvement, total female labour force participation rate is just 24.9 percent, compared to 80.4 percent for men</w:t>
      </w:r>
      <w:r w:rsidR="006C5BCE" w:rsidRPr="4D27054C">
        <w:rPr>
          <w:sz w:val="16"/>
          <w:szCs w:val="16"/>
          <w:vertAlign w:val="superscript"/>
        </w:rPr>
        <w:footnoteReference w:id="18"/>
      </w:r>
      <w:r w:rsidRPr="4D27054C">
        <w:rPr>
          <w:sz w:val="16"/>
          <w:szCs w:val="16"/>
        </w:rPr>
        <w:t>.</w:t>
      </w:r>
    </w:p>
    <w:p w14:paraId="2CE9D3DB" w14:textId="77777777" w:rsidR="0000756D" w:rsidRDefault="0000756D" w:rsidP="516AEA60">
      <w:pPr>
        <w:suppressAutoHyphens/>
        <w:autoSpaceDN w:val="0"/>
        <w:spacing w:line="254" w:lineRule="auto"/>
        <w:jc w:val="both"/>
        <w:textAlignment w:val="baseline"/>
        <w:rPr>
          <w:rFonts w:eastAsia="Calibri"/>
        </w:rPr>
      </w:pPr>
    </w:p>
    <w:p w14:paraId="16BEBC04" w14:textId="2D3A21D5" w:rsidR="006C5BCE" w:rsidRDefault="6352B700" w:rsidP="516AEA60">
      <w:pPr>
        <w:suppressAutoHyphens/>
        <w:autoSpaceDN w:val="0"/>
        <w:spacing w:line="254" w:lineRule="auto"/>
        <w:jc w:val="both"/>
        <w:textAlignment w:val="baseline"/>
        <w:rPr>
          <w:rFonts w:eastAsia="Calibri"/>
        </w:rPr>
      </w:pPr>
      <w:r w:rsidRPr="006B44CD">
        <w:rPr>
          <w:rFonts w:eastAsia="Calibri"/>
        </w:rPr>
        <w:t>The highest share of female employment is found in the services (69.1%), education (23.7%), and agriculture (21.1%) sectors</w:t>
      </w:r>
      <w:r w:rsidR="4D8D54C9" w:rsidRPr="4D27054C">
        <w:rPr>
          <w:rStyle w:val="FootnoteReference"/>
          <w:rFonts w:eastAsia="Calibri"/>
          <w:sz w:val="16"/>
          <w:szCs w:val="16"/>
        </w:rPr>
        <w:footnoteReference w:id="19"/>
      </w:r>
      <w:r w:rsidRPr="006B44CD">
        <w:rPr>
          <w:rFonts w:eastAsia="Calibri"/>
        </w:rPr>
        <w:t>. The lowest share is in industry (9.3%), illustrating notable occupational gender segregation</w:t>
      </w:r>
      <w:r w:rsidR="4D8D54C9" w:rsidRPr="4D27054C">
        <w:rPr>
          <w:rStyle w:val="FootnoteReference"/>
          <w:rFonts w:eastAsia="Calibri"/>
          <w:sz w:val="16"/>
          <w:szCs w:val="16"/>
        </w:rPr>
        <w:footnoteReference w:id="20"/>
      </w:r>
      <w:r w:rsidRPr="006B44CD">
        <w:rPr>
          <w:rFonts w:eastAsia="Calibri"/>
        </w:rPr>
        <w:t xml:space="preserve">. The percentage of women managers stands </w:t>
      </w:r>
      <w:r w:rsidR="252A6264" w:rsidRPr="2932B43C">
        <w:rPr>
          <w:rFonts w:eastAsia="Calibri"/>
        </w:rPr>
        <w:t>at</w:t>
      </w:r>
      <w:r w:rsidRPr="006B44CD">
        <w:rPr>
          <w:rFonts w:eastAsia="Calibri"/>
        </w:rPr>
        <w:t xml:space="preserve"> 4.7 percent and a large proportion of female employment is in the informal sector (53.2% in 2019)</w:t>
      </w:r>
      <w:r w:rsidR="006C5BCE" w:rsidRPr="4D27054C">
        <w:rPr>
          <w:sz w:val="16"/>
          <w:szCs w:val="16"/>
          <w:vertAlign w:val="superscript"/>
        </w:rPr>
        <w:footnoteReference w:id="21"/>
      </w:r>
      <w:r w:rsidRPr="4D27054C">
        <w:rPr>
          <w:sz w:val="16"/>
          <w:szCs w:val="16"/>
        </w:rPr>
        <w:t>.</w:t>
      </w:r>
    </w:p>
    <w:p w14:paraId="13E2FFB0" w14:textId="77777777" w:rsidR="0000756D" w:rsidRPr="006B44CD" w:rsidRDefault="0000756D" w:rsidP="516AEA60">
      <w:pPr>
        <w:suppressAutoHyphens/>
        <w:autoSpaceDN w:val="0"/>
        <w:spacing w:line="254" w:lineRule="auto"/>
        <w:jc w:val="both"/>
        <w:textAlignment w:val="baseline"/>
        <w:rPr>
          <w:rFonts w:eastAsia="Calibri"/>
        </w:rPr>
      </w:pPr>
    </w:p>
    <w:p w14:paraId="2E3FB15B" w14:textId="3F85A42F" w:rsidR="006C5BCE" w:rsidRDefault="6352B700" w:rsidP="5CF61BAE">
      <w:pPr>
        <w:suppressAutoHyphens/>
        <w:autoSpaceDN w:val="0"/>
        <w:spacing w:line="254" w:lineRule="auto"/>
        <w:jc w:val="both"/>
        <w:textAlignment w:val="baseline"/>
        <w:rPr>
          <w:vertAlign w:val="superscript"/>
        </w:rPr>
      </w:pPr>
      <w:r w:rsidRPr="4D27054C">
        <w:t xml:space="preserve">Youth unemployment rate </w:t>
      </w:r>
      <w:r w:rsidR="792FEB3A" w:rsidRPr="4D27054C">
        <w:t>is</w:t>
      </w:r>
      <w:r w:rsidRPr="4D27054C">
        <w:t xml:space="preserve"> very </w:t>
      </w:r>
      <w:r w:rsidR="0E353497" w:rsidRPr="4D27054C">
        <w:t xml:space="preserve">high </w:t>
      </w:r>
      <w:r w:rsidRPr="4D27054C">
        <w:t xml:space="preserve">in Egypt, with many graduates, including female graduates, having to wait up to four years to find work. Lack of job creation for new entrants means that 35.2 percent of female youths remain outside of </w:t>
      </w:r>
      <w:r w:rsidR="547DFE19" w:rsidRPr="4D27054C">
        <w:t>employment</w:t>
      </w:r>
      <w:r w:rsidRPr="4D27054C">
        <w:t xml:space="preserve"> or education, compared with 18.9</w:t>
      </w:r>
      <w:r w:rsidRPr="5CF61BAE">
        <w:t xml:space="preserve"> percent</w:t>
      </w:r>
      <w:r w:rsidRPr="4D27054C">
        <w:t xml:space="preserve"> of young men. In adulthood, the contrast is even more stark, with 24.2 </w:t>
      </w:r>
      <w:r w:rsidRPr="5CF61BAE">
        <w:t>percent</w:t>
      </w:r>
      <w:r w:rsidRPr="4D27054C">
        <w:t xml:space="preserve"> of adult women failing to find employment, compared with 9.4</w:t>
      </w:r>
      <w:r w:rsidRPr="5CF61BAE">
        <w:t xml:space="preserve"> percent</w:t>
      </w:r>
      <w:r w:rsidRPr="4D27054C">
        <w:t xml:space="preserve"> of men. This is in part because women in Egypt are more likely to seek public sector jobs which offer more security and </w:t>
      </w:r>
      <w:r w:rsidR="792FEB3A" w:rsidRPr="4D27054C">
        <w:t>better-quality</w:t>
      </w:r>
      <w:r w:rsidRPr="4D27054C">
        <w:t xml:space="preserve"> employment than the private sector</w:t>
      </w:r>
      <w:r w:rsidR="4D8D54C9" w:rsidRPr="4D27054C">
        <w:rPr>
          <w:rStyle w:val="FootnoteReference"/>
          <w:sz w:val="16"/>
          <w:szCs w:val="16"/>
        </w:rPr>
        <w:footnoteReference w:id="22"/>
      </w:r>
      <w:r w:rsidR="4D27054C" w:rsidRPr="4D27054C">
        <w:t>.</w:t>
      </w:r>
    </w:p>
    <w:p w14:paraId="3875BF80" w14:textId="77777777" w:rsidR="0000756D" w:rsidRPr="006B44CD" w:rsidRDefault="0000756D" w:rsidP="516AEA60">
      <w:pPr>
        <w:suppressAutoHyphens/>
        <w:autoSpaceDN w:val="0"/>
        <w:spacing w:line="254" w:lineRule="auto"/>
        <w:jc w:val="both"/>
        <w:textAlignment w:val="baseline"/>
        <w:rPr>
          <w:rFonts w:eastAsia="Calibri"/>
        </w:rPr>
      </w:pPr>
    </w:p>
    <w:p w14:paraId="70F0FD61" w14:textId="3FBD5BED" w:rsidR="006C5BCE" w:rsidRDefault="6352B700" w:rsidP="5CF61BAE">
      <w:pPr>
        <w:suppressAutoHyphens/>
        <w:autoSpaceDN w:val="0"/>
        <w:spacing w:line="257" w:lineRule="auto"/>
        <w:jc w:val="both"/>
        <w:textAlignment w:val="baseline"/>
      </w:pPr>
      <w:r w:rsidRPr="006B44CD">
        <w:rPr>
          <w:rFonts w:eastAsia="Calibri"/>
        </w:rPr>
        <w:t>While most new labour market entrants in Egypt are affected by skill mismatches, structural issues around formal and informal work create structural impediments to decent work opportunities for women, including access to childcare, maternity leave and family-friendly working environments. The more readily available forms of employment also involve skill and educational mismatches. The most common third level degrees for women in Egypt are arts and humanities (24.9%), and education (19.7%), whereas for male graduates they are social sciences, journalism and information (27.1%), or business, administration and law (17.4%)</w:t>
      </w:r>
      <w:r w:rsidR="006C5BCE" w:rsidRPr="4D27054C">
        <w:rPr>
          <w:rFonts w:eastAsia="Calibri"/>
          <w:sz w:val="16"/>
          <w:szCs w:val="16"/>
          <w:vertAlign w:val="superscript"/>
        </w:rPr>
        <w:footnoteReference w:id="23"/>
      </w:r>
      <w:r w:rsidRPr="4D27054C">
        <w:rPr>
          <w:rFonts w:eastAsia="Calibri"/>
        </w:rPr>
        <w:t>. This highlights the importance of matching skills with formal employment opportunities to promote the inclusion of more vulnerable labour market participants, such as women and youth.</w:t>
      </w:r>
      <w:r w:rsidR="5A5F2EC6" w:rsidRPr="4D27054C">
        <w:t xml:space="preserve"> Skills development still emphasises the higher education system, whereas the labour market needs would be better served by more widespread vocational and technical training</w:t>
      </w:r>
      <w:r w:rsidR="4D8D54C9" w:rsidRPr="4D27054C">
        <w:rPr>
          <w:rStyle w:val="FootnoteReference"/>
          <w:sz w:val="16"/>
          <w:szCs w:val="16"/>
        </w:rPr>
        <w:footnoteReference w:id="24"/>
      </w:r>
      <w:r w:rsidR="5A5F2EC6" w:rsidRPr="4D27054C">
        <w:t xml:space="preserve">. A recent study by Nexford University, which focusses on skill development and the creation of a global learning community through </w:t>
      </w:r>
      <w:r w:rsidR="5A5F2EC6" w:rsidRPr="4D27054C">
        <w:lastRenderedPageBreak/>
        <w:t xml:space="preserve">technology, found that 78 </w:t>
      </w:r>
      <w:r w:rsidRPr="5CF61BAE">
        <w:t>percent</w:t>
      </w:r>
      <w:r w:rsidR="5A5F2EC6" w:rsidRPr="4D27054C">
        <w:t xml:space="preserve"> of employers in Egypt have difficulties hiring skilled white-collar employees</w:t>
      </w:r>
      <w:r w:rsidR="4D8D54C9" w:rsidRPr="4D27054C">
        <w:rPr>
          <w:rStyle w:val="FootnoteReference"/>
          <w:sz w:val="16"/>
          <w:szCs w:val="16"/>
        </w:rPr>
        <w:footnoteReference w:id="25"/>
      </w:r>
      <w:r w:rsidR="5A5F2EC6" w:rsidRPr="4D27054C">
        <w:rPr>
          <w:sz w:val="16"/>
          <w:szCs w:val="16"/>
        </w:rPr>
        <w:t>,</w:t>
      </w:r>
      <w:r w:rsidR="5A5F2EC6" w:rsidRPr="4D27054C">
        <w:t xml:space="preserve"> while 40 </w:t>
      </w:r>
      <w:r w:rsidRPr="5CF61BAE">
        <w:t>percent</w:t>
      </w:r>
      <w:r w:rsidR="5A5F2EC6" w:rsidRPr="4D27054C">
        <w:t xml:space="preserve"> </w:t>
      </w:r>
      <w:r w:rsidR="5A5F2EC6" w:rsidRPr="4D27054C">
        <w:rPr>
          <w:lang w:val="en-IE"/>
        </w:rPr>
        <w:t xml:space="preserve">reported a lack of </w:t>
      </w:r>
      <w:r w:rsidR="5A5F2EC6" w:rsidRPr="4D27054C">
        <w:t xml:space="preserve">creative thinking, 37percent </w:t>
      </w:r>
      <w:r w:rsidR="5A5F2EC6" w:rsidRPr="4D27054C">
        <w:rPr>
          <w:lang w:val="en-IE"/>
        </w:rPr>
        <w:t xml:space="preserve">a lack of </w:t>
      </w:r>
      <w:r w:rsidR="5A5F2EC6" w:rsidRPr="4D27054C">
        <w:t xml:space="preserve">time management and 28 percent </w:t>
      </w:r>
      <w:r w:rsidR="5A5F2EC6" w:rsidRPr="4D27054C">
        <w:rPr>
          <w:lang w:val="en-IE"/>
        </w:rPr>
        <w:t xml:space="preserve">a lack of </w:t>
      </w:r>
      <w:r w:rsidR="5A5F2EC6" w:rsidRPr="4D27054C">
        <w:t>problem-solving. Critical thinking</w:t>
      </w:r>
      <w:r w:rsidR="5A5F2EC6" w:rsidRPr="4D27054C">
        <w:rPr>
          <w:lang w:val="en-IE"/>
        </w:rPr>
        <w:t xml:space="preserve">, teamwork/ collaboration and </w:t>
      </w:r>
      <w:r w:rsidR="5A5F2EC6" w:rsidRPr="4D27054C">
        <w:t xml:space="preserve">business analytics were also </w:t>
      </w:r>
      <w:r w:rsidR="5A5F2EC6" w:rsidRPr="4D27054C">
        <w:rPr>
          <w:lang w:val="en-IE"/>
        </w:rPr>
        <w:t>in short supply</w:t>
      </w:r>
      <w:r w:rsidR="4D8D54C9" w:rsidRPr="4D27054C">
        <w:rPr>
          <w:rStyle w:val="FootnoteReference"/>
          <w:sz w:val="16"/>
          <w:szCs w:val="16"/>
          <w:lang w:val="en-IE"/>
        </w:rPr>
        <w:footnoteReference w:id="26"/>
      </w:r>
      <w:r w:rsidR="5A5F2EC6" w:rsidRPr="4D27054C">
        <w:rPr>
          <w:lang w:val="en-IE"/>
        </w:rPr>
        <w:t xml:space="preserve">, with the latter reported to be </w:t>
      </w:r>
      <w:r w:rsidR="5A5F2EC6" w:rsidRPr="4D27054C">
        <w:t xml:space="preserve">“hard” or “very hard” to </w:t>
      </w:r>
      <w:r w:rsidR="5A5F2EC6" w:rsidRPr="4D27054C">
        <w:rPr>
          <w:lang w:val="en-IE"/>
        </w:rPr>
        <w:t>find, according to more than half of employers surveyed</w:t>
      </w:r>
      <w:r w:rsidR="5A5F2EC6" w:rsidRPr="4D27054C">
        <w:t xml:space="preserve">. Other </w:t>
      </w:r>
      <w:r w:rsidR="5A5F2EC6" w:rsidRPr="4D27054C">
        <w:rPr>
          <w:lang w:val="en-IE"/>
        </w:rPr>
        <w:t xml:space="preserve">scarce </w:t>
      </w:r>
      <w:r w:rsidR="5A5F2EC6" w:rsidRPr="4D27054C">
        <w:t>skills included digital transformation (45%) and digital marketing (37%)</w:t>
      </w:r>
      <w:r w:rsidR="4D8D54C9" w:rsidRPr="4D27054C">
        <w:rPr>
          <w:rStyle w:val="FootnoteReference"/>
          <w:sz w:val="16"/>
          <w:szCs w:val="16"/>
        </w:rPr>
        <w:footnoteReference w:id="27"/>
      </w:r>
      <w:r w:rsidR="5A5F2EC6" w:rsidRPr="4D27054C">
        <w:t>Digital literacy remains a challenge, despite its importance to competitiveness in the contemporary digitized market.</w:t>
      </w:r>
    </w:p>
    <w:p w14:paraId="543D4A59" w14:textId="2F75F5FE" w:rsidR="006C5BCE" w:rsidRDefault="4D8D54C9" w:rsidP="5CF61BAE">
      <w:pPr>
        <w:suppressAutoHyphens/>
        <w:autoSpaceDN w:val="0"/>
        <w:spacing w:line="254" w:lineRule="auto"/>
        <w:jc w:val="both"/>
        <w:textAlignment w:val="baseline"/>
        <w:rPr>
          <w:rFonts w:eastAsia="Calibri"/>
        </w:rPr>
      </w:pPr>
      <w:r>
        <w:br/>
      </w:r>
      <w:r w:rsidR="6352B700" w:rsidRPr="006B44CD">
        <w:rPr>
          <w:rFonts w:eastAsia="Calibri"/>
        </w:rPr>
        <w:t>Oversupply of labour is often absorbed by the informal sector to some extent. While this sector was already significant in Egypt, it has now increased to almost 70</w:t>
      </w:r>
      <w:r w:rsidR="6352B700" w:rsidRPr="5CF61BAE">
        <w:t xml:space="preserve"> percent</w:t>
      </w:r>
      <w:r w:rsidR="6352B700" w:rsidRPr="006B44CD">
        <w:rPr>
          <w:rFonts w:eastAsia="Calibri"/>
        </w:rPr>
        <w:t xml:space="preserve"> of the size of the formal sector due to global and domestic factors</w:t>
      </w:r>
      <w:r w:rsidR="006C5BCE" w:rsidRPr="4D27054C">
        <w:rPr>
          <w:sz w:val="16"/>
          <w:szCs w:val="16"/>
          <w:vertAlign w:val="superscript"/>
        </w:rPr>
        <w:footnoteReference w:id="28"/>
      </w:r>
      <w:r w:rsidR="6352B700" w:rsidRPr="006B44CD">
        <w:rPr>
          <w:rFonts w:eastAsia="Calibri"/>
        </w:rPr>
        <w:t>. Women in Egypt are highly represented in the public sector and informal labour markets. This dependency on informal work does not facilitate access to social protection such as social insurance or maternity leave, as well as being characterised by greater job insecurity, unregulated conditions and lower wages</w:t>
      </w:r>
      <w:r w:rsidR="006C5BCE" w:rsidRPr="4D27054C">
        <w:rPr>
          <w:sz w:val="16"/>
          <w:szCs w:val="16"/>
          <w:vertAlign w:val="superscript"/>
        </w:rPr>
        <w:footnoteReference w:id="29"/>
      </w:r>
      <w:r w:rsidR="4D27054C" w:rsidRPr="4D27054C">
        <w:rPr>
          <w:rFonts w:eastAsia="Calibri"/>
        </w:rPr>
        <w:t>.</w:t>
      </w:r>
    </w:p>
    <w:p w14:paraId="2CD876EF" w14:textId="77777777" w:rsidR="00403526" w:rsidRPr="006B44CD" w:rsidRDefault="00403526" w:rsidP="516AEA60">
      <w:pPr>
        <w:suppressAutoHyphens/>
        <w:autoSpaceDN w:val="0"/>
        <w:spacing w:line="254" w:lineRule="auto"/>
        <w:jc w:val="both"/>
        <w:textAlignment w:val="baseline"/>
        <w:rPr>
          <w:rFonts w:eastAsia="Calibri"/>
        </w:rPr>
      </w:pPr>
    </w:p>
    <w:p w14:paraId="3403434F" w14:textId="486AF4CB" w:rsidR="00296021" w:rsidRDefault="6352B700" w:rsidP="516AEA60">
      <w:pPr>
        <w:suppressAutoHyphens/>
        <w:autoSpaceDN w:val="0"/>
        <w:spacing w:line="254" w:lineRule="auto"/>
        <w:jc w:val="both"/>
        <w:textAlignment w:val="baseline"/>
        <w:rPr>
          <w:rFonts w:eastAsia="Calibri"/>
        </w:rPr>
      </w:pPr>
      <w:r w:rsidRPr="006B44CD">
        <w:rPr>
          <w:rFonts w:eastAsia="Calibri"/>
        </w:rPr>
        <w:t>The outbreak of COVID-19 affected women in social, economic, and psychological terms, leading to the loss of jobs and income</w:t>
      </w:r>
      <w:r w:rsidR="6D18A54A" w:rsidRPr="2932B43C">
        <w:rPr>
          <w:rFonts w:eastAsia="Calibri"/>
        </w:rPr>
        <w:t>, decrease in women’s participation in higher level of education as well as</w:t>
      </w:r>
      <w:r w:rsidRPr="2932B43C">
        <w:rPr>
          <w:rFonts w:eastAsia="Calibri"/>
        </w:rPr>
        <w:t xml:space="preserve"> </w:t>
      </w:r>
      <w:r w:rsidRPr="006B44CD">
        <w:rPr>
          <w:rFonts w:eastAsia="Calibri"/>
        </w:rPr>
        <w:t>creating additional pressures on households. The pre-existing labour market challenges for women in Egypt have thus been exacerbated during the pandemic</w:t>
      </w:r>
      <w:r w:rsidR="006C5BCE" w:rsidRPr="4D27054C">
        <w:rPr>
          <w:rFonts w:eastAsia="Calibri"/>
          <w:sz w:val="16"/>
          <w:szCs w:val="16"/>
          <w:vertAlign w:val="superscript"/>
        </w:rPr>
        <w:footnoteReference w:id="30"/>
      </w:r>
      <w:r w:rsidRPr="4D27054C">
        <w:rPr>
          <w:rFonts w:eastAsia="Calibri"/>
          <w:sz w:val="16"/>
          <w:szCs w:val="16"/>
        </w:rPr>
        <w:t>.</w:t>
      </w:r>
      <w:r w:rsidRPr="006B44CD">
        <w:rPr>
          <w:rFonts w:eastAsia="Calibri"/>
        </w:rPr>
        <w:t xml:space="preserve">  The National Council for Women (NCW) has created a women policy tracker to monitor policies and measures introduced by the Egyptian government to promote the rights of women during the pandemic, of which five editions have been released to date</w:t>
      </w:r>
      <w:r w:rsidR="006C5BCE" w:rsidRPr="4D27054C">
        <w:rPr>
          <w:sz w:val="16"/>
          <w:szCs w:val="16"/>
          <w:vertAlign w:val="superscript"/>
        </w:rPr>
        <w:footnoteReference w:id="31"/>
      </w:r>
      <w:r w:rsidRPr="006B44CD">
        <w:rPr>
          <w:rFonts w:eastAsia="Calibri"/>
        </w:rPr>
        <w:t>. Egypt is implementing a "Closing the Gender Gap Accelerator" programme to advance women’s economic empowerment through private and public sector collaboration. This initiative is the first of its kind in the MENA region and shows the government’s prioritisation of investment in human capital as a key to Egypt’s sustainable development</w:t>
      </w:r>
      <w:r w:rsidR="006C5BCE" w:rsidRPr="4D27054C">
        <w:rPr>
          <w:sz w:val="16"/>
          <w:szCs w:val="16"/>
          <w:vertAlign w:val="superscript"/>
        </w:rPr>
        <w:footnoteReference w:id="32"/>
      </w:r>
      <w:r w:rsidRPr="4D27054C">
        <w:rPr>
          <w:sz w:val="16"/>
          <w:szCs w:val="16"/>
        </w:rPr>
        <w:t>.</w:t>
      </w:r>
    </w:p>
    <w:p w14:paraId="3F294CB9" w14:textId="026C6AC3" w:rsidR="00403526" w:rsidRDefault="00403526" w:rsidP="516AEA60">
      <w:pPr>
        <w:suppressAutoHyphens/>
        <w:autoSpaceDN w:val="0"/>
        <w:spacing w:line="254" w:lineRule="auto"/>
        <w:jc w:val="both"/>
        <w:textAlignment w:val="baseline"/>
        <w:rPr>
          <w:rFonts w:eastAsia="Calibri"/>
        </w:rPr>
      </w:pPr>
    </w:p>
    <w:p w14:paraId="184ABE68" w14:textId="109924AD" w:rsidR="0C0D694F" w:rsidRPr="006B44CD" w:rsidRDefault="0C0D694F" w:rsidP="08E1794F">
      <w:pPr>
        <w:spacing w:line="254" w:lineRule="auto"/>
        <w:jc w:val="both"/>
        <w:rPr>
          <w:rFonts w:eastAsia="Calibri"/>
          <w:b/>
          <w:bCs/>
        </w:rPr>
      </w:pPr>
      <w:r w:rsidRPr="006B44CD">
        <w:rPr>
          <w:rFonts w:eastAsia="Calibri"/>
          <w:b/>
          <w:bCs/>
        </w:rPr>
        <w:t xml:space="preserve">3.2 </w:t>
      </w:r>
      <w:r w:rsidR="4D8D54C9" w:rsidRPr="006B44CD">
        <w:rPr>
          <w:rFonts w:eastAsia="Calibri"/>
          <w:b/>
          <w:bCs/>
        </w:rPr>
        <w:t>Jordan</w:t>
      </w:r>
    </w:p>
    <w:p w14:paraId="09CD86ED" w14:textId="093127D8" w:rsidR="3F7AA944" w:rsidRPr="006B44CD" w:rsidRDefault="7BA441F2" w:rsidP="4D27054C">
      <w:pPr>
        <w:spacing w:line="257" w:lineRule="auto"/>
        <w:jc w:val="both"/>
      </w:pPr>
      <w:r w:rsidRPr="4D27054C">
        <w:t xml:space="preserve">Jordan has witnessed positive developments in recent years to enhance women’s rights and economic empowerment. The most recent one being the Constitutional </w:t>
      </w:r>
      <w:r w:rsidR="5E2E4165" w:rsidRPr="5CF61BAE">
        <w:rPr>
          <w:color w:val="000000" w:themeColor="text1"/>
        </w:rPr>
        <w:t>amendment which states that</w:t>
      </w:r>
      <w:r w:rsidR="5E2E4165" w:rsidRPr="4D27054C">
        <w:t xml:space="preserve"> "Jordanian men and women shall be equal before the law. There shall be no discrimination between them as regards to their rights and duties on grounds of race, language or religion"</w:t>
      </w:r>
      <w:r w:rsidR="02EB5877" w:rsidRPr="4D27054C">
        <w:rPr>
          <w:rStyle w:val="FootnoteReference"/>
          <w:sz w:val="16"/>
          <w:szCs w:val="16"/>
        </w:rPr>
        <w:footnoteReference w:id="33"/>
      </w:r>
      <w:r w:rsidR="5E2E4165" w:rsidRPr="4D27054C">
        <w:t xml:space="preserve">. The amendment is in line with the government's official goal to achieve gender equality by 2030. </w:t>
      </w:r>
      <w:r w:rsidRPr="4D27054C">
        <w:t xml:space="preserve">The National Women’s Strategy of Jordan (2012 – 2017) is presently under review, in anticipation that it will be closely aligned with (among other things) the Sustainable Development Agenda 2030, and in particular SDG 5. On another level in terms of policy “Jordan 2025 – A National Vision </w:t>
      </w:r>
      <w:r w:rsidRPr="4D27054C">
        <w:lastRenderedPageBreak/>
        <w:t>and Strategy (Jordan 2025)” has been developed. It aims to achieve balanced growth through a more diversified and competitive economic system while explicitly setting out “to strengthen the role of women in the political, economic and social spheres”. Achievements also included the organization of the Mashreq Conference on Women’s Economic Empowerment held in January 2019, resulting in the Mashreq Facility Plan</w:t>
      </w:r>
      <w:r w:rsidR="02EB5877" w:rsidRPr="5CF61BAE">
        <w:rPr>
          <w:rStyle w:val="FootnoteReference"/>
          <w:sz w:val="16"/>
          <w:szCs w:val="16"/>
        </w:rPr>
        <w:footnoteReference w:id="34"/>
      </w:r>
      <w:r w:rsidRPr="4D27054C">
        <w:t xml:space="preserve"> as an important reflection of national priorities. </w:t>
      </w:r>
    </w:p>
    <w:p w14:paraId="31364D59" w14:textId="78B9FB27" w:rsidR="2F25A3C9" w:rsidRDefault="2F25A3C9" w:rsidP="2F25A3C9">
      <w:pPr>
        <w:spacing w:line="257" w:lineRule="auto"/>
        <w:jc w:val="both"/>
        <w:rPr>
          <w:color w:val="FF0000"/>
        </w:rPr>
      </w:pPr>
    </w:p>
    <w:p w14:paraId="29A67213" w14:textId="3D3CD682" w:rsidR="3F7AA944" w:rsidRPr="006B44CD" w:rsidRDefault="7BA441F2" w:rsidP="4D27054C">
      <w:pPr>
        <w:spacing w:line="257" w:lineRule="auto"/>
        <w:jc w:val="both"/>
      </w:pPr>
      <w:r w:rsidRPr="5CF61BAE">
        <w:t>There is a strong national focus in Jordan on advancing gender-responsive labour laws. In this regard, in April 2019 Jordanian Parliament ratified amendments to the Labour Law (originally devised in 2010) to facilitate women’s employment and to support workers with care responsibilities. Moreover, Article 53 of the newly amended labour law criminalizes non-adherence to strict guidelines on equal pay for work of equal value between women and men, with fines of up to 1,000 Jordanian Dinars (JOD).</w:t>
      </w:r>
    </w:p>
    <w:p w14:paraId="2F86DDAA" w14:textId="4213AF34" w:rsidR="2F25A3C9" w:rsidRDefault="2F25A3C9" w:rsidP="2F25A3C9">
      <w:pPr>
        <w:spacing w:line="257" w:lineRule="auto"/>
        <w:jc w:val="both"/>
        <w:rPr>
          <w:color w:val="FF0000"/>
        </w:rPr>
      </w:pPr>
    </w:p>
    <w:p w14:paraId="2366EE89" w14:textId="39C24C4B" w:rsidR="3F7AA944" w:rsidRPr="006B44CD" w:rsidRDefault="7BA441F2" w:rsidP="4D27054C">
      <w:pPr>
        <w:spacing w:line="257" w:lineRule="auto"/>
        <w:jc w:val="both"/>
      </w:pPr>
      <w:r w:rsidRPr="4D27054C">
        <w:t>With ILO support, the Jordanian National Committee for Pay Equality (JNCPE), established in 2011, has been focused on reducing the gender pay gap, and was instrumental in ensuring the above-referenced amendment to the labour law on equal pay. The JNCPE is co-chaired by the Ministry of Labour and the Jordanian National Commission for Women (JNCW), and includes representation from employers’ organizations, workers’ organizations and other members of civil society.  It is also worth mentioning that the Gender Unit in the Ministry of Labour, in partnership with the Ministry of Education and the Employment and TVET Council, has developed a three-year gender action plan, focused on improving the number of women undertaking vocational courses of all types.</w:t>
      </w:r>
    </w:p>
    <w:p w14:paraId="2B8C013A" w14:textId="54CECE8C" w:rsidR="3F7AA944" w:rsidRPr="006B44CD" w:rsidRDefault="3F7AA944" w:rsidP="2468CF51">
      <w:pPr>
        <w:spacing w:line="257" w:lineRule="auto"/>
        <w:jc w:val="both"/>
      </w:pPr>
    </w:p>
    <w:p w14:paraId="0E189974" w14:textId="5EE9C3A9" w:rsidR="3F7AA944" w:rsidRPr="006B44CD" w:rsidRDefault="0D90FFDD" w:rsidP="4D27054C">
      <w:pPr>
        <w:spacing w:line="257" w:lineRule="auto"/>
        <w:jc w:val="both"/>
      </w:pPr>
      <w:r w:rsidRPr="4D27054C">
        <w:t>Despite the above indicated positive developments, challenges remain. Jordan has been dealing with political and socio-economic challenges for a decade, since the economic downturn of 2010. Since then, the Jordanian economy has not fully recovered which in turn demonstrates the fragility of the economy. Most recent World Bank data reveals that Jordanian GDP has retracted by (1.6%)</w:t>
      </w:r>
      <w:r w:rsidR="54C1EDB1" w:rsidRPr="4D27054C">
        <w:t xml:space="preserve"> in 2020, as compared to 2019</w:t>
      </w:r>
      <w:r w:rsidR="3F7AA944" w:rsidRPr="4D27054C">
        <w:rPr>
          <w:rStyle w:val="FootnoteReference"/>
          <w:sz w:val="16"/>
          <w:szCs w:val="16"/>
        </w:rPr>
        <w:footnoteReference w:id="35"/>
      </w:r>
      <w:r w:rsidR="54C1EDB1" w:rsidRPr="4D27054C">
        <w:t>. The economy grew by 1.8 percent in the first half of 2021 despite restrictions imposed due to the pandemic</w:t>
      </w:r>
      <w:r w:rsidR="3F7AA944" w:rsidRPr="006B44CD">
        <w:rPr>
          <w:rStyle w:val="FootnoteReference"/>
        </w:rPr>
        <w:footnoteReference w:id="36"/>
      </w:r>
      <w:r w:rsidR="149D2608" w:rsidRPr="4D27054C">
        <w:t xml:space="preserve">. </w:t>
      </w:r>
      <w:r w:rsidR="0E9FEA9A" w:rsidRPr="4D27054C">
        <w:rPr>
          <w:lang w:val="en-US"/>
        </w:rPr>
        <w:t>The Syrian conflict has had a serious economic impact in the region. Jordan has been disproportionately hit by the associated refugee crisis and now hosts the largest refugee community in the world</w:t>
      </w:r>
      <w:r w:rsidR="3F7AA944" w:rsidRPr="4D27054C">
        <w:rPr>
          <w:rStyle w:val="FootnoteReference"/>
          <w:sz w:val="16"/>
          <w:szCs w:val="16"/>
        </w:rPr>
        <w:footnoteReference w:id="37"/>
      </w:r>
      <w:r w:rsidR="27E638C3" w:rsidRPr="4D27054C">
        <w:rPr>
          <w:rFonts w:ascii="Calibri" w:eastAsia="Calibri" w:hAnsi="Calibri" w:cs="Calibri"/>
          <w:sz w:val="20"/>
          <w:szCs w:val="20"/>
          <w:lang w:val="en-US"/>
        </w:rPr>
        <w:t xml:space="preserve">. </w:t>
      </w:r>
      <w:r w:rsidR="27E638C3" w:rsidRPr="4D27054C">
        <w:rPr>
          <w:lang w:val="en-US"/>
        </w:rPr>
        <w:t xml:space="preserve">According to the </w:t>
      </w:r>
      <w:r w:rsidR="27E638C3" w:rsidRPr="4D27054C">
        <w:t>UNHCR,</w:t>
      </w:r>
      <w:r w:rsidR="27E638C3" w:rsidRPr="4D27054C">
        <w:rPr>
          <w:lang w:val="en-US"/>
        </w:rPr>
        <w:t xml:space="preserve"> </w:t>
      </w:r>
      <w:r w:rsidR="27E638C3" w:rsidRPr="4D27054C">
        <w:t>753,282 refugees were registered in February 2021, out of which 664,414 were Syrian, with the others mostly Iraqi and Yemeni</w:t>
      </w:r>
      <w:r w:rsidR="3F7AA944" w:rsidRPr="4D27054C">
        <w:rPr>
          <w:rStyle w:val="FootnoteReference"/>
          <w:sz w:val="16"/>
          <w:szCs w:val="16"/>
        </w:rPr>
        <w:footnoteReference w:id="38"/>
      </w:r>
      <w:r w:rsidR="27E638C3" w:rsidRPr="4D27054C">
        <w:t>. The Jordanian government has flagged that these official registrations do not capture the full extent of the issue. It is likely that the actual total is around 1.3 million people</w:t>
      </w:r>
      <w:r w:rsidR="3F7AA944" w:rsidRPr="4D27054C">
        <w:rPr>
          <w:rStyle w:val="FootnoteReference"/>
          <w:sz w:val="16"/>
          <w:szCs w:val="16"/>
        </w:rPr>
        <w:footnoteReference w:id="39"/>
      </w:r>
      <w:r w:rsidR="4D27054C" w:rsidRPr="4D27054C">
        <w:t>.</w:t>
      </w:r>
    </w:p>
    <w:p w14:paraId="15892477" w14:textId="60A2B583" w:rsidR="3F7AA944" w:rsidRPr="006B44CD" w:rsidRDefault="3F7AA944" w:rsidP="5DC39AF9">
      <w:pPr>
        <w:spacing w:line="257" w:lineRule="auto"/>
        <w:jc w:val="both"/>
        <w:rPr>
          <w:rStyle w:val="FootnoteReference"/>
          <w:color w:val="FF0000"/>
        </w:rPr>
      </w:pPr>
    </w:p>
    <w:p w14:paraId="1F8501C1" w14:textId="7B531F9B" w:rsidR="3F7AA944" w:rsidRPr="006B44CD" w:rsidRDefault="2FEB325B" w:rsidP="2932B43C">
      <w:pPr>
        <w:jc w:val="both"/>
        <w:rPr>
          <w:highlight w:val="yellow"/>
        </w:rPr>
      </w:pPr>
      <w:r>
        <w:t>I</w:t>
      </w:r>
      <w:r w:rsidRPr="2932B43C">
        <w:t xml:space="preserve">n every economic crisis, women are at greater risk of job loss or wage cuts. This is true in case of Jordan as well. Jordan ranks 131st out of 156 countries in the 2021 Global Gender Gap Index (In 2017, Jordan ranked 135th out of 144 countries overall in the World Economic Forum’s 2017 </w:t>
      </w:r>
      <w:r w:rsidRPr="2932B43C">
        <w:lastRenderedPageBreak/>
        <w:t>Global Gender Gap report)</w:t>
      </w:r>
      <w:r w:rsidR="31D6887D" w:rsidRPr="4D27054C">
        <w:rPr>
          <w:rStyle w:val="FootnoteReference"/>
          <w:sz w:val="16"/>
          <w:szCs w:val="16"/>
        </w:rPr>
        <w:footnoteReference w:id="40"/>
      </w:r>
      <w:r w:rsidRPr="2932B43C">
        <w:t>. It also ranks 133rd on Economic Participation and Opportunity subindex as of 2021. W</w:t>
      </w:r>
      <w:r w:rsidR="433F2934" w:rsidRPr="51AE5A5A">
        <w:t>omen’s participation in the labour force stands at 15.6 percent, representing a 77 percent gap between males and females</w:t>
      </w:r>
      <w:r w:rsidR="3F7AA944" w:rsidRPr="4D27054C">
        <w:rPr>
          <w:rStyle w:val="FootnoteReference"/>
          <w:sz w:val="16"/>
          <w:szCs w:val="16"/>
        </w:rPr>
        <w:footnoteReference w:id="41"/>
      </w:r>
      <w:r w:rsidR="4D27054C">
        <w:t>.</w:t>
      </w:r>
    </w:p>
    <w:p w14:paraId="526A3E72" w14:textId="31DD703E" w:rsidR="3F7AA944" w:rsidRPr="006B44CD" w:rsidRDefault="3F7AA944" w:rsidP="0268ABBD">
      <w:pPr>
        <w:jc w:val="both"/>
        <w:rPr>
          <w:highlight w:val="yellow"/>
        </w:rPr>
      </w:pPr>
    </w:p>
    <w:p w14:paraId="0B265B00" w14:textId="71E76CBF" w:rsidR="3F7AA944" w:rsidRPr="00516BD4" w:rsidRDefault="2FEB325B" w:rsidP="2932B43C">
      <w:pPr>
        <w:jc w:val="both"/>
        <w:rPr>
          <w:highlight w:val="yellow"/>
        </w:rPr>
      </w:pPr>
      <w:r w:rsidRPr="006B44CD">
        <w:t>The unemployment rate in 2020 was 23 percent for males, 28.6 percent for women, and 42.2 percent for young aged 20-24 years</w:t>
      </w:r>
      <w:r w:rsidR="31D6887D" w:rsidRPr="4D27054C">
        <w:rPr>
          <w:rStyle w:val="FootnoteReference"/>
          <w:sz w:val="16"/>
          <w:szCs w:val="16"/>
        </w:rPr>
        <w:footnoteReference w:id="42"/>
      </w:r>
      <w:r w:rsidRPr="006B44CD">
        <w:t>. The labor market has also been marked by chronically low levels of labor force participation of 39.1 percent on average, with women accounting for 14.6 percent, as well as a substantially fragmented labor market split along gender and migrant status lines. The Covid-19 pandemic's socioeconomic impact has aggravated these aspects of the Jordanian labor market</w:t>
      </w:r>
      <w:r w:rsidR="3F7AA944" w:rsidRPr="4D27054C">
        <w:rPr>
          <w:rStyle w:val="FootnoteReference"/>
          <w:sz w:val="16"/>
          <w:szCs w:val="16"/>
        </w:rPr>
        <w:footnoteReference w:id="43"/>
      </w:r>
      <w:r w:rsidR="77763565" w:rsidRPr="4D27054C">
        <w:rPr>
          <w:rStyle w:val="FootnoteReference"/>
          <w:sz w:val="16"/>
          <w:szCs w:val="16"/>
        </w:rPr>
        <w:t xml:space="preserve">. </w:t>
      </w:r>
      <w:r w:rsidR="77763565" w:rsidRPr="51AE5A5A">
        <w:rPr>
          <w:rStyle w:val="FootnoteReference"/>
        </w:rPr>
        <w:t xml:space="preserve"> </w:t>
      </w:r>
    </w:p>
    <w:p w14:paraId="74989DA2" w14:textId="2DD5731C" w:rsidR="4D27054C" w:rsidRDefault="4D27054C" w:rsidP="4D27054C">
      <w:pPr>
        <w:jc w:val="both"/>
        <w:rPr>
          <w:rStyle w:val="FootnoteReference"/>
        </w:rPr>
      </w:pPr>
    </w:p>
    <w:p w14:paraId="0822778C" w14:textId="42DCC6CC" w:rsidR="3F7AA944" w:rsidRDefault="2FEB325B" w:rsidP="33A8402B">
      <w:pPr>
        <w:spacing w:line="252" w:lineRule="exact"/>
        <w:jc w:val="both"/>
        <w:rPr>
          <w:vertAlign w:val="superscript"/>
        </w:rPr>
      </w:pPr>
      <w:r w:rsidRPr="006B44CD">
        <w:t>In Jordan, most of the population resides in urban settings, Amman (the capital) being the area with the highest population density</w:t>
      </w:r>
      <w:r w:rsidR="3F7AA944" w:rsidRPr="4D27054C">
        <w:rPr>
          <w:rStyle w:val="FootnoteReference"/>
          <w:sz w:val="16"/>
          <w:szCs w:val="16"/>
        </w:rPr>
        <w:footnoteReference w:id="44"/>
      </w:r>
      <w:r w:rsidRPr="006B44CD">
        <w:t>. Jordan ranks the 4</w:t>
      </w:r>
      <w:r w:rsidRPr="006B44CD">
        <w:rPr>
          <w:vertAlign w:val="superscript"/>
        </w:rPr>
        <w:t>th</w:t>
      </w:r>
      <w:r w:rsidRPr="006B44CD">
        <w:t xml:space="preserve"> highest rate of urbanization in the MENA region. From 2010-2020, Jordan’s rate of urbanization amounts to 91.42 percent</w:t>
      </w:r>
      <w:r w:rsidR="3F7AA944" w:rsidRPr="4D27054C">
        <w:rPr>
          <w:rStyle w:val="FootnoteReference"/>
          <w:sz w:val="16"/>
          <w:szCs w:val="16"/>
        </w:rPr>
        <w:footnoteReference w:id="45"/>
      </w:r>
      <w:r w:rsidRPr="006B44CD">
        <w:t>. Jordan having such a high rate of urbanization contributes to the reduction to women’s access to jobs due to the social associated dislocation of families from childcare via the extended family.</w:t>
      </w:r>
    </w:p>
    <w:p w14:paraId="2AC3541B" w14:textId="77777777" w:rsidR="0000756D" w:rsidRPr="006B44CD" w:rsidRDefault="0000756D" w:rsidP="08E1794F">
      <w:pPr>
        <w:spacing w:line="252" w:lineRule="exact"/>
        <w:jc w:val="both"/>
      </w:pPr>
    </w:p>
    <w:p w14:paraId="6B52398A" w14:textId="446D1370" w:rsidR="3F7AA944" w:rsidRDefault="2FEB325B" w:rsidP="08E1794F">
      <w:pPr>
        <w:spacing w:line="252" w:lineRule="exact"/>
        <w:jc w:val="both"/>
      </w:pPr>
      <w:r w:rsidRPr="006B44CD">
        <w:t>The National Financial Inclusion Strategy was successful in increasing financial inclusion in Jordan to 50 percent and lowering the gender gap to 29 percent by the end of 2020. Furthermore, according to the World Bank's 2020 Doing Business Report, Jordan placed fourth in the acquiring credit index of 134. Only 33 percent of adults, 27 percent of women are included in financial account ownership- higher than the percentages currently present in the MENA region but low in comparison to global standards</w:t>
      </w:r>
      <w:r w:rsidR="3F7AA944" w:rsidRPr="4D27054C">
        <w:rPr>
          <w:rStyle w:val="FootnoteReference"/>
          <w:sz w:val="16"/>
          <w:szCs w:val="16"/>
        </w:rPr>
        <w:footnoteReference w:id="46"/>
      </w:r>
      <w:r w:rsidR="4D27054C">
        <w:t>.</w:t>
      </w:r>
    </w:p>
    <w:p w14:paraId="6ACC837A" w14:textId="77777777" w:rsidR="0000756D" w:rsidRPr="006B44CD" w:rsidRDefault="0000756D" w:rsidP="08E1794F">
      <w:pPr>
        <w:spacing w:line="252" w:lineRule="exact"/>
        <w:jc w:val="both"/>
      </w:pPr>
    </w:p>
    <w:p w14:paraId="2570AF24" w14:textId="2F539D3D" w:rsidR="3F7AA944" w:rsidRDefault="2FEB325B" w:rsidP="08E1794F">
      <w:pPr>
        <w:spacing w:line="252" w:lineRule="exact"/>
        <w:jc w:val="both"/>
      </w:pPr>
      <w:r w:rsidRPr="006B44CD">
        <w:t>In late 2020, Jordan’s new parliament had a reduced number of women delegates (a reduction from 20 to 15), with no woman elected outside of the quota system. This setback in gender inclusion is likely to have a considerable effect in terms of regulatory reform in a period where two gender-related labour articles are open for reform (</w:t>
      </w:r>
      <w:r w:rsidR="2FF8CECF">
        <w:t xml:space="preserve">violence and </w:t>
      </w:r>
      <w:r w:rsidRPr="006B44CD">
        <w:t xml:space="preserve">harassment in the </w:t>
      </w:r>
      <w:r w:rsidR="2FF8CECF">
        <w:t>world of work</w:t>
      </w:r>
      <w:r w:rsidRPr="006B44CD">
        <w:t xml:space="preserve"> and closed occupations </w:t>
      </w:r>
      <w:r w:rsidR="2FF8CECF">
        <w:t xml:space="preserve">and working hours </w:t>
      </w:r>
      <w:r w:rsidRPr="006B44CD">
        <w:t>for women). The parliament has a considerable role in achieving such labour-related legal reforms and introducing and enacting gender-responsive budgeting tools</w:t>
      </w:r>
      <w:r w:rsidR="3F7AA944" w:rsidRPr="4D27054C">
        <w:rPr>
          <w:rStyle w:val="FootnoteReference"/>
          <w:sz w:val="16"/>
          <w:szCs w:val="16"/>
        </w:rPr>
        <w:footnoteReference w:id="47"/>
      </w:r>
      <w:r w:rsidRPr="006B44CD">
        <w:rPr>
          <w:vertAlign w:val="superscript"/>
        </w:rPr>
        <w:t xml:space="preserve">. </w:t>
      </w:r>
      <w:r w:rsidRPr="006B44CD">
        <w:t>Only 9 percent of women participate in the cabinet, 12 percent engage in national legislature and 32 percent participate in local legislature, ranking Jordan 129/193 globally in the Women’s Power Index. According to the OECD assessment, Jordan has achieved significant progress in increasing women's participation in decision-making bodies during the last 15 years, but the rate of change is modest owing to "discriminatory societal norms and the adoption of temporary special measures for women outside quota"</w:t>
      </w:r>
      <w:r w:rsidR="3F7AA944" w:rsidRPr="4D27054C">
        <w:rPr>
          <w:rStyle w:val="FootnoteReference"/>
          <w:sz w:val="16"/>
          <w:szCs w:val="16"/>
        </w:rPr>
        <w:footnoteReference w:id="48"/>
      </w:r>
      <w:r w:rsidR="4D27054C">
        <w:t>.</w:t>
      </w:r>
    </w:p>
    <w:p w14:paraId="64775031" w14:textId="77777777" w:rsidR="0000756D" w:rsidRPr="006B44CD" w:rsidRDefault="0000756D" w:rsidP="08E1794F">
      <w:pPr>
        <w:spacing w:line="252" w:lineRule="exact"/>
        <w:jc w:val="both"/>
        <w:rPr>
          <w:vertAlign w:val="superscript"/>
        </w:rPr>
      </w:pPr>
    </w:p>
    <w:p w14:paraId="2D583A8C" w14:textId="3C5DDDE2" w:rsidR="3F7AA944" w:rsidRDefault="2FEB325B" w:rsidP="4D27054C">
      <w:pPr>
        <w:spacing w:line="252" w:lineRule="exact"/>
        <w:jc w:val="both"/>
      </w:pPr>
      <w:r w:rsidRPr="4D27054C">
        <w:rPr>
          <w:lang w:val="en-IE"/>
        </w:rPr>
        <w:t>The challenge of Syrian refugees in Jordan is also relevant in terms of women in the workplace. Despite efforts by government</w:t>
      </w:r>
      <w:r w:rsidRPr="4D27054C">
        <w:t xml:space="preserve">, different donors, the UN and non-governmental organisations, the impact on women in refugee and host communities remains acute. For Syrian refugee women in Jordan, </w:t>
      </w:r>
      <w:r w:rsidR="3E0C0461" w:rsidRPr="4D27054C">
        <w:t xml:space="preserve">female participation in </w:t>
      </w:r>
      <w:r w:rsidRPr="4D27054C">
        <w:t xml:space="preserve">the </w:t>
      </w:r>
      <w:r w:rsidR="3E0C0461" w:rsidRPr="4D27054C">
        <w:t>labour force rate stands</w:t>
      </w:r>
      <w:r w:rsidRPr="4D27054C">
        <w:rPr>
          <w:rFonts w:ascii="Calibri" w:hAnsi="Calibri"/>
          <w:sz w:val="20"/>
          <w:szCs w:val="20"/>
        </w:rPr>
        <w:t xml:space="preserve"> </w:t>
      </w:r>
      <w:r w:rsidRPr="4D27054C">
        <w:t xml:space="preserve">at 7 percent compared to 51 percent for </w:t>
      </w:r>
      <w:r w:rsidRPr="4D27054C">
        <w:lastRenderedPageBreak/>
        <w:t>men</w:t>
      </w:r>
      <w:r w:rsidR="78E21214" w:rsidRPr="4D27054C">
        <w:t>, which is much lower than the national female rate of participation of 15.3 percent, compared to 67.8 percent for men</w:t>
      </w:r>
      <w:r w:rsidRPr="4D27054C">
        <w:t>. Some 39 percent of Syrian refugee households are headed by women, who are often widows, divorcees or relatives facing additional challenges in accessing assistance and decent work</w:t>
      </w:r>
      <w:r w:rsidR="3F7AA944" w:rsidRPr="4D27054C">
        <w:rPr>
          <w:rStyle w:val="FootnoteReference"/>
          <w:sz w:val="16"/>
          <w:szCs w:val="16"/>
        </w:rPr>
        <w:footnoteReference w:id="49"/>
      </w:r>
      <w:r w:rsidR="4D27054C" w:rsidRPr="4D27054C">
        <w:t>.</w:t>
      </w:r>
    </w:p>
    <w:p w14:paraId="1DDFE44E" w14:textId="77777777" w:rsidR="0000756D" w:rsidRPr="006B44CD" w:rsidRDefault="0000756D" w:rsidP="08E1794F">
      <w:pPr>
        <w:spacing w:line="252" w:lineRule="exact"/>
        <w:jc w:val="both"/>
        <w:rPr>
          <w:vertAlign w:val="superscript"/>
        </w:rPr>
      </w:pPr>
    </w:p>
    <w:p w14:paraId="7D78DE60" w14:textId="5A06F48A" w:rsidR="3F7AA944" w:rsidRPr="006B44CD" w:rsidRDefault="2FEB325B" w:rsidP="4D27054C">
      <w:pPr>
        <w:spacing w:line="252" w:lineRule="exact"/>
        <w:jc w:val="both"/>
      </w:pPr>
      <w:r w:rsidRPr="4D27054C">
        <w:t>In the COVID 19 era, Jordan’s economy faces multiple challenges and there is little available funding for social protection, despite increased demand for such support and services. Unemployment rates during the pandemic jumped from 19.1 percent in 2019 to 23.9 percent in 2020</w:t>
      </w:r>
      <w:r w:rsidR="3F7AA944" w:rsidRPr="4D27054C">
        <w:rPr>
          <w:rStyle w:val="FootnoteReference"/>
          <w:sz w:val="16"/>
          <w:szCs w:val="16"/>
        </w:rPr>
        <w:footnoteReference w:id="50"/>
      </w:r>
      <w:r w:rsidRPr="4D27054C">
        <w:t>. Women’s unemployment increased to 33.6 percent in 2020 (a jump of 6.1 percentage points), while men’s unemployment rate increased to 21.2 percent, (a jump of 4.1 percentage points) in the same period</w:t>
      </w:r>
      <w:r w:rsidR="3F7AA944" w:rsidRPr="4D27054C">
        <w:rPr>
          <w:rStyle w:val="FootnoteReference"/>
          <w:sz w:val="16"/>
          <w:szCs w:val="16"/>
        </w:rPr>
        <w:footnoteReference w:id="51"/>
      </w:r>
      <w:r w:rsidR="28A7C3C8" w:rsidRPr="4D27054C">
        <w:t>. The</w:t>
      </w:r>
      <w:r w:rsidRPr="4D27054C">
        <w:t xml:space="preserve"> disproportionally high increase in women’s unemployment is of particular concern when it is noted that women’s employment was only 10.3 percent in 2019</w:t>
      </w:r>
      <w:r w:rsidR="3F7AA944" w:rsidRPr="4D27054C">
        <w:rPr>
          <w:rStyle w:val="FootnoteReference"/>
          <w:sz w:val="16"/>
          <w:szCs w:val="16"/>
        </w:rPr>
        <w:footnoteReference w:id="52"/>
      </w:r>
      <w:r w:rsidRPr="4D27054C">
        <w:t xml:space="preserve">. Time-use estimations for Jordan show </w:t>
      </w:r>
      <w:r w:rsidR="716119C9" w:rsidRPr="4D27054C">
        <w:t>a very considerable</w:t>
      </w:r>
      <w:r w:rsidRPr="4D27054C">
        <w:t xml:space="preserve"> unpaid </w:t>
      </w:r>
      <w:r w:rsidR="716119C9" w:rsidRPr="4D27054C">
        <w:t xml:space="preserve">care </w:t>
      </w:r>
      <w:r w:rsidRPr="4D27054C">
        <w:t xml:space="preserve">work </w:t>
      </w:r>
      <w:r w:rsidR="716119C9" w:rsidRPr="4D27054C">
        <w:t>gap between men and women, reaching a ratio of 17:1</w:t>
      </w:r>
      <w:r w:rsidR="3F7AA944" w:rsidRPr="4D27054C">
        <w:rPr>
          <w:rStyle w:val="FootnoteReference"/>
          <w:sz w:val="16"/>
          <w:szCs w:val="16"/>
        </w:rPr>
        <w:footnoteReference w:id="53"/>
      </w:r>
      <w:r w:rsidR="716119C9" w:rsidRPr="4D27054C">
        <w:t xml:space="preserve">. They show the </w:t>
      </w:r>
      <w:r w:rsidRPr="4D27054C">
        <w:t xml:space="preserve">demands </w:t>
      </w:r>
      <w:r w:rsidR="716119C9" w:rsidRPr="4D27054C">
        <w:t>of unpaid work</w:t>
      </w:r>
      <w:r w:rsidRPr="4D27054C">
        <w:t xml:space="preserve"> on women’s time will dramatically increase during the pandemic due to school closures (increased childcare demands), suspension of market services (increased demand for household production of goods and services), and higher risk of illness for the elderly (increased caring demands).</w:t>
      </w:r>
    </w:p>
    <w:p w14:paraId="7017F8B5" w14:textId="3A0D8B51" w:rsidR="4D27054C" w:rsidRDefault="4D27054C" w:rsidP="4D27054C">
      <w:pPr>
        <w:spacing w:line="252" w:lineRule="exact"/>
        <w:jc w:val="both"/>
      </w:pPr>
    </w:p>
    <w:p w14:paraId="56EFC50B" w14:textId="4436DDBC" w:rsidR="006C5BCE" w:rsidRPr="006B44CD" w:rsidRDefault="22F94402" w:rsidP="4D27054C">
      <w:pPr>
        <w:spacing w:line="257" w:lineRule="auto"/>
        <w:jc w:val="both"/>
        <w:rPr>
          <w:b/>
          <w:bCs/>
        </w:rPr>
      </w:pPr>
      <w:r w:rsidRPr="4D27054C">
        <w:rPr>
          <w:b/>
          <w:bCs/>
        </w:rPr>
        <w:t xml:space="preserve">3.3 </w:t>
      </w:r>
      <w:r w:rsidR="7F75F057" w:rsidRPr="4D27054C">
        <w:rPr>
          <w:b/>
          <w:bCs/>
        </w:rPr>
        <w:t>Palestine</w:t>
      </w:r>
    </w:p>
    <w:p w14:paraId="0BB798A4" w14:textId="08E5DB22" w:rsidR="3F7AA944" w:rsidRPr="006B44CD" w:rsidRDefault="5FB9B1DB" w:rsidP="4D27054C">
      <w:pPr>
        <w:spacing w:line="257" w:lineRule="auto"/>
        <w:jc w:val="both"/>
      </w:pPr>
      <w:r w:rsidRPr="4D27054C">
        <w:t xml:space="preserve">There were also developments in recent years in Palestine, with the Palestinian government’s </w:t>
      </w:r>
      <w:r w:rsidRPr="5CF61BAE">
        <w:rPr>
          <w:i/>
          <w:iCs/>
        </w:rPr>
        <w:t>National Policy Agenda (2017-2022)</w:t>
      </w:r>
      <w:r w:rsidRPr="4D27054C">
        <w:t xml:space="preserve"> making clear that creating a positive enabling environment for working women is a national priority. The document stipulates that all government departments and agencies must ensure that all policies across all areas are gender responsive.</w:t>
      </w:r>
      <w:r w:rsidR="312F49EF" w:rsidRPr="4D27054C">
        <w:rPr>
          <w:rStyle w:val="FootnoteReference"/>
          <w:sz w:val="16"/>
          <w:szCs w:val="16"/>
        </w:rPr>
        <w:footnoteReference w:id="54"/>
      </w:r>
      <w:r w:rsidRPr="4D27054C">
        <w:t xml:space="preserve"> Moreover, the National Action Plan to implement UN Security Resolution 1325 was adopted in 2016, illustrating the government’s commitment to including women in peacebuilding and nation-building, and to include them in social, political and economic reform and growth.  On another level, the entire Palestinian Labour Code is being reviewed and the government is open to reforming labour laws to make them more gender responsive. </w:t>
      </w:r>
    </w:p>
    <w:p w14:paraId="2BDF12C7" w14:textId="0EFAEED0" w:rsidR="006C5BCE" w:rsidRPr="006B44CD" w:rsidRDefault="4D8D54C9" w:rsidP="4D27054C">
      <w:pPr>
        <w:spacing w:line="252" w:lineRule="exact"/>
        <w:jc w:val="both"/>
      </w:pPr>
      <w:r>
        <w:br/>
      </w:r>
      <w:r w:rsidR="7F75F057" w:rsidRPr="4D27054C">
        <w:t>Women’s labour force participation in Palestine remains extremely low in terms of global and regional standards despite high levels of educational attainment. According</w:t>
      </w:r>
      <w:r w:rsidR="5F7A154B" w:rsidRPr="4D27054C">
        <w:t xml:space="preserve"> to the Results of the Labour Force Survey, 2021 by Palestine Palestinian Central Bureau of Statistics, the unemployment rate among labour force participants in Palestine reached 26 percent in 2021, and the total labour underutilization reached 34 percent</w:t>
      </w:r>
      <w:r w:rsidRPr="4D27054C">
        <w:rPr>
          <w:rStyle w:val="FootnoteReference"/>
          <w:sz w:val="16"/>
          <w:szCs w:val="16"/>
        </w:rPr>
        <w:footnoteReference w:id="55"/>
      </w:r>
      <w:r w:rsidR="5F7A154B" w:rsidRPr="4D27054C">
        <w:t>. There is a large gap in the labour force participation rate between males and females. About 7 out of 10 of males participated in the labor force, compared with about 2 out of 10 of females, and the rate of female participation in the labor force was 17% compared to 69 percent for males. There is also a large disparity in the labour force participation rate between the West Bank and Gaza Strip, as this rate reached 39 percent in Gaza Strip compared to 46 percent in the West Bank</w:t>
      </w:r>
      <w:r w:rsidRPr="4D27054C">
        <w:rPr>
          <w:rStyle w:val="FootnoteReference"/>
          <w:sz w:val="16"/>
          <w:szCs w:val="16"/>
        </w:rPr>
        <w:footnoteReference w:id="56"/>
      </w:r>
      <w:r w:rsidR="4D27054C" w:rsidRPr="4D27054C">
        <w:t>.</w:t>
      </w:r>
    </w:p>
    <w:p w14:paraId="5B4ADAC9" w14:textId="4FB2B87C" w:rsidR="3F7AA944" w:rsidRPr="006B44CD" w:rsidRDefault="3F7AA944" w:rsidP="1F56324F">
      <w:pPr>
        <w:spacing w:line="252" w:lineRule="exact"/>
        <w:jc w:val="both"/>
      </w:pPr>
    </w:p>
    <w:p w14:paraId="79B9DACE" w14:textId="584CBA17" w:rsidR="006C5BCE" w:rsidRDefault="7F75F057" w:rsidP="4D27054C">
      <w:pPr>
        <w:suppressAutoHyphens/>
        <w:autoSpaceDN w:val="0"/>
        <w:spacing w:line="240" w:lineRule="exact"/>
        <w:jc w:val="both"/>
        <w:textAlignment w:val="baseline"/>
        <w:rPr>
          <w:rFonts w:eastAsia="Calibri"/>
        </w:rPr>
      </w:pPr>
      <w:r w:rsidRPr="006B44CD">
        <w:rPr>
          <w:rFonts w:eastAsia="Calibri"/>
        </w:rPr>
        <w:lastRenderedPageBreak/>
        <w:t>In 2015, only 6.6 percent of female school leavers aged between 15 and 29 had successfully transitioned to the labour market, compared to 44.8 percent of males. 58.5 percent of female school leavers were neither in education not categorised as having a desire to work, compared to 25 percent of young men. Cultural factors likely had a significant influence on these figures</w:t>
      </w:r>
      <w:r w:rsidR="006C5BCE" w:rsidRPr="4D27054C">
        <w:rPr>
          <w:sz w:val="16"/>
          <w:szCs w:val="16"/>
          <w:vertAlign w:val="superscript"/>
        </w:rPr>
        <w:footnoteReference w:id="57"/>
      </w:r>
      <w:r w:rsidR="4A0B25DC">
        <w:rPr>
          <w:rFonts w:eastAsia="Calibri"/>
        </w:rPr>
        <w:t xml:space="preserve">. </w:t>
      </w:r>
      <w:r w:rsidRPr="006B44CD">
        <w:rPr>
          <w:rFonts w:eastAsia="Calibri"/>
        </w:rPr>
        <w:t>42.6 percent of public sector positions were held by men, though they had lower labour force participation rates, and this sector represented 26.6 percent of the female labour force</w:t>
      </w:r>
      <w:r w:rsidR="006C5BCE" w:rsidRPr="4D27054C">
        <w:rPr>
          <w:sz w:val="16"/>
          <w:szCs w:val="16"/>
          <w:vertAlign w:val="superscript"/>
        </w:rPr>
        <w:footnoteReference w:id="58"/>
      </w:r>
      <w:r w:rsidRPr="006B44CD">
        <w:rPr>
          <w:rFonts w:eastAsia="Calibri"/>
        </w:rPr>
        <w:t xml:space="preserve">. It is relevant that fiscal reforms and austerity measures are currently leading to reduced government spending, particularly </w:t>
      </w:r>
      <w:r w:rsidRPr="006B44CD">
        <w:rPr>
          <w:rFonts w:eastAsia="Calibri"/>
          <w:lang w:val="en-IE"/>
        </w:rPr>
        <w:t xml:space="preserve">affecting </w:t>
      </w:r>
      <w:r w:rsidRPr="006B44CD">
        <w:rPr>
          <w:rFonts w:eastAsia="Calibri"/>
        </w:rPr>
        <w:t>Gaza, and reducing the public sector’s capacity to engage new entrants to the world of work.</w:t>
      </w:r>
    </w:p>
    <w:p w14:paraId="128BE517" w14:textId="77777777" w:rsidR="0006070B" w:rsidRPr="006B44CD" w:rsidRDefault="0006070B" w:rsidP="516AEA60">
      <w:pPr>
        <w:suppressAutoHyphens/>
        <w:autoSpaceDN w:val="0"/>
        <w:spacing w:line="254" w:lineRule="auto"/>
        <w:jc w:val="both"/>
        <w:textAlignment w:val="baseline"/>
        <w:rPr>
          <w:rFonts w:eastAsia="Calibri"/>
        </w:rPr>
      </w:pPr>
    </w:p>
    <w:p w14:paraId="6A0C1335" w14:textId="3F1812FD" w:rsidR="006C5BCE" w:rsidRPr="006B44CD" w:rsidRDefault="7F75F057" w:rsidP="516AEA60">
      <w:pPr>
        <w:suppressAutoHyphens/>
        <w:autoSpaceDN w:val="0"/>
        <w:spacing w:line="254" w:lineRule="auto"/>
        <w:jc w:val="both"/>
        <w:textAlignment w:val="baseline"/>
        <w:rPr>
          <w:rFonts w:eastAsia="Calibri"/>
        </w:rPr>
      </w:pPr>
      <w:r w:rsidRPr="006B44CD">
        <w:rPr>
          <w:rFonts w:eastAsia="Calibri"/>
        </w:rPr>
        <w:t>The structure of female employment represents strong horizontal market segmentation. Women are primarily employed</w:t>
      </w:r>
      <w:r w:rsidR="321B30FB" w:rsidRPr="006B44CD">
        <w:rPr>
          <w:rFonts w:eastAsia="Calibri"/>
        </w:rPr>
        <w:t xml:space="preserve"> </w:t>
      </w:r>
      <w:r w:rsidRPr="006B44CD">
        <w:rPr>
          <w:rFonts w:eastAsia="Calibri"/>
        </w:rPr>
        <w:t>in agricultural (13.1 percent) and the service sector (62.9 percent)</w:t>
      </w:r>
      <w:r w:rsidR="006C5BCE" w:rsidRPr="4D27054C">
        <w:rPr>
          <w:sz w:val="16"/>
          <w:szCs w:val="16"/>
          <w:vertAlign w:val="superscript"/>
        </w:rPr>
        <w:footnoteReference w:id="59"/>
      </w:r>
      <w:r w:rsidR="4D27054C" w:rsidRPr="4D27054C">
        <w:rPr>
          <w:rFonts w:eastAsia="Calibri"/>
        </w:rPr>
        <w:t>.</w:t>
      </w:r>
    </w:p>
    <w:p w14:paraId="329B178E" w14:textId="499BAA2F" w:rsidR="1F56324F" w:rsidRDefault="1F56324F" w:rsidP="1F56324F">
      <w:pPr>
        <w:spacing w:line="254" w:lineRule="auto"/>
        <w:jc w:val="both"/>
      </w:pPr>
    </w:p>
    <w:p w14:paraId="46C20C00" w14:textId="1BE069F1" w:rsidR="006C5BCE" w:rsidRDefault="2BB947FC" w:rsidP="1F56324F">
      <w:pPr>
        <w:suppressAutoHyphens/>
        <w:autoSpaceDN w:val="0"/>
        <w:spacing w:line="254" w:lineRule="auto"/>
        <w:jc w:val="both"/>
        <w:textAlignment w:val="baseline"/>
        <w:rPr>
          <w:rFonts w:eastAsia="Calibri"/>
        </w:rPr>
      </w:pPr>
      <w:r w:rsidRPr="006B44CD">
        <w:rPr>
          <w:rFonts w:eastAsia="Calibri"/>
        </w:rPr>
        <w:t xml:space="preserve">The Palestinian Government’s Labour Sector Strategy 2017-2022 highlights the need to foster an enabling environment for integrating women into the labour market and reduce female unemployment. Success in this goal would improve household incomes, bolster the national social security system, promote entrepreneurialism and ensure that the economy is resistant to projected future age-dependency ratios. </w:t>
      </w:r>
    </w:p>
    <w:p w14:paraId="17CA159E" w14:textId="7F0F3230" w:rsidR="1F56324F" w:rsidRDefault="1F56324F" w:rsidP="1F56324F">
      <w:pPr>
        <w:spacing w:line="254" w:lineRule="auto"/>
        <w:jc w:val="both"/>
      </w:pPr>
    </w:p>
    <w:p w14:paraId="68524E8D" w14:textId="05066CD4" w:rsidR="006C5BCE" w:rsidRPr="006B44CD" w:rsidRDefault="7F75F057" w:rsidP="516AEA60">
      <w:pPr>
        <w:suppressAutoHyphens/>
        <w:autoSpaceDN w:val="0"/>
        <w:spacing w:line="254" w:lineRule="auto"/>
        <w:jc w:val="both"/>
        <w:textAlignment w:val="baseline"/>
        <w:rPr>
          <w:rFonts w:eastAsia="Calibri"/>
        </w:rPr>
      </w:pPr>
      <w:r w:rsidRPr="006B44CD">
        <w:rPr>
          <w:rFonts w:eastAsia="Calibri"/>
        </w:rPr>
        <w:t xml:space="preserve">In the COVID 19 era, an economy that was already in challenging </w:t>
      </w:r>
      <w:r w:rsidR="246CFFC3" w:rsidRPr="51AE5A5A">
        <w:rPr>
          <w:rFonts w:eastAsia="Calibri"/>
        </w:rPr>
        <w:t>circumstances,</w:t>
      </w:r>
      <w:r w:rsidRPr="006B44CD">
        <w:rPr>
          <w:rFonts w:eastAsia="Calibri"/>
        </w:rPr>
        <w:t xml:space="preserve"> has suffered from further difficulties, exacerbated by the pre-existing lack of freedom of movement and goods. A newly published United Nations report details the impact of the pandemic on the Palestinian economy in 2020, as well the negative effects on their institutions and the well-being of the populace. For example, during the first COVID-19 lockdown, approximately 150,000 Palestinians lost their jobs, 42 percent of households faced reductions in income of 50 percent, and just 31 percent of households were able to cover family expenses. 40 percent of the latter were households headed by women</w:t>
      </w:r>
      <w:r w:rsidR="006C5BCE" w:rsidRPr="4D27054C">
        <w:rPr>
          <w:sz w:val="16"/>
          <w:szCs w:val="16"/>
          <w:vertAlign w:val="superscript"/>
        </w:rPr>
        <w:footnoteReference w:id="60"/>
      </w:r>
      <w:r w:rsidRPr="4D27054C">
        <w:rPr>
          <w:sz w:val="16"/>
          <w:szCs w:val="16"/>
        </w:rPr>
        <w:t xml:space="preserve">. </w:t>
      </w:r>
      <w:r w:rsidRPr="006B44CD">
        <w:rPr>
          <w:rFonts w:eastAsia="Calibri"/>
        </w:rPr>
        <w:t xml:space="preserve"> </w:t>
      </w:r>
    </w:p>
    <w:p w14:paraId="0CC955CD" w14:textId="0244741C" w:rsidR="4D27054C" w:rsidRDefault="4D27054C" w:rsidP="4D27054C">
      <w:pPr>
        <w:spacing w:line="254" w:lineRule="auto"/>
        <w:jc w:val="both"/>
      </w:pPr>
    </w:p>
    <w:p w14:paraId="389C76D4" w14:textId="1398F48D" w:rsidR="006C5BCE" w:rsidRDefault="7F75F057" w:rsidP="516AEA60">
      <w:pPr>
        <w:suppressAutoHyphens/>
        <w:autoSpaceDN w:val="0"/>
        <w:spacing w:line="254" w:lineRule="auto"/>
        <w:jc w:val="both"/>
        <w:textAlignment w:val="baseline"/>
        <w:rPr>
          <w:rFonts w:eastAsia="Calibri"/>
        </w:rPr>
      </w:pPr>
      <w:r w:rsidRPr="006B44CD">
        <w:rPr>
          <w:rFonts w:eastAsia="Calibri"/>
        </w:rPr>
        <w:t>Based on data provided by the Palestinian General Federation of Trade Unions (PGFTU), almost 3,900 complaints were received from women workers in the first quarter of 2020, with 70 percent of such complaints about wage reductions and 30 percent about forcible dismissal, forced resignation and unpaid leave</w:t>
      </w:r>
      <w:r w:rsidR="006C5BCE" w:rsidRPr="4D27054C">
        <w:rPr>
          <w:sz w:val="16"/>
          <w:szCs w:val="16"/>
          <w:vertAlign w:val="superscript"/>
        </w:rPr>
        <w:footnoteReference w:id="61"/>
      </w:r>
      <w:r w:rsidR="4D27054C" w:rsidRPr="4D27054C">
        <w:rPr>
          <w:rFonts w:eastAsia="Calibri"/>
        </w:rPr>
        <w:t>.</w:t>
      </w:r>
    </w:p>
    <w:p w14:paraId="7BF83976" w14:textId="77777777" w:rsidR="0006070B" w:rsidRPr="006B44CD" w:rsidRDefault="0006070B" w:rsidP="516AEA60">
      <w:pPr>
        <w:suppressAutoHyphens/>
        <w:autoSpaceDN w:val="0"/>
        <w:spacing w:line="254" w:lineRule="auto"/>
        <w:jc w:val="both"/>
        <w:textAlignment w:val="baseline"/>
        <w:rPr>
          <w:rFonts w:eastAsia="Calibri"/>
        </w:rPr>
      </w:pPr>
    </w:p>
    <w:p w14:paraId="22E1077F" w14:textId="10414A96" w:rsidR="003E4A97" w:rsidRDefault="7F75F057" w:rsidP="4D27054C">
      <w:pPr>
        <w:suppressAutoHyphens/>
        <w:autoSpaceDN w:val="0"/>
        <w:spacing w:line="254" w:lineRule="auto"/>
        <w:jc w:val="both"/>
        <w:textAlignment w:val="baseline"/>
      </w:pPr>
      <w:r w:rsidRPr="4D27054C">
        <w:t>In June 2020, a rapid gender assessment in Palestine was conducted by UN Women. This found that school closures led an increased childcare burden on women and girls</w:t>
      </w:r>
      <w:r w:rsidR="4D8D54C9" w:rsidRPr="4D27054C">
        <w:rPr>
          <w:rStyle w:val="FootnoteReference"/>
          <w:sz w:val="16"/>
          <w:szCs w:val="16"/>
        </w:rPr>
        <w:footnoteReference w:id="62"/>
      </w:r>
      <w:r w:rsidRPr="4D27054C">
        <w:rPr>
          <w:sz w:val="16"/>
          <w:szCs w:val="16"/>
        </w:rPr>
        <w:t xml:space="preserve">. </w:t>
      </w:r>
      <w:r w:rsidRPr="4D27054C">
        <w:t xml:space="preserve">A survey </w:t>
      </w:r>
      <w:r w:rsidR="42FE05D6" w:rsidRPr="4D27054C">
        <w:t>by Arab World for Research and Development (AWRAD) found that 58 percent of women reported that their household duties increased, compared to 40 percent of men and 41 percent of women stated that childcare duties increased, compared to 32 percent of men</w:t>
      </w:r>
      <w:r w:rsidR="4D8D54C9" w:rsidRPr="4D27054C">
        <w:rPr>
          <w:rStyle w:val="FootnoteReference"/>
          <w:sz w:val="16"/>
          <w:szCs w:val="16"/>
        </w:rPr>
        <w:footnoteReference w:id="63"/>
      </w:r>
      <w:r w:rsidR="42FE05D6" w:rsidRPr="4D27054C">
        <w:rPr>
          <w:sz w:val="16"/>
          <w:szCs w:val="16"/>
        </w:rPr>
        <w:t xml:space="preserve">. </w:t>
      </w:r>
      <w:r w:rsidRPr="4D27054C">
        <w:t xml:space="preserve">This makes it more difficult for women to find employment or other means to generate income. This period was also marked by increased economic violence against women (such as unpaid or partially paid salaries), especially </w:t>
      </w:r>
      <w:r w:rsidRPr="4D27054C">
        <w:lastRenderedPageBreak/>
        <w:t>in private sector employment and the informal economy. A 2020 survey conducted by the Ministry of Women’s Affairs (MoWA) showed that 45 percent of women faced economic violence. Ministry of Social Development (MoSD) data for the period January-April 2020 showed that violence against women at the household level increased during the pandemic (including economic violence)</w:t>
      </w:r>
      <w:r w:rsidR="4D8D54C9" w:rsidRPr="4D27054C">
        <w:rPr>
          <w:rStyle w:val="FootnoteReference"/>
          <w:sz w:val="16"/>
          <w:szCs w:val="16"/>
        </w:rPr>
        <w:footnoteReference w:id="64"/>
      </w:r>
      <w:r w:rsidRPr="4D27054C">
        <w:t xml:space="preserve">. </w:t>
      </w:r>
    </w:p>
    <w:p w14:paraId="2373697E" w14:textId="77777777" w:rsidR="0006070B" w:rsidRPr="00617267" w:rsidRDefault="0006070B" w:rsidP="00617267">
      <w:pPr>
        <w:suppressAutoHyphens/>
        <w:autoSpaceDN w:val="0"/>
        <w:spacing w:line="254" w:lineRule="auto"/>
        <w:jc w:val="both"/>
        <w:textAlignment w:val="baseline"/>
        <w:rPr>
          <w:rFonts w:eastAsia="Calibri"/>
        </w:rPr>
      </w:pPr>
    </w:p>
    <w:p w14:paraId="4C506E67" w14:textId="5300A3A7" w:rsidR="3BAF1B68" w:rsidRPr="0006070B" w:rsidRDefault="69099399" w:rsidP="00354F87">
      <w:pPr>
        <w:pStyle w:val="Heading1"/>
        <w:numPr>
          <w:ilvl w:val="0"/>
          <w:numId w:val="34"/>
        </w:numPr>
        <w:spacing w:before="0" w:line="240" w:lineRule="auto"/>
        <w:ind w:left="357" w:hanging="357"/>
        <w:rPr>
          <w:rFonts w:ascii="Times New Roman" w:hAnsi="Times New Roman" w:cs="Times New Roman"/>
          <w:b/>
          <w:bCs/>
          <w:color w:val="4472C4" w:themeColor="accent1"/>
          <w:sz w:val="24"/>
          <w:szCs w:val="24"/>
        </w:rPr>
      </w:pPr>
      <w:bookmarkStart w:id="21" w:name="_Toc90825746"/>
      <w:bookmarkStart w:id="22" w:name="_Toc90825799"/>
      <w:bookmarkStart w:id="23" w:name="_Toc90825910"/>
      <w:bookmarkStart w:id="24" w:name="_Toc97453925"/>
      <w:r w:rsidRPr="5DC39AF9">
        <w:rPr>
          <w:rFonts w:ascii="Times New Roman" w:hAnsi="Times New Roman" w:cs="Times New Roman"/>
          <w:b/>
          <w:bCs/>
          <w:color w:val="4471C4"/>
          <w:sz w:val="24"/>
          <w:szCs w:val="24"/>
        </w:rPr>
        <w:t xml:space="preserve">Summary of the </w:t>
      </w:r>
      <w:r w:rsidR="1548C4BD" w:rsidRPr="5DC39AF9">
        <w:rPr>
          <w:rFonts w:ascii="Times New Roman" w:hAnsi="Times New Roman" w:cs="Times New Roman"/>
          <w:b/>
          <w:bCs/>
          <w:color w:val="4471C4"/>
          <w:sz w:val="24"/>
          <w:szCs w:val="24"/>
        </w:rPr>
        <w:t>Programme</w:t>
      </w:r>
      <w:bookmarkEnd w:id="21"/>
      <w:bookmarkEnd w:id="22"/>
      <w:bookmarkEnd w:id="23"/>
      <w:bookmarkEnd w:id="24"/>
      <w:r w:rsidR="1548C4BD" w:rsidRPr="5DC39AF9">
        <w:rPr>
          <w:rFonts w:ascii="Times New Roman" w:hAnsi="Times New Roman" w:cs="Times New Roman"/>
          <w:b/>
          <w:bCs/>
          <w:color w:val="4471C4"/>
          <w:sz w:val="24"/>
          <w:szCs w:val="24"/>
        </w:rPr>
        <w:t xml:space="preserve"> </w:t>
      </w:r>
    </w:p>
    <w:p w14:paraId="22173B78" w14:textId="375CD0AE" w:rsidR="4D27054C" w:rsidRDefault="4D27054C" w:rsidP="4D27054C"/>
    <w:p w14:paraId="51C5F373" w14:textId="5BC93031" w:rsidR="050676BD" w:rsidRPr="006B44CD" w:rsidRDefault="721FF722" w:rsidP="00354F87">
      <w:pPr>
        <w:jc w:val="both"/>
        <w:rPr>
          <w:color w:val="000000" w:themeColor="text1"/>
        </w:rPr>
      </w:pPr>
      <w:r w:rsidRPr="006B44CD">
        <w:rPr>
          <w:color w:val="000000" w:themeColor="text1"/>
        </w:rPr>
        <w:t>It is against this background that UN Women and ILO</w:t>
      </w:r>
      <w:r w:rsidRPr="51AE5A5A">
        <w:rPr>
          <w:color w:val="000000" w:themeColor="text1"/>
        </w:rPr>
        <w:t xml:space="preserve"> </w:t>
      </w:r>
      <w:r w:rsidR="34D1B749" w:rsidRPr="51AE5A5A">
        <w:rPr>
          <w:color w:val="000000" w:themeColor="text1"/>
        </w:rPr>
        <w:t>developed and started implementing</w:t>
      </w:r>
      <w:r w:rsidRPr="006B44CD">
        <w:rPr>
          <w:color w:val="000000" w:themeColor="text1"/>
        </w:rPr>
        <w:t xml:space="preserve"> a four-year (2019 -2022), multi-country Joint Programme (JP) to promote decent employment opportunities for women in Egypt, Jordan, and Palestine by addressing the structural causes of inequalities that women face in the region</w:t>
      </w:r>
      <w:r w:rsidRPr="51AE5A5A">
        <w:rPr>
          <w:color w:val="000000" w:themeColor="text1"/>
        </w:rPr>
        <w:t xml:space="preserve">. </w:t>
      </w:r>
      <w:r w:rsidRPr="006B44CD">
        <w:rPr>
          <w:color w:val="000000" w:themeColor="text1"/>
        </w:rPr>
        <w:t xml:space="preserve"> The JP aims to address the underlying, structural causes of inequalities that hinder women from entering and progressing in the workplace on an equal footing to men. The three countries were selected based on the ongoing work of both agencies in the region, government commitments towards gender equality, and civil society engagement. While the programme aims to tackle common issues across countries, it does so by taking into consideration country context specificities.</w:t>
      </w:r>
    </w:p>
    <w:p w14:paraId="4659E20C" w14:textId="77777777" w:rsidR="008B1FBA" w:rsidRDefault="008B1FBA" w:rsidP="050676BD">
      <w:pPr>
        <w:jc w:val="both"/>
        <w:rPr>
          <w:color w:val="000000" w:themeColor="text1"/>
        </w:rPr>
      </w:pPr>
    </w:p>
    <w:p w14:paraId="60CA7337" w14:textId="1DA2BA40" w:rsidR="36364289" w:rsidRDefault="6EED2867" w:rsidP="050676BD">
      <w:pPr>
        <w:jc w:val="both"/>
        <w:rPr>
          <w:color w:val="000000" w:themeColor="text1"/>
        </w:rPr>
      </w:pPr>
      <w:r w:rsidRPr="006B44CD">
        <w:rPr>
          <w:color w:val="000000" w:themeColor="text1"/>
        </w:rPr>
        <w:t>The JP  contributes to SDG 5, particularly target 5.4 to ‘recognize and value unpaid care and domestic work through the provision of public services, infrastructure and social protection policies and the promotion of shared responsibility within the household and the family as nationally appropriate’, and SDG 8, specifically target 8.5 to ‘full and productive employment and decent work for all women and men, including for young people and persons with disabilities, and equal pay for work of equal value’ and target 8.8 to ‘protect labour rights and promote safe and secure working environments for all workers, including migrant workers, in particular women migrants, and those in precarious employment’.</w:t>
      </w:r>
    </w:p>
    <w:p w14:paraId="06CFFAED" w14:textId="77777777" w:rsidR="0006070B" w:rsidRPr="006B44CD" w:rsidRDefault="0006070B" w:rsidP="050676BD">
      <w:pPr>
        <w:jc w:val="both"/>
        <w:rPr>
          <w:color w:val="000000" w:themeColor="text1"/>
        </w:rPr>
      </w:pPr>
    </w:p>
    <w:p w14:paraId="7872FE31" w14:textId="43AFF959" w:rsidR="36364289" w:rsidRPr="006B44CD" w:rsidRDefault="721FF722" w:rsidP="050676BD">
      <w:pPr>
        <w:jc w:val="both"/>
        <w:rPr>
          <w:color w:val="000000" w:themeColor="text1"/>
        </w:rPr>
      </w:pPr>
      <w:r w:rsidRPr="006B44CD">
        <w:rPr>
          <w:color w:val="000000" w:themeColor="text1"/>
        </w:rPr>
        <w:t>UN Women and ILO as partners bring distinct comparative advantages to the programme: both agencies have a strong history of promoting gender equality and women’s economic empowerment in the region, and both have offices in all three countries. UN Women brings its global leadership for gender equality and women’s empowerment; its role as UN coordinator on gender equality and women’s empowerment; and its strategic relationships with government institutions and civil society organizations, in particular the women’s rights movement and the private sector through the Women’s Empowerment Principles (WEPs)</w:t>
      </w:r>
      <w:r w:rsidR="6EED2867" w:rsidRPr="4D27054C">
        <w:rPr>
          <w:rStyle w:val="FootnoteReference"/>
          <w:color w:val="000000" w:themeColor="text1"/>
          <w:sz w:val="16"/>
          <w:szCs w:val="16"/>
        </w:rPr>
        <w:footnoteReference w:id="65"/>
      </w:r>
      <w:r w:rsidRPr="006B44CD">
        <w:rPr>
          <w:color w:val="000000" w:themeColor="text1"/>
        </w:rPr>
        <w:t>. ILO has an explicit mandate to promote decent work for all women and men through international labour standards, promote social justice including gender equality in the world of work and has unique tripartite structure, bringing governments and employers’ and workers’ organizations together.</w:t>
      </w:r>
    </w:p>
    <w:p w14:paraId="331E1CF3" w14:textId="77777777" w:rsidR="0006070B" w:rsidRDefault="0006070B" w:rsidP="08E1794F">
      <w:pPr>
        <w:jc w:val="both"/>
        <w:rPr>
          <w:color w:val="000000" w:themeColor="text1"/>
        </w:rPr>
      </w:pPr>
    </w:p>
    <w:p w14:paraId="4CE587A9" w14:textId="25496242" w:rsidR="36364289" w:rsidRPr="006B44CD" w:rsidRDefault="0006070B" w:rsidP="08E1794F">
      <w:pPr>
        <w:jc w:val="both"/>
        <w:rPr>
          <w:color w:val="000000" w:themeColor="text1"/>
        </w:rPr>
      </w:pPr>
      <w:r>
        <w:rPr>
          <w:color w:val="000000" w:themeColor="text1"/>
        </w:rPr>
        <w:t>T</w:t>
      </w:r>
      <w:r w:rsidR="6EED2867" w:rsidRPr="006B44CD">
        <w:rPr>
          <w:color w:val="000000" w:themeColor="text1"/>
        </w:rPr>
        <w:t>he programme contributes t</w:t>
      </w:r>
      <w:r w:rsidR="6EED2867" w:rsidRPr="006B44CD">
        <w:t>o the implementation of the following conventions and national plans:</w:t>
      </w:r>
    </w:p>
    <w:p w14:paraId="4A1BFF09" w14:textId="5D717218" w:rsidR="36364289" w:rsidRPr="006B44CD" w:rsidRDefault="1548C4BD" w:rsidP="4D27054C">
      <w:pPr>
        <w:pStyle w:val="ListParagraph"/>
        <w:numPr>
          <w:ilvl w:val="0"/>
          <w:numId w:val="20"/>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lang w:val="en-GB"/>
        </w:rPr>
        <w:t xml:space="preserve">Convention on the Elimination of all Forms of Discrimination Against Women (CEDAW), </w:t>
      </w:r>
    </w:p>
    <w:p w14:paraId="3511D16C" w14:textId="09FDC5BA" w:rsidR="36364289" w:rsidRPr="006B44CD" w:rsidRDefault="1548C4BD" w:rsidP="4D27054C">
      <w:pPr>
        <w:pStyle w:val="ListParagraph"/>
        <w:numPr>
          <w:ilvl w:val="0"/>
          <w:numId w:val="20"/>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lang w:val="en-GB"/>
        </w:rPr>
        <w:t>Beijing Declaration and Platform for Action;</w:t>
      </w:r>
    </w:p>
    <w:p w14:paraId="6AC9842A" w14:textId="676DEFA2" w:rsidR="36364289" w:rsidRPr="006B44CD" w:rsidRDefault="1548C4BD" w:rsidP="4D27054C">
      <w:pPr>
        <w:pStyle w:val="ListParagraph"/>
        <w:numPr>
          <w:ilvl w:val="0"/>
          <w:numId w:val="20"/>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lang w:val="en-GB"/>
        </w:rPr>
        <w:t>ILO Equal Remuneration Convention, 1951, (No. 100);</w:t>
      </w:r>
    </w:p>
    <w:p w14:paraId="7C451999" w14:textId="082EB790" w:rsidR="36364289" w:rsidRPr="0035185D" w:rsidRDefault="1548C4BD" w:rsidP="4D27054C">
      <w:pPr>
        <w:pStyle w:val="ListParagraph"/>
        <w:numPr>
          <w:ilvl w:val="0"/>
          <w:numId w:val="20"/>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lang w:val="en-GB"/>
        </w:rPr>
        <w:lastRenderedPageBreak/>
        <w:t xml:space="preserve">ILO Discrimination (Employment and Occupation) Convention, 1958, (No. 111), </w:t>
      </w:r>
    </w:p>
    <w:p w14:paraId="0344C87D" w14:textId="65FD143F" w:rsidR="0035185D" w:rsidRDefault="07139026" w:rsidP="4D27054C">
      <w:pPr>
        <w:pStyle w:val="ListParagraph"/>
        <w:numPr>
          <w:ilvl w:val="0"/>
          <w:numId w:val="20"/>
        </w:numPr>
        <w:jc w:val="both"/>
        <w:rPr>
          <w:rFonts w:ascii="Times New Roman" w:hAnsi="Times New Roman"/>
          <w:color w:val="000000" w:themeColor="text1"/>
        </w:rPr>
      </w:pPr>
      <w:r w:rsidRPr="4D27054C">
        <w:rPr>
          <w:rFonts w:ascii="Times New Roman" w:hAnsi="Times New Roman"/>
        </w:rPr>
        <w:t>ILO Workers with Family Responsibilities Convention, 1981 (No .156),</w:t>
      </w:r>
    </w:p>
    <w:p w14:paraId="1DA5A4F5" w14:textId="5E0E4F17" w:rsidR="00516F0B" w:rsidRDefault="2FF8CECF" w:rsidP="4D27054C">
      <w:pPr>
        <w:pStyle w:val="ListParagraph"/>
        <w:numPr>
          <w:ilvl w:val="0"/>
          <w:numId w:val="20"/>
        </w:numPr>
        <w:spacing w:line="257" w:lineRule="auto"/>
        <w:rPr>
          <w:rFonts w:ascii="Times New Roman" w:hAnsi="Times New Roman"/>
          <w:b/>
          <w:bCs/>
          <w:color w:val="000000" w:themeColor="text1"/>
        </w:rPr>
      </w:pPr>
      <w:r w:rsidRPr="4D27054C">
        <w:rPr>
          <w:rFonts w:ascii="Times New Roman" w:hAnsi="Times New Roman"/>
        </w:rPr>
        <w:t>ILO Maternity Protection Convention, 2000 (No. 183)</w:t>
      </w:r>
      <w:r w:rsidR="07139026" w:rsidRPr="4D27054C">
        <w:rPr>
          <w:rFonts w:ascii="Times New Roman" w:hAnsi="Times New Roman"/>
        </w:rPr>
        <w:t>,</w:t>
      </w:r>
    </w:p>
    <w:p w14:paraId="3A453A1C" w14:textId="11C906A0" w:rsidR="36364289" w:rsidRPr="006B44CD" w:rsidRDefault="1548C4BD" w:rsidP="4D27054C">
      <w:pPr>
        <w:pStyle w:val="ListParagraph"/>
        <w:numPr>
          <w:ilvl w:val="0"/>
          <w:numId w:val="20"/>
        </w:numPr>
        <w:jc w:val="both"/>
        <w:rPr>
          <w:rFonts w:eastAsiaTheme="minorEastAsia"/>
          <w:color w:val="000000" w:themeColor="text1"/>
        </w:rPr>
      </w:pPr>
      <w:r w:rsidRPr="4D27054C">
        <w:rPr>
          <w:rFonts w:ascii="Times New Roman" w:eastAsia="Times New Roman" w:hAnsi="Times New Roman" w:cs="Times New Roman"/>
          <w:lang w:val="en-GB"/>
        </w:rPr>
        <w:t>ILO Violence and Harassment Convention, 2019 (No. 190); and</w:t>
      </w:r>
    </w:p>
    <w:p w14:paraId="5FC334A7" w14:textId="63EDA68E" w:rsidR="0006070B" w:rsidRDefault="1548C4BD" w:rsidP="4D27054C">
      <w:pPr>
        <w:pStyle w:val="ListParagraph"/>
        <w:numPr>
          <w:ilvl w:val="0"/>
          <w:numId w:val="20"/>
        </w:numPr>
        <w:jc w:val="both"/>
        <w:rPr>
          <w:rFonts w:eastAsiaTheme="minorEastAsia"/>
          <w:b/>
          <w:bCs/>
          <w:color w:val="000000" w:themeColor="text1"/>
          <w:lang w:val="en-GB"/>
        </w:rPr>
      </w:pPr>
      <w:r w:rsidRPr="4D27054C">
        <w:rPr>
          <w:rFonts w:ascii="Times New Roman" w:eastAsia="Times New Roman" w:hAnsi="Times New Roman" w:cs="Times New Roman"/>
          <w:lang w:val="en-GB"/>
        </w:rPr>
        <w:t xml:space="preserve">National development plans (Sustainable Development Strategy: Egypt Vison 2030 and the National Strategy for the Empowerment of Egyptian Women 2030 of NCW; Jordan 2025 – A National Vision and Strategy, </w:t>
      </w:r>
      <w:r w:rsidR="0A73E222" w:rsidRPr="4D27054C">
        <w:rPr>
          <w:rFonts w:ascii="Times New Roman" w:eastAsia="Times New Roman" w:hAnsi="Times New Roman" w:cs="Times New Roman"/>
          <w:lang w:val="en-GB"/>
        </w:rPr>
        <w:t>National Women’s Strategy 2020-2025</w:t>
      </w:r>
      <w:r w:rsidR="32DDEF0D" w:rsidRPr="4D27054C">
        <w:rPr>
          <w:rFonts w:ascii="Times New Roman" w:eastAsia="Times New Roman" w:hAnsi="Times New Roman" w:cs="Times New Roman"/>
          <w:lang w:val="en-GB"/>
        </w:rPr>
        <w:t xml:space="preserve"> </w:t>
      </w:r>
      <w:r w:rsidRPr="4D27054C">
        <w:rPr>
          <w:rFonts w:ascii="Times New Roman" w:eastAsia="Times New Roman" w:hAnsi="Times New Roman" w:cs="Times New Roman"/>
          <w:lang w:val="en-GB"/>
        </w:rPr>
        <w:t>and the Palestinian National Policy Agenda 2017-2022)</w:t>
      </w:r>
    </w:p>
    <w:p w14:paraId="6C0F0889" w14:textId="31AE8A70" w:rsidR="4D27054C" w:rsidRDefault="4D27054C" w:rsidP="4D27054C">
      <w:pPr>
        <w:jc w:val="both"/>
        <w:rPr>
          <w:rStyle w:val="Strong"/>
        </w:rPr>
      </w:pPr>
    </w:p>
    <w:p w14:paraId="29EEC316" w14:textId="0B4B3880" w:rsidR="36364289" w:rsidRPr="006B44CD" w:rsidRDefault="1548C4BD" w:rsidP="61B0FC88">
      <w:pPr>
        <w:jc w:val="both"/>
        <w:rPr>
          <w:rStyle w:val="Strong"/>
          <w:color w:val="4472C4" w:themeColor="accent1"/>
        </w:rPr>
      </w:pPr>
      <w:r w:rsidRPr="4D27054C">
        <w:rPr>
          <w:rStyle w:val="Strong"/>
        </w:rPr>
        <w:t>Programme Goal</w:t>
      </w:r>
    </w:p>
    <w:p w14:paraId="6240A2B0" w14:textId="6E1DBD3E" w:rsidR="4D27054C" w:rsidRDefault="4D27054C" w:rsidP="4D27054C">
      <w:pPr>
        <w:jc w:val="both"/>
        <w:rPr>
          <w:rStyle w:val="Strong"/>
        </w:rPr>
      </w:pPr>
    </w:p>
    <w:p w14:paraId="2E8A594C" w14:textId="5539FA67" w:rsidR="36364289" w:rsidRPr="006B44CD" w:rsidRDefault="6EED2867" w:rsidP="5CF61BAE">
      <w:pPr>
        <w:jc w:val="both"/>
        <w:rPr>
          <w:color w:val="000000" w:themeColor="text1"/>
        </w:rPr>
      </w:pPr>
      <w:r w:rsidRPr="5CF61BAE">
        <w:rPr>
          <w:color w:val="000000" w:themeColor="text1"/>
        </w:rPr>
        <w:t xml:space="preserve">The multi-country programme seeks to address barriers through a comprehensive approach that works both at the macro, meso and micro levels, aiming to enhance productive employment and decent work for women in the region by promoting equitable laws and policies, engaging public, private and community actors, and reducing the uneven burden of unpaid care work. </w:t>
      </w:r>
    </w:p>
    <w:p w14:paraId="35E945ED" w14:textId="77777777" w:rsidR="0006070B" w:rsidRDefault="0006070B" w:rsidP="5CF61BAE">
      <w:pPr>
        <w:jc w:val="both"/>
        <w:rPr>
          <w:color w:val="000000" w:themeColor="text1"/>
        </w:rPr>
      </w:pPr>
    </w:p>
    <w:p w14:paraId="1A7395D9" w14:textId="04B32679" w:rsidR="36364289" w:rsidRPr="006B44CD" w:rsidRDefault="1548C4BD" w:rsidP="5CF61BAE">
      <w:pPr>
        <w:jc w:val="both"/>
        <w:rPr>
          <w:color w:val="000000" w:themeColor="text1"/>
        </w:rPr>
      </w:pPr>
      <w:r w:rsidRPr="5CF61BAE">
        <w:rPr>
          <w:color w:val="000000" w:themeColor="text1"/>
        </w:rPr>
        <w:t xml:space="preserve">While the programme builds on global strategies and lessons learned, it is </w:t>
      </w:r>
      <w:r w:rsidR="76537E49" w:rsidRPr="5CF61BAE">
        <w:t>nationally</w:t>
      </w:r>
      <w:r w:rsidRPr="5CF61BAE">
        <w:t xml:space="preserve"> </w:t>
      </w:r>
      <w:r w:rsidRPr="5CF61BAE">
        <w:rPr>
          <w:color w:val="000000" w:themeColor="text1"/>
        </w:rPr>
        <w:t xml:space="preserve">adapted by programme partners, </w:t>
      </w:r>
      <w:r w:rsidR="5CF61BAE" w:rsidRPr="5CF61BAE">
        <w:rPr>
          <w:color w:val="000000" w:themeColor="text1"/>
        </w:rPr>
        <w:t xml:space="preserve">building on the national partner's needs, national development strategies, and in close collaboration with other developmental projects and partners reflecting a joint ownership. </w:t>
      </w:r>
    </w:p>
    <w:p w14:paraId="0E1D50EA" w14:textId="38302958" w:rsidR="36364289" w:rsidRPr="006B44CD" w:rsidRDefault="36364289" w:rsidP="5CF61BAE">
      <w:pPr>
        <w:jc w:val="both"/>
        <w:rPr>
          <w:color w:val="000000" w:themeColor="text1"/>
        </w:rPr>
      </w:pPr>
    </w:p>
    <w:p w14:paraId="7D3259F0" w14:textId="3CC330E8" w:rsidR="5DC39AF9" w:rsidRDefault="1548C4BD" w:rsidP="5DC39AF9">
      <w:pPr>
        <w:jc w:val="both"/>
        <w:rPr>
          <w:color w:val="000000" w:themeColor="text1"/>
        </w:rPr>
      </w:pPr>
      <w:r w:rsidRPr="5CF61BAE">
        <w:rPr>
          <w:color w:val="000000" w:themeColor="text1"/>
        </w:rPr>
        <w:t>The key lessons underpinning the JP include:</w:t>
      </w:r>
    </w:p>
    <w:p w14:paraId="1C50DBA7" w14:textId="0B3895AB" w:rsidR="4D27054C" w:rsidRPr="00B613EB" w:rsidRDefault="1548C4BD" w:rsidP="4D27054C">
      <w:pPr>
        <w:pStyle w:val="ListParagraph"/>
        <w:numPr>
          <w:ilvl w:val="0"/>
          <w:numId w:val="19"/>
        </w:numPr>
        <w:jc w:val="both"/>
        <w:rPr>
          <w:rFonts w:ascii="Times New Roman" w:eastAsia="Times New Roman" w:hAnsi="Times New Roman" w:cs="Times New Roman"/>
          <w:color w:val="000000" w:themeColor="text1"/>
          <w:lang w:val="en-GB"/>
        </w:rPr>
      </w:pPr>
      <w:r w:rsidRPr="4D27054C">
        <w:rPr>
          <w:rFonts w:ascii="Times New Roman" w:eastAsia="Times New Roman" w:hAnsi="Times New Roman" w:cs="Times New Roman"/>
          <w:color w:val="000000" w:themeColor="text1"/>
          <w:lang w:val="en-GB"/>
        </w:rPr>
        <w:t>Improving legal frameworks and fostering a gender-responsive policy environment is essential to accelerating women’s economic empowerment. Advocacy for equitable legislation and policies that are family-friendly and gender responsive, both at the government and corporate levels, has proven to be successful strateg</w:t>
      </w:r>
      <w:r w:rsidR="2E9D8AC9" w:rsidRPr="4D27054C">
        <w:rPr>
          <w:rFonts w:ascii="Times New Roman" w:eastAsia="Times New Roman" w:hAnsi="Times New Roman" w:cs="Times New Roman"/>
          <w:color w:val="000000" w:themeColor="text1"/>
          <w:lang w:val="en-GB"/>
        </w:rPr>
        <w:t xml:space="preserve">ies </w:t>
      </w:r>
      <w:r w:rsidRPr="4D27054C">
        <w:rPr>
          <w:rFonts w:ascii="Times New Roman" w:eastAsia="Times New Roman" w:hAnsi="Times New Roman" w:cs="Times New Roman"/>
          <w:color w:val="000000" w:themeColor="text1"/>
          <w:lang w:val="en-GB"/>
        </w:rPr>
        <w:t>for enabling equal participation of women in the workforce;</w:t>
      </w:r>
    </w:p>
    <w:p w14:paraId="7F9D906C" w14:textId="7DFE7807" w:rsidR="4D27054C" w:rsidRPr="00B613EB" w:rsidRDefault="1548C4BD" w:rsidP="4D27054C">
      <w:pPr>
        <w:pStyle w:val="ListParagraph"/>
        <w:numPr>
          <w:ilvl w:val="0"/>
          <w:numId w:val="19"/>
        </w:numPr>
        <w:jc w:val="both"/>
        <w:rPr>
          <w:rFonts w:ascii="Times New Roman" w:eastAsia="Times New Roman" w:hAnsi="Times New Roman" w:cs="Times New Roman"/>
          <w:color w:val="000000" w:themeColor="text1"/>
          <w:lang w:val="en-GB"/>
        </w:rPr>
      </w:pPr>
      <w:r w:rsidRPr="4D27054C">
        <w:rPr>
          <w:rFonts w:ascii="Times New Roman" w:eastAsia="Times New Roman" w:hAnsi="Times New Roman" w:cs="Times New Roman"/>
          <w:color w:val="000000" w:themeColor="text1"/>
          <w:lang w:val="en-GB"/>
        </w:rPr>
        <w:t xml:space="preserve">Promoting adequate employment conditions for women is a win-win situation for employers and employees alike, bringing benefits to businesses, women, men, and communities; and </w:t>
      </w:r>
    </w:p>
    <w:p w14:paraId="7037D3A3" w14:textId="766CC01E" w:rsidR="36364289" w:rsidRPr="006B44CD" w:rsidRDefault="1548C4BD" w:rsidP="00DA41CC">
      <w:pPr>
        <w:pStyle w:val="ListParagraph"/>
        <w:numPr>
          <w:ilvl w:val="0"/>
          <w:numId w:val="19"/>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color w:val="000000" w:themeColor="text1"/>
          <w:lang w:val="en-GB"/>
        </w:rPr>
        <w:t>Engagement at the community, government, and corporate levels is key to promoting a better understanding of the importance of women’s economic empowerment at home and at work. This entails the engagement of gatekeepers – traditional and religious leaders, as well as men and boys – in the dialogue on pre-existing gender stereotypes regarding women’s roles and careers.</w:t>
      </w:r>
    </w:p>
    <w:p w14:paraId="039FE1D7" w14:textId="719E7D40" w:rsidR="1DB2D202" w:rsidRPr="006B44CD" w:rsidRDefault="1DB2D202" w:rsidP="00617267">
      <w:pPr>
        <w:pStyle w:val="Heading5"/>
        <w:rPr>
          <w:rFonts w:eastAsia="Times New Roman"/>
          <w:lang w:val="en-GB"/>
        </w:rPr>
      </w:pPr>
    </w:p>
    <w:p w14:paraId="051DD48B" w14:textId="6C2640D0" w:rsidR="1DB2D202" w:rsidRPr="0006070B" w:rsidRDefault="7BC14BD7" w:rsidP="00617267">
      <w:pPr>
        <w:pStyle w:val="Heading5"/>
        <w:numPr>
          <w:ilvl w:val="0"/>
          <w:numId w:val="34"/>
        </w:numPr>
        <w:rPr>
          <w:rFonts w:ascii="Times New Roman" w:hAnsi="Times New Roman" w:cs="Times New Roman"/>
          <w:b/>
          <w:bCs/>
          <w:color w:val="4472C4" w:themeColor="accent1"/>
        </w:rPr>
      </w:pPr>
      <w:r w:rsidRPr="4D27054C">
        <w:rPr>
          <w:rFonts w:ascii="Times New Roman" w:hAnsi="Times New Roman" w:cs="Times New Roman"/>
          <w:b/>
          <w:bCs/>
          <w:color w:val="4472C4" w:themeColor="accent1"/>
        </w:rPr>
        <w:t>Joint Programme financial resources</w:t>
      </w:r>
    </w:p>
    <w:p w14:paraId="29662B85" w14:textId="77777777" w:rsidR="0006070B" w:rsidRDefault="0006070B" w:rsidP="516AEA60">
      <w:pPr>
        <w:rPr>
          <w:color w:val="000000" w:themeColor="text1"/>
        </w:rPr>
      </w:pPr>
    </w:p>
    <w:p w14:paraId="309C0E42" w14:textId="643A9EFD" w:rsidR="1DB2D202" w:rsidRDefault="11F72CE8" w:rsidP="4D27054C">
      <w:pPr>
        <w:jc w:val="both"/>
      </w:pPr>
      <w:r w:rsidRPr="5CF61BAE">
        <w:rPr>
          <w:color w:val="000000" w:themeColor="text1"/>
        </w:rPr>
        <w:t xml:space="preserve">JP </w:t>
      </w:r>
      <w:r w:rsidR="1706F0A3" w:rsidRPr="5CF61BAE">
        <w:rPr>
          <w:color w:val="000000" w:themeColor="text1"/>
        </w:rPr>
        <w:t xml:space="preserve">started as </w:t>
      </w:r>
      <w:r w:rsidRPr="5CF61BAE">
        <w:rPr>
          <w:color w:val="000000" w:themeColor="text1"/>
        </w:rPr>
        <w:t>a 48-month long programme, from Jan 2019 - Dec 2022</w:t>
      </w:r>
      <w:r w:rsidR="1706F0A3" w:rsidRPr="5CF61BAE">
        <w:rPr>
          <w:color w:val="000000" w:themeColor="text1"/>
        </w:rPr>
        <w:t xml:space="preserve">. </w:t>
      </w:r>
      <w:r w:rsidR="0E6B4982" w:rsidRPr="5CF61BAE">
        <w:t xml:space="preserve"> In November 2021, the programme received an extension until December 2023, making it a 60-month long programme. </w:t>
      </w:r>
    </w:p>
    <w:p w14:paraId="6E05FD1E" w14:textId="2DE66759" w:rsidR="1DB2D202" w:rsidRDefault="1DB2D202" w:rsidP="4D27054C">
      <w:pPr>
        <w:jc w:val="both"/>
        <w:rPr>
          <w:color w:val="000000" w:themeColor="text1"/>
        </w:rPr>
      </w:pPr>
    </w:p>
    <w:p w14:paraId="7FC38118" w14:textId="21F3D240" w:rsidR="53DAE3F0" w:rsidRDefault="11F72CE8" w:rsidP="4D27054C">
      <w:pPr>
        <w:jc w:val="both"/>
        <w:rPr>
          <w:color w:val="000000" w:themeColor="text1"/>
        </w:rPr>
      </w:pPr>
      <w:r w:rsidRPr="4D27054C">
        <w:t xml:space="preserve">The total budget of the JP is 13.1 million USD, of which 10.5 million USD </w:t>
      </w:r>
      <w:r w:rsidR="1706F0A3" w:rsidRPr="4D27054C">
        <w:t>was</w:t>
      </w:r>
      <w:r w:rsidRPr="4D27054C">
        <w:t xml:space="preserve"> funded by the Swedish International Development Cooperation Agency (SIDA). </w:t>
      </w:r>
      <w:r w:rsidR="0E6B4982" w:rsidRPr="4D27054C">
        <w:t>In Nov 2021, additional 20 million SEK (</w:t>
      </w:r>
      <w:r w:rsidR="7E6D2185" w:rsidRPr="4D27054C">
        <w:t xml:space="preserve">2,281,282.08 USD) was </w:t>
      </w:r>
      <w:r w:rsidR="0E6B4982" w:rsidRPr="4D27054C">
        <w:t xml:space="preserve">mobilized from SIDA bringing the total secured budget to a total of 13 million USD- see table below. With this instalment, the financial gap of the project for the phase1 covering 2019 – 2023 is closed. </w:t>
      </w:r>
    </w:p>
    <w:p w14:paraId="3F2CFC82" w14:textId="608C20AF" w:rsidR="4D27054C" w:rsidRDefault="4D27054C" w:rsidP="4D27054C">
      <w:pPr>
        <w:rPr>
          <w:color w:val="333333"/>
          <w:sz w:val="20"/>
          <w:szCs w:val="20"/>
        </w:rPr>
      </w:pPr>
    </w:p>
    <w:p w14:paraId="55FFCCF6" w14:textId="27381311" w:rsidR="000B3B41" w:rsidRDefault="000B3B41" w:rsidP="4D27054C">
      <w:pPr>
        <w:rPr>
          <w:color w:val="000000" w:themeColor="text1"/>
          <w:sz w:val="20"/>
          <w:szCs w:val="20"/>
        </w:rPr>
      </w:pPr>
    </w:p>
    <w:p w14:paraId="2D404466" w14:textId="77777777" w:rsidR="002D6FF3" w:rsidRDefault="002D6FF3" w:rsidP="4D27054C">
      <w:pPr>
        <w:rPr>
          <w:color w:val="000000" w:themeColor="text1"/>
          <w:sz w:val="20"/>
          <w:szCs w:val="20"/>
        </w:rPr>
      </w:pPr>
    </w:p>
    <w:p w14:paraId="75B7E5DA" w14:textId="79809C79" w:rsidR="003E04A7" w:rsidRDefault="0E6B4982" w:rsidP="4D27054C">
      <w:pPr>
        <w:rPr>
          <w:color w:val="000000" w:themeColor="text1"/>
          <w:sz w:val="20"/>
          <w:szCs w:val="20"/>
        </w:rPr>
      </w:pPr>
      <w:r w:rsidRPr="4D27054C">
        <w:rPr>
          <w:color w:val="000000" w:themeColor="text1"/>
          <w:sz w:val="20"/>
          <w:szCs w:val="20"/>
        </w:rPr>
        <w:lastRenderedPageBreak/>
        <w:t xml:space="preserve">Table 1: JP resources and SIDA instalments (2019-2023) </w:t>
      </w:r>
    </w:p>
    <w:tbl>
      <w:tblPr>
        <w:tblStyle w:val="TableGrid"/>
        <w:tblW w:w="9428" w:type="dxa"/>
        <w:tblLook w:val="04A0" w:firstRow="1" w:lastRow="0" w:firstColumn="1" w:lastColumn="0" w:noHBand="0" w:noVBand="1"/>
      </w:tblPr>
      <w:tblGrid>
        <w:gridCol w:w="1787"/>
        <w:gridCol w:w="3200"/>
        <w:gridCol w:w="1619"/>
        <w:gridCol w:w="1490"/>
        <w:gridCol w:w="1332"/>
      </w:tblGrid>
      <w:tr w:rsidR="003E04A7" w:rsidRPr="002E78FA" w14:paraId="06AF6B75" w14:textId="77777777" w:rsidTr="4D27054C">
        <w:trPr>
          <w:trHeight w:val="227"/>
        </w:trPr>
        <w:tc>
          <w:tcPr>
            <w:tcW w:w="1787" w:type="dxa"/>
            <w:shd w:val="clear" w:color="auto" w:fill="8EAADB" w:themeFill="accent1" w:themeFillTint="99"/>
            <w:noWrap/>
            <w:vAlign w:val="center"/>
            <w:hideMark/>
          </w:tcPr>
          <w:p w14:paraId="717285B1" w14:textId="77777777" w:rsidR="003E04A7" w:rsidRPr="002E78FA" w:rsidRDefault="4EB590F8" w:rsidP="4D27054C">
            <w:pPr>
              <w:jc w:val="right"/>
              <w:rPr>
                <w:b/>
                <w:bCs/>
                <w:sz w:val="16"/>
                <w:szCs w:val="16"/>
              </w:rPr>
            </w:pPr>
            <w:r w:rsidRPr="002E78FA">
              <w:rPr>
                <w:b/>
                <w:bCs/>
                <w:sz w:val="16"/>
                <w:szCs w:val="16"/>
              </w:rPr>
              <w:t>Implementation year</w:t>
            </w:r>
          </w:p>
        </w:tc>
        <w:tc>
          <w:tcPr>
            <w:tcW w:w="3200" w:type="dxa"/>
            <w:shd w:val="clear" w:color="auto" w:fill="8EAADB" w:themeFill="accent1" w:themeFillTint="99"/>
            <w:noWrap/>
            <w:vAlign w:val="center"/>
            <w:hideMark/>
          </w:tcPr>
          <w:p w14:paraId="517FB975" w14:textId="77777777" w:rsidR="003E04A7" w:rsidRPr="002E78FA" w:rsidRDefault="4EB590F8" w:rsidP="4D27054C">
            <w:pPr>
              <w:jc w:val="right"/>
              <w:rPr>
                <w:b/>
                <w:bCs/>
                <w:sz w:val="16"/>
                <w:szCs w:val="16"/>
              </w:rPr>
            </w:pPr>
            <w:r w:rsidRPr="002E78FA">
              <w:rPr>
                <w:b/>
                <w:bCs/>
                <w:sz w:val="16"/>
                <w:szCs w:val="16"/>
              </w:rPr>
              <w:t>Sida</w:t>
            </w:r>
          </w:p>
        </w:tc>
        <w:tc>
          <w:tcPr>
            <w:tcW w:w="1619" w:type="dxa"/>
            <w:shd w:val="clear" w:color="auto" w:fill="8EAADB" w:themeFill="accent1" w:themeFillTint="99"/>
            <w:noWrap/>
            <w:vAlign w:val="center"/>
            <w:hideMark/>
          </w:tcPr>
          <w:p w14:paraId="2BFA958C" w14:textId="77777777" w:rsidR="003E04A7" w:rsidRPr="002E78FA" w:rsidRDefault="4EB590F8" w:rsidP="4D27054C">
            <w:pPr>
              <w:jc w:val="right"/>
              <w:rPr>
                <w:b/>
                <w:bCs/>
                <w:sz w:val="16"/>
                <w:szCs w:val="16"/>
              </w:rPr>
            </w:pPr>
            <w:r w:rsidRPr="002E78FA">
              <w:rPr>
                <w:b/>
                <w:bCs/>
                <w:sz w:val="16"/>
                <w:szCs w:val="16"/>
              </w:rPr>
              <w:t>SEK</w:t>
            </w:r>
          </w:p>
        </w:tc>
        <w:tc>
          <w:tcPr>
            <w:tcW w:w="1490" w:type="dxa"/>
            <w:shd w:val="clear" w:color="auto" w:fill="8EAADB" w:themeFill="accent1" w:themeFillTint="99"/>
            <w:noWrap/>
            <w:vAlign w:val="center"/>
            <w:hideMark/>
          </w:tcPr>
          <w:p w14:paraId="4747DFBF" w14:textId="77777777" w:rsidR="003E04A7" w:rsidRPr="002E78FA" w:rsidRDefault="4EB590F8" w:rsidP="4D27054C">
            <w:pPr>
              <w:jc w:val="right"/>
              <w:rPr>
                <w:b/>
                <w:bCs/>
                <w:sz w:val="16"/>
                <w:szCs w:val="16"/>
              </w:rPr>
            </w:pPr>
            <w:r w:rsidRPr="002E78FA">
              <w:rPr>
                <w:b/>
                <w:bCs/>
                <w:sz w:val="16"/>
                <w:szCs w:val="16"/>
              </w:rPr>
              <w:t>USD</w:t>
            </w:r>
          </w:p>
        </w:tc>
        <w:tc>
          <w:tcPr>
            <w:tcW w:w="1332" w:type="dxa"/>
            <w:shd w:val="clear" w:color="auto" w:fill="8EAADB" w:themeFill="accent1" w:themeFillTint="99"/>
            <w:vAlign w:val="center"/>
            <w:hideMark/>
          </w:tcPr>
          <w:p w14:paraId="203B6DFC" w14:textId="369347F2" w:rsidR="003E04A7" w:rsidRPr="002E78FA" w:rsidRDefault="4EB590F8" w:rsidP="4D27054C">
            <w:pPr>
              <w:jc w:val="right"/>
              <w:rPr>
                <w:b/>
                <w:bCs/>
                <w:sz w:val="16"/>
                <w:szCs w:val="16"/>
              </w:rPr>
            </w:pPr>
            <w:r w:rsidRPr="002E78FA">
              <w:rPr>
                <w:b/>
                <w:bCs/>
                <w:sz w:val="16"/>
                <w:szCs w:val="16"/>
              </w:rPr>
              <w:t>Status</w:t>
            </w:r>
          </w:p>
          <w:p w14:paraId="2B5F6B98" w14:textId="6E4A11A5" w:rsidR="003E04A7" w:rsidRPr="002E78FA" w:rsidRDefault="003E04A7" w:rsidP="4D27054C">
            <w:pPr>
              <w:jc w:val="right"/>
              <w:rPr>
                <w:b/>
                <w:bCs/>
                <w:sz w:val="16"/>
                <w:szCs w:val="16"/>
              </w:rPr>
            </w:pPr>
          </w:p>
        </w:tc>
      </w:tr>
      <w:tr w:rsidR="003E04A7" w:rsidRPr="002E78FA" w14:paraId="2F834F3C" w14:textId="77777777" w:rsidTr="4D27054C">
        <w:trPr>
          <w:trHeight w:val="216"/>
        </w:trPr>
        <w:tc>
          <w:tcPr>
            <w:tcW w:w="1787" w:type="dxa"/>
            <w:noWrap/>
            <w:vAlign w:val="center"/>
            <w:hideMark/>
          </w:tcPr>
          <w:p w14:paraId="12BA14B0" w14:textId="77777777" w:rsidR="003E04A7" w:rsidRPr="002E78FA" w:rsidRDefault="4EB590F8" w:rsidP="4D27054C">
            <w:pPr>
              <w:jc w:val="right"/>
              <w:rPr>
                <w:b/>
                <w:bCs/>
                <w:sz w:val="16"/>
                <w:szCs w:val="16"/>
              </w:rPr>
            </w:pPr>
            <w:r w:rsidRPr="002E78FA">
              <w:rPr>
                <w:b/>
                <w:bCs/>
                <w:sz w:val="16"/>
                <w:szCs w:val="16"/>
              </w:rPr>
              <w:t>2019</w:t>
            </w:r>
          </w:p>
        </w:tc>
        <w:tc>
          <w:tcPr>
            <w:tcW w:w="3200" w:type="dxa"/>
            <w:noWrap/>
            <w:vAlign w:val="center"/>
            <w:hideMark/>
          </w:tcPr>
          <w:p w14:paraId="07B86BB9" w14:textId="6ECE7BA6" w:rsidR="003E04A7" w:rsidRPr="002E78FA" w:rsidRDefault="4EB590F8" w:rsidP="4D27054C">
            <w:pPr>
              <w:jc w:val="right"/>
              <w:rPr>
                <w:sz w:val="16"/>
                <w:szCs w:val="16"/>
              </w:rPr>
            </w:pPr>
            <w:r w:rsidRPr="002E78FA">
              <w:rPr>
                <w:sz w:val="16"/>
                <w:szCs w:val="16"/>
              </w:rPr>
              <w:t xml:space="preserve">1st instalment </w:t>
            </w:r>
          </w:p>
        </w:tc>
        <w:tc>
          <w:tcPr>
            <w:tcW w:w="1619" w:type="dxa"/>
            <w:noWrap/>
            <w:vAlign w:val="center"/>
            <w:hideMark/>
          </w:tcPr>
          <w:p w14:paraId="49094C22" w14:textId="77777777" w:rsidR="003E04A7" w:rsidRPr="002E78FA" w:rsidRDefault="4EB590F8" w:rsidP="4D27054C">
            <w:pPr>
              <w:jc w:val="right"/>
              <w:rPr>
                <w:sz w:val="16"/>
                <w:szCs w:val="16"/>
              </w:rPr>
            </w:pPr>
            <w:r w:rsidRPr="002E78FA">
              <w:rPr>
                <w:sz w:val="16"/>
                <w:szCs w:val="16"/>
              </w:rPr>
              <w:t xml:space="preserve">25,000,000.00 </w:t>
            </w:r>
          </w:p>
        </w:tc>
        <w:tc>
          <w:tcPr>
            <w:tcW w:w="1490" w:type="dxa"/>
            <w:noWrap/>
            <w:vAlign w:val="center"/>
            <w:hideMark/>
          </w:tcPr>
          <w:p w14:paraId="04BA8979" w14:textId="77777777" w:rsidR="003E04A7" w:rsidRPr="002E78FA" w:rsidRDefault="4EB590F8" w:rsidP="4D27054C">
            <w:pPr>
              <w:jc w:val="right"/>
              <w:rPr>
                <w:sz w:val="16"/>
                <w:szCs w:val="16"/>
              </w:rPr>
            </w:pPr>
            <w:r w:rsidRPr="002E78FA">
              <w:rPr>
                <w:sz w:val="16"/>
                <w:szCs w:val="16"/>
              </w:rPr>
              <w:t xml:space="preserve">              2,757,555.70 </w:t>
            </w:r>
          </w:p>
        </w:tc>
        <w:tc>
          <w:tcPr>
            <w:tcW w:w="1332" w:type="dxa"/>
            <w:vAlign w:val="center"/>
            <w:hideMark/>
          </w:tcPr>
          <w:p w14:paraId="0338A7A0" w14:textId="77777777" w:rsidR="003E04A7" w:rsidRPr="002E78FA" w:rsidRDefault="4EB590F8" w:rsidP="4D27054C">
            <w:pPr>
              <w:jc w:val="right"/>
              <w:rPr>
                <w:sz w:val="16"/>
                <w:szCs w:val="16"/>
              </w:rPr>
            </w:pPr>
            <w:r w:rsidRPr="002E78FA">
              <w:rPr>
                <w:sz w:val="16"/>
                <w:szCs w:val="16"/>
              </w:rPr>
              <w:t>Received</w:t>
            </w:r>
          </w:p>
        </w:tc>
      </w:tr>
      <w:tr w:rsidR="003E04A7" w:rsidRPr="002E78FA" w14:paraId="21664243" w14:textId="77777777" w:rsidTr="4D27054C">
        <w:trPr>
          <w:trHeight w:val="216"/>
        </w:trPr>
        <w:tc>
          <w:tcPr>
            <w:tcW w:w="1787" w:type="dxa"/>
            <w:noWrap/>
            <w:vAlign w:val="center"/>
            <w:hideMark/>
          </w:tcPr>
          <w:p w14:paraId="5B838DC9" w14:textId="77777777" w:rsidR="003E04A7" w:rsidRPr="002E78FA" w:rsidRDefault="4EB590F8" w:rsidP="4D27054C">
            <w:pPr>
              <w:jc w:val="right"/>
              <w:rPr>
                <w:b/>
                <w:bCs/>
                <w:sz w:val="16"/>
                <w:szCs w:val="16"/>
              </w:rPr>
            </w:pPr>
            <w:r w:rsidRPr="002E78FA">
              <w:rPr>
                <w:b/>
                <w:bCs/>
                <w:sz w:val="16"/>
                <w:szCs w:val="16"/>
              </w:rPr>
              <w:t>2020</w:t>
            </w:r>
          </w:p>
        </w:tc>
        <w:tc>
          <w:tcPr>
            <w:tcW w:w="3200" w:type="dxa"/>
            <w:noWrap/>
            <w:vAlign w:val="center"/>
            <w:hideMark/>
          </w:tcPr>
          <w:p w14:paraId="60E33275" w14:textId="6395653F" w:rsidR="003E04A7" w:rsidRPr="002E78FA" w:rsidRDefault="4EB590F8" w:rsidP="4D27054C">
            <w:pPr>
              <w:jc w:val="right"/>
              <w:rPr>
                <w:sz w:val="16"/>
                <w:szCs w:val="16"/>
              </w:rPr>
            </w:pPr>
            <w:r w:rsidRPr="002E78FA">
              <w:rPr>
                <w:sz w:val="16"/>
                <w:szCs w:val="16"/>
              </w:rPr>
              <w:t xml:space="preserve">2nd instalment </w:t>
            </w:r>
          </w:p>
        </w:tc>
        <w:tc>
          <w:tcPr>
            <w:tcW w:w="1619" w:type="dxa"/>
            <w:noWrap/>
            <w:vAlign w:val="center"/>
            <w:hideMark/>
          </w:tcPr>
          <w:p w14:paraId="07139590" w14:textId="77777777" w:rsidR="003E04A7" w:rsidRPr="002E78FA" w:rsidRDefault="4EB590F8" w:rsidP="4D27054C">
            <w:pPr>
              <w:jc w:val="right"/>
              <w:rPr>
                <w:sz w:val="16"/>
                <w:szCs w:val="16"/>
              </w:rPr>
            </w:pPr>
            <w:r w:rsidRPr="002E78FA">
              <w:rPr>
                <w:sz w:val="16"/>
                <w:szCs w:val="16"/>
              </w:rPr>
              <w:t xml:space="preserve">15,000,000.00 </w:t>
            </w:r>
          </w:p>
        </w:tc>
        <w:tc>
          <w:tcPr>
            <w:tcW w:w="1490" w:type="dxa"/>
            <w:noWrap/>
            <w:vAlign w:val="center"/>
            <w:hideMark/>
          </w:tcPr>
          <w:p w14:paraId="155D6DBD" w14:textId="77777777" w:rsidR="003E04A7" w:rsidRPr="002E78FA" w:rsidRDefault="4EB590F8" w:rsidP="4D27054C">
            <w:pPr>
              <w:jc w:val="right"/>
              <w:rPr>
                <w:sz w:val="16"/>
                <w:szCs w:val="16"/>
              </w:rPr>
            </w:pPr>
            <w:r w:rsidRPr="002E78FA">
              <w:rPr>
                <w:sz w:val="16"/>
                <w:szCs w:val="16"/>
              </w:rPr>
              <w:t>1,542,575.07</w:t>
            </w:r>
          </w:p>
        </w:tc>
        <w:tc>
          <w:tcPr>
            <w:tcW w:w="1332" w:type="dxa"/>
            <w:vAlign w:val="center"/>
            <w:hideMark/>
          </w:tcPr>
          <w:p w14:paraId="3C479685" w14:textId="77777777" w:rsidR="003E04A7" w:rsidRPr="002E78FA" w:rsidRDefault="4EB590F8" w:rsidP="4D27054C">
            <w:pPr>
              <w:jc w:val="right"/>
              <w:rPr>
                <w:sz w:val="16"/>
                <w:szCs w:val="16"/>
              </w:rPr>
            </w:pPr>
            <w:r w:rsidRPr="002E78FA">
              <w:rPr>
                <w:sz w:val="16"/>
                <w:szCs w:val="16"/>
              </w:rPr>
              <w:t>Received</w:t>
            </w:r>
          </w:p>
        </w:tc>
      </w:tr>
      <w:tr w:rsidR="003E04A7" w:rsidRPr="002E78FA" w14:paraId="5DADAA52" w14:textId="77777777" w:rsidTr="4D27054C">
        <w:trPr>
          <w:trHeight w:val="216"/>
        </w:trPr>
        <w:tc>
          <w:tcPr>
            <w:tcW w:w="1787" w:type="dxa"/>
            <w:noWrap/>
            <w:vAlign w:val="center"/>
            <w:hideMark/>
          </w:tcPr>
          <w:p w14:paraId="6B08C4ED" w14:textId="77777777" w:rsidR="003E04A7" w:rsidRPr="002E78FA" w:rsidRDefault="4EB590F8" w:rsidP="4D27054C">
            <w:pPr>
              <w:jc w:val="right"/>
              <w:rPr>
                <w:b/>
                <w:bCs/>
                <w:sz w:val="16"/>
                <w:szCs w:val="16"/>
              </w:rPr>
            </w:pPr>
            <w:r w:rsidRPr="002E78FA">
              <w:rPr>
                <w:b/>
                <w:bCs/>
                <w:sz w:val="16"/>
                <w:szCs w:val="16"/>
              </w:rPr>
              <w:t>2021</w:t>
            </w:r>
          </w:p>
        </w:tc>
        <w:tc>
          <w:tcPr>
            <w:tcW w:w="3200" w:type="dxa"/>
            <w:noWrap/>
            <w:vAlign w:val="center"/>
            <w:hideMark/>
          </w:tcPr>
          <w:p w14:paraId="4A77A7F7" w14:textId="6C2D868C" w:rsidR="003E04A7" w:rsidRPr="002E78FA" w:rsidRDefault="4EB590F8" w:rsidP="4D27054C">
            <w:pPr>
              <w:jc w:val="right"/>
              <w:rPr>
                <w:sz w:val="16"/>
                <w:szCs w:val="16"/>
              </w:rPr>
            </w:pPr>
            <w:r w:rsidRPr="002E78FA">
              <w:rPr>
                <w:sz w:val="16"/>
                <w:szCs w:val="16"/>
              </w:rPr>
              <w:t xml:space="preserve">3rd instalment </w:t>
            </w:r>
          </w:p>
        </w:tc>
        <w:tc>
          <w:tcPr>
            <w:tcW w:w="1619" w:type="dxa"/>
            <w:noWrap/>
            <w:vAlign w:val="center"/>
            <w:hideMark/>
          </w:tcPr>
          <w:p w14:paraId="6B738FE9" w14:textId="77777777" w:rsidR="003E04A7" w:rsidRPr="002E78FA" w:rsidRDefault="4EB590F8" w:rsidP="4D27054C">
            <w:pPr>
              <w:jc w:val="right"/>
              <w:rPr>
                <w:sz w:val="16"/>
                <w:szCs w:val="16"/>
              </w:rPr>
            </w:pPr>
            <w:r w:rsidRPr="002E78FA">
              <w:rPr>
                <w:sz w:val="16"/>
                <w:szCs w:val="16"/>
              </w:rPr>
              <w:t xml:space="preserve">15,000,000.00 </w:t>
            </w:r>
          </w:p>
        </w:tc>
        <w:tc>
          <w:tcPr>
            <w:tcW w:w="1490" w:type="dxa"/>
            <w:noWrap/>
            <w:vAlign w:val="center"/>
            <w:hideMark/>
          </w:tcPr>
          <w:p w14:paraId="4B64CE09" w14:textId="77777777" w:rsidR="003E04A7" w:rsidRPr="002E78FA" w:rsidRDefault="4EB590F8" w:rsidP="4D27054C">
            <w:pPr>
              <w:jc w:val="right"/>
              <w:rPr>
                <w:sz w:val="16"/>
                <w:szCs w:val="16"/>
              </w:rPr>
            </w:pPr>
            <w:r w:rsidRPr="002E78FA">
              <w:rPr>
                <w:sz w:val="16"/>
                <w:szCs w:val="16"/>
              </w:rPr>
              <w:t>1,732,701.86</w:t>
            </w:r>
          </w:p>
        </w:tc>
        <w:tc>
          <w:tcPr>
            <w:tcW w:w="1332" w:type="dxa"/>
            <w:vAlign w:val="center"/>
            <w:hideMark/>
          </w:tcPr>
          <w:p w14:paraId="75411ACA" w14:textId="77777777" w:rsidR="003E04A7" w:rsidRPr="002E78FA" w:rsidRDefault="4EB590F8" w:rsidP="4D27054C">
            <w:pPr>
              <w:jc w:val="right"/>
              <w:rPr>
                <w:sz w:val="16"/>
                <w:szCs w:val="16"/>
              </w:rPr>
            </w:pPr>
            <w:r w:rsidRPr="002E78FA">
              <w:rPr>
                <w:sz w:val="16"/>
                <w:szCs w:val="16"/>
              </w:rPr>
              <w:t>Received</w:t>
            </w:r>
          </w:p>
        </w:tc>
      </w:tr>
      <w:tr w:rsidR="003E04A7" w:rsidRPr="002E78FA" w14:paraId="5755805E" w14:textId="77777777" w:rsidTr="4D27054C">
        <w:trPr>
          <w:trHeight w:val="216"/>
        </w:trPr>
        <w:tc>
          <w:tcPr>
            <w:tcW w:w="1787" w:type="dxa"/>
            <w:noWrap/>
            <w:vAlign w:val="center"/>
            <w:hideMark/>
          </w:tcPr>
          <w:p w14:paraId="6A6BFE34" w14:textId="77777777" w:rsidR="003E04A7" w:rsidRPr="002E78FA" w:rsidRDefault="4EB590F8" w:rsidP="4D27054C">
            <w:pPr>
              <w:jc w:val="right"/>
              <w:rPr>
                <w:b/>
                <w:bCs/>
                <w:sz w:val="16"/>
                <w:szCs w:val="16"/>
              </w:rPr>
            </w:pPr>
            <w:r w:rsidRPr="002E78FA">
              <w:rPr>
                <w:b/>
                <w:bCs/>
                <w:sz w:val="16"/>
                <w:szCs w:val="16"/>
              </w:rPr>
              <w:t>2021-2022</w:t>
            </w:r>
          </w:p>
        </w:tc>
        <w:tc>
          <w:tcPr>
            <w:tcW w:w="3200" w:type="dxa"/>
            <w:noWrap/>
            <w:vAlign w:val="center"/>
            <w:hideMark/>
          </w:tcPr>
          <w:p w14:paraId="4C03F8BE" w14:textId="0572F452" w:rsidR="003E04A7" w:rsidRPr="002E78FA" w:rsidRDefault="4EB590F8" w:rsidP="4D27054C">
            <w:pPr>
              <w:jc w:val="right"/>
              <w:rPr>
                <w:sz w:val="16"/>
                <w:szCs w:val="16"/>
              </w:rPr>
            </w:pPr>
            <w:r w:rsidRPr="002E78FA">
              <w:rPr>
                <w:sz w:val="16"/>
                <w:szCs w:val="16"/>
              </w:rPr>
              <w:t xml:space="preserve">4th instalment (Additional funds) </w:t>
            </w:r>
          </w:p>
        </w:tc>
        <w:tc>
          <w:tcPr>
            <w:tcW w:w="1619" w:type="dxa"/>
            <w:noWrap/>
            <w:vAlign w:val="center"/>
            <w:hideMark/>
          </w:tcPr>
          <w:p w14:paraId="4F6A616C" w14:textId="77777777" w:rsidR="003E04A7" w:rsidRPr="002E78FA" w:rsidRDefault="4EB590F8" w:rsidP="4D27054C">
            <w:pPr>
              <w:jc w:val="right"/>
              <w:rPr>
                <w:sz w:val="16"/>
                <w:szCs w:val="16"/>
              </w:rPr>
            </w:pPr>
            <w:r w:rsidRPr="002E78FA">
              <w:rPr>
                <w:sz w:val="16"/>
                <w:szCs w:val="16"/>
              </w:rPr>
              <w:t xml:space="preserve">25,000,000.00 </w:t>
            </w:r>
          </w:p>
        </w:tc>
        <w:tc>
          <w:tcPr>
            <w:tcW w:w="1490" w:type="dxa"/>
            <w:noWrap/>
            <w:vAlign w:val="center"/>
            <w:hideMark/>
          </w:tcPr>
          <w:p w14:paraId="3F284241" w14:textId="77777777" w:rsidR="003E04A7" w:rsidRPr="002E78FA" w:rsidRDefault="4EB590F8" w:rsidP="4D27054C">
            <w:pPr>
              <w:jc w:val="right"/>
              <w:rPr>
                <w:sz w:val="16"/>
                <w:szCs w:val="16"/>
              </w:rPr>
            </w:pPr>
            <w:r w:rsidRPr="002E78FA">
              <w:rPr>
                <w:sz w:val="16"/>
                <w:szCs w:val="16"/>
              </w:rPr>
              <w:t>2,934,616.74</w:t>
            </w:r>
          </w:p>
        </w:tc>
        <w:tc>
          <w:tcPr>
            <w:tcW w:w="1332" w:type="dxa"/>
            <w:vAlign w:val="center"/>
            <w:hideMark/>
          </w:tcPr>
          <w:p w14:paraId="06827F2C" w14:textId="77777777" w:rsidR="003E04A7" w:rsidRPr="002E78FA" w:rsidRDefault="4EB590F8" w:rsidP="4D27054C">
            <w:pPr>
              <w:jc w:val="right"/>
              <w:rPr>
                <w:sz w:val="16"/>
                <w:szCs w:val="16"/>
              </w:rPr>
            </w:pPr>
            <w:r w:rsidRPr="002E78FA">
              <w:rPr>
                <w:sz w:val="16"/>
                <w:szCs w:val="16"/>
              </w:rPr>
              <w:t>Received</w:t>
            </w:r>
          </w:p>
        </w:tc>
      </w:tr>
      <w:tr w:rsidR="003E04A7" w:rsidRPr="002E78FA" w14:paraId="709DD66C" w14:textId="77777777" w:rsidTr="4D27054C">
        <w:trPr>
          <w:trHeight w:val="216"/>
        </w:trPr>
        <w:tc>
          <w:tcPr>
            <w:tcW w:w="1787" w:type="dxa"/>
            <w:noWrap/>
            <w:vAlign w:val="center"/>
            <w:hideMark/>
          </w:tcPr>
          <w:p w14:paraId="062A77A2" w14:textId="77777777" w:rsidR="003E04A7" w:rsidRPr="002E78FA" w:rsidRDefault="4EB590F8" w:rsidP="4D27054C">
            <w:pPr>
              <w:jc w:val="right"/>
              <w:rPr>
                <w:b/>
                <w:bCs/>
                <w:sz w:val="16"/>
                <w:szCs w:val="16"/>
              </w:rPr>
            </w:pPr>
            <w:r w:rsidRPr="002E78FA">
              <w:rPr>
                <w:b/>
                <w:bCs/>
                <w:sz w:val="16"/>
                <w:szCs w:val="16"/>
              </w:rPr>
              <w:t>2022</w:t>
            </w:r>
          </w:p>
        </w:tc>
        <w:tc>
          <w:tcPr>
            <w:tcW w:w="3200" w:type="dxa"/>
            <w:noWrap/>
            <w:vAlign w:val="center"/>
            <w:hideMark/>
          </w:tcPr>
          <w:p w14:paraId="263C4165" w14:textId="1DD5DDE1" w:rsidR="003E04A7" w:rsidRPr="002E78FA" w:rsidRDefault="4EB590F8" w:rsidP="4D27054C">
            <w:pPr>
              <w:jc w:val="right"/>
              <w:rPr>
                <w:sz w:val="16"/>
                <w:szCs w:val="16"/>
              </w:rPr>
            </w:pPr>
            <w:r w:rsidRPr="002E78FA">
              <w:rPr>
                <w:sz w:val="16"/>
                <w:szCs w:val="16"/>
              </w:rPr>
              <w:t xml:space="preserve">5th instalment  </w:t>
            </w:r>
          </w:p>
        </w:tc>
        <w:tc>
          <w:tcPr>
            <w:tcW w:w="1619" w:type="dxa"/>
            <w:noWrap/>
            <w:vAlign w:val="center"/>
            <w:hideMark/>
          </w:tcPr>
          <w:p w14:paraId="70A5745D" w14:textId="77777777" w:rsidR="003E04A7" w:rsidRPr="002E78FA" w:rsidRDefault="4EB590F8" w:rsidP="4D27054C">
            <w:pPr>
              <w:jc w:val="right"/>
              <w:rPr>
                <w:sz w:val="16"/>
                <w:szCs w:val="16"/>
              </w:rPr>
            </w:pPr>
            <w:r w:rsidRPr="002E78FA">
              <w:rPr>
                <w:sz w:val="16"/>
                <w:szCs w:val="16"/>
              </w:rPr>
              <w:t xml:space="preserve">15,000,000.00 </w:t>
            </w:r>
          </w:p>
        </w:tc>
        <w:tc>
          <w:tcPr>
            <w:tcW w:w="1490" w:type="dxa"/>
            <w:noWrap/>
            <w:vAlign w:val="center"/>
            <w:hideMark/>
          </w:tcPr>
          <w:p w14:paraId="166E083A" w14:textId="77777777" w:rsidR="003E04A7" w:rsidRPr="002E78FA" w:rsidRDefault="4EB590F8" w:rsidP="4D27054C">
            <w:pPr>
              <w:jc w:val="right"/>
              <w:rPr>
                <w:sz w:val="16"/>
                <w:szCs w:val="16"/>
              </w:rPr>
            </w:pPr>
            <w:r w:rsidRPr="002E78FA">
              <w:rPr>
                <w:sz w:val="16"/>
                <w:szCs w:val="16"/>
              </w:rPr>
              <w:t>1,710,961.56</w:t>
            </w:r>
          </w:p>
        </w:tc>
        <w:tc>
          <w:tcPr>
            <w:tcW w:w="1332" w:type="dxa"/>
            <w:vAlign w:val="center"/>
            <w:hideMark/>
          </w:tcPr>
          <w:p w14:paraId="163E570A" w14:textId="77777777" w:rsidR="003E04A7" w:rsidRPr="002E78FA" w:rsidRDefault="4EB590F8" w:rsidP="4D27054C">
            <w:pPr>
              <w:jc w:val="right"/>
              <w:rPr>
                <w:sz w:val="16"/>
                <w:szCs w:val="16"/>
              </w:rPr>
            </w:pPr>
            <w:r w:rsidRPr="002E78FA">
              <w:rPr>
                <w:sz w:val="16"/>
                <w:szCs w:val="16"/>
              </w:rPr>
              <w:t>Received</w:t>
            </w:r>
          </w:p>
        </w:tc>
      </w:tr>
      <w:tr w:rsidR="003E04A7" w:rsidRPr="002E78FA" w14:paraId="2F2B61B3" w14:textId="77777777" w:rsidTr="4D27054C">
        <w:trPr>
          <w:trHeight w:val="368"/>
        </w:trPr>
        <w:tc>
          <w:tcPr>
            <w:tcW w:w="1787" w:type="dxa"/>
            <w:noWrap/>
            <w:vAlign w:val="center"/>
            <w:hideMark/>
          </w:tcPr>
          <w:p w14:paraId="7237EB7C" w14:textId="77777777" w:rsidR="003E04A7" w:rsidRPr="002E78FA" w:rsidRDefault="4EB590F8" w:rsidP="4D27054C">
            <w:pPr>
              <w:jc w:val="right"/>
              <w:rPr>
                <w:b/>
                <w:bCs/>
                <w:sz w:val="16"/>
                <w:szCs w:val="16"/>
              </w:rPr>
            </w:pPr>
            <w:r w:rsidRPr="002E78FA">
              <w:rPr>
                <w:b/>
                <w:bCs/>
                <w:sz w:val="16"/>
                <w:szCs w:val="16"/>
              </w:rPr>
              <w:t>2022 - 2023</w:t>
            </w:r>
          </w:p>
        </w:tc>
        <w:tc>
          <w:tcPr>
            <w:tcW w:w="3200" w:type="dxa"/>
            <w:noWrap/>
            <w:vAlign w:val="center"/>
            <w:hideMark/>
          </w:tcPr>
          <w:p w14:paraId="6651F6CB" w14:textId="292D5A00" w:rsidR="003E04A7" w:rsidRPr="002E78FA" w:rsidRDefault="4EB590F8" w:rsidP="4D27054C">
            <w:pPr>
              <w:jc w:val="right"/>
              <w:rPr>
                <w:sz w:val="16"/>
                <w:szCs w:val="16"/>
              </w:rPr>
            </w:pPr>
            <w:r w:rsidRPr="002E78FA">
              <w:rPr>
                <w:sz w:val="16"/>
                <w:szCs w:val="16"/>
              </w:rPr>
              <w:t xml:space="preserve">NEW- (Additional funds) </w:t>
            </w:r>
          </w:p>
        </w:tc>
        <w:tc>
          <w:tcPr>
            <w:tcW w:w="1619" w:type="dxa"/>
            <w:noWrap/>
            <w:vAlign w:val="center"/>
            <w:hideMark/>
          </w:tcPr>
          <w:p w14:paraId="7175C899" w14:textId="77777777" w:rsidR="003E04A7" w:rsidRPr="002E78FA" w:rsidRDefault="4EB590F8" w:rsidP="4D27054C">
            <w:pPr>
              <w:jc w:val="right"/>
              <w:rPr>
                <w:sz w:val="16"/>
                <w:szCs w:val="16"/>
              </w:rPr>
            </w:pPr>
            <w:r w:rsidRPr="002E78FA">
              <w:rPr>
                <w:sz w:val="16"/>
                <w:szCs w:val="16"/>
              </w:rPr>
              <w:t xml:space="preserve">20,000,000.00 </w:t>
            </w:r>
          </w:p>
        </w:tc>
        <w:tc>
          <w:tcPr>
            <w:tcW w:w="1490" w:type="dxa"/>
            <w:noWrap/>
            <w:vAlign w:val="center"/>
            <w:hideMark/>
          </w:tcPr>
          <w:p w14:paraId="4E9D8347" w14:textId="77777777" w:rsidR="003E04A7" w:rsidRPr="002E78FA" w:rsidRDefault="4EB590F8" w:rsidP="4D27054C">
            <w:pPr>
              <w:jc w:val="right"/>
              <w:rPr>
                <w:sz w:val="16"/>
                <w:szCs w:val="16"/>
              </w:rPr>
            </w:pPr>
            <w:r w:rsidRPr="002E78FA">
              <w:rPr>
                <w:sz w:val="16"/>
                <w:szCs w:val="16"/>
              </w:rPr>
              <w:t>2,281,282.08</w:t>
            </w:r>
          </w:p>
        </w:tc>
        <w:tc>
          <w:tcPr>
            <w:tcW w:w="1332" w:type="dxa"/>
            <w:vAlign w:val="center"/>
            <w:hideMark/>
          </w:tcPr>
          <w:p w14:paraId="0BC211A3" w14:textId="474A9C70" w:rsidR="003E04A7" w:rsidRPr="002E78FA" w:rsidRDefault="4EB590F8" w:rsidP="4D27054C">
            <w:pPr>
              <w:jc w:val="right"/>
              <w:rPr>
                <w:sz w:val="16"/>
                <w:szCs w:val="16"/>
              </w:rPr>
            </w:pPr>
            <w:r w:rsidRPr="002E78FA">
              <w:rPr>
                <w:sz w:val="16"/>
                <w:szCs w:val="16"/>
              </w:rPr>
              <w:t>Received</w:t>
            </w:r>
          </w:p>
        </w:tc>
      </w:tr>
      <w:tr w:rsidR="003E04A7" w:rsidRPr="002E78FA" w14:paraId="3DC6D7C5" w14:textId="77777777" w:rsidTr="4D27054C">
        <w:trPr>
          <w:trHeight w:val="216"/>
        </w:trPr>
        <w:tc>
          <w:tcPr>
            <w:tcW w:w="1787" w:type="dxa"/>
            <w:noWrap/>
            <w:vAlign w:val="center"/>
            <w:hideMark/>
          </w:tcPr>
          <w:p w14:paraId="2E4FCE72" w14:textId="77777777" w:rsidR="003E04A7" w:rsidRPr="002E78FA" w:rsidRDefault="4EB590F8" w:rsidP="4D27054C">
            <w:pPr>
              <w:jc w:val="center"/>
              <w:rPr>
                <w:b/>
                <w:bCs/>
                <w:sz w:val="16"/>
                <w:szCs w:val="16"/>
              </w:rPr>
            </w:pPr>
            <w:r w:rsidRPr="002E78FA">
              <w:rPr>
                <w:b/>
                <w:bCs/>
                <w:sz w:val="16"/>
                <w:szCs w:val="16"/>
              </w:rPr>
              <w:t>Total</w:t>
            </w:r>
          </w:p>
        </w:tc>
        <w:tc>
          <w:tcPr>
            <w:tcW w:w="3200" w:type="dxa"/>
            <w:noWrap/>
            <w:hideMark/>
          </w:tcPr>
          <w:p w14:paraId="46AFAAA7" w14:textId="77777777" w:rsidR="003E04A7" w:rsidRPr="002E78FA" w:rsidRDefault="003E04A7" w:rsidP="4D27054C">
            <w:pPr>
              <w:jc w:val="both"/>
              <w:rPr>
                <w:sz w:val="16"/>
                <w:szCs w:val="16"/>
              </w:rPr>
            </w:pPr>
          </w:p>
        </w:tc>
        <w:tc>
          <w:tcPr>
            <w:tcW w:w="1619" w:type="dxa"/>
            <w:noWrap/>
            <w:vAlign w:val="center"/>
            <w:hideMark/>
          </w:tcPr>
          <w:p w14:paraId="5C32AE32" w14:textId="77777777" w:rsidR="003E04A7" w:rsidRPr="002E78FA" w:rsidRDefault="4EB590F8" w:rsidP="4D27054C">
            <w:pPr>
              <w:jc w:val="right"/>
              <w:rPr>
                <w:sz w:val="16"/>
                <w:szCs w:val="16"/>
              </w:rPr>
            </w:pPr>
            <w:r w:rsidRPr="002E78FA">
              <w:rPr>
                <w:sz w:val="16"/>
                <w:szCs w:val="16"/>
              </w:rPr>
              <w:t xml:space="preserve">115,000,000.00 </w:t>
            </w:r>
          </w:p>
        </w:tc>
        <w:tc>
          <w:tcPr>
            <w:tcW w:w="1490" w:type="dxa"/>
            <w:noWrap/>
            <w:vAlign w:val="center"/>
            <w:hideMark/>
          </w:tcPr>
          <w:p w14:paraId="1F5192BA" w14:textId="77777777" w:rsidR="003E04A7" w:rsidRPr="002E78FA" w:rsidRDefault="4EB590F8" w:rsidP="4D27054C">
            <w:pPr>
              <w:jc w:val="both"/>
              <w:rPr>
                <w:sz w:val="16"/>
                <w:szCs w:val="16"/>
              </w:rPr>
            </w:pPr>
            <w:r w:rsidRPr="002E78FA">
              <w:rPr>
                <w:sz w:val="16"/>
                <w:szCs w:val="16"/>
              </w:rPr>
              <w:t xml:space="preserve">     12,959,693.01 </w:t>
            </w:r>
          </w:p>
        </w:tc>
        <w:tc>
          <w:tcPr>
            <w:tcW w:w="1332" w:type="dxa"/>
            <w:vAlign w:val="center"/>
            <w:hideMark/>
          </w:tcPr>
          <w:p w14:paraId="1776A5E4" w14:textId="77777777" w:rsidR="003E04A7" w:rsidRPr="002E78FA" w:rsidRDefault="003E04A7" w:rsidP="4D27054C">
            <w:pPr>
              <w:rPr>
                <w:sz w:val="16"/>
                <w:szCs w:val="16"/>
              </w:rPr>
            </w:pPr>
          </w:p>
        </w:tc>
      </w:tr>
    </w:tbl>
    <w:p w14:paraId="78F59CCB" w14:textId="77777777" w:rsidR="003E04A7" w:rsidRDefault="003E04A7" w:rsidP="516AEA60">
      <w:pPr>
        <w:rPr>
          <w:color w:val="000000" w:themeColor="text1"/>
        </w:rPr>
      </w:pPr>
    </w:p>
    <w:p w14:paraId="297415B6" w14:textId="1E0BE462" w:rsidR="00985354" w:rsidRPr="006B44CD" w:rsidRDefault="0E6B4982" w:rsidP="5CF61BAE">
      <w:pPr>
        <w:rPr>
          <w:color w:val="000000" w:themeColor="text1"/>
        </w:rPr>
      </w:pPr>
      <w:r w:rsidRPr="5CF61BAE">
        <w:t>The budget distribution between UN Women and ILO is done based on the outputs that each agency is leading on under the three JP outcomes. Accordingly, 60% for the budget is for UN Women and 40% for ILO.</w:t>
      </w:r>
    </w:p>
    <w:p w14:paraId="2289CC19" w14:textId="03379E1F" w:rsidR="5CF61BAE" w:rsidRDefault="5CF61BAE" w:rsidP="5CF61BAE">
      <w:pPr>
        <w:rPr>
          <w:color w:val="000000" w:themeColor="text1"/>
        </w:rPr>
      </w:pPr>
    </w:p>
    <w:p w14:paraId="6BB78D67" w14:textId="25A1AAA4" w:rsidR="1DB2D202" w:rsidRPr="000305BD" w:rsidRDefault="1DB2D202" w:rsidP="4D27054C">
      <w:pPr>
        <w:rPr>
          <w:b/>
          <w:bCs/>
          <w:color w:val="000000" w:themeColor="text1"/>
        </w:rPr>
      </w:pPr>
    </w:p>
    <w:p w14:paraId="6D39CC52" w14:textId="796EE5D9" w:rsidR="36364289" w:rsidRPr="006B4473" w:rsidRDefault="75353208" w:rsidP="5DC39AF9">
      <w:pPr>
        <w:pStyle w:val="ListParagraph"/>
        <w:numPr>
          <w:ilvl w:val="0"/>
          <w:numId w:val="34"/>
        </w:numPr>
        <w:jc w:val="both"/>
        <w:rPr>
          <w:rFonts w:eastAsiaTheme="minorEastAsia"/>
          <w:b/>
          <w:bCs/>
          <w:color w:val="4472C4" w:themeColor="accent1"/>
          <w:sz w:val="24"/>
          <w:szCs w:val="24"/>
        </w:rPr>
      </w:pPr>
      <w:bookmarkStart w:id="25" w:name="_Toc90825911"/>
      <w:r w:rsidRPr="5DC39AF9">
        <w:rPr>
          <w:rFonts w:ascii="Times New Roman" w:hAnsi="Times New Roman" w:cs="Times New Roman"/>
          <w:b/>
          <w:bCs/>
          <w:color w:val="4471C4"/>
          <w:sz w:val="24"/>
          <w:szCs w:val="24"/>
        </w:rPr>
        <w:t>Programme management and implementation arrangements</w:t>
      </w:r>
      <w:bookmarkEnd w:id="25"/>
      <w:r w:rsidRPr="5DC39AF9">
        <w:rPr>
          <w:rFonts w:ascii="Times New Roman" w:hAnsi="Times New Roman" w:cs="Times New Roman"/>
          <w:b/>
          <w:bCs/>
          <w:color w:val="4471C4"/>
          <w:sz w:val="24"/>
          <w:szCs w:val="24"/>
        </w:rPr>
        <w:t xml:space="preserve"> </w:t>
      </w:r>
    </w:p>
    <w:p w14:paraId="16A75941" w14:textId="7014F1AF" w:rsidR="003856CC" w:rsidRPr="00EF4AB4" w:rsidRDefault="6EED2867" w:rsidP="050676BD">
      <w:pPr>
        <w:jc w:val="both"/>
        <w:rPr>
          <w:color w:val="000000" w:themeColor="text1"/>
        </w:rPr>
      </w:pPr>
      <w:r w:rsidRPr="006B44CD">
        <w:rPr>
          <w:color w:val="000000" w:themeColor="text1"/>
        </w:rPr>
        <w:t>The JP is governed by the UNDG Guidance on Joint Programming and proceeds according to the pass-through modality. UN Women acts as both the Administrative Agent (AA) and the Convening Agent (CA).</w:t>
      </w:r>
      <w:r w:rsidR="000B3B41">
        <w:rPr>
          <w:color w:val="000000" w:themeColor="text1"/>
        </w:rPr>
        <w:t xml:space="preserve"> </w:t>
      </w:r>
      <w:r w:rsidR="1548C4BD" w:rsidRPr="4D27054C">
        <w:rPr>
          <w:color w:val="000000" w:themeColor="text1"/>
        </w:rPr>
        <w:t>The organization structure is outlined here below:</w:t>
      </w:r>
    </w:p>
    <w:p w14:paraId="5870C19E" w14:textId="130374F0" w:rsidR="4D27054C" w:rsidRDefault="4D27054C" w:rsidP="4D27054C">
      <w:pPr>
        <w:jc w:val="both"/>
        <w:rPr>
          <w:color w:val="000000" w:themeColor="text1"/>
        </w:rPr>
      </w:pPr>
    </w:p>
    <w:p w14:paraId="61AADD1C" w14:textId="4680F928" w:rsidR="36364289" w:rsidRPr="000305BD" w:rsidRDefault="000305BD" w:rsidP="050676BD">
      <w:pPr>
        <w:jc w:val="both"/>
        <w:rPr>
          <w:color w:val="4471C4"/>
          <w:sz w:val="16"/>
          <w:szCs w:val="16"/>
        </w:rPr>
      </w:pPr>
      <w:r w:rsidRPr="000305BD">
        <w:rPr>
          <w:color w:val="4471C4"/>
          <w:sz w:val="16"/>
          <w:szCs w:val="16"/>
        </w:rPr>
        <w:t xml:space="preserve">Figure 1: JP Programme management and implementation arrangement </w:t>
      </w:r>
    </w:p>
    <w:p w14:paraId="3BAD2640" w14:textId="4E939C4C" w:rsidR="36364289" w:rsidRPr="006B44CD" w:rsidRDefault="6EED2867" w:rsidP="050676BD">
      <w:pPr>
        <w:jc w:val="both"/>
        <w:rPr>
          <w:color w:val="000000" w:themeColor="text1"/>
        </w:rPr>
      </w:pPr>
      <w:r w:rsidRPr="006B44CD">
        <w:rPr>
          <w:noProof/>
          <w:color w:val="2B579A"/>
          <w:shd w:val="clear" w:color="auto" w:fill="E6E6E6"/>
        </w:rPr>
        <w:drawing>
          <wp:inline distT="0" distB="0" distL="0" distR="0" wp14:anchorId="74A32935" wp14:editId="6C1354D4">
            <wp:extent cx="5066675" cy="4294337"/>
            <wp:effectExtent l="0" t="0" r="635" b="0"/>
            <wp:docPr id="1094106191" name="Picture 109410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6128" cy="4319301"/>
                    </a:xfrm>
                    <a:prstGeom prst="rect">
                      <a:avLst/>
                    </a:prstGeom>
                  </pic:spPr>
                </pic:pic>
              </a:graphicData>
            </a:graphic>
          </wp:inline>
        </w:drawing>
      </w:r>
    </w:p>
    <w:p w14:paraId="3CF24AFF" w14:textId="77777777" w:rsidR="006B4473" w:rsidRDefault="006B4473" w:rsidP="050676BD">
      <w:pPr>
        <w:jc w:val="both"/>
        <w:rPr>
          <w:color w:val="000000" w:themeColor="text1"/>
        </w:rPr>
      </w:pPr>
    </w:p>
    <w:p w14:paraId="454FE8BB" w14:textId="34358057" w:rsidR="4D27054C" w:rsidRDefault="4D27054C" w:rsidP="4D27054C">
      <w:pPr>
        <w:jc w:val="both"/>
        <w:rPr>
          <w:color w:val="000000" w:themeColor="text1"/>
        </w:rPr>
      </w:pPr>
    </w:p>
    <w:p w14:paraId="78574690" w14:textId="29EF5579" w:rsidR="36364289" w:rsidRDefault="6EED2867" w:rsidP="050676BD">
      <w:pPr>
        <w:jc w:val="both"/>
        <w:rPr>
          <w:color w:val="000000" w:themeColor="text1"/>
        </w:rPr>
      </w:pPr>
      <w:r w:rsidRPr="006B44CD">
        <w:rPr>
          <w:color w:val="000000" w:themeColor="text1"/>
        </w:rPr>
        <w:t xml:space="preserve">Overall guidance and coordination of the programme rests with the Joint Programme Strategic Coordination Committee (JPSCC), which meets once a year and is responsible for strategic guidance and coordination with regional impact. The JPSCC also receives and discusses annual reports and receives and reviews programme evaluations. In addition to the regional-level JPSCC, there are National Joint Programme Steering Committees (NJPSC) which meets twice a year and are responsible for programming issues at the national level. </w:t>
      </w:r>
    </w:p>
    <w:p w14:paraId="5DAEC125" w14:textId="77777777" w:rsidR="006B4473" w:rsidRPr="006B44CD" w:rsidRDefault="006B4473" w:rsidP="050676BD">
      <w:pPr>
        <w:jc w:val="both"/>
        <w:rPr>
          <w:color w:val="000000" w:themeColor="text1"/>
        </w:rPr>
      </w:pPr>
    </w:p>
    <w:p w14:paraId="2E4920F0" w14:textId="14349F81" w:rsidR="36364289" w:rsidRDefault="6EED2867" w:rsidP="050676BD">
      <w:pPr>
        <w:jc w:val="both"/>
        <w:rPr>
          <w:color w:val="000000" w:themeColor="text1"/>
        </w:rPr>
      </w:pPr>
      <w:r w:rsidRPr="006B44CD">
        <w:rPr>
          <w:color w:val="000000" w:themeColor="text1"/>
        </w:rPr>
        <w:t xml:space="preserve">The program is managed by the Joint Programme Manager (JPM) based in Cairo’s UN Women Regional Office responsible for the technical and financial oversight of the programmes and for coordinating activities across the three countries. </w:t>
      </w:r>
    </w:p>
    <w:p w14:paraId="41D7E364" w14:textId="77777777" w:rsidR="006B4473" w:rsidRPr="006B44CD" w:rsidRDefault="006B4473" w:rsidP="050676BD">
      <w:pPr>
        <w:jc w:val="both"/>
        <w:rPr>
          <w:color w:val="000000" w:themeColor="text1"/>
        </w:rPr>
      </w:pPr>
    </w:p>
    <w:p w14:paraId="29977B9A" w14:textId="3D2CD66E" w:rsidR="003856CC" w:rsidRPr="00617267" w:rsidRDefault="1548C4BD" w:rsidP="19C26BB9">
      <w:pPr>
        <w:jc w:val="both"/>
        <w:rPr>
          <w:rStyle w:val="Strong"/>
          <w:b w:val="0"/>
          <w:bCs w:val="0"/>
          <w:color w:val="000000" w:themeColor="text1"/>
        </w:rPr>
      </w:pPr>
      <w:r w:rsidRPr="19C26BB9">
        <w:rPr>
          <w:color w:val="000000" w:themeColor="text1"/>
        </w:rPr>
        <w:t xml:space="preserve">In each of three countries (Egypt, Jordan and Palestine), a Coordination Focal Point is responsible for the overall coordination and guidance of the programme at the national level. Given UN Women’s role as both the AA </w:t>
      </w:r>
      <w:r w:rsidRPr="19C26BB9">
        <w:t xml:space="preserve">and CA, the Coordination Focal Points are national officers of UN Women. The country Coordination Focal Points, and the ILO programme coordinators at national level report in technical aspects to the JPM. </w:t>
      </w:r>
      <w:r w:rsidR="0E6B4982" w:rsidRPr="19C26BB9">
        <w:t xml:space="preserve">There are technical specialists from the regional offices of both UN Women and ILO that provide quality assurance and technical advice. </w:t>
      </w:r>
    </w:p>
    <w:p w14:paraId="43EBC785" w14:textId="429D78CB" w:rsidR="003856CC" w:rsidRPr="00617267" w:rsidRDefault="003856CC" w:rsidP="4D27054C">
      <w:pPr>
        <w:jc w:val="both"/>
        <w:rPr>
          <w:color w:val="000000" w:themeColor="text1"/>
        </w:rPr>
      </w:pPr>
    </w:p>
    <w:p w14:paraId="2507BEE0" w14:textId="2DFD941E" w:rsidR="003856CC" w:rsidRPr="00516BD4" w:rsidRDefault="1548C4BD" w:rsidP="5CF61BAE">
      <w:pPr>
        <w:jc w:val="both"/>
        <w:rPr>
          <w:color w:val="000000" w:themeColor="text1"/>
        </w:rPr>
      </w:pPr>
      <w:r w:rsidRPr="5CF61BAE">
        <w:t xml:space="preserve">The JPM is responsible for knowledge sharing across the region so that countries can learn from each other’s experiences. The JPM seeks advice and guidance from technical specialists within the Arab States Regional offices of ILO and UN Women and ensures that the JP is fully integrated into the work of both agencies in the three countries. </w:t>
      </w:r>
      <w:r w:rsidR="5B3504F1" w:rsidRPr="5CF61BAE">
        <w:t>A unified working system has been developed including guidelines and manuals, regular training and information sessions, and a monthly coordination meeting to get team updates, exchange knowledge and resolve any issues.</w:t>
      </w:r>
      <w:r w:rsidR="41FD5C3A" w:rsidRPr="5CF61BAE">
        <w:t xml:space="preserve"> </w:t>
      </w:r>
      <w:r w:rsidRPr="5CF61BAE">
        <w:t xml:space="preserve">The JP team is supported by a Programme Monitoring and Reporting Officer for planning and reporting activities and an </w:t>
      </w:r>
      <w:r w:rsidR="0E6B4982" w:rsidRPr="5CF61BAE">
        <w:t xml:space="preserve">administrative and financial support (50%) </w:t>
      </w:r>
      <w:r w:rsidRPr="5CF61BAE">
        <w:t xml:space="preserve">based in the UN Women ROAS in Cairo. </w:t>
      </w:r>
      <w:r w:rsidR="0E6B4982" w:rsidRPr="5CF61BAE">
        <w:t>In addition, the JP teams receives Operational and Management support from the office of both the agencies.</w:t>
      </w:r>
    </w:p>
    <w:p w14:paraId="620F8574" w14:textId="57068D3E" w:rsidR="4D27054C" w:rsidRDefault="4D27054C" w:rsidP="4D27054C">
      <w:pPr>
        <w:jc w:val="both"/>
      </w:pPr>
    </w:p>
    <w:p w14:paraId="54CCA525" w14:textId="64E44897" w:rsidR="00617267" w:rsidRPr="005D5CC5" w:rsidRDefault="1548C4BD" w:rsidP="00617267">
      <w:pPr>
        <w:pStyle w:val="Heading1"/>
        <w:numPr>
          <w:ilvl w:val="0"/>
          <w:numId w:val="34"/>
        </w:numPr>
        <w:rPr>
          <w:rFonts w:ascii="Times New Roman" w:hAnsi="Times New Roman" w:cs="Times New Roman"/>
          <w:b/>
          <w:bCs/>
          <w:sz w:val="24"/>
          <w:szCs w:val="24"/>
        </w:rPr>
      </w:pPr>
      <w:bookmarkStart w:id="26" w:name="_Toc90825913"/>
      <w:bookmarkStart w:id="27" w:name="_Toc97453926"/>
      <w:r w:rsidRPr="5DC39AF9">
        <w:rPr>
          <w:rFonts w:ascii="Times New Roman" w:hAnsi="Times New Roman" w:cs="Times New Roman"/>
          <w:b/>
          <w:bCs/>
          <w:sz w:val="24"/>
          <w:szCs w:val="24"/>
        </w:rPr>
        <w:t xml:space="preserve">Theory of change or intervention logic </w:t>
      </w:r>
      <w:r w:rsidR="088BE47A" w:rsidRPr="5DC39AF9">
        <w:rPr>
          <w:rFonts w:ascii="Times New Roman" w:hAnsi="Times New Roman" w:cs="Times New Roman"/>
          <w:b/>
          <w:bCs/>
          <w:sz w:val="24"/>
          <w:szCs w:val="24"/>
        </w:rPr>
        <w:t>and the logical framework</w:t>
      </w:r>
      <w:bookmarkEnd w:id="26"/>
      <w:bookmarkEnd w:id="27"/>
    </w:p>
    <w:p w14:paraId="3F0FC9A5" w14:textId="75AF003B" w:rsidR="4D27054C" w:rsidRDefault="4D27054C" w:rsidP="4D27054C"/>
    <w:p w14:paraId="48057AEE" w14:textId="38F7C818" w:rsidR="4D27054C" w:rsidRDefault="1548C4BD" w:rsidP="4D27054C">
      <w:pPr>
        <w:jc w:val="both"/>
        <w:rPr>
          <w:color w:val="000000" w:themeColor="text1"/>
        </w:rPr>
      </w:pPr>
      <w:r w:rsidRPr="4D27054C">
        <w:rPr>
          <w:color w:val="000000" w:themeColor="text1"/>
        </w:rPr>
        <w:t xml:space="preserve">The programme Theory of Change is: </w:t>
      </w:r>
    </w:p>
    <w:p w14:paraId="2F51DFBA" w14:textId="4E83F991" w:rsidR="36364289" w:rsidRPr="006B44CD" w:rsidRDefault="6EED2867" w:rsidP="050676BD">
      <w:pPr>
        <w:jc w:val="both"/>
        <w:rPr>
          <w:color w:val="000000" w:themeColor="text1"/>
        </w:rPr>
      </w:pPr>
      <w:r w:rsidRPr="006B44CD">
        <w:rPr>
          <w:color w:val="000000" w:themeColor="text1"/>
        </w:rPr>
        <w:t xml:space="preserve">If (1) Gender-responsive labour laws and related policies are in place and are effective; </w:t>
      </w:r>
    </w:p>
    <w:p w14:paraId="5DABB168" w14:textId="5AAABC01" w:rsidR="36364289" w:rsidRPr="006B44CD" w:rsidRDefault="6EED2867" w:rsidP="050676BD">
      <w:pPr>
        <w:jc w:val="both"/>
        <w:rPr>
          <w:color w:val="000000" w:themeColor="text1"/>
        </w:rPr>
      </w:pPr>
      <w:r w:rsidRPr="006B44CD">
        <w:rPr>
          <w:color w:val="000000" w:themeColor="text1"/>
        </w:rPr>
        <w:t>if (2) A gender</w:t>
      </w:r>
      <w:r w:rsidR="32A80813" w:rsidRPr="006B44CD">
        <w:rPr>
          <w:color w:val="000000" w:themeColor="text1"/>
        </w:rPr>
        <w:t>-</w:t>
      </w:r>
      <w:r w:rsidRPr="006B44CD">
        <w:rPr>
          <w:color w:val="000000" w:themeColor="text1"/>
        </w:rPr>
        <w:t xml:space="preserve">responsive private sector that attracts, retains and promotes women in decent work; and </w:t>
      </w:r>
    </w:p>
    <w:p w14:paraId="1EC875B8" w14:textId="7E56CCC4" w:rsidR="36364289" w:rsidRPr="006B44CD" w:rsidRDefault="6EED2867" w:rsidP="050676BD">
      <w:pPr>
        <w:jc w:val="both"/>
        <w:rPr>
          <w:color w:val="000000" w:themeColor="text1"/>
        </w:rPr>
      </w:pPr>
      <w:r w:rsidRPr="006B44CD">
        <w:rPr>
          <w:color w:val="000000" w:themeColor="text1"/>
        </w:rPr>
        <w:t xml:space="preserve">if (3) Gender stereotypes of unpaid care and women’s work are addressed; </w:t>
      </w:r>
    </w:p>
    <w:p w14:paraId="2EF66DD5" w14:textId="68F85C42" w:rsidR="36364289" w:rsidRPr="006B44CD" w:rsidRDefault="6EED2867" w:rsidP="050676BD">
      <w:pPr>
        <w:jc w:val="both"/>
        <w:rPr>
          <w:color w:val="000000" w:themeColor="text1"/>
        </w:rPr>
      </w:pPr>
      <w:r w:rsidRPr="006B44CD">
        <w:rPr>
          <w:color w:val="000000" w:themeColor="text1"/>
        </w:rPr>
        <w:t xml:space="preserve">then (4) decent work and income generating opportunities for women will be promoted; </w:t>
      </w:r>
    </w:p>
    <w:p w14:paraId="265F4DF7" w14:textId="2B906A29" w:rsidR="36364289" w:rsidRDefault="6EED2867" w:rsidP="050676BD">
      <w:pPr>
        <w:jc w:val="both"/>
        <w:rPr>
          <w:color w:val="000000" w:themeColor="text1"/>
        </w:rPr>
      </w:pPr>
      <w:r w:rsidRPr="006B44CD">
        <w:rPr>
          <w:color w:val="000000" w:themeColor="text1"/>
        </w:rPr>
        <w:t>because (5) the barriers to women’s entry to and retention in decent work will be addressed including unpaid care.</w:t>
      </w:r>
    </w:p>
    <w:p w14:paraId="5E456250" w14:textId="77777777" w:rsidR="005D5CC5" w:rsidRPr="006B44CD" w:rsidRDefault="005D5CC5" w:rsidP="050676BD">
      <w:pPr>
        <w:jc w:val="both"/>
        <w:rPr>
          <w:color w:val="000000" w:themeColor="text1"/>
        </w:rPr>
      </w:pPr>
    </w:p>
    <w:p w14:paraId="6BC7D6A2" w14:textId="56E07221" w:rsidR="00C2670D" w:rsidRDefault="75353208" w:rsidP="050676BD">
      <w:pPr>
        <w:jc w:val="both"/>
        <w:rPr>
          <w:color w:val="000000" w:themeColor="text1"/>
        </w:rPr>
      </w:pPr>
      <w:r w:rsidRPr="4D27054C">
        <w:rPr>
          <w:color w:val="000000" w:themeColor="text1"/>
        </w:rPr>
        <w:t>Based on the proposed goal and theory of change, the programme has three outcomes and twelve associated outputs as described in the table 2</w:t>
      </w:r>
      <w:r w:rsidR="7E72DE81" w:rsidRPr="4D27054C">
        <w:rPr>
          <w:color w:val="000000" w:themeColor="text1"/>
        </w:rPr>
        <w:t xml:space="preserve"> </w:t>
      </w:r>
      <w:r w:rsidRPr="4D27054C">
        <w:rPr>
          <w:color w:val="000000" w:themeColor="text1"/>
        </w:rPr>
        <w:t xml:space="preserve">below: </w:t>
      </w:r>
    </w:p>
    <w:p w14:paraId="02293C8E" w14:textId="14C406DB" w:rsidR="4D27054C" w:rsidRDefault="4D27054C" w:rsidP="4D27054C">
      <w:pPr>
        <w:jc w:val="both"/>
        <w:rPr>
          <w:color w:val="000000" w:themeColor="text1"/>
        </w:rPr>
      </w:pPr>
    </w:p>
    <w:p w14:paraId="3F47B3A2" w14:textId="77777777" w:rsidR="002D6FF3" w:rsidRDefault="002D6FF3" w:rsidP="4D27054C">
      <w:pPr>
        <w:jc w:val="both"/>
        <w:rPr>
          <w:color w:val="000000" w:themeColor="text1"/>
        </w:rPr>
      </w:pPr>
    </w:p>
    <w:p w14:paraId="0CFCF78C" w14:textId="77777777" w:rsidR="000B3B41" w:rsidRDefault="000B3B41" w:rsidP="4D27054C">
      <w:pPr>
        <w:jc w:val="both"/>
        <w:rPr>
          <w:color w:val="000000" w:themeColor="text1"/>
          <w:sz w:val="16"/>
          <w:szCs w:val="16"/>
        </w:rPr>
      </w:pPr>
    </w:p>
    <w:p w14:paraId="41CABF76" w14:textId="6E88B10B" w:rsidR="36364289" w:rsidRPr="000305BD" w:rsidRDefault="20FCD7FC" w:rsidP="4D27054C">
      <w:pPr>
        <w:jc w:val="both"/>
        <w:rPr>
          <w:color w:val="000000" w:themeColor="text1"/>
          <w:sz w:val="16"/>
          <w:szCs w:val="16"/>
        </w:rPr>
      </w:pPr>
      <w:r w:rsidRPr="4D27054C">
        <w:rPr>
          <w:color w:val="000000" w:themeColor="text1"/>
          <w:sz w:val="16"/>
          <w:szCs w:val="16"/>
        </w:rPr>
        <w:t xml:space="preserve">Table 2: JP Outcomes and associated outputs </w:t>
      </w:r>
    </w:p>
    <w:tbl>
      <w:tblPr>
        <w:tblStyle w:val="TableGrid"/>
        <w:tblW w:w="9918" w:type="dxa"/>
        <w:tblLayout w:type="fixed"/>
        <w:tblLook w:val="04A0" w:firstRow="1" w:lastRow="0" w:firstColumn="1" w:lastColumn="0" w:noHBand="0" w:noVBand="1"/>
      </w:tblPr>
      <w:tblGrid>
        <w:gridCol w:w="3000"/>
        <w:gridCol w:w="3516"/>
        <w:gridCol w:w="3402"/>
      </w:tblGrid>
      <w:tr w:rsidR="76BCC05E" w:rsidRPr="001661AC" w14:paraId="68677E0D" w14:textId="77777777" w:rsidTr="005D5CC5">
        <w:tc>
          <w:tcPr>
            <w:tcW w:w="3000" w:type="dxa"/>
            <w:shd w:val="clear" w:color="auto" w:fill="D9E2F3" w:themeFill="accent1" w:themeFillTint="33"/>
          </w:tcPr>
          <w:p w14:paraId="1DC50ABE" w14:textId="2FA1ED2D" w:rsidR="76BCC05E" w:rsidRPr="001661AC" w:rsidRDefault="1F8A21B7" w:rsidP="050676BD">
            <w:pPr>
              <w:jc w:val="center"/>
              <w:rPr>
                <w:color w:val="000000" w:themeColor="text1"/>
                <w:sz w:val="16"/>
                <w:szCs w:val="16"/>
              </w:rPr>
            </w:pPr>
            <w:r w:rsidRPr="001661AC">
              <w:rPr>
                <w:b/>
                <w:bCs/>
                <w:color w:val="000000" w:themeColor="text1"/>
                <w:sz w:val="16"/>
                <w:szCs w:val="16"/>
              </w:rPr>
              <w:t xml:space="preserve">Outcome 1 </w:t>
            </w:r>
          </w:p>
          <w:p w14:paraId="1FDAE9A0" w14:textId="6FBC9400" w:rsidR="76BCC05E" w:rsidRPr="001661AC" w:rsidRDefault="76BCC05E" w:rsidP="050676BD">
            <w:pPr>
              <w:jc w:val="both"/>
              <w:rPr>
                <w:sz w:val="16"/>
                <w:szCs w:val="16"/>
              </w:rPr>
            </w:pPr>
          </w:p>
          <w:p w14:paraId="011754F8" w14:textId="25543A74" w:rsidR="76BCC05E" w:rsidRPr="001661AC" w:rsidRDefault="1F8A21B7" w:rsidP="050676BD">
            <w:pPr>
              <w:jc w:val="both"/>
              <w:rPr>
                <w:sz w:val="16"/>
                <w:szCs w:val="16"/>
              </w:rPr>
            </w:pPr>
            <w:r w:rsidRPr="001661AC">
              <w:rPr>
                <w:sz w:val="16"/>
                <w:szCs w:val="16"/>
              </w:rPr>
              <w:t xml:space="preserve">Gender responsive labour laws and related policies in place and are effective </w:t>
            </w:r>
          </w:p>
          <w:p w14:paraId="668DC599" w14:textId="480AC9A7" w:rsidR="76BCC05E" w:rsidRPr="001661AC" w:rsidRDefault="76BCC05E" w:rsidP="050676BD">
            <w:pPr>
              <w:jc w:val="both"/>
              <w:rPr>
                <w:sz w:val="16"/>
                <w:szCs w:val="16"/>
              </w:rPr>
            </w:pPr>
          </w:p>
          <w:p w14:paraId="5AD2F497" w14:textId="72D4D5E2" w:rsidR="76BCC05E" w:rsidRPr="001661AC" w:rsidRDefault="1F8A21B7" w:rsidP="050676BD">
            <w:pPr>
              <w:jc w:val="both"/>
              <w:rPr>
                <w:sz w:val="16"/>
                <w:szCs w:val="16"/>
              </w:rPr>
            </w:pPr>
            <w:r w:rsidRPr="001661AC">
              <w:rPr>
                <w:b/>
                <w:bCs/>
                <w:i/>
                <w:iCs/>
                <w:sz w:val="16"/>
                <w:szCs w:val="16"/>
              </w:rPr>
              <w:t xml:space="preserve">Indicators </w:t>
            </w:r>
          </w:p>
          <w:p w14:paraId="22F874D2" w14:textId="61C390D5" w:rsidR="76BCC05E" w:rsidRPr="001661AC" w:rsidRDefault="1F8A21B7" w:rsidP="050676BD">
            <w:pPr>
              <w:jc w:val="both"/>
              <w:rPr>
                <w:sz w:val="16"/>
                <w:szCs w:val="16"/>
              </w:rPr>
            </w:pPr>
            <w:r w:rsidRPr="001661AC">
              <w:rPr>
                <w:i/>
                <w:iCs/>
                <w:sz w:val="16"/>
                <w:szCs w:val="16"/>
              </w:rPr>
              <w:t xml:space="preserve">% change in laws and policies in favour of women decent employment; </w:t>
            </w:r>
          </w:p>
          <w:p w14:paraId="0D844ADF" w14:textId="25855B30" w:rsidR="76BCC05E" w:rsidRPr="001661AC" w:rsidRDefault="76BCC05E" w:rsidP="050676BD">
            <w:pPr>
              <w:jc w:val="both"/>
              <w:rPr>
                <w:sz w:val="16"/>
                <w:szCs w:val="16"/>
              </w:rPr>
            </w:pPr>
          </w:p>
          <w:p w14:paraId="00D5F664" w14:textId="51E670DE" w:rsidR="76BCC05E" w:rsidRPr="001661AC" w:rsidRDefault="1F8A21B7" w:rsidP="050676BD">
            <w:pPr>
              <w:jc w:val="both"/>
              <w:rPr>
                <w:sz w:val="16"/>
                <w:szCs w:val="16"/>
              </w:rPr>
            </w:pPr>
            <w:r w:rsidRPr="001661AC">
              <w:rPr>
                <w:i/>
                <w:iCs/>
                <w:sz w:val="16"/>
                <w:szCs w:val="16"/>
              </w:rPr>
              <w:t>% change in resource allocations for gender responsive policies</w:t>
            </w:r>
          </w:p>
          <w:p w14:paraId="566559C1" w14:textId="1E323821" w:rsidR="76BCC05E" w:rsidRPr="001661AC" w:rsidRDefault="76BCC05E" w:rsidP="050676BD">
            <w:pPr>
              <w:jc w:val="both"/>
              <w:rPr>
                <w:color w:val="000000" w:themeColor="text1"/>
                <w:sz w:val="16"/>
                <w:szCs w:val="16"/>
              </w:rPr>
            </w:pPr>
          </w:p>
        </w:tc>
        <w:tc>
          <w:tcPr>
            <w:tcW w:w="3516" w:type="dxa"/>
            <w:shd w:val="clear" w:color="auto" w:fill="D9E2F3" w:themeFill="accent1" w:themeFillTint="33"/>
          </w:tcPr>
          <w:p w14:paraId="4D1A3345" w14:textId="58AEBB7E" w:rsidR="76BCC05E" w:rsidRPr="001661AC" w:rsidRDefault="1F8A21B7" w:rsidP="050676BD">
            <w:pPr>
              <w:jc w:val="center"/>
              <w:rPr>
                <w:color w:val="000000" w:themeColor="text1"/>
                <w:sz w:val="16"/>
                <w:szCs w:val="16"/>
              </w:rPr>
            </w:pPr>
            <w:r w:rsidRPr="001661AC">
              <w:rPr>
                <w:b/>
                <w:bCs/>
                <w:color w:val="000000" w:themeColor="text1"/>
                <w:sz w:val="16"/>
                <w:szCs w:val="16"/>
              </w:rPr>
              <w:t xml:space="preserve">Outcome 2 </w:t>
            </w:r>
          </w:p>
          <w:p w14:paraId="50AABCFE" w14:textId="40F4989B" w:rsidR="76BCC05E" w:rsidRPr="001661AC" w:rsidRDefault="76BCC05E" w:rsidP="050676BD">
            <w:pPr>
              <w:jc w:val="both"/>
              <w:rPr>
                <w:color w:val="000000" w:themeColor="text1"/>
                <w:sz w:val="16"/>
                <w:szCs w:val="16"/>
              </w:rPr>
            </w:pPr>
          </w:p>
          <w:p w14:paraId="2D75D7D6" w14:textId="7A98BE94" w:rsidR="76BCC05E" w:rsidRPr="001661AC" w:rsidRDefault="1F8A21B7" w:rsidP="050676BD">
            <w:pPr>
              <w:jc w:val="both"/>
              <w:rPr>
                <w:sz w:val="16"/>
                <w:szCs w:val="16"/>
              </w:rPr>
            </w:pPr>
            <w:r w:rsidRPr="001661AC">
              <w:rPr>
                <w:sz w:val="16"/>
                <w:szCs w:val="16"/>
              </w:rPr>
              <w:t xml:space="preserve">A gender responsive private sector that attracts, retains and promotes women is supported </w:t>
            </w:r>
          </w:p>
          <w:p w14:paraId="103AD55A" w14:textId="11EAF9C8" w:rsidR="76BCC05E" w:rsidRPr="001661AC" w:rsidRDefault="76BCC05E" w:rsidP="050676BD">
            <w:pPr>
              <w:jc w:val="both"/>
              <w:rPr>
                <w:sz w:val="16"/>
                <w:szCs w:val="16"/>
              </w:rPr>
            </w:pPr>
          </w:p>
          <w:p w14:paraId="72659D61" w14:textId="71D45807" w:rsidR="76BCC05E" w:rsidRPr="001661AC" w:rsidRDefault="1F8A21B7" w:rsidP="050676BD">
            <w:pPr>
              <w:jc w:val="both"/>
              <w:rPr>
                <w:sz w:val="16"/>
                <w:szCs w:val="16"/>
              </w:rPr>
            </w:pPr>
            <w:r w:rsidRPr="001661AC">
              <w:rPr>
                <w:b/>
                <w:bCs/>
                <w:i/>
                <w:iCs/>
                <w:sz w:val="16"/>
                <w:szCs w:val="16"/>
              </w:rPr>
              <w:t>Indicators</w:t>
            </w:r>
          </w:p>
          <w:p w14:paraId="315A623F" w14:textId="14F3495E" w:rsidR="76BCC05E" w:rsidRPr="001661AC" w:rsidRDefault="76BCC05E" w:rsidP="050676BD">
            <w:pPr>
              <w:jc w:val="both"/>
              <w:rPr>
                <w:sz w:val="16"/>
                <w:szCs w:val="16"/>
              </w:rPr>
            </w:pPr>
          </w:p>
          <w:p w14:paraId="4840C999" w14:textId="0C594C7B" w:rsidR="76BCC05E" w:rsidRPr="001661AC" w:rsidRDefault="1F8A21B7" w:rsidP="050676BD">
            <w:pPr>
              <w:jc w:val="both"/>
              <w:rPr>
                <w:sz w:val="16"/>
                <w:szCs w:val="16"/>
              </w:rPr>
            </w:pPr>
            <w:r w:rsidRPr="001661AC">
              <w:rPr>
                <w:i/>
                <w:iCs/>
                <w:sz w:val="16"/>
                <w:szCs w:val="16"/>
              </w:rPr>
              <w:t xml:space="preserve">% increase of women on boards and in managerial positions; </w:t>
            </w:r>
          </w:p>
          <w:p w14:paraId="67E02637" w14:textId="6F7BDF34" w:rsidR="76BCC05E" w:rsidRPr="001661AC" w:rsidRDefault="76BCC05E" w:rsidP="050676BD">
            <w:pPr>
              <w:jc w:val="both"/>
              <w:rPr>
                <w:sz w:val="16"/>
                <w:szCs w:val="16"/>
              </w:rPr>
            </w:pPr>
          </w:p>
          <w:p w14:paraId="6CA90908" w14:textId="5717FA75" w:rsidR="76BCC05E" w:rsidRPr="001661AC" w:rsidRDefault="1F8A21B7" w:rsidP="050676BD">
            <w:pPr>
              <w:jc w:val="both"/>
              <w:rPr>
                <w:sz w:val="16"/>
                <w:szCs w:val="16"/>
              </w:rPr>
            </w:pPr>
            <w:r w:rsidRPr="001661AC">
              <w:rPr>
                <w:i/>
                <w:iCs/>
                <w:sz w:val="16"/>
                <w:szCs w:val="16"/>
              </w:rPr>
              <w:t xml:space="preserve">% change in gender parity in staffing (disaggregated by level) </w:t>
            </w:r>
          </w:p>
          <w:p w14:paraId="3855C90F" w14:textId="2FB7919A" w:rsidR="76BCC05E" w:rsidRPr="001661AC" w:rsidRDefault="76BCC05E" w:rsidP="050676BD">
            <w:pPr>
              <w:jc w:val="both"/>
              <w:rPr>
                <w:sz w:val="16"/>
                <w:szCs w:val="16"/>
              </w:rPr>
            </w:pPr>
          </w:p>
          <w:p w14:paraId="78187149" w14:textId="3C1C5932" w:rsidR="76BCC05E" w:rsidRPr="001661AC" w:rsidRDefault="1F8A21B7" w:rsidP="050676BD">
            <w:pPr>
              <w:jc w:val="both"/>
              <w:rPr>
                <w:sz w:val="16"/>
                <w:szCs w:val="16"/>
              </w:rPr>
            </w:pPr>
            <w:r w:rsidRPr="001661AC">
              <w:rPr>
                <w:i/>
                <w:iCs/>
                <w:sz w:val="16"/>
                <w:szCs w:val="16"/>
              </w:rPr>
              <w:t>% increase in women returning to work after first and second child</w:t>
            </w:r>
          </w:p>
          <w:p w14:paraId="6572F519" w14:textId="5AE52249" w:rsidR="76BCC05E" w:rsidRPr="001661AC" w:rsidRDefault="76BCC05E" w:rsidP="050676BD">
            <w:pPr>
              <w:jc w:val="both"/>
              <w:rPr>
                <w:color w:val="000000" w:themeColor="text1"/>
                <w:sz w:val="16"/>
                <w:szCs w:val="16"/>
              </w:rPr>
            </w:pPr>
          </w:p>
        </w:tc>
        <w:tc>
          <w:tcPr>
            <w:tcW w:w="3402" w:type="dxa"/>
            <w:shd w:val="clear" w:color="auto" w:fill="D9E2F3" w:themeFill="accent1" w:themeFillTint="33"/>
          </w:tcPr>
          <w:p w14:paraId="2DD3613A" w14:textId="7AE7CEEA" w:rsidR="76BCC05E" w:rsidRPr="001661AC" w:rsidRDefault="1F8A21B7" w:rsidP="050676BD">
            <w:pPr>
              <w:jc w:val="center"/>
              <w:rPr>
                <w:color w:val="000000" w:themeColor="text1"/>
                <w:sz w:val="16"/>
                <w:szCs w:val="16"/>
              </w:rPr>
            </w:pPr>
            <w:r w:rsidRPr="001661AC">
              <w:rPr>
                <w:b/>
                <w:bCs/>
                <w:color w:val="000000" w:themeColor="text1"/>
                <w:sz w:val="16"/>
                <w:szCs w:val="16"/>
              </w:rPr>
              <w:t xml:space="preserve">Outcome 3 </w:t>
            </w:r>
          </w:p>
          <w:p w14:paraId="488D5EED" w14:textId="728D40C9" w:rsidR="76BCC05E" w:rsidRPr="001661AC" w:rsidRDefault="76BCC05E" w:rsidP="050676BD">
            <w:pPr>
              <w:jc w:val="both"/>
              <w:rPr>
                <w:color w:val="000000" w:themeColor="text1"/>
                <w:sz w:val="16"/>
                <w:szCs w:val="16"/>
              </w:rPr>
            </w:pPr>
          </w:p>
          <w:p w14:paraId="1B082AAB" w14:textId="73A9E125" w:rsidR="76BCC05E" w:rsidRPr="001661AC" w:rsidRDefault="1F8A21B7" w:rsidP="050676BD">
            <w:pPr>
              <w:jc w:val="both"/>
              <w:rPr>
                <w:sz w:val="16"/>
                <w:szCs w:val="16"/>
              </w:rPr>
            </w:pPr>
            <w:r w:rsidRPr="001661AC">
              <w:rPr>
                <w:sz w:val="16"/>
                <w:szCs w:val="16"/>
              </w:rPr>
              <w:t xml:space="preserve">Gender stereotypes about women and men’s responsibilities concerning unpaid care and household work are challenged </w:t>
            </w:r>
          </w:p>
          <w:p w14:paraId="4EBE3C41" w14:textId="5B36052E" w:rsidR="76BCC05E" w:rsidRPr="001661AC" w:rsidRDefault="76BCC05E" w:rsidP="050676BD">
            <w:pPr>
              <w:jc w:val="both"/>
              <w:rPr>
                <w:sz w:val="16"/>
                <w:szCs w:val="16"/>
              </w:rPr>
            </w:pPr>
          </w:p>
          <w:p w14:paraId="1DAF5E67" w14:textId="47C90630" w:rsidR="76BCC05E" w:rsidRPr="001661AC" w:rsidRDefault="1F8A21B7" w:rsidP="050676BD">
            <w:pPr>
              <w:jc w:val="both"/>
              <w:rPr>
                <w:sz w:val="16"/>
                <w:szCs w:val="16"/>
              </w:rPr>
            </w:pPr>
            <w:r w:rsidRPr="001661AC">
              <w:rPr>
                <w:b/>
                <w:bCs/>
                <w:i/>
                <w:iCs/>
                <w:sz w:val="16"/>
                <w:szCs w:val="16"/>
              </w:rPr>
              <w:t>Indicator</w:t>
            </w:r>
            <w:r w:rsidRPr="001661AC">
              <w:rPr>
                <w:i/>
                <w:iCs/>
                <w:sz w:val="16"/>
                <w:szCs w:val="16"/>
              </w:rPr>
              <w:t>% change in men (and women) perception on importance of women’s work and of equal sharing of domestic work and unpaid care</w:t>
            </w:r>
          </w:p>
          <w:p w14:paraId="33DF6C63" w14:textId="42F136FA" w:rsidR="76BCC05E" w:rsidRPr="001661AC" w:rsidRDefault="76BCC05E" w:rsidP="050676BD">
            <w:pPr>
              <w:jc w:val="both"/>
              <w:rPr>
                <w:color w:val="000000" w:themeColor="text1"/>
                <w:sz w:val="16"/>
                <w:szCs w:val="16"/>
              </w:rPr>
            </w:pPr>
          </w:p>
        </w:tc>
      </w:tr>
      <w:tr w:rsidR="76BCC05E" w:rsidRPr="001661AC" w14:paraId="4BE35643" w14:textId="77777777" w:rsidTr="005D5CC5">
        <w:tc>
          <w:tcPr>
            <w:tcW w:w="9918" w:type="dxa"/>
            <w:gridSpan w:val="3"/>
            <w:shd w:val="clear" w:color="auto" w:fill="FBE4D5" w:themeFill="accent2" w:themeFillTint="33"/>
          </w:tcPr>
          <w:p w14:paraId="7AE0E53B" w14:textId="31CF40D9" w:rsidR="76BCC05E" w:rsidRPr="001661AC" w:rsidRDefault="1F8A21B7" w:rsidP="050676BD">
            <w:pPr>
              <w:jc w:val="both"/>
              <w:rPr>
                <w:sz w:val="16"/>
                <w:szCs w:val="16"/>
              </w:rPr>
            </w:pPr>
            <w:r w:rsidRPr="001661AC">
              <w:rPr>
                <w:sz w:val="16"/>
                <w:szCs w:val="16"/>
              </w:rPr>
              <w:t xml:space="preserve">Associated Outputs </w:t>
            </w:r>
          </w:p>
        </w:tc>
      </w:tr>
      <w:tr w:rsidR="76BCC05E" w:rsidRPr="001661AC" w14:paraId="10562168" w14:textId="77777777" w:rsidTr="005D5CC5">
        <w:tc>
          <w:tcPr>
            <w:tcW w:w="3000" w:type="dxa"/>
            <w:shd w:val="clear" w:color="auto" w:fill="E2EFD9" w:themeFill="accent6" w:themeFillTint="33"/>
          </w:tcPr>
          <w:p w14:paraId="2041FC6A" w14:textId="0A51E1FA" w:rsidR="76BCC05E" w:rsidRPr="001661AC" w:rsidRDefault="76BCC05E" w:rsidP="050676BD">
            <w:pPr>
              <w:jc w:val="both"/>
              <w:rPr>
                <w:sz w:val="16"/>
                <w:szCs w:val="16"/>
              </w:rPr>
            </w:pPr>
          </w:p>
          <w:p w14:paraId="56E4D898" w14:textId="3187D5E4" w:rsidR="76BCC05E" w:rsidRPr="001661AC" w:rsidRDefault="1F8A21B7" w:rsidP="050676BD">
            <w:pPr>
              <w:jc w:val="both"/>
              <w:rPr>
                <w:sz w:val="16"/>
                <w:szCs w:val="16"/>
              </w:rPr>
            </w:pPr>
            <w:r w:rsidRPr="001661AC">
              <w:rPr>
                <w:sz w:val="16"/>
                <w:szCs w:val="16"/>
              </w:rPr>
              <w:t>1.1 Labour law reforms and related policies are promoted to reflect gender equality and decent work concerns (ILO technically led)</w:t>
            </w:r>
          </w:p>
          <w:p w14:paraId="1AC50957" w14:textId="3F28BAC3" w:rsidR="76BCC05E" w:rsidRPr="001661AC" w:rsidRDefault="76BCC05E" w:rsidP="050676BD">
            <w:pPr>
              <w:jc w:val="both"/>
              <w:rPr>
                <w:color w:val="000000" w:themeColor="text1"/>
                <w:sz w:val="16"/>
                <w:szCs w:val="16"/>
              </w:rPr>
            </w:pPr>
          </w:p>
        </w:tc>
        <w:tc>
          <w:tcPr>
            <w:tcW w:w="3516" w:type="dxa"/>
            <w:shd w:val="clear" w:color="auto" w:fill="E2EFD9" w:themeFill="accent6" w:themeFillTint="33"/>
          </w:tcPr>
          <w:p w14:paraId="3C818095" w14:textId="02956E79" w:rsidR="76BCC05E" w:rsidRPr="001661AC" w:rsidRDefault="76BCC05E" w:rsidP="050676BD">
            <w:pPr>
              <w:jc w:val="both"/>
              <w:rPr>
                <w:sz w:val="16"/>
                <w:szCs w:val="16"/>
              </w:rPr>
            </w:pPr>
          </w:p>
          <w:p w14:paraId="68794DFB" w14:textId="555FA8EA" w:rsidR="76BCC05E" w:rsidRPr="001661AC" w:rsidRDefault="1F8A21B7" w:rsidP="050676BD">
            <w:pPr>
              <w:jc w:val="both"/>
              <w:rPr>
                <w:sz w:val="16"/>
                <w:szCs w:val="16"/>
              </w:rPr>
            </w:pPr>
            <w:r w:rsidRPr="001661AC">
              <w:rPr>
                <w:sz w:val="16"/>
                <w:szCs w:val="16"/>
              </w:rPr>
              <w:t>2.1 Corporate leadership in favour of promoting women employees is increased (UN Women technically led)</w:t>
            </w:r>
          </w:p>
          <w:p w14:paraId="0EF4C33F" w14:textId="4DCE386C" w:rsidR="76BCC05E" w:rsidRPr="001661AC" w:rsidRDefault="76BCC05E" w:rsidP="050676BD">
            <w:pPr>
              <w:jc w:val="both"/>
              <w:rPr>
                <w:color w:val="000000" w:themeColor="text1"/>
                <w:sz w:val="16"/>
                <w:szCs w:val="16"/>
              </w:rPr>
            </w:pPr>
          </w:p>
        </w:tc>
        <w:tc>
          <w:tcPr>
            <w:tcW w:w="3402" w:type="dxa"/>
            <w:shd w:val="clear" w:color="auto" w:fill="E2EFD9" w:themeFill="accent6" w:themeFillTint="33"/>
          </w:tcPr>
          <w:p w14:paraId="1EF9642C" w14:textId="15CADD3A" w:rsidR="76BCC05E" w:rsidRPr="001661AC" w:rsidRDefault="76BCC05E" w:rsidP="050676BD">
            <w:pPr>
              <w:jc w:val="both"/>
              <w:rPr>
                <w:sz w:val="16"/>
                <w:szCs w:val="16"/>
              </w:rPr>
            </w:pPr>
          </w:p>
          <w:p w14:paraId="1C97BC35" w14:textId="6A8EF992" w:rsidR="76BCC05E" w:rsidRPr="001661AC" w:rsidRDefault="1F8A21B7" w:rsidP="050676BD">
            <w:pPr>
              <w:jc w:val="both"/>
              <w:rPr>
                <w:sz w:val="16"/>
                <w:szCs w:val="16"/>
              </w:rPr>
            </w:pPr>
            <w:r w:rsidRPr="001661AC">
              <w:rPr>
                <w:sz w:val="16"/>
                <w:szCs w:val="16"/>
              </w:rPr>
              <w:t>3.1. Engagement at community, government and corporate level to promote the value of women’s work and equal and collective sharing of unpaid care and household work (UN Women technically led)</w:t>
            </w:r>
          </w:p>
          <w:p w14:paraId="0F2133C0" w14:textId="77777777" w:rsidR="76BCC05E" w:rsidRDefault="76BCC05E" w:rsidP="050676BD">
            <w:pPr>
              <w:jc w:val="both"/>
              <w:rPr>
                <w:sz w:val="16"/>
                <w:szCs w:val="16"/>
              </w:rPr>
            </w:pPr>
          </w:p>
          <w:p w14:paraId="1338F2B5" w14:textId="77777777" w:rsidR="00B613EB" w:rsidRDefault="00B613EB" w:rsidP="050676BD">
            <w:pPr>
              <w:jc w:val="both"/>
              <w:rPr>
                <w:sz w:val="16"/>
                <w:szCs w:val="16"/>
              </w:rPr>
            </w:pPr>
          </w:p>
          <w:p w14:paraId="7C9C46B9" w14:textId="0AC3D6DC" w:rsidR="00B613EB" w:rsidRPr="001661AC" w:rsidRDefault="00B613EB" w:rsidP="050676BD">
            <w:pPr>
              <w:jc w:val="both"/>
              <w:rPr>
                <w:sz w:val="16"/>
                <w:szCs w:val="16"/>
              </w:rPr>
            </w:pPr>
          </w:p>
        </w:tc>
      </w:tr>
      <w:tr w:rsidR="76BCC05E" w:rsidRPr="001661AC" w14:paraId="37CD52D9" w14:textId="77777777" w:rsidTr="005D5CC5">
        <w:tc>
          <w:tcPr>
            <w:tcW w:w="3000" w:type="dxa"/>
            <w:shd w:val="clear" w:color="auto" w:fill="E2EFD9" w:themeFill="accent6" w:themeFillTint="33"/>
          </w:tcPr>
          <w:p w14:paraId="1F359F43" w14:textId="77777777" w:rsidR="00B613EB" w:rsidRPr="001661AC" w:rsidRDefault="00B613EB" w:rsidP="050676BD">
            <w:pPr>
              <w:jc w:val="both"/>
              <w:rPr>
                <w:sz w:val="16"/>
                <w:szCs w:val="16"/>
              </w:rPr>
            </w:pPr>
          </w:p>
          <w:p w14:paraId="5069B8E9" w14:textId="0AF5C54E" w:rsidR="76BCC05E" w:rsidRPr="001661AC" w:rsidRDefault="1F8A21B7" w:rsidP="050676BD">
            <w:pPr>
              <w:jc w:val="both"/>
              <w:rPr>
                <w:sz w:val="16"/>
                <w:szCs w:val="16"/>
              </w:rPr>
            </w:pPr>
            <w:r w:rsidRPr="001661AC">
              <w:rPr>
                <w:sz w:val="16"/>
                <w:szCs w:val="16"/>
              </w:rPr>
              <w:t>1.2. Capacity of civil society to engage in dialogue with governments on mainstreaming gender equality into labour laws and related policies and demand accountability is strengthened (UN Women technically led)</w:t>
            </w:r>
          </w:p>
          <w:p w14:paraId="417E22B5" w14:textId="396E8015" w:rsidR="76BCC05E" w:rsidRPr="001661AC" w:rsidRDefault="76BCC05E" w:rsidP="050676BD">
            <w:pPr>
              <w:jc w:val="both"/>
              <w:rPr>
                <w:sz w:val="16"/>
                <w:szCs w:val="16"/>
              </w:rPr>
            </w:pPr>
          </w:p>
        </w:tc>
        <w:tc>
          <w:tcPr>
            <w:tcW w:w="3516" w:type="dxa"/>
            <w:shd w:val="clear" w:color="auto" w:fill="E2EFD9" w:themeFill="accent6" w:themeFillTint="33"/>
          </w:tcPr>
          <w:p w14:paraId="68C2DCAE" w14:textId="30CAE242" w:rsidR="76BCC05E" w:rsidRPr="001661AC" w:rsidRDefault="76BCC05E" w:rsidP="050676BD">
            <w:pPr>
              <w:jc w:val="both"/>
              <w:rPr>
                <w:sz w:val="16"/>
                <w:szCs w:val="16"/>
              </w:rPr>
            </w:pPr>
          </w:p>
          <w:p w14:paraId="0D422B93" w14:textId="1F9F09B9" w:rsidR="76BCC05E" w:rsidRPr="001661AC" w:rsidRDefault="1F8A21B7" w:rsidP="050676BD">
            <w:pPr>
              <w:jc w:val="both"/>
              <w:rPr>
                <w:sz w:val="16"/>
                <w:szCs w:val="16"/>
              </w:rPr>
            </w:pPr>
            <w:r w:rsidRPr="001661AC">
              <w:rPr>
                <w:sz w:val="16"/>
                <w:szCs w:val="16"/>
              </w:rPr>
              <w:t>2.2. Review and reform of corporate policies in favour of gender equality (equal access, equal pay, flexible working hours, duration of maternity, paternity and parental leave and coverage, provision of childcare solutions…) (ILO technically led)</w:t>
            </w:r>
          </w:p>
          <w:p w14:paraId="34352317" w14:textId="35C6DF96" w:rsidR="76BCC05E" w:rsidRPr="001661AC" w:rsidRDefault="76BCC05E" w:rsidP="050676BD">
            <w:pPr>
              <w:jc w:val="both"/>
              <w:rPr>
                <w:sz w:val="16"/>
                <w:szCs w:val="16"/>
              </w:rPr>
            </w:pPr>
          </w:p>
        </w:tc>
        <w:tc>
          <w:tcPr>
            <w:tcW w:w="3402" w:type="dxa"/>
            <w:shd w:val="clear" w:color="auto" w:fill="E2EFD9" w:themeFill="accent6" w:themeFillTint="33"/>
          </w:tcPr>
          <w:p w14:paraId="25731926" w14:textId="007BDF7F" w:rsidR="76BCC05E" w:rsidRPr="001661AC" w:rsidRDefault="76BCC05E" w:rsidP="050676BD">
            <w:pPr>
              <w:jc w:val="both"/>
              <w:rPr>
                <w:sz w:val="16"/>
                <w:szCs w:val="16"/>
              </w:rPr>
            </w:pPr>
          </w:p>
          <w:p w14:paraId="64F57160" w14:textId="2FFAD48A" w:rsidR="76BCC05E" w:rsidRPr="001661AC" w:rsidRDefault="1F8A21B7" w:rsidP="050676BD">
            <w:pPr>
              <w:jc w:val="both"/>
              <w:rPr>
                <w:sz w:val="16"/>
                <w:szCs w:val="16"/>
              </w:rPr>
            </w:pPr>
            <w:r w:rsidRPr="001661AC">
              <w:rPr>
                <w:sz w:val="16"/>
                <w:szCs w:val="16"/>
              </w:rPr>
              <w:t>3.2 Engagement at community, government and corporate level to encourage women to enter all different occupations, provided that jobs are decent and eliminate horizontal and vertical occupational segregation (UN Women technically led)</w:t>
            </w:r>
          </w:p>
        </w:tc>
      </w:tr>
      <w:tr w:rsidR="76BCC05E" w:rsidRPr="001661AC" w14:paraId="3A56A53C" w14:textId="77777777" w:rsidTr="005D5CC5">
        <w:tc>
          <w:tcPr>
            <w:tcW w:w="3000" w:type="dxa"/>
            <w:shd w:val="clear" w:color="auto" w:fill="E2EFD9" w:themeFill="accent6" w:themeFillTint="33"/>
          </w:tcPr>
          <w:p w14:paraId="001A212B" w14:textId="4358AB42" w:rsidR="76BCC05E" w:rsidRPr="001661AC" w:rsidRDefault="1F8A21B7" w:rsidP="050676BD">
            <w:pPr>
              <w:jc w:val="both"/>
              <w:rPr>
                <w:sz w:val="16"/>
                <w:szCs w:val="16"/>
              </w:rPr>
            </w:pPr>
            <w:r w:rsidRPr="001661AC">
              <w:rPr>
                <w:sz w:val="16"/>
                <w:szCs w:val="16"/>
              </w:rPr>
              <w:t>1.3. Relevant national authorities have strengthened capacities to translate legislative and policy frameworks into practice through gender sensitive financial planning (UN Women technically led)</w:t>
            </w:r>
          </w:p>
        </w:tc>
        <w:tc>
          <w:tcPr>
            <w:tcW w:w="3516" w:type="dxa"/>
            <w:shd w:val="clear" w:color="auto" w:fill="E2EFD9" w:themeFill="accent6" w:themeFillTint="33"/>
          </w:tcPr>
          <w:p w14:paraId="4BFD4DFB" w14:textId="46C295A8" w:rsidR="76BCC05E" w:rsidRPr="001661AC" w:rsidRDefault="1F8A21B7" w:rsidP="050676BD">
            <w:pPr>
              <w:jc w:val="both"/>
              <w:rPr>
                <w:sz w:val="16"/>
                <w:szCs w:val="16"/>
              </w:rPr>
            </w:pPr>
            <w:r w:rsidRPr="001661AC">
              <w:rPr>
                <w:sz w:val="16"/>
                <w:szCs w:val="16"/>
              </w:rPr>
              <w:t xml:space="preserve">2.3. Employers’ and workers’ organisations capacity in promoting gender equality and women’s right at work in the private sector is strengthened (ILO technically led) </w:t>
            </w:r>
          </w:p>
          <w:p w14:paraId="79E8FD73" w14:textId="11AE8703" w:rsidR="76BCC05E" w:rsidRPr="001661AC" w:rsidRDefault="76BCC05E" w:rsidP="050676BD">
            <w:pPr>
              <w:jc w:val="both"/>
              <w:rPr>
                <w:sz w:val="16"/>
                <w:szCs w:val="16"/>
              </w:rPr>
            </w:pPr>
          </w:p>
        </w:tc>
        <w:tc>
          <w:tcPr>
            <w:tcW w:w="3402" w:type="dxa"/>
            <w:shd w:val="clear" w:color="auto" w:fill="E2EFD9" w:themeFill="accent6" w:themeFillTint="33"/>
          </w:tcPr>
          <w:p w14:paraId="2CA2B8B4" w14:textId="5125FACD" w:rsidR="76BCC05E" w:rsidRPr="001661AC" w:rsidRDefault="76BCC05E" w:rsidP="050676BD">
            <w:pPr>
              <w:jc w:val="both"/>
              <w:rPr>
                <w:sz w:val="16"/>
                <w:szCs w:val="16"/>
              </w:rPr>
            </w:pPr>
          </w:p>
        </w:tc>
      </w:tr>
      <w:tr w:rsidR="76BCC05E" w:rsidRPr="001661AC" w14:paraId="7D3060E1" w14:textId="77777777" w:rsidTr="005D5CC5">
        <w:tc>
          <w:tcPr>
            <w:tcW w:w="3000" w:type="dxa"/>
            <w:shd w:val="clear" w:color="auto" w:fill="E2EFD9" w:themeFill="accent6" w:themeFillTint="33"/>
          </w:tcPr>
          <w:p w14:paraId="373C0404" w14:textId="71B57F8B" w:rsidR="76BCC05E" w:rsidRPr="001661AC" w:rsidRDefault="76BCC05E" w:rsidP="050676BD">
            <w:pPr>
              <w:jc w:val="both"/>
              <w:rPr>
                <w:sz w:val="16"/>
                <w:szCs w:val="16"/>
              </w:rPr>
            </w:pPr>
          </w:p>
        </w:tc>
        <w:tc>
          <w:tcPr>
            <w:tcW w:w="3516" w:type="dxa"/>
            <w:shd w:val="clear" w:color="auto" w:fill="E2EFD9" w:themeFill="accent6" w:themeFillTint="33"/>
          </w:tcPr>
          <w:p w14:paraId="05D8E698" w14:textId="63392C77" w:rsidR="76BCC05E" w:rsidRPr="001661AC" w:rsidRDefault="1F8A21B7" w:rsidP="050676BD">
            <w:pPr>
              <w:jc w:val="both"/>
              <w:rPr>
                <w:sz w:val="16"/>
                <w:szCs w:val="16"/>
              </w:rPr>
            </w:pPr>
            <w:r w:rsidRPr="001661AC">
              <w:rPr>
                <w:sz w:val="16"/>
                <w:szCs w:val="16"/>
              </w:rPr>
              <w:t xml:space="preserve">2.4. Corporate investment in training and professional development of women employees and gender equality is promoted (UN Women technically led) </w:t>
            </w:r>
          </w:p>
          <w:p w14:paraId="6F835612" w14:textId="0FAD293E" w:rsidR="76BCC05E" w:rsidRPr="001661AC" w:rsidRDefault="76BCC05E" w:rsidP="050676BD">
            <w:pPr>
              <w:jc w:val="both"/>
              <w:rPr>
                <w:sz w:val="16"/>
                <w:szCs w:val="16"/>
              </w:rPr>
            </w:pPr>
          </w:p>
        </w:tc>
        <w:tc>
          <w:tcPr>
            <w:tcW w:w="3402" w:type="dxa"/>
            <w:shd w:val="clear" w:color="auto" w:fill="E2EFD9" w:themeFill="accent6" w:themeFillTint="33"/>
          </w:tcPr>
          <w:p w14:paraId="646C5BCC" w14:textId="6F8AF215" w:rsidR="76BCC05E" w:rsidRPr="001661AC" w:rsidRDefault="76BCC05E" w:rsidP="050676BD">
            <w:pPr>
              <w:jc w:val="both"/>
              <w:rPr>
                <w:sz w:val="16"/>
                <w:szCs w:val="16"/>
              </w:rPr>
            </w:pPr>
          </w:p>
        </w:tc>
      </w:tr>
      <w:tr w:rsidR="76BCC05E" w:rsidRPr="001661AC" w14:paraId="6E95A354" w14:textId="77777777" w:rsidTr="005D5CC5">
        <w:tc>
          <w:tcPr>
            <w:tcW w:w="3000" w:type="dxa"/>
            <w:shd w:val="clear" w:color="auto" w:fill="E2EFD9" w:themeFill="accent6" w:themeFillTint="33"/>
          </w:tcPr>
          <w:p w14:paraId="35007DBB" w14:textId="285B4658" w:rsidR="76BCC05E" w:rsidRPr="001661AC" w:rsidRDefault="76BCC05E" w:rsidP="050676BD">
            <w:pPr>
              <w:jc w:val="both"/>
              <w:rPr>
                <w:sz w:val="16"/>
                <w:szCs w:val="16"/>
              </w:rPr>
            </w:pPr>
          </w:p>
        </w:tc>
        <w:tc>
          <w:tcPr>
            <w:tcW w:w="3516" w:type="dxa"/>
            <w:shd w:val="clear" w:color="auto" w:fill="E2EFD9" w:themeFill="accent6" w:themeFillTint="33"/>
          </w:tcPr>
          <w:p w14:paraId="02D4CC4B" w14:textId="11883EAB" w:rsidR="76BCC05E" w:rsidRPr="001661AC" w:rsidRDefault="1F8A21B7" w:rsidP="050676BD">
            <w:pPr>
              <w:jc w:val="both"/>
              <w:rPr>
                <w:sz w:val="16"/>
                <w:szCs w:val="16"/>
              </w:rPr>
            </w:pPr>
            <w:r w:rsidRPr="001661AC">
              <w:rPr>
                <w:sz w:val="16"/>
                <w:szCs w:val="16"/>
              </w:rPr>
              <w:t xml:space="preserve">2.5. Private sector and government invest in child-care facilities and work/life balance provisions in the workplace (ILO technically led) </w:t>
            </w:r>
          </w:p>
          <w:p w14:paraId="36D88673" w14:textId="5E2262CE" w:rsidR="76BCC05E" w:rsidRPr="001661AC" w:rsidRDefault="76BCC05E" w:rsidP="050676BD">
            <w:pPr>
              <w:jc w:val="both"/>
              <w:rPr>
                <w:sz w:val="16"/>
                <w:szCs w:val="16"/>
              </w:rPr>
            </w:pPr>
          </w:p>
        </w:tc>
        <w:tc>
          <w:tcPr>
            <w:tcW w:w="3402" w:type="dxa"/>
            <w:shd w:val="clear" w:color="auto" w:fill="E2EFD9" w:themeFill="accent6" w:themeFillTint="33"/>
          </w:tcPr>
          <w:p w14:paraId="04C8EBD8" w14:textId="3AFD6B23" w:rsidR="76BCC05E" w:rsidRPr="001661AC" w:rsidRDefault="76BCC05E" w:rsidP="050676BD">
            <w:pPr>
              <w:jc w:val="both"/>
              <w:rPr>
                <w:sz w:val="16"/>
                <w:szCs w:val="16"/>
              </w:rPr>
            </w:pPr>
          </w:p>
        </w:tc>
      </w:tr>
      <w:tr w:rsidR="76BCC05E" w:rsidRPr="001661AC" w14:paraId="177E940A" w14:textId="77777777" w:rsidTr="005D5CC5">
        <w:tc>
          <w:tcPr>
            <w:tcW w:w="3000" w:type="dxa"/>
            <w:shd w:val="clear" w:color="auto" w:fill="E2EFD9" w:themeFill="accent6" w:themeFillTint="33"/>
          </w:tcPr>
          <w:p w14:paraId="46C0CFFC" w14:textId="2A211691" w:rsidR="76BCC05E" w:rsidRPr="001661AC" w:rsidRDefault="76BCC05E" w:rsidP="050676BD">
            <w:pPr>
              <w:jc w:val="both"/>
              <w:rPr>
                <w:sz w:val="16"/>
                <w:szCs w:val="16"/>
              </w:rPr>
            </w:pPr>
          </w:p>
        </w:tc>
        <w:tc>
          <w:tcPr>
            <w:tcW w:w="3516" w:type="dxa"/>
            <w:shd w:val="clear" w:color="auto" w:fill="E2EFD9" w:themeFill="accent6" w:themeFillTint="33"/>
          </w:tcPr>
          <w:p w14:paraId="0E916D8F" w14:textId="429D6050" w:rsidR="76BCC05E" w:rsidRPr="001661AC" w:rsidRDefault="1F8A21B7" w:rsidP="050676BD">
            <w:pPr>
              <w:jc w:val="both"/>
              <w:rPr>
                <w:sz w:val="16"/>
                <w:szCs w:val="16"/>
              </w:rPr>
            </w:pPr>
            <w:r w:rsidRPr="001661AC">
              <w:rPr>
                <w:sz w:val="16"/>
                <w:szCs w:val="16"/>
              </w:rPr>
              <w:t xml:space="preserve">2.6. Private sector adopts code of conducts on violence at work in line with forthcoming international labour standards (ILO technically led) </w:t>
            </w:r>
          </w:p>
          <w:p w14:paraId="213286B8" w14:textId="3C520669" w:rsidR="76BCC05E" w:rsidRPr="001661AC" w:rsidRDefault="76BCC05E" w:rsidP="050676BD">
            <w:pPr>
              <w:jc w:val="both"/>
              <w:rPr>
                <w:sz w:val="16"/>
                <w:szCs w:val="16"/>
              </w:rPr>
            </w:pPr>
          </w:p>
        </w:tc>
        <w:tc>
          <w:tcPr>
            <w:tcW w:w="3402" w:type="dxa"/>
            <w:shd w:val="clear" w:color="auto" w:fill="E2EFD9" w:themeFill="accent6" w:themeFillTint="33"/>
          </w:tcPr>
          <w:p w14:paraId="493E2895" w14:textId="565AA2F8" w:rsidR="76BCC05E" w:rsidRPr="001661AC" w:rsidRDefault="76BCC05E" w:rsidP="050676BD">
            <w:pPr>
              <w:jc w:val="both"/>
              <w:rPr>
                <w:sz w:val="16"/>
                <w:szCs w:val="16"/>
              </w:rPr>
            </w:pPr>
          </w:p>
        </w:tc>
      </w:tr>
      <w:tr w:rsidR="76BCC05E" w:rsidRPr="001661AC" w14:paraId="0694A8FF" w14:textId="77777777" w:rsidTr="005D5CC5">
        <w:tc>
          <w:tcPr>
            <w:tcW w:w="3000" w:type="dxa"/>
            <w:shd w:val="clear" w:color="auto" w:fill="E2EFD9" w:themeFill="accent6" w:themeFillTint="33"/>
          </w:tcPr>
          <w:p w14:paraId="76CDD449" w14:textId="4D1EF24A" w:rsidR="76BCC05E" w:rsidRPr="001661AC" w:rsidRDefault="76BCC05E" w:rsidP="050676BD">
            <w:pPr>
              <w:jc w:val="both"/>
              <w:rPr>
                <w:sz w:val="16"/>
                <w:szCs w:val="16"/>
              </w:rPr>
            </w:pPr>
          </w:p>
        </w:tc>
        <w:tc>
          <w:tcPr>
            <w:tcW w:w="3516" w:type="dxa"/>
            <w:shd w:val="clear" w:color="auto" w:fill="E2EFD9" w:themeFill="accent6" w:themeFillTint="33"/>
          </w:tcPr>
          <w:p w14:paraId="457A1365" w14:textId="15545318" w:rsidR="76BCC05E" w:rsidRPr="001661AC" w:rsidRDefault="1F8A21B7" w:rsidP="050676BD">
            <w:pPr>
              <w:jc w:val="both"/>
              <w:rPr>
                <w:sz w:val="16"/>
                <w:szCs w:val="16"/>
              </w:rPr>
            </w:pPr>
            <w:r w:rsidRPr="001661AC">
              <w:rPr>
                <w:sz w:val="16"/>
                <w:szCs w:val="16"/>
              </w:rPr>
              <w:t>2.7. Women’s representation and voice are included in social dialogue processes at sectoral and enterprise levels (ILO technically led)</w:t>
            </w:r>
          </w:p>
          <w:p w14:paraId="5DA9C376" w14:textId="78F72E8C" w:rsidR="76BCC05E" w:rsidRPr="001661AC" w:rsidRDefault="76BCC05E" w:rsidP="050676BD">
            <w:pPr>
              <w:jc w:val="both"/>
              <w:rPr>
                <w:sz w:val="16"/>
                <w:szCs w:val="16"/>
              </w:rPr>
            </w:pPr>
          </w:p>
        </w:tc>
        <w:tc>
          <w:tcPr>
            <w:tcW w:w="3402" w:type="dxa"/>
            <w:shd w:val="clear" w:color="auto" w:fill="E2EFD9" w:themeFill="accent6" w:themeFillTint="33"/>
          </w:tcPr>
          <w:p w14:paraId="3A985937" w14:textId="74FBBC05" w:rsidR="76BCC05E" w:rsidRPr="001661AC" w:rsidRDefault="76BCC05E" w:rsidP="050676BD">
            <w:pPr>
              <w:jc w:val="both"/>
              <w:rPr>
                <w:sz w:val="16"/>
                <w:szCs w:val="16"/>
              </w:rPr>
            </w:pPr>
          </w:p>
        </w:tc>
      </w:tr>
      <w:tr w:rsidR="76BCC05E" w:rsidRPr="001661AC" w14:paraId="727DBCC7" w14:textId="77777777" w:rsidTr="005D5CC5">
        <w:trPr>
          <w:trHeight w:val="360"/>
        </w:trPr>
        <w:tc>
          <w:tcPr>
            <w:tcW w:w="9918" w:type="dxa"/>
            <w:gridSpan w:val="3"/>
            <w:shd w:val="clear" w:color="auto" w:fill="FBE4D5" w:themeFill="accent2" w:themeFillTint="33"/>
          </w:tcPr>
          <w:p w14:paraId="4C5A60A9" w14:textId="08E24A50" w:rsidR="76BCC05E" w:rsidRPr="001661AC" w:rsidRDefault="1F8A21B7" w:rsidP="050676BD">
            <w:pPr>
              <w:jc w:val="both"/>
              <w:rPr>
                <w:sz w:val="16"/>
                <w:szCs w:val="16"/>
              </w:rPr>
            </w:pPr>
            <w:r w:rsidRPr="001661AC">
              <w:rPr>
                <w:sz w:val="16"/>
                <w:szCs w:val="16"/>
              </w:rPr>
              <w:t>Key Assumptions</w:t>
            </w:r>
          </w:p>
        </w:tc>
      </w:tr>
      <w:tr w:rsidR="76BCC05E" w:rsidRPr="001661AC" w14:paraId="6363A62F" w14:textId="77777777" w:rsidTr="005D5CC5">
        <w:tc>
          <w:tcPr>
            <w:tcW w:w="3000" w:type="dxa"/>
            <w:shd w:val="clear" w:color="auto" w:fill="E2EFD9" w:themeFill="accent6" w:themeFillTint="33"/>
          </w:tcPr>
          <w:p w14:paraId="5D1909A3" w14:textId="37B30DD7" w:rsidR="76BCC05E" w:rsidRPr="001661AC" w:rsidRDefault="1F8A21B7" w:rsidP="050676BD">
            <w:pPr>
              <w:jc w:val="both"/>
              <w:rPr>
                <w:sz w:val="16"/>
                <w:szCs w:val="16"/>
              </w:rPr>
            </w:pPr>
            <w:r w:rsidRPr="001661AC">
              <w:rPr>
                <w:sz w:val="16"/>
                <w:szCs w:val="16"/>
              </w:rPr>
              <w:t>Political will and commitment to international labour standards and to gender budgeting are in place as well as supportive social norms to gender equality in the workplace</w:t>
            </w:r>
          </w:p>
        </w:tc>
        <w:tc>
          <w:tcPr>
            <w:tcW w:w="3516" w:type="dxa"/>
            <w:shd w:val="clear" w:color="auto" w:fill="E2EFD9" w:themeFill="accent6" w:themeFillTint="33"/>
          </w:tcPr>
          <w:p w14:paraId="78584FDA" w14:textId="49B3BAFE" w:rsidR="76BCC05E" w:rsidRPr="001661AC" w:rsidRDefault="1F8A21B7" w:rsidP="050676BD">
            <w:pPr>
              <w:jc w:val="both"/>
              <w:rPr>
                <w:sz w:val="16"/>
                <w:szCs w:val="16"/>
              </w:rPr>
            </w:pPr>
            <w:r w:rsidRPr="001661AC">
              <w:rPr>
                <w:sz w:val="16"/>
                <w:szCs w:val="16"/>
              </w:rPr>
              <w:t xml:space="preserve">Corporations and social partners are committed to implementation of the Women’s Empowerment Principles and international labour rights; </w:t>
            </w:r>
          </w:p>
          <w:p w14:paraId="0F96B869" w14:textId="647FB52D" w:rsidR="76BCC05E" w:rsidRPr="001661AC" w:rsidRDefault="76BCC05E" w:rsidP="050676BD">
            <w:pPr>
              <w:jc w:val="both"/>
              <w:rPr>
                <w:sz w:val="16"/>
                <w:szCs w:val="16"/>
              </w:rPr>
            </w:pPr>
          </w:p>
          <w:p w14:paraId="046924BB" w14:textId="1AB9C8B0" w:rsidR="76BCC05E" w:rsidRPr="001661AC" w:rsidRDefault="1F8A21B7" w:rsidP="050676BD">
            <w:pPr>
              <w:jc w:val="both"/>
              <w:rPr>
                <w:sz w:val="16"/>
                <w:szCs w:val="16"/>
              </w:rPr>
            </w:pPr>
            <w:r w:rsidRPr="001661AC">
              <w:rPr>
                <w:sz w:val="16"/>
                <w:szCs w:val="16"/>
              </w:rPr>
              <w:t xml:space="preserve">Social norms that favour gender equality &amp; work-life balance in the workplace and take into consideration unpaid care work; </w:t>
            </w:r>
          </w:p>
          <w:p w14:paraId="0FAA39DC" w14:textId="3244B76A" w:rsidR="76BCC05E" w:rsidRPr="001661AC" w:rsidRDefault="76BCC05E" w:rsidP="050676BD">
            <w:pPr>
              <w:jc w:val="both"/>
              <w:rPr>
                <w:sz w:val="16"/>
                <w:szCs w:val="16"/>
              </w:rPr>
            </w:pPr>
          </w:p>
          <w:p w14:paraId="3055BBCF" w14:textId="76A5773A" w:rsidR="76BCC05E" w:rsidRPr="001661AC" w:rsidRDefault="1F8A21B7" w:rsidP="050676BD">
            <w:pPr>
              <w:jc w:val="both"/>
              <w:rPr>
                <w:sz w:val="16"/>
                <w:szCs w:val="16"/>
              </w:rPr>
            </w:pPr>
            <w:r w:rsidRPr="001661AC">
              <w:rPr>
                <w:sz w:val="16"/>
                <w:szCs w:val="16"/>
              </w:rPr>
              <w:t>practicing social dialogue can facilitate women’s voice and fulfilment of their rights, including fair wages.</w:t>
            </w:r>
          </w:p>
        </w:tc>
        <w:tc>
          <w:tcPr>
            <w:tcW w:w="3402" w:type="dxa"/>
            <w:shd w:val="clear" w:color="auto" w:fill="E2EFD9" w:themeFill="accent6" w:themeFillTint="33"/>
          </w:tcPr>
          <w:p w14:paraId="1B1785C3" w14:textId="084A4705" w:rsidR="76BCC05E" w:rsidRPr="001661AC" w:rsidRDefault="1F8A21B7" w:rsidP="050676BD">
            <w:pPr>
              <w:jc w:val="both"/>
              <w:rPr>
                <w:sz w:val="16"/>
                <w:szCs w:val="16"/>
              </w:rPr>
            </w:pPr>
            <w:r w:rsidRPr="001661AC">
              <w:rPr>
                <w:sz w:val="16"/>
                <w:szCs w:val="16"/>
              </w:rPr>
              <w:lastRenderedPageBreak/>
              <w:t xml:space="preserve">Greater dialogue at community, government and corporate levels can address negative social norms and attitudes; </w:t>
            </w:r>
          </w:p>
          <w:p w14:paraId="35DFD02C" w14:textId="06DE0702" w:rsidR="76BCC05E" w:rsidRPr="001661AC" w:rsidRDefault="76BCC05E" w:rsidP="050676BD">
            <w:pPr>
              <w:jc w:val="both"/>
              <w:rPr>
                <w:sz w:val="16"/>
                <w:szCs w:val="16"/>
              </w:rPr>
            </w:pPr>
          </w:p>
          <w:p w14:paraId="7F8CD44E" w14:textId="1BB70BB4" w:rsidR="76BCC05E" w:rsidRPr="001661AC" w:rsidRDefault="1F8A21B7" w:rsidP="050676BD">
            <w:pPr>
              <w:jc w:val="both"/>
              <w:rPr>
                <w:sz w:val="16"/>
                <w:szCs w:val="16"/>
              </w:rPr>
            </w:pPr>
            <w:r w:rsidRPr="001661AC">
              <w:rPr>
                <w:sz w:val="16"/>
                <w:szCs w:val="16"/>
              </w:rPr>
              <w:t>changes in attitudes will result in changes in behaviour</w:t>
            </w:r>
          </w:p>
        </w:tc>
      </w:tr>
      <w:tr w:rsidR="76BCC05E" w:rsidRPr="001661AC" w14:paraId="6C6A39FB" w14:textId="77777777" w:rsidTr="005D5CC5">
        <w:trPr>
          <w:trHeight w:val="300"/>
        </w:trPr>
        <w:tc>
          <w:tcPr>
            <w:tcW w:w="9918" w:type="dxa"/>
            <w:gridSpan w:val="3"/>
            <w:shd w:val="clear" w:color="auto" w:fill="FBE4D5" w:themeFill="accent2" w:themeFillTint="33"/>
          </w:tcPr>
          <w:p w14:paraId="0897FA9F" w14:textId="2FBF23DF" w:rsidR="76BCC05E" w:rsidRPr="001661AC" w:rsidRDefault="1F8A21B7" w:rsidP="050676BD">
            <w:pPr>
              <w:jc w:val="both"/>
              <w:rPr>
                <w:sz w:val="16"/>
                <w:szCs w:val="16"/>
              </w:rPr>
            </w:pPr>
            <w:r w:rsidRPr="001661AC">
              <w:rPr>
                <w:sz w:val="16"/>
                <w:szCs w:val="16"/>
              </w:rPr>
              <w:t>Risks &amp; Barriers</w:t>
            </w:r>
          </w:p>
        </w:tc>
      </w:tr>
      <w:tr w:rsidR="76BCC05E" w:rsidRPr="001661AC" w14:paraId="0D282E05" w14:textId="77777777" w:rsidTr="005D5CC5">
        <w:trPr>
          <w:trHeight w:val="2303"/>
        </w:trPr>
        <w:tc>
          <w:tcPr>
            <w:tcW w:w="3000" w:type="dxa"/>
            <w:shd w:val="clear" w:color="auto" w:fill="E2EFD9" w:themeFill="accent6" w:themeFillTint="33"/>
          </w:tcPr>
          <w:p w14:paraId="33216B7A" w14:textId="4FE9728E" w:rsidR="76BCC05E" w:rsidRPr="005D5CC5" w:rsidRDefault="76BCC05E" w:rsidP="050676BD">
            <w:pPr>
              <w:jc w:val="both"/>
              <w:rPr>
                <w:sz w:val="16"/>
                <w:szCs w:val="16"/>
              </w:rPr>
            </w:pPr>
          </w:p>
          <w:p w14:paraId="384B1AFB" w14:textId="6B9D9617" w:rsidR="76BCC05E" w:rsidRPr="005D5CC5" w:rsidRDefault="1F8A21B7" w:rsidP="050676BD">
            <w:pPr>
              <w:pStyle w:val="ListParagraph"/>
              <w:numPr>
                <w:ilvl w:val="0"/>
                <w:numId w:val="18"/>
              </w:numPr>
              <w:jc w:val="both"/>
              <w:rPr>
                <w:rFonts w:ascii="Times New Roman" w:hAnsi="Times New Roman" w:cs="Times New Roman"/>
                <w:sz w:val="16"/>
                <w:szCs w:val="16"/>
              </w:rPr>
            </w:pPr>
            <w:r w:rsidRPr="005D5CC5">
              <w:rPr>
                <w:rFonts w:ascii="Times New Roman" w:hAnsi="Times New Roman" w:cs="Times New Roman"/>
                <w:sz w:val="16"/>
                <w:szCs w:val="16"/>
              </w:rPr>
              <w:t xml:space="preserve">Enforcement of non-discriminatory laws is challenging; </w:t>
            </w:r>
          </w:p>
          <w:p w14:paraId="6AD578F5" w14:textId="3E7731A4" w:rsidR="76BCC05E" w:rsidRPr="005D5CC5" w:rsidRDefault="1F8A21B7" w:rsidP="050676BD">
            <w:pPr>
              <w:pStyle w:val="ListParagraph"/>
              <w:numPr>
                <w:ilvl w:val="0"/>
                <w:numId w:val="18"/>
              </w:numPr>
              <w:jc w:val="both"/>
              <w:rPr>
                <w:rFonts w:ascii="Times New Roman" w:hAnsi="Times New Roman" w:cs="Times New Roman"/>
                <w:sz w:val="16"/>
                <w:szCs w:val="16"/>
              </w:rPr>
            </w:pPr>
            <w:r w:rsidRPr="005D5CC5">
              <w:rPr>
                <w:rFonts w:ascii="Times New Roman" w:hAnsi="Times New Roman" w:cs="Times New Roman"/>
                <w:sz w:val="16"/>
                <w:szCs w:val="16"/>
              </w:rPr>
              <w:t xml:space="preserve">Raising adequate resources to finance labour and family friendly policies takes time; </w:t>
            </w:r>
          </w:p>
          <w:p w14:paraId="18AA16EE" w14:textId="6BBF0FF7" w:rsidR="76BCC05E" w:rsidRPr="005D5CC5" w:rsidRDefault="1F8A21B7" w:rsidP="050676BD">
            <w:pPr>
              <w:pStyle w:val="ListParagraph"/>
              <w:numPr>
                <w:ilvl w:val="0"/>
                <w:numId w:val="18"/>
              </w:numPr>
              <w:jc w:val="both"/>
              <w:rPr>
                <w:rFonts w:ascii="Times New Roman" w:hAnsi="Times New Roman" w:cs="Times New Roman"/>
                <w:sz w:val="16"/>
                <w:szCs w:val="16"/>
              </w:rPr>
            </w:pPr>
            <w:r w:rsidRPr="005D5CC5">
              <w:rPr>
                <w:rFonts w:ascii="Times New Roman" w:hAnsi="Times New Roman" w:cs="Times New Roman"/>
                <w:sz w:val="16"/>
                <w:szCs w:val="16"/>
              </w:rPr>
              <w:t xml:space="preserve">Lack of a pool of qualified women; </w:t>
            </w:r>
          </w:p>
          <w:p w14:paraId="37978EA1" w14:textId="190CD076" w:rsidR="76BCC05E" w:rsidRPr="005D5CC5" w:rsidRDefault="1F8A21B7" w:rsidP="050676BD">
            <w:pPr>
              <w:pStyle w:val="ListParagraph"/>
              <w:numPr>
                <w:ilvl w:val="0"/>
                <w:numId w:val="18"/>
              </w:numPr>
              <w:jc w:val="both"/>
              <w:rPr>
                <w:rFonts w:ascii="Times New Roman" w:hAnsi="Times New Roman" w:cs="Times New Roman"/>
                <w:sz w:val="16"/>
                <w:szCs w:val="16"/>
              </w:rPr>
            </w:pPr>
            <w:r w:rsidRPr="005D5CC5">
              <w:rPr>
                <w:rFonts w:ascii="Times New Roman" w:hAnsi="Times New Roman" w:cs="Times New Roman"/>
                <w:sz w:val="16"/>
                <w:szCs w:val="16"/>
              </w:rPr>
              <w:t>Persistence of patriarchal values in laws, policies and attitudes</w:t>
            </w:r>
          </w:p>
        </w:tc>
        <w:tc>
          <w:tcPr>
            <w:tcW w:w="3516" w:type="dxa"/>
            <w:shd w:val="clear" w:color="auto" w:fill="E2EFD9" w:themeFill="accent6" w:themeFillTint="33"/>
          </w:tcPr>
          <w:p w14:paraId="35A4C7C5" w14:textId="2E249A7C" w:rsidR="76BCC05E" w:rsidRPr="005D5CC5" w:rsidRDefault="76BCC05E" w:rsidP="050676BD">
            <w:pPr>
              <w:jc w:val="both"/>
              <w:rPr>
                <w:sz w:val="16"/>
                <w:szCs w:val="16"/>
              </w:rPr>
            </w:pPr>
          </w:p>
          <w:p w14:paraId="16A3174B" w14:textId="598E6FAC" w:rsidR="76BCC05E" w:rsidRPr="005D5CC5" w:rsidRDefault="1F8A21B7" w:rsidP="00DA41CC">
            <w:pPr>
              <w:pStyle w:val="ListParagraph"/>
              <w:numPr>
                <w:ilvl w:val="0"/>
                <w:numId w:val="17"/>
              </w:numPr>
              <w:jc w:val="both"/>
              <w:rPr>
                <w:rFonts w:ascii="Times New Roman" w:hAnsi="Times New Roman" w:cs="Times New Roman"/>
                <w:sz w:val="16"/>
                <w:szCs w:val="16"/>
              </w:rPr>
            </w:pPr>
            <w:r w:rsidRPr="005D5CC5">
              <w:rPr>
                <w:rFonts w:ascii="Times New Roman" w:hAnsi="Times New Roman" w:cs="Times New Roman"/>
                <w:sz w:val="16"/>
                <w:szCs w:val="16"/>
              </w:rPr>
              <w:t xml:space="preserve">‘Unwritten rules and practices’ make it challenging for women to succeed at top management; </w:t>
            </w:r>
          </w:p>
          <w:p w14:paraId="36E16C29" w14:textId="142E608E" w:rsidR="76BCC05E" w:rsidRPr="005D5CC5" w:rsidRDefault="76BCC05E" w:rsidP="050676BD">
            <w:pPr>
              <w:jc w:val="both"/>
              <w:rPr>
                <w:sz w:val="16"/>
                <w:szCs w:val="16"/>
              </w:rPr>
            </w:pPr>
          </w:p>
          <w:p w14:paraId="46267914" w14:textId="16FFAB49" w:rsidR="76BCC05E" w:rsidRPr="005D5CC5" w:rsidRDefault="1F8A21B7" w:rsidP="00DA41CC">
            <w:pPr>
              <w:pStyle w:val="ListParagraph"/>
              <w:numPr>
                <w:ilvl w:val="0"/>
                <w:numId w:val="17"/>
              </w:numPr>
              <w:jc w:val="both"/>
              <w:rPr>
                <w:rFonts w:ascii="Times New Roman" w:hAnsi="Times New Roman" w:cs="Times New Roman"/>
                <w:sz w:val="16"/>
                <w:szCs w:val="16"/>
              </w:rPr>
            </w:pPr>
            <w:r w:rsidRPr="005D5CC5">
              <w:rPr>
                <w:rFonts w:ascii="Times New Roman" w:hAnsi="Times New Roman" w:cs="Times New Roman"/>
                <w:sz w:val="16"/>
                <w:szCs w:val="16"/>
              </w:rPr>
              <w:t>Child care and domestic work limit the time that women have available to be able to move up the corporate ladder</w:t>
            </w:r>
          </w:p>
        </w:tc>
        <w:tc>
          <w:tcPr>
            <w:tcW w:w="3402" w:type="dxa"/>
            <w:shd w:val="clear" w:color="auto" w:fill="E2EFD9" w:themeFill="accent6" w:themeFillTint="33"/>
          </w:tcPr>
          <w:p w14:paraId="1FAA1DB0" w14:textId="461874EC" w:rsidR="76BCC05E" w:rsidRPr="005D5CC5" w:rsidRDefault="76BCC05E" w:rsidP="050676BD">
            <w:pPr>
              <w:jc w:val="both"/>
              <w:rPr>
                <w:sz w:val="16"/>
                <w:szCs w:val="16"/>
              </w:rPr>
            </w:pPr>
          </w:p>
          <w:p w14:paraId="74517F3E" w14:textId="4A82F2B3" w:rsidR="76BCC05E" w:rsidRPr="005D5CC5" w:rsidRDefault="1F8A21B7" w:rsidP="050676BD">
            <w:pPr>
              <w:jc w:val="both"/>
              <w:rPr>
                <w:sz w:val="16"/>
                <w:szCs w:val="16"/>
              </w:rPr>
            </w:pPr>
            <w:r w:rsidRPr="005D5CC5">
              <w:rPr>
                <w:sz w:val="16"/>
                <w:szCs w:val="16"/>
              </w:rPr>
              <w:t>Gender stereotypes may be entrenched in some societies and very hard to change.</w:t>
            </w:r>
          </w:p>
        </w:tc>
      </w:tr>
    </w:tbl>
    <w:p w14:paraId="739B9CC1" w14:textId="77777777" w:rsidR="00B613EB" w:rsidRPr="00B613EB" w:rsidRDefault="00B613EB" w:rsidP="00B613EB">
      <w:pPr>
        <w:rPr>
          <w:lang w:val="en-US" w:eastAsia="en-US"/>
        </w:rPr>
      </w:pPr>
    </w:p>
    <w:p w14:paraId="1BD4AF8D" w14:textId="64926378" w:rsidR="36364289" w:rsidRPr="00BC02C0" w:rsidRDefault="1548C4BD" w:rsidP="4D27054C">
      <w:pPr>
        <w:pStyle w:val="Heading1"/>
        <w:numPr>
          <w:ilvl w:val="0"/>
          <w:numId w:val="34"/>
        </w:numPr>
        <w:rPr>
          <w:rFonts w:ascii="Times New Roman" w:eastAsia="Times New Roman" w:hAnsi="Times New Roman" w:cs="Times New Roman"/>
          <w:b/>
          <w:bCs/>
          <w:color w:val="4472C4" w:themeColor="accent1"/>
          <w:sz w:val="24"/>
          <w:szCs w:val="24"/>
        </w:rPr>
      </w:pPr>
      <w:bookmarkStart w:id="28" w:name="_Toc97453927"/>
      <w:r w:rsidRPr="5DC39AF9">
        <w:rPr>
          <w:rFonts w:ascii="Times New Roman" w:eastAsia="Times New Roman" w:hAnsi="Times New Roman" w:cs="Times New Roman"/>
          <w:b/>
          <w:bCs/>
          <w:color w:val="4471C4"/>
          <w:sz w:val="24"/>
          <w:szCs w:val="24"/>
          <w:lang w:val="en-GB"/>
        </w:rPr>
        <w:t>Key programmatic interventions</w:t>
      </w:r>
      <w:bookmarkEnd w:id="28"/>
    </w:p>
    <w:p w14:paraId="12B06717" w14:textId="743A6A04" w:rsidR="00BD5B00" w:rsidRDefault="4D332763" w:rsidP="516AEA60">
      <w:pPr>
        <w:jc w:val="both"/>
        <w:rPr>
          <w:color w:val="000000" w:themeColor="text1"/>
        </w:rPr>
      </w:pPr>
      <w:r w:rsidRPr="000B3B41">
        <w:rPr>
          <w:color w:val="000000" w:themeColor="text1"/>
        </w:rPr>
        <w:t xml:space="preserve">The JP carries out the following key interventions in association with its primary stakeholders: </w:t>
      </w:r>
      <w:r w:rsidR="000B3B41" w:rsidRPr="000B3B41">
        <w:rPr>
          <w:rStyle w:val="FootnoteReference"/>
          <w:color w:val="000000" w:themeColor="text1"/>
        </w:rPr>
        <w:footnoteReference w:id="66"/>
      </w:r>
    </w:p>
    <w:p w14:paraId="7BC31AFE" w14:textId="77777777" w:rsidR="005D5CC5" w:rsidRPr="003856CC" w:rsidRDefault="005D5CC5" w:rsidP="516AEA60">
      <w:pPr>
        <w:jc w:val="both"/>
        <w:rPr>
          <w:color w:val="000000" w:themeColor="text1"/>
        </w:rPr>
      </w:pPr>
    </w:p>
    <w:p w14:paraId="2B7EEA50" w14:textId="655A9993" w:rsidR="4E655B3F" w:rsidRDefault="14A093E5" w:rsidP="516AEA60">
      <w:pPr>
        <w:jc w:val="both"/>
        <w:rPr>
          <w:b/>
          <w:bCs/>
          <w:color w:val="000000" w:themeColor="text1"/>
          <w:sz w:val="16"/>
          <w:szCs w:val="16"/>
        </w:rPr>
      </w:pPr>
      <w:r w:rsidRPr="000305BD">
        <w:rPr>
          <w:b/>
          <w:bCs/>
          <w:color w:val="000000" w:themeColor="text1"/>
          <w:sz w:val="16"/>
          <w:szCs w:val="16"/>
        </w:rPr>
        <w:t>Table 3: Key programmatic interventions</w:t>
      </w:r>
      <w:r w:rsidR="4D27054C" w:rsidRPr="4D27054C">
        <w:rPr>
          <w:b/>
          <w:bCs/>
          <w:color w:val="000000" w:themeColor="text1"/>
          <w:sz w:val="16"/>
          <w:szCs w:val="16"/>
        </w:rPr>
        <w:t>:</w:t>
      </w:r>
    </w:p>
    <w:tbl>
      <w:tblPr>
        <w:tblStyle w:val="TableGrid"/>
        <w:tblW w:w="0" w:type="auto"/>
        <w:tblLayout w:type="fixed"/>
        <w:tblLook w:val="06A0" w:firstRow="1" w:lastRow="0" w:firstColumn="1" w:lastColumn="0" w:noHBand="1" w:noVBand="1"/>
      </w:tblPr>
      <w:tblGrid>
        <w:gridCol w:w="3367"/>
        <w:gridCol w:w="3039"/>
        <w:gridCol w:w="2954"/>
      </w:tblGrid>
      <w:tr w:rsidR="76BCC05E" w:rsidRPr="00BC02C0" w14:paraId="7C45447A" w14:textId="77777777" w:rsidTr="4D27054C">
        <w:trPr>
          <w:trHeight w:val="418"/>
        </w:trPr>
        <w:tc>
          <w:tcPr>
            <w:tcW w:w="3367" w:type="dxa"/>
            <w:shd w:val="clear" w:color="auto" w:fill="DEEAF6" w:themeFill="accent5" w:themeFillTint="33"/>
          </w:tcPr>
          <w:p w14:paraId="46C108FF" w14:textId="63CAC2A4" w:rsidR="76BCC05E" w:rsidRPr="00BC02C0" w:rsidRDefault="1F8A21B7" w:rsidP="050676BD">
            <w:pPr>
              <w:jc w:val="center"/>
              <w:rPr>
                <w:color w:val="000000" w:themeColor="text1"/>
                <w:sz w:val="16"/>
                <w:szCs w:val="16"/>
              </w:rPr>
            </w:pPr>
            <w:r w:rsidRPr="00BC02C0">
              <w:rPr>
                <w:b/>
                <w:bCs/>
                <w:color w:val="000000" w:themeColor="text1"/>
                <w:sz w:val="16"/>
                <w:szCs w:val="16"/>
              </w:rPr>
              <w:t>Governments</w:t>
            </w:r>
          </w:p>
        </w:tc>
        <w:tc>
          <w:tcPr>
            <w:tcW w:w="3039" w:type="dxa"/>
            <w:shd w:val="clear" w:color="auto" w:fill="DEEAF6" w:themeFill="accent5" w:themeFillTint="33"/>
          </w:tcPr>
          <w:p w14:paraId="531DA41D" w14:textId="44C08AA6" w:rsidR="76BCC05E" w:rsidRPr="00BC02C0" w:rsidRDefault="53B11FB3" w:rsidP="050676BD">
            <w:pPr>
              <w:jc w:val="center"/>
              <w:rPr>
                <w:color w:val="000000" w:themeColor="text1"/>
                <w:sz w:val="16"/>
                <w:szCs w:val="16"/>
              </w:rPr>
            </w:pPr>
            <w:r w:rsidRPr="4D27054C">
              <w:rPr>
                <w:b/>
                <w:bCs/>
                <w:color w:val="000000" w:themeColor="text1"/>
                <w:sz w:val="16"/>
                <w:szCs w:val="16"/>
              </w:rPr>
              <w:t>Private Sector, Employers’ and workers’ organizations</w:t>
            </w:r>
          </w:p>
        </w:tc>
        <w:tc>
          <w:tcPr>
            <w:tcW w:w="2954" w:type="dxa"/>
            <w:shd w:val="clear" w:color="auto" w:fill="DEEAF6" w:themeFill="accent5" w:themeFillTint="33"/>
          </w:tcPr>
          <w:p w14:paraId="49B98695" w14:textId="7855C27D" w:rsidR="76BCC05E" w:rsidRPr="00BC02C0" w:rsidRDefault="1F8A21B7" w:rsidP="050676BD">
            <w:pPr>
              <w:jc w:val="center"/>
              <w:rPr>
                <w:color w:val="000000" w:themeColor="text1"/>
                <w:sz w:val="16"/>
                <w:szCs w:val="16"/>
              </w:rPr>
            </w:pPr>
            <w:r w:rsidRPr="00BC02C0">
              <w:rPr>
                <w:b/>
                <w:bCs/>
                <w:color w:val="000000" w:themeColor="text1"/>
                <w:sz w:val="16"/>
                <w:szCs w:val="16"/>
              </w:rPr>
              <w:t>Civil society organisations (CSOs)</w:t>
            </w:r>
          </w:p>
        </w:tc>
      </w:tr>
      <w:tr w:rsidR="76BCC05E" w:rsidRPr="00BC02C0" w14:paraId="21D7415C" w14:textId="77777777" w:rsidTr="4D27054C">
        <w:tc>
          <w:tcPr>
            <w:tcW w:w="3367" w:type="dxa"/>
          </w:tcPr>
          <w:p w14:paraId="40F92A06" w14:textId="3314A742" w:rsidR="76BCC05E" w:rsidRPr="00B613EB" w:rsidRDefault="53B11FB3" w:rsidP="050676BD">
            <w:pPr>
              <w:pStyle w:val="ListParagraph"/>
              <w:numPr>
                <w:ilvl w:val="0"/>
                <w:numId w:val="16"/>
              </w:numPr>
              <w:jc w:val="both"/>
              <w:rPr>
                <w:rFonts w:ascii="Times New Roman" w:hAnsi="Times New Roman" w:cs="Times New Roman"/>
                <w:color w:val="000000" w:themeColor="text1"/>
                <w:sz w:val="16"/>
                <w:szCs w:val="16"/>
              </w:rPr>
            </w:pPr>
            <w:r w:rsidRPr="4D27054C">
              <w:rPr>
                <w:rFonts w:ascii="Times New Roman" w:hAnsi="Times New Roman" w:cs="Times New Roman"/>
                <w:color w:val="000000" w:themeColor="text1"/>
                <w:sz w:val="16"/>
                <w:szCs w:val="16"/>
              </w:rPr>
              <w:t>Reinforcing of labour market institutions and policies, guided by adherence to key gender equality conventions, in particular CEDAW and ILO Conventions 100 and 111 on equal remuneration for work of equal value and discrimination in employment.</w:t>
            </w:r>
          </w:p>
          <w:p w14:paraId="6DEEAC34" w14:textId="04D7CF29" w:rsidR="76BCC05E" w:rsidRPr="00B613EB" w:rsidRDefault="1F8A21B7" w:rsidP="050676BD">
            <w:pPr>
              <w:pStyle w:val="ListParagraph"/>
              <w:numPr>
                <w:ilvl w:val="0"/>
                <w:numId w:val="16"/>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Supporting social protection policies and frameworks that expand access to services, social protection, education and healthcare.</w:t>
            </w:r>
          </w:p>
          <w:p w14:paraId="5A1FF841" w14:textId="2673C274" w:rsidR="76BCC05E" w:rsidRPr="00B613EB" w:rsidRDefault="1F8A21B7" w:rsidP="050676BD">
            <w:pPr>
              <w:pStyle w:val="ListParagraph"/>
              <w:numPr>
                <w:ilvl w:val="0"/>
                <w:numId w:val="16"/>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Engaging with the tripartite constituents to identify bottlenecks and suggest amendments to labour, social security and other related laws,</w:t>
            </w:r>
          </w:p>
          <w:p w14:paraId="77E6AE06" w14:textId="5A357121" w:rsidR="76BCC05E" w:rsidRPr="00B613EB" w:rsidRDefault="1F8A21B7" w:rsidP="050676BD">
            <w:pPr>
              <w:pStyle w:val="ListParagraph"/>
              <w:numPr>
                <w:ilvl w:val="0"/>
                <w:numId w:val="16"/>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Enhancing gender responsive budgeting, financial planning and monitoring of results from a gender perspective</w:t>
            </w:r>
          </w:p>
          <w:p w14:paraId="798D57DE" w14:textId="4E0BD9B6" w:rsidR="76BCC05E" w:rsidRPr="00BC02C0" w:rsidRDefault="1F8A21B7" w:rsidP="00DA41CC">
            <w:pPr>
              <w:pStyle w:val="ListParagraph"/>
              <w:numPr>
                <w:ilvl w:val="0"/>
                <w:numId w:val="16"/>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Engaging in closer and more constructive dialogue with the private sector and CSOs</w:t>
            </w:r>
          </w:p>
          <w:p w14:paraId="10D3EE3C" w14:textId="27220105" w:rsidR="76BCC05E" w:rsidRPr="00BC02C0" w:rsidRDefault="76BCC05E" w:rsidP="050676BD">
            <w:pPr>
              <w:rPr>
                <w:color w:val="000000" w:themeColor="text1"/>
                <w:sz w:val="16"/>
                <w:szCs w:val="16"/>
              </w:rPr>
            </w:pPr>
          </w:p>
        </w:tc>
        <w:tc>
          <w:tcPr>
            <w:tcW w:w="3039" w:type="dxa"/>
          </w:tcPr>
          <w:p w14:paraId="6774C2E3" w14:textId="3D8D51B0" w:rsidR="76BCC05E" w:rsidRPr="00B613EB" w:rsidRDefault="1F8A21B7" w:rsidP="050676BD">
            <w:pPr>
              <w:pStyle w:val="ListParagraph"/>
              <w:numPr>
                <w:ilvl w:val="0"/>
                <w:numId w:val="15"/>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 xml:space="preserve">Utilizing the WEPs Gender Gap Analysis tool and the Participatory Gender Audit tool to conduct assessment of corporate policies and practices from a gender perspective. Investing in promotion of women’s leadership in the world of business and adopting gender-responsive practices in the private sector. </w:t>
            </w:r>
          </w:p>
          <w:p w14:paraId="18D3050D" w14:textId="23B0D43A" w:rsidR="76BCC05E" w:rsidRPr="00B613EB" w:rsidRDefault="1F8A21B7" w:rsidP="050676BD">
            <w:pPr>
              <w:pStyle w:val="ListParagraph"/>
              <w:numPr>
                <w:ilvl w:val="0"/>
                <w:numId w:val="15"/>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Identifying opportunities for employment of women where representation is low.</w:t>
            </w:r>
          </w:p>
          <w:p w14:paraId="334121CA" w14:textId="44E108CD" w:rsidR="76BCC05E" w:rsidRPr="00B613EB" w:rsidRDefault="1F8A21B7" w:rsidP="050676BD">
            <w:pPr>
              <w:pStyle w:val="ListParagraph"/>
              <w:numPr>
                <w:ilvl w:val="0"/>
                <w:numId w:val="15"/>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Advancing the capacities of employers’ and workers’ organisations in promoting gender equality and women’s rights at work in the private sector;</w:t>
            </w:r>
          </w:p>
          <w:p w14:paraId="5DA065EF" w14:textId="709270F3" w:rsidR="76BCC05E" w:rsidRPr="00B613EB" w:rsidRDefault="1F8A21B7" w:rsidP="050676BD">
            <w:pPr>
              <w:pStyle w:val="ListParagraph"/>
              <w:numPr>
                <w:ilvl w:val="0"/>
                <w:numId w:val="15"/>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Encouraging corporate training in developing the capacities &amp; skills of women, particularly in non-traditional sectors and occupations</w:t>
            </w:r>
          </w:p>
          <w:p w14:paraId="1767F393" w14:textId="6638423D" w:rsidR="76BCC05E" w:rsidRPr="00B613EB" w:rsidRDefault="1F8A21B7" w:rsidP="050676BD">
            <w:pPr>
              <w:pStyle w:val="ListParagraph"/>
              <w:numPr>
                <w:ilvl w:val="0"/>
                <w:numId w:val="15"/>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Encouraging the private sector to invest in child-care facilities</w:t>
            </w:r>
          </w:p>
          <w:p w14:paraId="6B7C356D" w14:textId="601B4EA0" w:rsidR="53DAE3F0" w:rsidRPr="00B613EB" w:rsidRDefault="53B11FB3" w:rsidP="4D27054C">
            <w:pPr>
              <w:pStyle w:val="ListParagraph"/>
              <w:numPr>
                <w:ilvl w:val="0"/>
                <w:numId w:val="15"/>
              </w:numPr>
              <w:jc w:val="both"/>
              <w:rPr>
                <w:rFonts w:ascii="Times New Roman" w:hAnsi="Times New Roman" w:cs="Times New Roman"/>
                <w:color w:val="000000" w:themeColor="text1"/>
                <w:sz w:val="16"/>
                <w:szCs w:val="16"/>
              </w:rPr>
            </w:pPr>
            <w:r w:rsidRPr="4D27054C">
              <w:rPr>
                <w:rFonts w:ascii="Times New Roman" w:hAnsi="Times New Roman" w:cs="Times New Roman"/>
                <w:color w:val="000000" w:themeColor="text1"/>
                <w:sz w:val="16"/>
                <w:szCs w:val="16"/>
              </w:rPr>
              <w:t>Promoting the inclusion of women in social dialogue</w:t>
            </w:r>
          </w:p>
          <w:p w14:paraId="3C52F4C3" w14:textId="63BC03B9" w:rsidR="53DAE3F0" w:rsidRDefault="0E6B4982" w:rsidP="53DAE3F0">
            <w:pPr>
              <w:pStyle w:val="ListParagraph"/>
              <w:numPr>
                <w:ilvl w:val="0"/>
                <w:numId w:val="15"/>
              </w:numPr>
              <w:jc w:val="both"/>
              <w:rPr>
                <w:color w:val="000000" w:themeColor="text1"/>
                <w:sz w:val="16"/>
                <w:szCs w:val="16"/>
              </w:rPr>
            </w:pPr>
            <w:r w:rsidRPr="4D27054C">
              <w:rPr>
                <w:rFonts w:ascii="Times New Roman" w:hAnsi="Times New Roman" w:cs="Times New Roman"/>
                <w:color w:val="000000" w:themeColor="text1"/>
                <w:sz w:val="16"/>
                <w:szCs w:val="16"/>
              </w:rPr>
              <w:t>Activities related to C190 implentation for private sector and employer’s organisations.</w:t>
            </w:r>
          </w:p>
          <w:p w14:paraId="662EA8FF" w14:textId="1D025520" w:rsidR="76BCC05E" w:rsidRPr="00BC02C0" w:rsidRDefault="76BCC05E" w:rsidP="050676BD">
            <w:pPr>
              <w:rPr>
                <w:color w:val="000000" w:themeColor="text1"/>
                <w:sz w:val="16"/>
                <w:szCs w:val="16"/>
              </w:rPr>
            </w:pPr>
          </w:p>
        </w:tc>
        <w:tc>
          <w:tcPr>
            <w:tcW w:w="2954" w:type="dxa"/>
          </w:tcPr>
          <w:p w14:paraId="1524AE70" w14:textId="3F4D0C69" w:rsidR="76BCC05E" w:rsidRPr="00BC02C0" w:rsidRDefault="4C1F1FF6" w:rsidP="00DA41CC">
            <w:pPr>
              <w:pStyle w:val="ListParagraph"/>
              <w:numPr>
                <w:ilvl w:val="0"/>
                <w:numId w:val="14"/>
              </w:numPr>
              <w:jc w:val="both"/>
              <w:rPr>
                <w:rFonts w:ascii="Times New Roman" w:hAnsi="Times New Roman" w:cs="Times New Roman"/>
                <w:color w:val="000000" w:themeColor="text1"/>
                <w:sz w:val="16"/>
                <w:szCs w:val="16"/>
              </w:rPr>
            </w:pPr>
            <w:r w:rsidRPr="4D27054C">
              <w:rPr>
                <w:rFonts w:ascii="Times New Roman" w:hAnsi="Times New Roman" w:cs="Times New Roman"/>
                <w:color w:val="000000" w:themeColor="text1"/>
                <w:sz w:val="16"/>
                <w:szCs w:val="16"/>
              </w:rPr>
              <w:t>Enhancing the ca</w:t>
            </w:r>
            <w:r w:rsidRPr="4D27054C">
              <w:rPr>
                <w:rFonts w:ascii="Times New Roman" w:hAnsi="Times New Roman"/>
                <w:sz w:val="16"/>
                <w:szCs w:val="16"/>
              </w:rPr>
              <w:t>pacity of selected CSOs th</w:t>
            </w:r>
            <w:r w:rsidRPr="4D27054C">
              <w:rPr>
                <w:rFonts w:ascii="Times New Roman" w:hAnsi="Times New Roman" w:cs="Times New Roman"/>
                <w:color w:val="000000" w:themeColor="text1"/>
                <w:sz w:val="16"/>
                <w:szCs w:val="16"/>
              </w:rPr>
              <w:t>at work explicitly on women’s rights and economic empowerment through provision of training to be stronger advocates for policy change, engaging in public dialogue and mobilizing the community to seek accountability for implementation of laws, policies and programmes;</w:t>
            </w:r>
          </w:p>
          <w:p w14:paraId="2DB6D8ED" w14:textId="7BC1BACD" w:rsidR="76BCC05E" w:rsidRPr="00BC02C0" w:rsidRDefault="1F8A21B7" w:rsidP="00DA41CC">
            <w:pPr>
              <w:pStyle w:val="ListParagraph"/>
              <w:numPr>
                <w:ilvl w:val="0"/>
                <w:numId w:val="14"/>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Encouraging and facilitating the involvement of CSOs in and revision of laws and policies foreseen under the JP</w:t>
            </w:r>
          </w:p>
          <w:p w14:paraId="223C1FCF" w14:textId="5DC6BC4E" w:rsidR="76BCC05E" w:rsidRPr="00BC02C0" w:rsidRDefault="1F8A21B7" w:rsidP="00DA41CC">
            <w:pPr>
              <w:pStyle w:val="ListParagraph"/>
              <w:numPr>
                <w:ilvl w:val="0"/>
                <w:numId w:val="14"/>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 xml:space="preserve">Encouraging and facilitating the engagement of CSOs in dialogue with the government and private sector to advance gender equality through platforms such as the Union of Mediterranean etc. </w:t>
            </w:r>
          </w:p>
          <w:p w14:paraId="563DD7CA" w14:textId="3FD30D09" w:rsidR="76BCC05E" w:rsidRPr="00BC02C0" w:rsidRDefault="1F8A21B7" w:rsidP="00DA41CC">
            <w:pPr>
              <w:pStyle w:val="ListParagraph"/>
              <w:numPr>
                <w:ilvl w:val="0"/>
                <w:numId w:val="14"/>
              </w:numPr>
              <w:jc w:val="both"/>
              <w:rPr>
                <w:rFonts w:ascii="Times New Roman" w:hAnsi="Times New Roman" w:cs="Times New Roman"/>
                <w:color w:val="000000" w:themeColor="text1"/>
                <w:sz w:val="16"/>
                <w:szCs w:val="16"/>
              </w:rPr>
            </w:pPr>
            <w:r w:rsidRPr="00BC02C0">
              <w:rPr>
                <w:rFonts w:ascii="Times New Roman" w:hAnsi="Times New Roman" w:cs="Times New Roman"/>
                <w:color w:val="000000" w:themeColor="text1"/>
                <w:sz w:val="16"/>
                <w:szCs w:val="16"/>
              </w:rPr>
              <w:t>Developing knowledge products and generation of evidence in support of the socio-economic benefit of gender equality and decent work for women for families, communities and countries.</w:t>
            </w:r>
          </w:p>
        </w:tc>
      </w:tr>
    </w:tbl>
    <w:p w14:paraId="1880A25F" w14:textId="5FB175C6" w:rsidR="00BC02C0" w:rsidRDefault="00BC02C0" w:rsidP="00617267">
      <w:pPr>
        <w:jc w:val="both"/>
        <w:rPr>
          <w:color w:val="000000" w:themeColor="text1"/>
        </w:rPr>
      </w:pPr>
      <w:bookmarkStart w:id="29" w:name="_Toc90824112"/>
    </w:p>
    <w:p w14:paraId="36000472" w14:textId="77777777" w:rsidR="000B3B41" w:rsidRPr="00617267" w:rsidRDefault="000B3B41" w:rsidP="00617267">
      <w:pPr>
        <w:jc w:val="both"/>
        <w:rPr>
          <w:color w:val="000000" w:themeColor="text1"/>
        </w:rPr>
      </w:pPr>
    </w:p>
    <w:p w14:paraId="17AFEAD7" w14:textId="570BBD0C" w:rsidR="36364289" w:rsidRDefault="5C0A58D2" w:rsidP="00617267">
      <w:pPr>
        <w:pStyle w:val="Heading1"/>
        <w:numPr>
          <w:ilvl w:val="0"/>
          <w:numId w:val="34"/>
        </w:numPr>
        <w:rPr>
          <w:rFonts w:ascii="Times New Roman" w:eastAsia="Times New Roman" w:hAnsi="Times New Roman" w:cs="Times New Roman"/>
          <w:b/>
          <w:bCs/>
          <w:color w:val="4472C4" w:themeColor="accent1"/>
          <w:sz w:val="24"/>
          <w:szCs w:val="24"/>
          <w:lang w:val="en-GB"/>
        </w:rPr>
      </w:pPr>
      <w:bookmarkStart w:id="30" w:name="_Toc97453928"/>
      <w:r w:rsidRPr="5DC39AF9">
        <w:rPr>
          <w:rFonts w:ascii="Times New Roman" w:eastAsia="Times New Roman" w:hAnsi="Times New Roman" w:cs="Times New Roman"/>
          <w:b/>
          <w:bCs/>
          <w:color w:val="4471C4"/>
          <w:sz w:val="24"/>
          <w:szCs w:val="24"/>
          <w:lang w:val="en-GB"/>
        </w:rPr>
        <w:lastRenderedPageBreak/>
        <w:t>Project target groups and key stakeholders</w:t>
      </w:r>
      <w:bookmarkEnd w:id="29"/>
      <w:bookmarkEnd w:id="30"/>
    </w:p>
    <w:p w14:paraId="786047B4" w14:textId="77777777" w:rsidR="00BC02C0" w:rsidRPr="00BC02C0" w:rsidRDefault="00BC02C0" w:rsidP="00BC02C0">
      <w:pPr>
        <w:rPr>
          <w:lang w:eastAsia="en-US"/>
        </w:rPr>
      </w:pPr>
    </w:p>
    <w:p w14:paraId="4C0683C3" w14:textId="7B0BC4CC" w:rsidR="72574391" w:rsidRDefault="0E092CC5" w:rsidP="5CF61BAE">
      <w:pPr>
        <w:spacing w:after="160" w:line="259" w:lineRule="auto"/>
        <w:jc w:val="both"/>
      </w:pPr>
      <w:r w:rsidRPr="5CF61BAE">
        <w:t xml:space="preserve">The Programme intends to primarily reach out to and support </w:t>
      </w:r>
      <w:r w:rsidR="480E287B" w:rsidRPr="5CF61BAE">
        <w:t xml:space="preserve">the economic empowerment of </w:t>
      </w:r>
      <w:r w:rsidRPr="5CF61BAE">
        <w:t>women</w:t>
      </w:r>
      <w:r w:rsidR="480E287B" w:rsidRPr="5CF61BAE">
        <w:t>. It provides multi-dimensional interventions and</w:t>
      </w:r>
      <w:r w:rsidRPr="5CF61BAE">
        <w:t xml:space="preserve"> facing the biggest barriers to enter the labour market. It works towards creating an enabling environment by enhancing legal frameworks and service provision from the government entities; working with private sector to promote gender equality and women’s empowerment; and challenging discriminatory norms and barriers through increased dialogue and awareness raising on the benefit of women’s equal participation and contribution to all spheres of life. </w:t>
      </w:r>
    </w:p>
    <w:p w14:paraId="62491067" w14:textId="477E6F63" w:rsidR="72574391" w:rsidRDefault="0E092CC5" w:rsidP="5CF61BAE">
      <w:pPr>
        <w:spacing w:after="160" w:line="259" w:lineRule="auto"/>
        <w:jc w:val="both"/>
        <w:rPr>
          <w:color w:val="4D5156"/>
        </w:rPr>
      </w:pPr>
      <w:r w:rsidRPr="5CF61BAE">
        <w:t>In line with the 2030 Agenda, the programme in all three components targets the most disadvantaged women and men to contribute to the efforts of ‘leaving no one behind’.</w:t>
      </w:r>
      <w:r w:rsidR="50882772" w:rsidRPr="5CF61BAE">
        <w:t xml:space="preserve"> </w:t>
      </w:r>
      <w:r w:rsidR="1CD41ACD" w:rsidRPr="5CF61BAE">
        <w:t xml:space="preserve"> </w:t>
      </w:r>
      <w:r w:rsidR="27E638C3" w:rsidRPr="5CF61BAE">
        <w:t xml:space="preserve">This is done by identifying and targeting the women who are most disadvantaged in the JP interventions through a series of activities such as capacity development, technical support, partnerships, building coalitions and platforms for dialogue and advocacy. Some of the most marginalised individuals and groups targeted by the JP are </w:t>
      </w:r>
      <w:r w:rsidR="1CD41ACD" w:rsidRPr="5CF61BAE">
        <w:t xml:space="preserve"> </w:t>
      </w:r>
      <w:r w:rsidR="3184BA17" w:rsidRPr="5CF61BAE">
        <w:t xml:space="preserve">women working in low paid jobs such as women recruited by childcare facilities (KGs and nurseries) and schools (addressed under maternity insurance, Cash Based Assistance, and digital payments), university graduates with skills that do not meet labour market needs (sports programme in Jordan), mothers with young children that end up leaving work to take care of their families (childcare and maternity insurance). </w:t>
      </w:r>
      <w:r w:rsidR="42FE05D6" w:rsidRPr="5CF61BAE">
        <w:t xml:space="preserve">Additionally, women workers in the secretarial and administrative occupations as well as women in the non-traditional male-dominated sector such as in the construction and building sector are also targeted. In Egypt, Within the framework of the joint programme, UN Women targets TVET female technicians who mostly fall within the socio-economic vulnerable groups within the age bracket of (16-22) years old. The programme interventions support them through soft and technical trainings, internships with the private sector and a decent job placement service. In addition, the programme supports women living in slum areas with vocational and business management training to help them run and/or improve their own businesses, access markets, and provide for their living. And finally, the vulnerable groups also included </w:t>
      </w:r>
      <w:r w:rsidR="5CF61BAE" w:rsidRPr="5CF61BAE">
        <w:t>women who were affected by the Covid 19 pandemic associated economic losses such as layoffs and loss of livelihoods.</w:t>
      </w:r>
    </w:p>
    <w:p w14:paraId="5FE14345" w14:textId="7458B46A" w:rsidR="72574391" w:rsidRDefault="04817708" w:rsidP="5CF61BAE">
      <w:pPr>
        <w:jc w:val="both"/>
        <w:rPr>
          <w:color w:val="000000" w:themeColor="text1"/>
        </w:rPr>
      </w:pPr>
      <w:r w:rsidRPr="5CF61BAE">
        <w:rPr>
          <w:color w:val="000000" w:themeColor="text1"/>
        </w:rPr>
        <w:t xml:space="preserve">Promoting productive employment and decent work for women requires multi-dimensional interventions and the involvement of a significant number of actors.  </w:t>
      </w:r>
      <w:r w:rsidR="7AA57CEA">
        <w:t>A stakeholder analysis was conducted as part of the inception</w:t>
      </w:r>
      <w:r w:rsidR="0D9E8FFF">
        <w:t xml:space="preserve"> phase</w:t>
      </w:r>
      <w:r w:rsidR="7AA57CEA">
        <w:t xml:space="preserve">, to understand </w:t>
      </w:r>
      <w:r w:rsidR="31991C16">
        <w:t xml:space="preserve">and include a cross-section of organizations – public, private and non-governmental (see Annex 2). </w:t>
      </w:r>
      <w:r w:rsidR="2C13106A">
        <w:t xml:space="preserve">The evaluation team identified the key UN Women </w:t>
      </w:r>
      <w:r w:rsidR="1013D2A0">
        <w:t xml:space="preserve">and ILO </w:t>
      </w:r>
      <w:r w:rsidR="2C13106A">
        <w:t>staff, government officials, donors and UN agencies’ representatives, the private sector, and civil society organizations, academia, Employers’ and workers’ organizations, and the targeted group of beneficiaries (or recipients of programme assistance) who have collaborated on JP initiatives at the regional level as well as at the country level.</w:t>
      </w:r>
    </w:p>
    <w:p w14:paraId="2A3FF16E" w14:textId="77777777" w:rsidR="00BC02C0" w:rsidRPr="006B44CD" w:rsidRDefault="00BC02C0" w:rsidP="61B0FC88">
      <w:pPr>
        <w:jc w:val="both"/>
        <w:rPr>
          <w:rFonts w:eastAsia="Calibri"/>
        </w:rPr>
      </w:pPr>
    </w:p>
    <w:p w14:paraId="2B05AAA6" w14:textId="4EEEA344" w:rsidR="72574391" w:rsidRPr="006B44CD" w:rsidRDefault="2C13106A" w:rsidP="3BAF1B68">
      <w:pPr>
        <w:jc w:val="both"/>
      </w:pPr>
      <w:r>
        <w:t>The stakeholder analysis</w:t>
      </w:r>
      <w:r w:rsidR="7AA57CEA">
        <w:t xml:space="preserve"> allowed for designing the Evaluation Matrix (annex 1) and will be the basis for the triangulation of data</w:t>
      </w:r>
      <w:r w:rsidR="3054EDEE">
        <w:t xml:space="preserve"> and to obtain feedback that is both retrospective as well as forward-looking. </w:t>
      </w:r>
    </w:p>
    <w:p w14:paraId="5B9C6591" w14:textId="2969BC1D" w:rsidR="4D27054C" w:rsidRDefault="4D27054C" w:rsidP="4D27054C">
      <w:pPr>
        <w:jc w:val="both"/>
      </w:pPr>
    </w:p>
    <w:p w14:paraId="3F5505A7" w14:textId="39B76940" w:rsidR="4D27054C" w:rsidRDefault="519F2031" w:rsidP="4D27054C">
      <w:pPr>
        <w:spacing w:line="256" w:lineRule="auto"/>
        <w:jc w:val="both"/>
        <w:rPr>
          <w:color w:val="000000" w:themeColor="text1"/>
        </w:rPr>
      </w:pPr>
      <w:r w:rsidRPr="4D27054C">
        <w:rPr>
          <w:color w:val="000000" w:themeColor="text1"/>
        </w:rPr>
        <w:lastRenderedPageBreak/>
        <w:t>The evaluation will tackle various stakeholders relevant to the programme, and take each of their strengths, weaknesses, capacities, comparative advantages and perspectives into account; it will assess the extent to which each of these stakeholders has positively affected, within a Theory of Change, the long-term objectives of the programme consisting of improving employment and decent work for women in Egypt, Jordan and Palestine.</w:t>
      </w:r>
    </w:p>
    <w:p w14:paraId="04AB050F" w14:textId="6A9C8FB1" w:rsidR="72574391" w:rsidRDefault="25965700" w:rsidP="00617267">
      <w:pPr>
        <w:pStyle w:val="Heading1"/>
        <w:numPr>
          <w:ilvl w:val="0"/>
          <w:numId w:val="34"/>
        </w:numPr>
        <w:rPr>
          <w:rFonts w:ascii="Times New Roman" w:eastAsia="Times New Roman" w:hAnsi="Times New Roman" w:cs="Times New Roman"/>
          <w:b/>
          <w:bCs/>
          <w:color w:val="4472C4" w:themeColor="accent1"/>
          <w:sz w:val="24"/>
          <w:szCs w:val="24"/>
        </w:rPr>
      </w:pPr>
      <w:bookmarkStart w:id="31" w:name="_Toc97453929"/>
      <w:r w:rsidRPr="5DC39AF9">
        <w:rPr>
          <w:rFonts w:ascii="Times New Roman" w:eastAsia="Times New Roman" w:hAnsi="Times New Roman" w:cs="Times New Roman"/>
          <w:b/>
          <w:bCs/>
          <w:color w:val="4471C4"/>
          <w:sz w:val="24"/>
          <w:szCs w:val="24"/>
        </w:rPr>
        <w:t>Evaluation purpose</w:t>
      </w:r>
      <w:r w:rsidR="3DCB3B38" w:rsidRPr="5DC39AF9">
        <w:rPr>
          <w:rFonts w:ascii="Times New Roman" w:eastAsia="Times New Roman" w:hAnsi="Times New Roman" w:cs="Times New Roman"/>
          <w:b/>
          <w:bCs/>
          <w:color w:val="4471C4"/>
          <w:sz w:val="24"/>
          <w:szCs w:val="24"/>
        </w:rPr>
        <w:t>, O</w:t>
      </w:r>
      <w:r w:rsidRPr="5DC39AF9">
        <w:rPr>
          <w:rFonts w:ascii="Times New Roman" w:eastAsia="Times New Roman" w:hAnsi="Times New Roman" w:cs="Times New Roman"/>
          <w:b/>
          <w:bCs/>
          <w:color w:val="4471C4"/>
          <w:sz w:val="24"/>
          <w:szCs w:val="24"/>
        </w:rPr>
        <w:t xml:space="preserve">bjectives </w:t>
      </w:r>
      <w:r w:rsidR="0E6D71EB" w:rsidRPr="5DC39AF9">
        <w:rPr>
          <w:rFonts w:ascii="Times New Roman" w:eastAsia="Times New Roman" w:hAnsi="Times New Roman" w:cs="Times New Roman"/>
          <w:b/>
          <w:bCs/>
          <w:color w:val="4471C4"/>
          <w:sz w:val="24"/>
          <w:szCs w:val="24"/>
        </w:rPr>
        <w:t>and Scope</w:t>
      </w:r>
      <w:bookmarkEnd w:id="31"/>
      <w:r w:rsidR="0E6D71EB" w:rsidRPr="5DC39AF9">
        <w:rPr>
          <w:rFonts w:ascii="Times New Roman" w:eastAsia="Times New Roman" w:hAnsi="Times New Roman" w:cs="Times New Roman"/>
          <w:b/>
          <w:bCs/>
          <w:color w:val="4471C4"/>
          <w:sz w:val="24"/>
          <w:szCs w:val="24"/>
        </w:rPr>
        <w:t xml:space="preserve"> </w:t>
      </w:r>
    </w:p>
    <w:p w14:paraId="134177A2" w14:textId="77777777" w:rsidR="00BC02C0" w:rsidRPr="00BC02C0" w:rsidRDefault="00BC02C0" w:rsidP="00BC02C0">
      <w:pPr>
        <w:rPr>
          <w:lang w:val="en-US" w:eastAsia="en-US"/>
        </w:rPr>
      </w:pPr>
    </w:p>
    <w:p w14:paraId="0C5C3D1E" w14:textId="6A95EFB5" w:rsidR="72574391" w:rsidRDefault="7062A53F" w:rsidP="050676BD">
      <w:pPr>
        <w:jc w:val="both"/>
        <w:rPr>
          <w:color w:val="000000" w:themeColor="text1"/>
        </w:rPr>
      </w:pPr>
      <w:r w:rsidRPr="4D27054C">
        <w:rPr>
          <w:color w:val="000000" w:themeColor="text1"/>
        </w:rPr>
        <w:t xml:space="preserve">This is a planned mid-term evaluation as per the Joint Programme agreement. The purpose of this </w:t>
      </w:r>
      <w:r w:rsidR="6802E364" w:rsidRPr="4D27054C">
        <w:rPr>
          <w:color w:val="000000" w:themeColor="text1"/>
        </w:rPr>
        <w:t>MTE</w:t>
      </w:r>
      <w:r w:rsidRPr="4D27054C">
        <w:rPr>
          <w:color w:val="000000" w:themeColor="text1"/>
        </w:rPr>
        <w:t xml:space="preserve"> is two</w:t>
      </w:r>
      <w:r w:rsidR="2584ECAD" w:rsidRPr="4D27054C">
        <w:rPr>
          <w:color w:val="000000" w:themeColor="text1"/>
        </w:rPr>
        <w:t>-</w:t>
      </w:r>
      <w:r w:rsidRPr="4D27054C">
        <w:rPr>
          <w:color w:val="000000" w:themeColor="text1"/>
        </w:rPr>
        <w:t xml:space="preserve">fold: a) accountability, to assess the overall performance of the programme and achievement against the planned results; b) learning, by studying the nature and processes of interventions to determine which strategies and elements are working well and in which context for replicating or scaling-up the successful interventions and innovations. Learning will also be focused on identifying what is not working so well and why in order to guide the JP’s mid-course correction and future programming to ensure that the programmatic results are met. At the same time, it will contribute towards building a body of evidence in the area of women’s economic empowerment and decent work for the national stakeholders, other UN organisations and sector players. </w:t>
      </w:r>
      <w:r w:rsidR="62BC4107" w:rsidRPr="4D27054C">
        <w:rPr>
          <w:color w:val="000000" w:themeColor="text1"/>
        </w:rPr>
        <w:t>Therefore, the evaluation is primarily formative in nature but will include summative elements within the scope.</w:t>
      </w:r>
    </w:p>
    <w:p w14:paraId="228988B0" w14:textId="0C2066B3" w:rsidR="001C2C3A" w:rsidRDefault="001C2C3A" w:rsidP="050676BD">
      <w:pPr>
        <w:jc w:val="both"/>
        <w:rPr>
          <w:color w:val="000000" w:themeColor="text1"/>
        </w:rPr>
      </w:pPr>
    </w:p>
    <w:p w14:paraId="1D141652" w14:textId="4ABA47D8" w:rsidR="1EFF99BD" w:rsidRPr="006B44CD" w:rsidRDefault="7546D97F" w:rsidP="516AEA60">
      <w:pPr>
        <w:jc w:val="both"/>
        <w:rPr>
          <w:color w:val="000000" w:themeColor="text1"/>
        </w:rPr>
      </w:pPr>
      <w:r w:rsidRPr="006B44CD">
        <w:rPr>
          <w:i/>
          <w:iCs/>
          <w:color w:val="000000" w:themeColor="text1"/>
        </w:rPr>
        <w:t>Specifically, the objectives of this evaluation are to:</w:t>
      </w:r>
    </w:p>
    <w:p w14:paraId="3FAA41A8" w14:textId="1B15A02F" w:rsidR="1EFF99BD" w:rsidRPr="006B44CD" w:rsidRDefault="1EFF99BD" w:rsidP="00DA41CC">
      <w:pPr>
        <w:pStyle w:val="ListParagraph"/>
        <w:numPr>
          <w:ilvl w:val="0"/>
          <w:numId w:val="13"/>
        </w:numPr>
        <w:jc w:val="both"/>
        <w:rPr>
          <w:rFonts w:ascii="Times New Roman" w:eastAsia="Times New Roman" w:hAnsi="Times New Roman" w:cs="Times New Roman"/>
          <w:color w:val="000000" w:themeColor="text1"/>
        </w:rPr>
      </w:pPr>
      <w:r w:rsidRPr="006B44CD">
        <w:rPr>
          <w:rFonts w:ascii="Times New Roman" w:eastAsia="Times New Roman" w:hAnsi="Times New Roman" w:cs="Times New Roman"/>
          <w:color w:val="000000" w:themeColor="text1"/>
        </w:rPr>
        <w:t xml:space="preserve">Analyze the </w:t>
      </w:r>
      <w:r w:rsidRPr="006B44CD">
        <w:rPr>
          <w:rFonts w:ascii="Times New Roman" w:eastAsia="Times New Roman" w:hAnsi="Times New Roman" w:cs="Times New Roman"/>
          <w:b/>
          <w:bCs/>
          <w:color w:val="000000" w:themeColor="text1"/>
        </w:rPr>
        <w:t>relevance</w:t>
      </w:r>
      <w:r w:rsidRPr="006B44CD">
        <w:rPr>
          <w:rFonts w:ascii="Times New Roman" w:eastAsia="Times New Roman" w:hAnsi="Times New Roman" w:cs="Times New Roman"/>
          <w:color w:val="000000" w:themeColor="text1"/>
        </w:rPr>
        <w:t xml:space="preserve"> of the programme objectives, intervention logic, strategy and approach at the national and regional level</w:t>
      </w:r>
      <w:r w:rsidRPr="006B44CD">
        <w:rPr>
          <w:rFonts w:ascii="Times New Roman" w:eastAsia="Times New Roman" w:hAnsi="Times New Roman" w:cs="Times New Roman"/>
          <w:color w:val="000000" w:themeColor="text1"/>
          <w:lang w:val="en-GB"/>
        </w:rPr>
        <w:t xml:space="preserve"> </w:t>
      </w:r>
      <w:r w:rsidRPr="006B44CD">
        <w:rPr>
          <w:rFonts w:ascii="Times New Roman" w:eastAsia="Times New Roman" w:hAnsi="Times New Roman" w:cs="Times New Roman"/>
          <w:color w:val="000000" w:themeColor="text1"/>
        </w:rPr>
        <w:t>as well as UN Women and ILO’s collaborative comparative advantage/added value in this area;</w:t>
      </w:r>
    </w:p>
    <w:p w14:paraId="52EBF409" w14:textId="71FDBACF" w:rsidR="1EFF99BD" w:rsidRPr="006B44CD" w:rsidRDefault="49D32058" w:rsidP="00DA41CC">
      <w:pPr>
        <w:pStyle w:val="ListParagraph"/>
        <w:numPr>
          <w:ilvl w:val="0"/>
          <w:numId w:val="13"/>
        </w:numPr>
        <w:jc w:val="both"/>
        <w:rPr>
          <w:rFonts w:ascii="Times New Roman" w:eastAsia="Times New Roman" w:hAnsi="Times New Roman" w:cs="Times New Roman"/>
          <w:color w:val="000000" w:themeColor="text1"/>
        </w:rPr>
      </w:pPr>
      <w:r w:rsidRPr="5DC39AF9">
        <w:rPr>
          <w:rFonts w:ascii="Times New Roman" w:eastAsia="Times New Roman" w:hAnsi="Times New Roman" w:cs="Times New Roman"/>
          <w:color w:val="000000" w:themeColor="text1"/>
        </w:rPr>
        <w:t xml:space="preserve">Assess the programme </w:t>
      </w:r>
      <w:r w:rsidRPr="5DC39AF9">
        <w:rPr>
          <w:rFonts w:ascii="Times New Roman" w:eastAsia="Times New Roman" w:hAnsi="Times New Roman" w:cs="Times New Roman"/>
          <w:b/>
          <w:bCs/>
          <w:color w:val="000000" w:themeColor="text1"/>
        </w:rPr>
        <w:t>effectiveness</w:t>
      </w:r>
      <w:r w:rsidRPr="5DC39AF9">
        <w:rPr>
          <w:rFonts w:ascii="Times New Roman" w:eastAsia="Times New Roman" w:hAnsi="Times New Roman" w:cs="Times New Roman"/>
          <w:color w:val="000000" w:themeColor="text1"/>
        </w:rPr>
        <w:t xml:space="preserve"> in achieving the planned programme outputs and outcomes; including unexpected results and </w:t>
      </w:r>
      <w:r w:rsidRPr="5DC39AF9">
        <w:rPr>
          <w:rFonts w:ascii="Times New Roman" w:eastAsia="Times New Roman" w:hAnsi="Times New Roman" w:cs="Times New Roman"/>
        </w:rPr>
        <w:t xml:space="preserve">factors </w:t>
      </w:r>
      <w:r w:rsidRPr="5DC39AF9">
        <w:rPr>
          <w:rFonts w:ascii="Times New Roman" w:eastAsia="Times New Roman" w:hAnsi="Times New Roman" w:cs="Times New Roman"/>
          <w:color w:val="000000" w:themeColor="text1"/>
        </w:rPr>
        <w:t>affecting programme implementation and results (positively and negatively);</w:t>
      </w:r>
    </w:p>
    <w:p w14:paraId="32E772C2" w14:textId="2C31081C" w:rsidR="1EFF99BD" w:rsidRPr="006B44CD" w:rsidRDefault="49D32058" w:rsidP="00DA41CC">
      <w:pPr>
        <w:pStyle w:val="ListParagraph"/>
        <w:numPr>
          <w:ilvl w:val="0"/>
          <w:numId w:val="13"/>
        </w:numPr>
        <w:jc w:val="both"/>
        <w:rPr>
          <w:rFonts w:ascii="Times New Roman" w:eastAsia="Times New Roman" w:hAnsi="Times New Roman" w:cs="Times New Roman"/>
          <w:color w:val="000000" w:themeColor="text1"/>
        </w:rPr>
      </w:pPr>
      <w:r w:rsidRPr="4D27054C">
        <w:rPr>
          <w:rFonts w:ascii="Times New Roman" w:eastAsia="Times New Roman" w:hAnsi="Times New Roman" w:cs="Times New Roman"/>
          <w:color w:val="000000" w:themeColor="text1"/>
        </w:rPr>
        <w:t xml:space="preserve">Assess the joint programme management </w:t>
      </w:r>
      <w:r w:rsidRPr="4D27054C">
        <w:rPr>
          <w:rFonts w:ascii="Times New Roman" w:eastAsia="Times New Roman" w:hAnsi="Times New Roman" w:cs="Times New Roman"/>
          <w:b/>
          <w:bCs/>
          <w:color w:val="000000" w:themeColor="text1"/>
        </w:rPr>
        <w:t>efficiency</w:t>
      </w:r>
      <w:r w:rsidRPr="4D27054C">
        <w:rPr>
          <w:rFonts w:ascii="Times New Roman" w:eastAsia="Times New Roman" w:hAnsi="Times New Roman" w:cs="Times New Roman"/>
          <w:color w:val="000000" w:themeColor="text1"/>
        </w:rPr>
        <w:t>, partnerships, governance and coordination mechanisms including the regional-level Joint Programme Strategic Coordination Committee (JPSCC) and the National Joint Programme Steering Committees (NJPSC) in progressing towards the achievement of the programme results;</w:t>
      </w:r>
    </w:p>
    <w:p w14:paraId="2C30C3F0" w14:textId="30902BDE" w:rsidR="1EFF99BD" w:rsidRPr="006B44CD" w:rsidRDefault="7546D97F" w:rsidP="00DA41CC">
      <w:pPr>
        <w:pStyle w:val="ListParagraph"/>
        <w:numPr>
          <w:ilvl w:val="0"/>
          <w:numId w:val="13"/>
        </w:numPr>
        <w:jc w:val="both"/>
        <w:rPr>
          <w:rFonts w:ascii="Times New Roman" w:eastAsia="Times New Roman" w:hAnsi="Times New Roman" w:cs="Times New Roman"/>
          <w:color w:val="000000" w:themeColor="text1"/>
        </w:rPr>
      </w:pPr>
      <w:r w:rsidRPr="006B44CD">
        <w:rPr>
          <w:rFonts w:ascii="Times New Roman" w:eastAsia="Times New Roman" w:hAnsi="Times New Roman" w:cs="Times New Roman"/>
          <w:color w:val="000000" w:themeColor="text1"/>
        </w:rPr>
        <w:t xml:space="preserve">Review the strategies and mechanisms for outcomes’ </w:t>
      </w:r>
      <w:r w:rsidRPr="006B44CD">
        <w:rPr>
          <w:rFonts w:ascii="Times New Roman" w:eastAsia="Times New Roman" w:hAnsi="Times New Roman" w:cs="Times New Roman"/>
          <w:b/>
          <w:bCs/>
          <w:color w:val="000000" w:themeColor="text1"/>
        </w:rPr>
        <w:t>sustainability</w:t>
      </w:r>
      <w:r w:rsidRPr="006B44CD">
        <w:rPr>
          <w:rFonts w:ascii="Times New Roman" w:eastAsia="Times New Roman" w:hAnsi="Times New Roman" w:cs="Times New Roman"/>
          <w:color w:val="000000" w:themeColor="text1"/>
        </w:rPr>
        <w:t xml:space="preserve"> in the target countries as well as at the regional level;</w:t>
      </w:r>
    </w:p>
    <w:p w14:paraId="5F8CF13F" w14:textId="0C8AD948" w:rsidR="1EFF99BD" w:rsidRPr="006B44CD" w:rsidRDefault="7546D97F" w:rsidP="00DA41CC">
      <w:pPr>
        <w:pStyle w:val="ListParagraph"/>
        <w:numPr>
          <w:ilvl w:val="0"/>
          <w:numId w:val="13"/>
        </w:numPr>
        <w:jc w:val="both"/>
        <w:rPr>
          <w:rFonts w:ascii="Times New Roman" w:eastAsia="Times New Roman" w:hAnsi="Times New Roman" w:cs="Times New Roman"/>
          <w:color w:val="000000" w:themeColor="text1"/>
        </w:rPr>
      </w:pPr>
      <w:r w:rsidRPr="006B44CD">
        <w:rPr>
          <w:rFonts w:ascii="Times New Roman" w:eastAsia="Times New Roman" w:hAnsi="Times New Roman" w:cs="Times New Roman"/>
          <w:color w:val="000000" w:themeColor="text1"/>
        </w:rPr>
        <w:t xml:space="preserve">Assess the extent to which the programme is informed of </w:t>
      </w:r>
      <w:r w:rsidRPr="006B44CD">
        <w:rPr>
          <w:rFonts w:ascii="Times New Roman" w:eastAsia="Times New Roman" w:hAnsi="Times New Roman" w:cs="Times New Roman"/>
          <w:b/>
          <w:bCs/>
          <w:color w:val="000000" w:themeColor="text1"/>
        </w:rPr>
        <w:t>gender, human rights, and disability inclusion approaches</w:t>
      </w:r>
      <w:r w:rsidRPr="006B44CD">
        <w:rPr>
          <w:rFonts w:ascii="Times New Roman" w:eastAsia="Times New Roman" w:hAnsi="Times New Roman" w:cs="Times New Roman"/>
          <w:color w:val="000000" w:themeColor="text1"/>
        </w:rPr>
        <w:t xml:space="preserve"> and is contributing towards gender transformative changes to advance and sustain GEWE;</w:t>
      </w:r>
    </w:p>
    <w:p w14:paraId="52FEFD33" w14:textId="6D65CF08" w:rsidR="1EFF99BD" w:rsidRPr="006B44CD" w:rsidRDefault="7546D97F" w:rsidP="00DA41CC">
      <w:pPr>
        <w:pStyle w:val="ListParagraph"/>
        <w:numPr>
          <w:ilvl w:val="0"/>
          <w:numId w:val="13"/>
        </w:numPr>
        <w:jc w:val="both"/>
        <w:rPr>
          <w:rFonts w:ascii="Times New Roman" w:eastAsia="Times New Roman" w:hAnsi="Times New Roman" w:cs="Times New Roman"/>
          <w:color w:val="000000" w:themeColor="text1"/>
        </w:rPr>
      </w:pPr>
      <w:r w:rsidRPr="006B44CD">
        <w:rPr>
          <w:rFonts w:ascii="Times New Roman" w:eastAsia="Times New Roman" w:hAnsi="Times New Roman" w:cs="Times New Roman"/>
          <w:color w:val="000000" w:themeColor="text1"/>
        </w:rPr>
        <w:t xml:space="preserve">Identify and document </w:t>
      </w:r>
      <w:r w:rsidRPr="006B44CD">
        <w:rPr>
          <w:rFonts w:ascii="Times New Roman" w:eastAsia="Times New Roman" w:hAnsi="Times New Roman" w:cs="Times New Roman"/>
          <w:b/>
          <w:bCs/>
          <w:color w:val="000000" w:themeColor="text1"/>
        </w:rPr>
        <w:t>lessons learned, good practices and innovations</w:t>
      </w:r>
      <w:r w:rsidRPr="006B44CD">
        <w:rPr>
          <w:rFonts w:ascii="Times New Roman" w:eastAsia="Times New Roman" w:hAnsi="Times New Roman" w:cs="Times New Roman"/>
          <w:color w:val="000000" w:themeColor="text1"/>
        </w:rPr>
        <w:t>, success stories and challenges within the programme, to inform future work; and</w:t>
      </w:r>
    </w:p>
    <w:p w14:paraId="5152DCAC" w14:textId="489BF583" w:rsidR="1EFF99BD" w:rsidRPr="006B44CD" w:rsidRDefault="7546D97F" w:rsidP="00DA41CC">
      <w:pPr>
        <w:pStyle w:val="ListParagraph"/>
        <w:numPr>
          <w:ilvl w:val="0"/>
          <w:numId w:val="13"/>
        </w:numPr>
        <w:jc w:val="both"/>
        <w:rPr>
          <w:rFonts w:ascii="Times New Roman" w:hAnsi="Times New Roman" w:cs="Times New Roman"/>
          <w:color w:val="000000" w:themeColor="text1"/>
        </w:rPr>
      </w:pPr>
      <w:r w:rsidRPr="006B44CD">
        <w:rPr>
          <w:rFonts w:ascii="Times New Roman" w:eastAsia="Times New Roman" w:hAnsi="Times New Roman" w:cs="Times New Roman"/>
          <w:color w:val="000000" w:themeColor="text1"/>
        </w:rPr>
        <w:t xml:space="preserve">Provide </w:t>
      </w:r>
      <w:r w:rsidRPr="006B44CD">
        <w:rPr>
          <w:rFonts w:ascii="Times New Roman" w:eastAsia="Times New Roman" w:hAnsi="Times New Roman" w:cs="Times New Roman"/>
          <w:b/>
          <w:bCs/>
          <w:color w:val="000000" w:themeColor="text1"/>
        </w:rPr>
        <w:t>strategic recommendations</w:t>
      </w:r>
      <w:r w:rsidRPr="006B44CD">
        <w:rPr>
          <w:rFonts w:ascii="Times New Roman" w:eastAsia="Times New Roman" w:hAnsi="Times New Roman" w:cs="Times New Roman"/>
          <w:color w:val="000000" w:themeColor="text1"/>
        </w:rPr>
        <w:t xml:space="preserve"> for the different key stakeholders </w:t>
      </w:r>
      <w:r w:rsidR="40C84AB8" w:rsidRPr="006B44CD">
        <w:rPr>
          <w:rFonts w:ascii="Times New Roman" w:eastAsia="Times New Roman" w:hAnsi="Times New Roman" w:cs="Times New Roman"/>
          <w:color w:val="000000" w:themeColor="text1"/>
        </w:rPr>
        <w:t>for future programming</w:t>
      </w:r>
      <w:r w:rsidRPr="006B44CD">
        <w:rPr>
          <w:rFonts w:ascii="Times New Roman" w:eastAsia="Times New Roman" w:hAnsi="Times New Roman" w:cs="Times New Roman"/>
          <w:color w:val="000000" w:themeColor="text1"/>
        </w:rPr>
        <w:t>.</w:t>
      </w:r>
    </w:p>
    <w:p w14:paraId="201F1EC0" w14:textId="5CFAE469" w:rsidR="76BCC05E" w:rsidRDefault="76BCC05E" w:rsidP="050676BD">
      <w:pPr>
        <w:jc w:val="both"/>
        <w:rPr>
          <w:color w:val="000000" w:themeColor="text1"/>
        </w:rPr>
      </w:pPr>
    </w:p>
    <w:p w14:paraId="1EB90418" w14:textId="77777777" w:rsidR="000B3B41" w:rsidRDefault="47B88617" w:rsidP="61B0FC88">
      <w:pPr>
        <w:jc w:val="both"/>
        <w:rPr>
          <w:color w:val="000000" w:themeColor="text1"/>
        </w:rPr>
      </w:pPr>
      <w:r w:rsidRPr="5DC39AF9">
        <w:rPr>
          <w:color w:val="000000" w:themeColor="text1"/>
        </w:rPr>
        <w:t>This is a Joint evaluation and the evaluation management and governance structure reflect the joint partnership between UN Women and ILO</w:t>
      </w:r>
      <w:r w:rsidR="4D27054C" w:rsidRPr="5DC39AF9">
        <w:t xml:space="preserve"> and a participatory approach vis-à-vis national stakeholders in each of the three countries of the JP implementation</w:t>
      </w:r>
      <w:r w:rsidRPr="5DC39AF9">
        <w:rPr>
          <w:color w:val="000000" w:themeColor="text1"/>
        </w:rPr>
        <w:t>. The evaluation will follow the UNEG Joint evaluation guidelines</w:t>
      </w:r>
      <w:r w:rsidR="3A7C0C64" w:rsidRPr="5DC39AF9">
        <w:rPr>
          <w:rStyle w:val="FootnoteReference"/>
          <w:color w:val="000000" w:themeColor="text1"/>
          <w:sz w:val="18"/>
          <w:szCs w:val="18"/>
        </w:rPr>
        <w:footnoteReference w:id="67"/>
      </w:r>
      <w:r w:rsidR="5DC39AF9" w:rsidRPr="5DC39AF9">
        <w:rPr>
          <w:color w:val="000000" w:themeColor="text1"/>
        </w:rPr>
        <w:t>.</w:t>
      </w:r>
    </w:p>
    <w:p w14:paraId="168168D1" w14:textId="53988F29" w:rsidR="1C4D52F1" w:rsidRPr="000B3B41" w:rsidRDefault="1C4D52F1" w:rsidP="61B0FC88">
      <w:pPr>
        <w:jc w:val="both"/>
        <w:rPr>
          <w:color w:val="000000" w:themeColor="text1"/>
        </w:rPr>
      </w:pPr>
      <w:r w:rsidRPr="006B44CD">
        <w:rPr>
          <w:b/>
          <w:bCs/>
        </w:rPr>
        <w:lastRenderedPageBreak/>
        <w:t>Scope and limitations</w:t>
      </w:r>
    </w:p>
    <w:p w14:paraId="516B0A8B" w14:textId="77777777" w:rsidR="00BC02C0" w:rsidRPr="006B44CD" w:rsidRDefault="00BC02C0" w:rsidP="61B0FC88">
      <w:pPr>
        <w:jc w:val="both"/>
      </w:pPr>
    </w:p>
    <w:p w14:paraId="47B84EC9" w14:textId="162F1BF5" w:rsidR="76BCC05E" w:rsidRDefault="46154945" w:rsidP="151D6FEB">
      <w:pPr>
        <w:jc w:val="both"/>
        <w:rPr>
          <w:color w:val="000000" w:themeColor="text1"/>
        </w:rPr>
      </w:pPr>
      <w:r w:rsidRPr="151D6FEB">
        <w:rPr>
          <w:color w:val="000000" w:themeColor="text1"/>
        </w:rPr>
        <w:t xml:space="preserve">The evaluation shall cover the programme period </w:t>
      </w:r>
      <w:r w:rsidRPr="151D6FEB">
        <w:rPr>
          <w:b/>
          <w:bCs/>
          <w:color w:val="000000" w:themeColor="text1"/>
        </w:rPr>
        <w:t xml:space="preserve">from January 2019 </w:t>
      </w:r>
      <w:r w:rsidRPr="151D6FEB">
        <w:rPr>
          <w:b/>
          <w:bCs/>
        </w:rPr>
        <w:t xml:space="preserve">to </w:t>
      </w:r>
      <w:r w:rsidR="151D6FEB" w:rsidRPr="151D6FEB">
        <w:rPr>
          <w:b/>
          <w:bCs/>
        </w:rPr>
        <w:t>December 2021</w:t>
      </w:r>
      <w:r w:rsidRPr="151D6FEB">
        <w:t xml:space="preserve"> </w:t>
      </w:r>
      <w:r w:rsidRPr="151D6FEB">
        <w:rPr>
          <w:color w:val="000000" w:themeColor="text1"/>
        </w:rPr>
        <w:t xml:space="preserve">and cover all aspects of the programme’s implementation. It will include three countries where activities are being implemented: Egypt, Palestine and Jordan. It will also include the regional initiatives taking place at the Arab States Regional level. The evaluation will be conducted between </w:t>
      </w:r>
      <w:r w:rsidR="72F3F843" w:rsidRPr="151D6FEB">
        <w:rPr>
          <w:color w:val="000000" w:themeColor="text1"/>
        </w:rPr>
        <w:t xml:space="preserve">November </w:t>
      </w:r>
      <w:r w:rsidRPr="151D6FEB">
        <w:rPr>
          <w:color w:val="000000" w:themeColor="text1"/>
        </w:rPr>
        <w:t xml:space="preserve">2021 and </w:t>
      </w:r>
      <w:r w:rsidR="5443B309" w:rsidRPr="151D6FEB">
        <w:rPr>
          <w:color w:val="000000" w:themeColor="text1"/>
        </w:rPr>
        <w:t>June</w:t>
      </w:r>
      <w:r w:rsidRPr="151D6FEB">
        <w:rPr>
          <w:color w:val="000000" w:themeColor="text1"/>
        </w:rPr>
        <w:t xml:space="preserve"> 2022. Impact assessment will not be included in the scope as this is mid-term evaluation, however, any evident and emerging causal pathways to impact will be documented.  </w:t>
      </w:r>
    </w:p>
    <w:p w14:paraId="214214BF" w14:textId="77777777" w:rsidR="00BC02C0" w:rsidRPr="006B44CD" w:rsidRDefault="00BC02C0" w:rsidP="050676BD">
      <w:pPr>
        <w:jc w:val="both"/>
        <w:rPr>
          <w:color w:val="000000" w:themeColor="text1"/>
        </w:rPr>
      </w:pPr>
    </w:p>
    <w:p w14:paraId="5CBE5FD7" w14:textId="5E3AF490" w:rsidR="00C2670D" w:rsidRPr="00617267" w:rsidRDefault="2440EB66" w:rsidP="00617267">
      <w:pPr>
        <w:jc w:val="both"/>
        <w:rPr>
          <w:color w:val="000000" w:themeColor="text1"/>
        </w:rPr>
      </w:pPr>
      <w:r w:rsidRPr="5DC39AF9">
        <w:rPr>
          <w:color w:val="000000" w:themeColor="text1"/>
        </w:rPr>
        <w:t>Limitations</w:t>
      </w:r>
      <w:r w:rsidR="1DBC55A1" w:rsidRPr="5DC39AF9">
        <w:rPr>
          <w:color w:val="000000" w:themeColor="text1"/>
        </w:rPr>
        <w:t xml:space="preserve"> and mitigation </w:t>
      </w:r>
      <w:r w:rsidR="56EE30D1" w:rsidRPr="5DC39AF9">
        <w:rPr>
          <w:color w:val="000000" w:themeColor="text1"/>
        </w:rPr>
        <w:t>strategies:</w:t>
      </w:r>
      <w:r w:rsidRPr="5DC39AF9">
        <w:rPr>
          <w:b/>
          <w:bCs/>
          <w:color w:val="000000" w:themeColor="text1"/>
        </w:rPr>
        <w:t xml:space="preserve"> </w:t>
      </w:r>
      <w:r w:rsidRPr="5DC39AF9">
        <w:rPr>
          <w:color w:val="000000" w:themeColor="text1"/>
        </w:rPr>
        <w:t>Due to pandemic related challenges, the evaluation will be conducted remotely using remote data collection tools and techniques unless the situation changes drastically. Therefore, the evaluation will not always be able to collect in-person data, particularly from the most marginalised and vulnerable groups and individuals and will not be able to validate data through direct observation.</w:t>
      </w:r>
      <w:r w:rsidR="356A91F7" w:rsidRPr="5DC39AF9">
        <w:rPr>
          <w:color w:val="000000" w:themeColor="text1"/>
        </w:rPr>
        <w:t xml:space="preserve"> </w:t>
      </w:r>
    </w:p>
    <w:p w14:paraId="07680C09" w14:textId="1CC0405B" w:rsidR="5DC39AF9" w:rsidRDefault="5DC39AF9" w:rsidP="5DC39AF9">
      <w:pPr>
        <w:jc w:val="both"/>
        <w:rPr>
          <w:color w:val="000000" w:themeColor="text1"/>
        </w:rPr>
      </w:pPr>
    </w:p>
    <w:p w14:paraId="5F8D13E7" w14:textId="70DD2523" w:rsidR="1F10F731" w:rsidRPr="00BC02C0" w:rsidRDefault="2C3BFEC6" w:rsidP="4D27054C">
      <w:pPr>
        <w:pStyle w:val="Heading1"/>
        <w:numPr>
          <w:ilvl w:val="0"/>
          <w:numId w:val="34"/>
        </w:numPr>
        <w:rPr>
          <w:rFonts w:ascii="Times New Roman" w:eastAsia="Times New Roman" w:hAnsi="Times New Roman" w:cs="Times New Roman"/>
          <w:b/>
          <w:bCs/>
          <w:color w:val="4472C4" w:themeColor="accent1"/>
          <w:sz w:val="24"/>
          <w:szCs w:val="24"/>
          <w:lang w:val="en-GB"/>
        </w:rPr>
      </w:pPr>
      <w:bookmarkStart w:id="32" w:name="_Toc97453930"/>
      <w:r w:rsidRPr="5DC39AF9">
        <w:rPr>
          <w:rFonts w:ascii="Times New Roman" w:eastAsia="Times New Roman" w:hAnsi="Times New Roman" w:cs="Times New Roman"/>
          <w:b/>
          <w:bCs/>
          <w:color w:val="4471C4"/>
          <w:sz w:val="24"/>
          <w:szCs w:val="24"/>
          <w:lang w:val="en-GB"/>
        </w:rPr>
        <w:t>Use and users of the evaluation</w:t>
      </w:r>
      <w:bookmarkEnd w:id="32"/>
    </w:p>
    <w:p w14:paraId="23A7BA7D" w14:textId="6818323A" w:rsidR="1F10F731" w:rsidRPr="006B44CD" w:rsidRDefault="2C3BFEC6" w:rsidP="050676BD">
      <w:pPr>
        <w:jc w:val="both"/>
        <w:rPr>
          <w:color w:val="000000" w:themeColor="text1"/>
        </w:rPr>
      </w:pPr>
      <w:r w:rsidRPr="4D27054C">
        <w:rPr>
          <w:color w:val="000000" w:themeColor="text1"/>
        </w:rPr>
        <w:t xml:space="preserve">This is a mid-term </w:t>
      </w:r>
      <w:r w:rsidR="29CC0D89" w:rsidRPr="4D27054C">
        <w:rPr>
          <w:color w:val="000000" w:themeColor="text1"/>
        </w:rPr>
        <w:t>evaluation,</w:t>
      </w:r>
      <w:r w:rsidRPr="4D27054C">
        <w:rPr>
          <w:color w:val="000000" w:themeColor="text1"/>
        </w:rPr>
        <w:t xml:space="preserve"> and the findings will be used for accountability</w:t>
      </w:r>
      <w:r w:rsidR="584DDFCC" w:rsidRPr="4D27054C">
        <w:rPr>
          <w:color w:val="000000" w:themeColor="text1"/>
        </w:rPr>
        <w:t>, validating the relevance of the JP (especially considering the circumstances brought by Covid 19 and other challenges.)</w:t>
      </w:r>
      <w:r w:rsidRPr="4D27054C">
        <w:rPr>
          <w:color w:val="000000" w:themeColor="text1"/>
        </w:rPr>
        <w:t xml:space="preserve"> and learning purposes to inform future programmatic decisions, including any course corrections and organi</w:t>
      </w:r>
      <w:r w:rsidR="66F3AD03" w:rsidRPr="4D27054C">
        <w:rPr>
          <w:color w:val="000000" w:themeColor="text1"/>
        </w:rPr>
        <w:t>s</w:t>
      </w:r>
      <w:r w:rsidRPr="4D27054C">
        <w:rPr>
          <w:color w:val="000000" w:themeColor="text1"/>
        </w:rPr>
        <w:t>ational learning.</w:t>
      </w:r>
    </w:p>
    <w:p w14:paraId="7143DCF1" w14:textId="77777777" w:rsidR="00BC02C0" w:rsidRDefault="00BC02C0" w:rsidP="050676BD">
      <w:pPr>
        <w:jc w:val="both"/>
        <w:rPr>
          <w:color w:val="000000" w:themeColor="text1"/>
        </w:rPr>
      </w:pPr>
    </w:p>
    <w:p w14:paraId="3CE923B5" w14:textId="2A0DD8B4" w:rsidR="1F10F731" w:rsidRPr="00BC02C0" w:rsidRDefault="2C3BFEC6" w:rsidP="050676BD">
      <w:pPr>
        <w:jc w:val="both"/>
        <w:rPr>
          <w:color w:val="000000" w:themeColor="text1"/>
        </w:rPr>
      </w:pPr>
      <w:r w:rsidRPr="4D27054C">
        <w:rPr>
          <w:color w:val="000000" w:themeColor="text1"/>
        </w:rPr>
        <w:t xml:space="preserve">Targeted users of the evaluation: users of the evaluation are UN Women and </w:t>
      </w:r>
      <w:r w:rsidR="56EE30D1" w:rsidRPr="4D27054C">
        <w:rPr>
          <w:color w:val="000000" w:themeColor="text1"/>
        </w:rPr>
        <w:t>ILO Senior</w:t>
      </w:r>
      <w:r w:rsidRPr="4D27054C">
        <w:rPr>
          <w:color w:val="000000" w:themeColor="text1"/>
        </w:rPr>
        <w:t xml:space="preserve"> Management at regional and country level, the JPSCC and NJPSC, JP programme staff, current and potential donors and key partners and stakeholders (government partners, CSOs, Trade Unions, Private sector players, UN organisations and other regional actors).</w:t>
      </w:r>
    </w:p>
    <w:p w14:paraId="79432364" w14:textId="1FB1B2EF" w:rsidR="002E78FA" w:rsidRPr="002E78FA" w:rsidRDefault="5B0066D4" w:rsidP="5DC39AF9">
      <w:pPr>
        <w:pStyle w:val="Standard"/>
        <w:spacing w:after="200" w:line="276" w:lineRule="auto"/>
        <w:jc w:val="both"/>
        <w:rPr>
          <w:rFonts w:ascii="Times New Roman" w:hAnsi="Times New Roman" w:cs="Times New Roman"/>
          <w:sz w:val="24"/>
          <w:szCs w:val="24"/>
        </w:rPr>
      </w:pPr>
      <w:r w:rsidRPr="5DC39AF9">
        <w:rPr>
          <w:rFonts w:ascii="Times New Roman" w:hAnsi="Times New Roman" w:cs="Times New Roman"/>
          <w:sz w:val="24"/>
          <w:szCs w:val="24"/>
        </w:rPr>
        <w:t>Evaluation results could also be used in different state party reporting exercises, including      the State party report to the Convention of Elimination of Discrimination against Women (CEDAW).</w:t>
      </w:r>
    </w:p>
    <w:p w14:paraId="64EF7DCF" w14:textId="5F722BFA" w:rsidR="00BC02C0" w:rsidRPr="002E78FA" w:rsidRDefault="2A11CEA7" w:rsidP="002E78FA">
      <w:pPr>
        <w:pStyle w:val="Heading1"/>
        <w:numPr>
          <w:ilvl w:val="0"/>
          <w:numId w:val="34"/>
        </w:numPr>
        <w:rPr>
          <w:rFonts w:ascii="Times New Roman" w:eastAsia="Times New Roman" w:hAnsi="Times New Roman" w:cs="Times New Roman"/>
          <w:color w:val="4471C4"/>
          <w:sz w:val="24"/>
          <w:szCs w:val="24"/>
        </w:rPr>
      </w:pPr>
      <w:bookmarkStart w:id="33" w:name="_Toc97453931"/>
      <w:r w:rsidRPr="5DC39AF9">
        <w:rPr>
          <w:rFonts w:ascii="Times New Roman" w:eastAsia="Times New Roman" w:hAnsi="Times New Roman" w:cs="Times New Roman"/>
          <w:b/>
          <w:bCs/>
          <w:color w:val="4471C4"/>
          <w:sz w:val="24"/>
          <w:szCs w:val="24"/>
        </w:rPr>
        <w:t>Evaluation criteria</w:t>
      </w:r>
      <w:r w:rsidR="64498FD6" w:rsidRPr="5DC39AF9">
        <w:rPr>
          <w:rFonts w:ascii="Times New Roman" w:eastAsia="Times New Roman" w:hAnsi="Times New Roman" w:cs="Times New Roman"/>
          <w:b/>
          <w:bCs/>
          <w:color w:val="4471C4"/>
          <w:sz w:val="24"/>
          <w:szCs w:val="24"/>
        </w:rPr>
        <w:t xml:space="preserve"> and</w:t>
      </w:r>
      <w:r w:rsidRPr="5DC39AF9">
        <w:rPr>
          <w:rFonts w:ascii="Times New Roman" w:eastAsia="Times New Roman" w:hAnsi="Times New Roman" w:cs="Times New Roman"/>
          <w:b/>
          <w:bCs/>
          <w:color w:val="4471C4"/>
          <w:sz w:val="24"/>
          <w:szCs w:val="24"/>
        </w:rPr>
        <w:t xml:space="preserve"> questions</w:t>
      </w:r>
      <w:bookmarkEnd w:id="33"/>
      <w:r w:rsidRPr="5DC39AF9">
        <w:rPr>
          <w:rFonts w:ascii="Times New Roman" w:eastAsia="Times New Roman" w:hAnsi="Times New Roman" w:cs="Times New Roman"/>
          <w:b/>
          <w:bCs/>
          <w:color w:val="4471C4"/>
          <w:sz w:val="24"/>
          <w:szCs w:val="24"/>
        </w:rPr>
        <w:t xml:space="preserve"> </w:t>
      </w:r>
      <w:bookmarkStart w:id="34" w:name="_Toc90824113"/>
      <w:bookmarkStart w:id="35" w:name="_Toc90825379"/>
      <w:bookmarkStart w:id="36" w:name="_Toc90825563"/>
      <w:bookmarkStart w:id="37" w:name="_Toc90825747"/>
      <w:bookmarkStart w:id="38" w:name="_Toc90825800"/>
      <w:bookmarkStart w:id="39" w:name="_Toc90825914"/>
    </w:p>
    <w:p w14:paraId="3E6F7BF3" w14:textId="77777777" w:rsidR="002D6FF3" w:rsidRDefault="002D6FF3" w:rsidP="050676BD">
      <w:pPr>
        <w:pStyle w:val="Heading2"/>
        <w:jc w:val="both"/>
        <w:rPr>
          <w:rFonts w:ascii="Times New Roman" w:eastAsia="Times New Roman" w:hAnsi="Times New Roman" w:cs="Times New Roman"/>
          <w:b/>
          <w:bCs/>
          <w:color w:val="4471C4"/>
          <w:sz w:val="22"/>
          <w:szCs w:val="22"/>
          <w:lang w:val="en-GB"/>
        </w:rPr>
      </w:pPr>
      <w:bookmarkStart w:id="40" w:name="_Toc97453932"/>
    </w:p>
    <w:p w14:paraId="48412C87" w14:textId="513A2377" w:rsidR="3B567EC4" w:rsidRPr="006B44CD" w:rsidRDefault="3B567EC4" w:rsidP="050676BD">
      <w:pPr>
        <w:pStyle w:val="Heading2"/>
        <w:jc w:val="both"/>
        <w:rPr>
          <w:rFonts w:ascii="Times New Roman" w:eastAsia="Times New Roman" w:hAnsi="Times New Roman" w:cs="Times New Roman"/>
          <w:color w:val="4472C4" w:themeColor="accent1"/>
          <w:sz w:val="22"/>
          <w:szCs w:val="22"/>
        </w:rPr>
      </w:pPr>
      <w:r w:rsidRPr="5DC39AF9">
        <w:rPr>
          <w:rFonts w:ascii="Times New Roman" w:eastAsia="Times New Roman" w:hAnsi="Times New Roman" w:cs="Times New Roman"/>
          <w:b/>
          <w:bCs/>
          <w:color w:val="4471C4"/>
          <w:sz w:val="22"/>
          <w:szCs w:val="22"/>
          <w:lang w:val="en-GB"/>
        </w:rPr>
        <w:t>Evaluation criteria:</w:t>
      </w:r>
      <w:bookmarkEnd w:id="34"/>
      <w:bookmarkEnd w:id="35"/>
      <w:bookmarkEnd w:id="36"/>
      <w:bookmarkEnd w:id="37"/>
      <w:bookmarkEnd w:id="38"/>
      <w:bookmarkEnd w:id="39"/>
      <w:bookmarkEnd w:id="40"/>
    </w:p>
    <w:p w14:paraId="6082BC28" w14:textId="409CE251" w:rsidR="3B567EC4" w:rsidRPr="006B44CD" w:rsidRDefault="6A3F7558" w:rsidP="4D27054C">
      <w:pPr>
        <w:jc w:val="both"/>
        <w:rPr>
          <w:color w:val="000000" w:themeColor="text1"/>
        </w:rPr>
      </w:pPr>
      <w:r w:rsidRPr="4D27054C">
        <w:rPr>
          <w:color w:val="000000" w:themeColor="text1"/>
        </w:rPr>
        <w:t xml:space="preserve">The evaluation will use the OECD/DAC evaluation criteria, including relevance, effectiveness, efficiency and sustainability and will answer evaluation questions related to these criteria.  The evaluation will follow and apply UNEG gender equality - related </w:t>
      </w:r>
      <w:hyperlink r:id="rId9">
        <w:r w:rsidRPr="4D27054C">
          <w:rPr>
            <w:rStyle w:val="Hyperlink"/>
          </w:rPr>
          <w:t>Norms</w:t>
        </w:r>
      </w:hyperlink>
      <w:r w:rsidRPr="4D27054C">
        <w:rPr>
          <w:color w:val="000000" w:themeColor="text1"/>
        </w:rPr>
        <w:t xml:space="preserve"> and </w:t>
      </w:r>
      <w:hyperlink r:id="rId10">
        <w:r w:rsidRPr="4D27054C">
          <w:rPr>
            <w:rStyle w:val="Hyperlink"/>
          </w:rPr>
          <w:t>Standards</w:t>
        </w:r>
      </w:hyperlink>
      <w:r w:rsidRPr="4D27054C">
        <w:rPr>
          <w:color w:val="000000" w:themeColor="text1"/>
        </w:rPr>
        <w:t xml:space="preserve"> for evaluation, and </w:t>
      </w:r>
      <w:hyperlink r:id="rId11">
        <w:r w:rsidRPr="4D27054C">
          <w:rPr>
            <w:rStyle w:val="Hyperlink"/>
          </w:rPr>
          <w:t>UNEG Guidance on Integrating Human Rights and Gender Equality in Evaluation</w:t>
        </w:r>
      </w:hyperlink>
      <w:r w:rsidRPr="4D27054C">
        <w:rPr>
          <w:color w:val="000000" w:themeColor="text1"/>
        </w:rPr>
        <w:t xml:space="preserve"> during all phases of the evaluation. Therefore, gender and human rights dimensions will be considered as standalone criterion as well as under each evaluation criteria. </w:t>
      </w:r>
    </w:p>
    <w:p w14:paraId="621DB196" w14:textId="77777777" w:rsidR="00334F7E" w:rsidRDefault="00334F7E" w:rsidP="4D27054C">
      <w:pPr>
        <w:jc w:val="both"/>
        <w:rPr>
          <w:color w:val="000000" w:themeColor="text1"/>
        </w:rPr>
      </w:pPr>
    </w:p>
    <w:p w14:paraId="2E927B25" w14:textId="01218BDF" w:rsidR="3B567EC4" w:rsidRPr="006B44CD" w:rsidRDefault="087F6912" w:rsidP="4D27054C">
      <w:pPr>
        <w:jc w:val="both"/>
      </w:pPr>
      <w:r w:rsidRPr="4D27054C">
        <w:rPr>
          <w:color w:val="000000" w:themeColor="text1"/>
        </w:rPr>
        <w:t xml:space="preserve">Furthermore, the evaluation is to be conducted in line with the </w:t>
      </w:r>
      <w:hyperlink r:id="rId12">
        <w:r w:rsidRPr="4D27054C">
          <w:rPr>
            <w:rStyle w:val="Hyperlink"/>
          </w:rPr>
          <w:t>UNEG Code of Conduct for Evaluations in the UN System</w:t>
        </w:r>
      </w:hyperlink>
      <w:r w:rsidRPr="4D27054C">
        <w:rPr>
          <w:color w:val="000000" w:themeColor="text1"/>
        </w:rPr>
        <w:t xml:space="preserve">,  UN Women evaluation guidelines on </w:t>
      </w:r>
      <w:hyperlink r:id="rId13">
        <w:r w:rsidRPr="4D27054C">
          <w:rPr>
            <w:rStyle w:val="Hyperlink"/>
          </w:rPr>
          <w:t>“How To Manage Gender-Responsive Evaluation” handbook</w:t>
        </w:r>
      </w:hyperlink>
      <w:r w:rsidRPr="4D27054C">
        <w:rPr>
          <w:color w:val="000000" w:themeColor="text1"/>
        </w:rPr>
        <w:t xml:space="preserve"> and </w:t>
      </w:r>
      <w:hyperlink r:id="rId14">
        <w:r w:rsidRPr="4D27054C">
          <w:rPr>
            <w:rStyle w:val="Hyperlink"/>
          </w:rPr>
          <w:t xml:space="preserve">Pocket tool for managing gender responsive evaluation during Covid 19. </w:t>
        </w:r>
      </w:hyperlink>
      <w:r w:rsidRPr="4D27054C">
        <w:rPr>
          <w:color w:val="000000" w:themeColor="text1"/>
        </w:rPr>
        <w:t xml:space="preserve"> The evaluation will be required to adhere to the UN Women </w:t>
      </w:r>
      <w:hyperlink r:id="rId15">
        <w:r w:rsidRPr="006B44CD">
          <w:rPr>
            <w:rStyle w:val="Hyperlink"/>
          </w:rPr>
          <w:t xml:space="preserve">GERAAS </w:t>
        </w:r>
        <w:r w:rsidRPr="006B44CD">
          <w:rPr>
            <w:rStyle w:val="Hyperlink"/>
          </w:rPr>
          <w:lastRenderedPageBreak/>
          <w:t>evaluation report quality checklist</w:t>
        </w:r>
      </w:hyperlink>
      <w:r w:rsidRPr="4D27054C">
        <w:rPr>
          <w:color w:val="000000" w:themeColor="text1"/>
        </w:rPr>
        <w:t xml:space="preserve">.  In addition to this, </w:t>
      </w:r>
      <w:r w:rsidR="05F26B1A" w:rsidRPr="4D27054C">
        <w:t>SIDA’s evaluation guidelines and standards will be taken into consideration</w:t>
      </w:r>
      <w:r w:rsidR="51FDC605" w:rsidRPr="5D01B36E">
        <w:rPr>
          <w:rStyle w:val="FootnoteReference"/>
        </w:rPr>
        <w:footnoteReference w:id="68"/>
      </w:r>
      <w:r w:rsidR="4D27054C" w:rsidRPr="4D27054C">
        <w:t>.</w:t>
      </w:r>
    </w:p>
    <w:p w14:paraId="22A91EC8" w14:textId="6F0C759E" w:rsidR="5E6B3188" w:rsidRPr="005A2936" w:rsidRDefault="5E6B3188" w:rsidP="00B56B9A">
      <w:pPr>
        <w:jc w:val="both"/>
        <w:rPr>
          <w:rFonts w:eastAsiaTheme="minorEastAsia"/>
          <w:b/>
          <w:bCs/>
          <w:color w:val="4472C4" w:themeColor="accent1"/>
        </w:rPr>
      </w:pPr>
      <w:r>
        <w:br/>
      </w:r>
      <w:r w:rsidR="56DB0B20" w:rsidRPr="006B44CD">
        <w:rPr>
          <w:rFonts w:eastAsiaTheme="minorEastAsia"/>
          <w:b/>
          <w:bCs/>
          <w:color w:val="4472C4" w:themeColor="accent1"/>
        </w:rPr>
        <w:t xml:space="preserve">Evaluation questions </w:t>
      </w:r>
    </w:p>
    <w:p w14:paraId="16CC8111" w14:textId="35CFC5C5" w:rsidR="050676BD" w:rsidRPr="006B44CD" w:rsidRDefault="0C7F13F9" w:rsidP="3BAF1B68">
      <w:pPr>
        <w:spacing w:after="200"/>
        <w:jc w:val="both"/>
        <w:rPr>
          <w:color w:val="000000" w:themeColor="text1"/>
        </w:rPr>
      </w:pPr>
      <w:r w:rsidRPr="4D27054C">
        <w:rPr>
          <w:rFonts w:eastAsia="Calibri"/>
        </w:rPr>
        <w:t xml:space="preserve">A set of </w:t>
      </w:r>
      <w:r w:rsidR="635A5E83" w:rsidRPr="4D27054C">
        <w:rPr>
          <w:rFonts w:eastAsia="Calibri"/>
        </w:rPr>
        <w:t xml:space="preserve">five key </w:t>
      </w:r>
      <w:r w:rsidRPr="4D27054C">
        <w:rPr>
          <w:rFonts w:eastAsia="Calibri"/>
        </w:rPr>
        <w:t xml:space="preserve">evaluation questions </w:t>
      </w:r>
      <w:r w:rsidR="330F3DA8" w:rsidRPr="4D27054C">
        <w:rPr>
          <w:rFonts w:eastAsia="Calibri"/>
        </w:rPr>
        <w:t>have</w:t>
      </w:r>
      <w:r w:rsidRPr="4D27054C">
        <w:rPr>
          <w:rFonts w:eastAsia="Calibri"/>
        </w:rPr>
        <w:t xml:space="preserve"> been drawn up with the purpose of drawing conclusions about the success of the joint programme in terms of its triple strategy approach: 1-Putting in place effective and Gender responsive labour laws and related policies; 2- Supporting a Gender responsive private sector that attracts, retains and promotes women; 3-Challenging Gender stereotypes about women and men’s responsibilities concerning unpaid care and household work.</w:t>
      </w:r>
      <w:r w:rsidR="20F9B9B0" w:rsidRPr="4D27054C">
        <w:rPr>
          <w:rFonts w:eastAsia="Calibri"/>
        </w:rPr>
        <w:t xml:space="preserve"> </w:t>
      </w:r>
      <w:r w:rsidR="2FC520E5" w:rsidRPr="4D27054C">
        <w:rPr>
          <w:color w:val="000000" w:themeColor="text1"/>
        </w:rPr>
        <w:t xml:space="preserve">Table </w:t>
      </w:r>
      <w:r w:rsidR="073D1369" w:rsidRPr="4D27054C">
        <w:rPr>
          <w:color w:val="000000" w:themeColor="text1"/>
        </w:rPr>
        <w:t>4 below</w:t>
      </w:r>
      <w:r w:rsidR="2FC520E5" w:rsidRPr="4D27054C">
        <w:rPr>
          <w:color w:val="000000" w:themeColor="text1"/>
        </w:rPr>
        <w:t xml:space="preserve"> provides the list of</w:t>
      </w:r>
      <w:r w:rsidR="6721CD30" w:rsidRPr="4D27054C">
        <w:rPr>
          <w:color w:val="000000" w:themeColor="text1"/>
        </w:rPr>
        <w:t xml:space="preserve"> key</w:t>
      </w:r>
      <w:r w:rsidR="2FC520E5" w:rsidRPr="4D27054C">
        <w:rPr>
          <w:color w:val="000000" w:themeColor="text1"/>
        </w:rPr>
        <w:t xml:space="preserve"> EQs. </w:t>
      </w:r>
    </w:p>
    <w:p w14:paraId="69671CF2" w14:textId="256E8197" w:rsidR="00C2670D" w:rsidRPr="006B44CD" w:rsidRDefault="4D6E17A7" w:rsidP="3BAF1B68">
      <w:pPr>
        <w:rPr>
          <w:rFonts w:eastAsia="Calibri"/>
          <w:color w:val="000000" w:themeColor="text1"/>
        </w:rPr>
      </w:pPr>
      <w:r w:rsidRPr="4D27054C">
        <w:rPr>
          <w:color w:val="000000" w:themeColor="text1"/>
        </w:rPr>
        <w:t>The E</w:t>
      </w:r>
      <w:r w:rsidR="359EADF1" w:rsidRPr="4D27054C">
        <w:rPr>
          <w:color w:val="000000" w:themeColor="text1"/>
        </w:rPr>
        <w:t xml:space="preserve">valuation </w:t>
      </w:r>
      <w:r w:rsidRPr="4D27054C">
        <w:rPr>
          <w:color w:val="000000" w:themeColor="text1"/>
        </w:rPr>
        <w:t>T</w:t>
      </w:r>
      <w:r w:rsidR="359EADF1" w:rsidRPr="4D27054C">
        <w:rPr>
          <w:color w:val="000000" w:themeColor="text1"/>
        </w:rPr>
        <w:t>eam (ET)</w:t>
      </w:r>
      <w:r w:rsidRPr="4D27054C">
        <w:rPr>
          <w:color w:val="000000" w:themeColor="text1"/>
        </w:rPr>
        <w:t xml:space="preserve"> has developed a detailed Evaluation Matrix (see Annex</w:t>
      </w:r>
      <w:r w:rsidR="4228685A" w:rsidRPr="4D27054C">
        <w:rPr>
          <w:color w:val="000000" w:themeColor="text1"/>
        </w:rPr>
        <w:t xml:space="preserve"> 1</w:t>
      </w:r>
      <w:r w:rsidR="7FB1355E" w:rsidRPr="4D27054C">
        <w:rPr>
          <w:color w:val="000000" w:themeColor="text1"/>
        </w:rPr>
        <w:t>)</w:t>
      </w:r>
      <w:r w:rsidRPr="4D27054C">
        <w:rPr>
          <w:color w:val="000000" w:themeColor="text1"/>
        </w:rPr>
        <w:t xml:space="preserve"> which includes sub-questions for each of the five main evaluation </w:t>
      </w:r>
      <w:r w:rsidR="3A456915" w:rsidRPr="4D27054C">
        <w:rPr>
          <w:color w:val="000000" w:themeColor="text1"/>
        </w:rPr>
        <w:t>questions.</w:t>
      </w:r>
      <w:r w:rsidRPr="4D27054C">
        <w:rPr>
          <w:color w:val="000000" w:themeColor="text1"/>
        </w:rPr>
        <w:t xml:space="preserve"> It also includes the sources and data collection techniques that will be used. Table 4 below provides the list of streamlined EQs. </w:t>
      </w:r>
    </w:p>
    <w:p w14:paraId="107302C0" w14:textId="72535886" w:rsidR="4D27054C" w:rsidRPr="00B56B9A" w:rsidRDefault="4D27054C" w:rsidP="4D27054C">
      <w:pPr>
        <w:rPr>
          <w:color w:val="000000" w:themeColor="text1"/>
          <w:sz w:val="16"/>
          <w:szCs w:val="16"/>
        </w:rPr>
      </w:pPr>
    </w:p>
    <w:p w14:paraId="4724DB75" w14:textId="3EA17171" w:rsidR="050676BD" w:rsidRPr="00B56B9A" w:rsidRDefault="024A23F8" w:rsidP="4D27054C">
      <w:pPr>
        <w:rPr>
          <w:rFonts w:eastAsia="Calibri"/>
          <w:b/>
          <w:bCs/>
          <w:color w:val="000000" w:themeColor="text1"/>
          <w:sz w:val="16"/>
          <w:szCs w:val="16"/>
        </w:rPr>
      </w:pPr>
      <w:r w:rsidRPr="00B56B9A">
        <w:rPr>
          <w:rFonts w:eastAsia="Calibri"/>
          <w:b/>
          <w:bCs/>
          <w:color w:val="000000" w:themeColor="text1"/>
          <w:sz w:val="16"/>
          <w:szCs w:val="16"/>
        </w:rPr>
        <w:t xml:space="preserve">Table 4: Key Evaluation Questions </w:t>
      </w:r>
    </w:p>
    <w:tbl>
      <w:tblPr>
        <w:tblW w:w="7930" w:type="dxa"/>
        <w:tblLayout w:type="fixed"/>
        <w:tblLook w:val="0000" w:firstRow="0" w:lastRow="0" w:firstColumn="0" w:lastColumn="0" w:noHBand="0" w:noVBand="0"/>
      </w:tblPr>
      <w:tblGrid>
        <w:gridCol w:w="1977"/>
        <w:gridCol w:w="5953"/>
      </w:tblGrid>
      <w:tr w:rsidR="516AEA60" w:rsidRPr="00B56B9A" w14:paraId="287479D3" w14:textId="77777777" w:rsidTr="00B56B9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588B46"/>
          </w:tcPr>
          <w:p w14:paraId="29142429" w14:textId="0C63ED78" w:rsidR="516AEA60" w:rsidRPr="00B56B9A" w:rsidRDefault="516AEA60" w:rsidP="516AEA60">
            <w:pPr>
              <w:pStyle w:val="Itadtabletext"/>
              <w:jc w:val="center"/>
              <w:rPr>
                <w:rFonts w:ascii="Times New Roman" w:eastAsia="Calibri" w:hAnsi="Times New Roman" w:cs="Times New Roman"/>
                <w:color w:val="FFFFFF" w:themeColor="background1"/>
                <w:sz w:val="15"/>
                <w:szCs w:val="15"/>
              </w:rPr>
            </w:pPr>
            <w:r w:rsidRPr="00B56B9A">
              <w:rPr>
                <w:rFonts w:ascii="Times New Roman" w:eastAsia="Calibri" w:hAnsi="Times New Roman" w:cs="Times New Roman"/>
                <w:color w:val="FFFFFF" w:themeColor="background1"/>
                <w:sz w:val="15"/>
                <w:szCs w:val="15"/>
                <w:lang w:val="en-GB"/>
              </w:rPr>
              <w:t>Evaluation criteria</w:t>
            </w:r>
          </w:p>
        </w:tc>
        <w:tc>
          <w:tcPr>
            <w:tcW w:w="5953" w:type="dxa"/>
            <w:tcBorders>
              <w:top w:val="single" w:sz="6" w:space="0" w:color="auto"/>
              <w:left w:val="single" w:sz="6" w:space="0" w:color="auto"/>
              <w:bottom w:val="single" w:sz="6" w:space="0" w:color="auto"/>
              <w:right w:val="single" w:sz="6" w:space="0" w:color="auto"/>
            </w:tcBorders>
            <w:shd w:val="clear" w:color="auto" w:fill="588B46"/>
          </w:tcPr>
          <w:p w14:paraId="319832FB" w14:textId="1A822DD4" w:rsidR="516AEA60" w:rsidRPr="00B56B9A" w:rsidRDefault="516AEA60" w:rsidP="516AEA60">
            <w:pPr>
              <w:pStyle w:val="Itadtabletext"/>
              <w:jc w:val="center"/>
              <w:rPr>
                <w:rFonts w:ascii="Times New Roman" w:eastAsia="Calibri" w:hAnsi="Times New Roman" w:cs="Times New Roman"/>
                <w:color w:val="FFFFFF" w:themeColor="background1"/>
                <w:sz w:val="15"/>
                <w:szCs w:val="15"/>
              </w:rPr>
            </w:pPr>
            <w:r w:rsidRPr="00B56B9A">
              <w:rPr>
                <w:rFonts w:ascii="Times New Roman" w:eastAsia="Calibri" w:hAnsi="Times New Roman" w:cs="Times New Roman"/>
                <w:color w:val="FFFFFF" w:themeColor="background1"/>
                <w:sz w:val="15"/>
                <w:szCs w:val="15"/>
                <w:lang w:val="en-GB"/>
              </w:rPr>
              <w:t>Key question</w:t>
            </w:r>
          </w:p>
        </w:tc>
      </w:tr>
      <w:tr w:rsidR="516AEA60" w:rsidRPr="00B56B9A" w14:paraId="5D71E364" w14:textId="77777777" w:rsidTr="00B56B9A">
        <w:trPr>
          <w:trHeight w:val="300"/>
        </w:trPr>
        <w:tc>
          <w:tcPr>
            <w:tcW w:w="1977" w:type="dxa"/>
            <w:tcBorders>
              <w:top w:val="single" w:sz="6" w:space="0" w:color="auto"/>
              <w:left w:val="single" w:sz="6" w:space="0" w:color="auto"/>
              <w:bottom w:val="single" w:sz="6" w:space="0" w:color="auto"/>
              <w:right w:val="single" w:sz="6" w:space="0" w:color="auto"/>
            </w:tcBorders>
            <w:vAlign w:val="center"/>
          </w:tcPr>
          <w:p w14:paraId="56C00233" w14:textId="1999F6F1" w:rsidR="516AEA60" w:rsidRPr="00B56B9A" w:rsidRDefault="516AEA60" w:rsidP="516AEA60">
            <w:pPr>
              <w:pStyle w:val="Itadtabletext"/>
              <w:rPr>
                <w:rFonts w:ascii="Times New Roman" w:eastAsia="Calibri" w:hAnsi="Times New Roman" w:cs="Times New Roman"/>
                <w:color w:val="000000" w:themeColor="text1"/>
                <w:sz w:val="15"/>
                <w:szCs w:val="15"/>
              </w:rPr>
            </w:pPr>
            <w:r w:rsidRPr="00B56B9A">
              <w:rPr>
                <w:rFonts w:ascii="Times New Roman" w:eastAsia="Calibri" w:hAnsi="Times New Roman" w:cs="Times New Roman"/>
                <w:color w:val="000000" w:themeColor="text1"/>
                <w:sz w:val="15"/>
                <w:szCs w:val="15"/>
                <w:lang w:val="en-GB"/>
              </w:rPr>
              <w:t xml:space="preserve">Relevance </w:t>
            </w:r>
          </w:p>
        </w:tc>
        <w:tc>
          <w:tcPr>
            <w:tcW w:w="5953" w:type="dxa"/>
            <w:tcBorders>
              <w:top w:val="single" w:sz="6" w:space="0" w:color="auto"/>
              <w:left w:val="single" w:sz="6" w:space="0" w:color="auto"/>
              <w:bottom w:val="single" w:sz="6" w:space="0" w:color="auto"/>
              <w:right w:val="single" w:sz="6" w:space="0" w:color="auto"/>
            </w:tcBorders>
          </w:tcPr>
          <w:p w14:paraId="11E7E87A" w14:textId="2F55DC08" w:rsidR="164D4D91" w:rsidRPr="00B56B9A" w:rsidRDefault="164D4D91" w:rsidP="516AEA60">
            <w:pPr>
              <w:pStyle w:val="Itadtabletext"/>
              <w:rPr>
                <w:rFonts w:ascii="Times New Roman" w:eastAsia="Calibri" w:hAnsi="Times New Roman" w:cs="Times New Roman"/>
                <w:color w:val="000000" w:themeColor="text1"/>
                <w:sz w:val="15"/>
                <w:szCs w:val="15"/>
                <w:lang w:val="en-GB"/>
              </w:rPr>
            </w:pPr>
            <w:r w:rsidRPr="00B56B9A">
              <w:rPr>
                <w:rFonts w:ascii="Times New Roman" w:eastAsia="Calibri" w:hAnsi="Times New Roman" w:cs="Times New Roman"/>
                <w:color w:val="000000" w:themeColor="text1"/>
                <w:sz w:val="15"/>
                <w:szCs w:val="15"/>
              </w:rPr>
              <w:t>EQ 1. To what extent are the JP interventions aligned with regional and country contexts, and addressing the priorities of stakeholders?</w:t>
            </w:r>
          </w:p>
        </w:tc>
      </w:tr>
      <w:tr w:rsidR="516AEA60" w:rsidRPr="00B56B9A" w14:paraId="633055E0" w14:textId="77777777" w:rsidTr="00B56B9A">
        <w:trPr>
          <w:trHeight w:val="300"/>
        </w:trPr>
        <w:tc>
          <w:tcPr>
            <w:tcW w:w="1977" w:type="dxa"/>
            <w:tcBorders>
              <w:top w:val="single" w:sz="6" w:space="0" w:color="auto"/>
              <w:left w:val="single" w:sz="6" w:space="0" w:color="auto"/>
              <w:bottom w:val="single" w:sz="6" w:space="0" w:color="auto"/>
              <w:right w:val="single" w:sz="6" w:space="0" w:color="auto"/>
            </w:tcBorders>
          </w:tcPr>
          <w:p w14:paraId="3117E631" w14:textId="291DDDB7" w:rsidR="516AEA60" w:rsidRPr="00B56B9A" w:rsidRDefault="516AEA60" w:rsidP="516AEA60">
            <w:pPr>
              <w:pStyle w:val="Itadtabletext"/>
              <w:rPr>
                <w:rFonts w:ascii="Times New Roman" w:eastAsia="Calibri" w:hAnsi="Times New Roman" w:cs="Times New Roman"/>
                <w:color w:val="000000" w:themeColor="text1"/>
                <w:sz w:val="15"/>
                <w:szCs w:val="15"/>
              </w:rPr>
            </w:pPr>
            <w:r w:rsidRPr="00B56B9A">
              <w:rPr>
                <w:rFonts w:ascii="Times New Roman" w:eastAsia="Calibri" w:hAnsi="Times New Roman" w:cs="Times New Roman"/>
                <w:color w:val="000000" w:themeColor="text1"/>
                <w:sz w:val="15"/>
                <w:szCs w:val="15"/>
                <w:lang w:val="en-GB"/>
              </w:rPr>
              <w:t>Effectiveness</w:t>
            </w:r>
          </w:p>
        </w:tc>
        <w:tc>
          <w:tcPr>
            <w:tcW w:w="5953" w:type="dxa"/>
            <w:tcBorders>
              <w:top w:val="single" w:sz="6" w:space="0" w:color="auto"/>
              <w:left w:val="single" w:sz="6" w:space="0" w:color="auto"/>
              <w:bottom w:val="single" w:sz="6" w:space="0" w:color="auto"/>
              <w:right w:val="single" w:sz="6" w:space="0" w:color="auto"/>
            </w:tcBorders>
          </w:tcPr>
          <w:p w14:paraId="6E66D846" w14:textId="07E1DC62" w:rsidR="741BC2AC" w:rsidRPr="00B56B9A" w:rsidRDefault="741BC2AC" w:rsidP="516AEA60">
            <w:pPr>
              <w:pStyle w:val="TABLEREGULAR"/>
              <w:tabs>
                <w:tab w:val="left" w:pos="1418"/>
              </w:tabs>
              <w:spacing w:before="60" w:after="60"/>
              <w:rPr>
                <w:rFonts w:ascii="Times New Roman" w:eastAsia="Calibri" w:hAnsi="Times New Roman" w:cs="Times New Roman"/>
                <w:sz w:val="15"/>
                <w:szCs w:val="15"/>
                <w:lang w:val="en-GB"/>
              </w:rPr>
            </w:pPr>
            <w:r w:rsidRPr="00B56B9A">
              <w:rPr>
                <w:rFonts w:ascii="Times New Roman" w:eastAsia="Calibri" w:hAnsi="Times New Roman" w:cs="Times New Roman"/>
                <w:sz w:val="15"/>
                <w:szCs w:val="15"/>
              </w:rPr>
              <w:t xml:space="preserve">EQ 2. To what extent has the JP contributed towards bringing forth gender responsive legal and policy changes, building a gender responsive </w:t>
            </w:r>
            <w:r w:rsidRPr="00B56B9A">
              <w:rPr>
                <w:rFonts w:ascii="Times New Roman" w:eastAsia="Calibri" w:hAnsi="Times New Roman" w:cs="Times New Roman"/>
                <w:sz w:val="15"/>
                <w:szCs w:val="15"/>
                <w:lang w:val="en-GB"/>
              </w:rPr>
              <w:t>private sector and changing gender stereotypes about women and men’s care roles and responsibilities</w:t>
            </w:r>
          </w:p>
        </w:tc>
      </w:tr>
      <w:tr w:rsidR="516AEA60" w:rsidRPr="00B56B9A" w14:paraId="7691F6F4" w14:textId="77777777" w:rsidTr="00B56B9A">
        <w:trPr>
          <w:trHeight w:val="420"/>
        </w:trPr>
        <w:tc>
          <w:tcPr>
            <w:tcW w:w="1977" w:type="dxa"/>
            <w:tcBorders>
              <w:top w:val="single" w:sz="6" w:space="0" w:color="auto"/>
              <w:left w:val="single" w:sz="6" w:space="0" w:color="auto"/>
              <w:bottom w:val="single" w:sz="6" w:space="0" w:color="auto"/>
              <w:right w:val="single" w:sz="6" w:space="0" w:color="auto"/>
            </w:tcBorders>
          </w:tcPr>
          <w:p w14:paraId="07DF3C0A" w14:textId="7A97314C" w:rsidR="516AEA60" w:rsidRPr="00B56B9A" w:rsidRDefault="516AEA60" w:rsidP="516AEA60">
            <w:pPr>
              <w:pStyle w:val="Itadtabletext"/>
              <w:rPr>
                <w:rFonts w:ascii="Times New Roman" w:eastAsia="Calibri" w:hAnsi="Times New Roman" w:cs="Times New Roman"/>
                <w:color w:val="000000" w:themeColor="text1"/>
                <w:sz w:val="15"/>
                <w:szCs w:val="15"/>
              </w:rPr>
            </w:pPr>
            <w:r w:rsidRPr="00B56B9A">
              <w:rPr>
                <w:rFonts w:ascii="Times New Roman" w:eastAsia="Calibri" w:hAnsi="Times New Roman" w:cs="Times New Roman"/>
                <w:color w:val="000000" w:themeColor="text1"/>
                <w:sz w:val="15"/>
                <w:szCs w:val="15"/>
                <w:lang w:val="en-GB"/>
              </w:rPr>
              <w:t>Efficiency</w:t>
            </w:r>
          </w:p>
        </w:tc>
        <w:tc>
          <w:tcPr>
            <w:tcW w:w="5953" w:type="dxa"/>
            <w:tcBorders>
              <w:top w:val="single" w:sz="6" w:space="0" w:color="auto"/>
              <w:left w:val="single" w:sz="6" w:space="0" w:color="auto"/>
              <w:bottom w:val="single" w:sz="6" w:space="0" w:color="auto"/>
              <w:right w:val="single" w:sz="6" w:space="0" w:color="auto"/>
            </w:tcBorders>
          </w:tcPr>
          <w:p w14:paraId="38370047" w14:textId="61BA721D" w:rsidR="4C58AEC9" w:rsidRPr="00B56B9A" w:rsidRDefault="77BAE1A3" w:rsidP="08E1794F">
            <w:pPr>
              <w:tabs>
                <w:tab w:val="left" w:pos="1418"/>
              </w:tabs>
              <w:spacing w:before="60" w:after="60"/>
              <w:rPr>
                <w:rFonts w:eastAsia="Calibri"/>
                <w:color w:val="000000" w:themeColor="text1"/>
                <w:sz w:val="15"/>
                <w:szCs w:val="15"/>
              </w:rPr>
            </w:pPr>
            <w:r w:rsidRPr="00B56B9A">
              <w:rPr>
                <w:rFonts w:eastAsia="Calibri"/>
                <w:color w:val="000000" w:themeColor="text1"/>
                <w:sz w:val="15"/>
                <w:szCs w:val="15"/>
              </w:rPr>
              <w:t xml:space="preserve">EQ 3. Has the JP been efficient in achieving the planned results in a cost-effective and timely way while optimally using </w:t>
            </w:r>
            <w:r w:rsidR="1A22473E" w:rsidRPr="00B56B9A">
              <w:rPr>
                <w:rFonts w:eastAsia="Calibri"/>
                <w:color w:val="000000" w:themeColor="text1"/>
                <w:sz w:val="15"/>
                <w:szCs w:val="15"/>
              </w:rPr>
              <w:t>its joint partnership</w:t>
            </w:r>
            <w:r w:rsidRPr="00B56B9A">
              <w:rPr>
                <w:rFonts w:eastAsia="Calibri"/>
                <w:color w:val="000000" w:themeColor="text1"/>
                <w:sz w:val="15"/>
                <w:szCs w:val="15"/>
              </w:rPr>
              <w:t xml:space="preserve"> to achieve </w:t>
            </w:r>
            <w:r w:rsidR="5D5E8128" w:rsidRPr="00B56B9A">
              <w:rPr>
                <w:rFonts w:eastAsia="Calibri"/>
                <w:color w:val="000000" w:themeColor="text1"/>
                <w:sz w:val="15"/>
                <w:szCs w:val="15"/>
              </w:rPr>
              <w:t xml:space="preserve">the </w:t>
            </w:r>
            <w:r w:rsidRPr="00B56B9A">
              <w:rPr>
                <w:rFonts w:eastAsia="Calibri"/>
                <w:color w:val="000000" w:themeColor="text1"/>
                <w:sz w:val="15"/>
                <w:szCs w:val="15"/>
              </w:rPr>
              <w:t>planned results?</w:t>
            </w:r>
          </w:p>
        </w:tc>
      </w:tr>
      <w:tr w:rsidR="516AEA60" w:rsidRPr="00B56B9A" w14:paraId="22386B6F" w14:textId="77777777" w:rsidTr="00B56B9A">
        <w:trPr>
          <w:trHeight w:val="360"/>
        </w:trPr>
        <w:tc>
          <w:tcPr>
            <w:tcW w:w="1977" w:type="dxa"/>
            <w:tcBorders>
              <w:top w:val="single" w:sz="6" w:space="0" w:color="auto"/>
              <w:left w:val="single" w:sz="6" w:space="0" w:color="auto"/>
              <w:bottom w:val="single" w:sz="6" w:space="0" w:color="auto"/>
              <w:right w:val="single" w:sz="6" w:space="0" w:color="auto"/>
            </w:tcBorders>
          </w:tcPr>
          <w:p w14:paraId="2DE51B7F" w14:textId="68133220" w:rsidR="516AEA60" w:rsidRPr="00B56B9A" w:rsidRDefault="516AEA60" w:rsidP="516AEA60">
            <w:pPr>
              <w:pStyle w:val="Itadtabletext"/>
              <w:rPr>
                <w:rFonts w:ascii="Times New Roman" w:eastAsia="Calibri" w:hAnsi="Times New Roman" w:cs="Times New Roman"/>
                <w:color w:val="000000" w:themeColor="text1"/>
                <w:sz w:val="15"/>
                <w:szCs w:val="15"/>
              </w:rPr>
            </w:pPr>
            <w:r w:rsidRPr="00B56B9A">
              <w:rPr>
                <w:rFonts w:ascii="Times New Roman" w:eastAsia="Calibri" w:hAnsi="Times New Roman" w:cs="Times New Roman"/>
                <w:color w:val="000000" w:themeColor="text1"/>
                <w:sz w:val="15"/>
                <w:szCs w:val="15"/>
                <w:lang w:val="en-GB"/>
              </w:rPr>
              <w:t>Gender and Human Rights</w:t>
            </w:r>
          </w:p>
        </w:tc>
        <w:tc>
          <w:tcPr>
            <w:tcW w:w="5953" w:type="dxa"/>
            <w:tcBorders>
              <w:top w:val="single" w:sz="6" w:space="0" w:color="auto"/>
              <w:left w:val="single" w:sz="6" w:space="0" w:color="auto"/>
              <w:bottom w:val="single" w:sz="6" w:space="0" w:color="auto"/>
              <w:right w:val="single" w:sz="6" w:space="0" w:color="auto"/>
            </w:tcBorders>
          </w:tcPr>
          <w:p w14:paraId="366F7D84" w14:textId="2E2B8E2F" w:rsidR="516AEA60" w:rsidRPr="00B56B9A" w:rsidRDefault="1FB9D1A4" w:rsidP="516AEA60">
            <w:pPr>
              <w:rPr>
                <w:rFonts w:eastAsia="Calibri"/>
                <w:color w:val="000000" w:themeColor="text1"/>
                <w:sz w:val="15"/>
                <w:szCs w:val="15"/>
              </w:rPr>
            </w:pPr>
            <w:r w:rsidRPr="00B56B9A">
              <w:rPr>
                <w:rFonts w:eastAsia="Calibri"/>
                <w:color w:val="000000" w:themeColor="text1"/>
                <w:sz w:val="15"/>
                <w:szCs w:val="15"/>
              </w:rPr>
              <w:t>EQ 4. To what extent is the JP gender transformative in nature and is adhering to the principle of leaving no one behind.?</w:t>
            </w:r>
          </w:p>
        </w:tc>
      </w:tr>
      <w:tr w:rsidR="516AEA60" w:rsidRPr="00B56B9A" w14:paraId="5A16241D" w14:textId="77777777" w:rsidTr="00B56B9A">
        <w:trPr>
          <w:trHeight w:val="300"/>
        </w:trPr>
        <w:tc>
          <w:tcPr>
            <w:tcW w:w="1977" w:type="dxa"/>
            <w:tcBorders>
              <w:top w:val="single" w:sz="6" w:space="0" w:color="auto"/>
              <w:left w:val="single" w:sz="6" w:space="0" w:color="auto"/>
              <w:bottom w:val="single" w:sz="6" w:space="0" w:color="auto"/>
              <w:right w:val="single" w:sz="6" w:space="0" w:color="auto"/>
            </w:tcBorders>
          </w:tcPr>
          <w:p w14:paraId="7CCC28BF" w14:textId="3B70258C" w:rsidR="516AEA60" w:rsidRPr="00B56B9A" w:rsidRDefault="516AEA60" w:rsidP="516AEA60">
            <w:pPr>
              <w:pStyle w:val="Itadtabletext"/>
              <w:rPr>
                <w:rFonts w:ascii="Times New Roman" w:eastAsia="Calibri" w:hAnsi="Times New Roman" w:cs="Times New Roman"/>
                <w:color w:val="000000" w:themeColor="text1"/>
                <w:sz w:val="15"/>
                <w:szCs w:val="15"/>
              </w:rPr>
            </w:pPr>
            <w:r w:rsidRPr="00B56B9A">
              <w:rPr>
                <w:rFonts w:ascii="Times New Roman" w:eastAsia="Calibri" w:hAnsi="Times New Roman" w:cs="Times New Roman"/>
                <w:color w:val="000000" w:themeColor="text1"/>
                <w:sz w:val="15"/>
                <w:szCs w:val="15"/>
                <w:lang w:val="en-GB"/>
              </w:rPr>
              <w:t>Sustainability</w:t>
            </w:r>
          </w:p>
        </w:tc>
        <w:tc>
          <w:tcPr>
            <w:tcW w:w="5953" w:type="dxa"/>
            <w:tcBorders>
              <w:top w:val="single" w:sz="6" w:space="0" w:color="auto"/>
              <w:left w:val="single" w:sz="6" w:space="0" w:color="auto"/>
              <w:bottom w:val="single" w:sz="6" w:space="0" w:color="auto"/>
              <w:right w:val="single" w:sz="6" w:space="0" w:color="auto"/>
            </w:tcBorders>
          </w:tcPr>
          <w:p w14:paraId="5125FBD3" w14:textId="3B806ABE" w:rsidR="161A17DA" w:rsidRPr="00B56B9A" w:rsidRDefault="161A17DA" w:rsidP="516AEA60">
            <w:pPr>
              <w:jc w:val="both"/>
              <w:rPr>
                <w:rFonts w:eastAsia="Calibri"/>
                <w:color w:val="000000" w:themeColor="text1"/>
                <w:sz w:val="15"/>
                <w:szCs w:val="15"/>
              </w:rPr>
            </w:pPr>
            <w:r w:rsidRPr="00B56B9A">
              <w:rPr>
                <w:rFonts w:eastAsia="Calibri"/>
                <w:color w:val="000000" w:themeColor="text1"/>
                <w:sz w:val="15"/>
                <w:szCs w:val="15"/>
              </w:rPr>
              <w:t>EQ 5. To what extent are national partners willing and capable to continue with the JP orientations and interventions in favour of women’s decent employment</w:t>
            </w:r>
          </w:p>
          <w:p w14:paraId="11026843" w14:textId="771649EF" w:rsidR="516AEA60" w:rsidRPr="00B56B9A" w:rsidRDefault="516AEA60" w:rsidP="516AEA60">
            <w:pPr>
              <w:pStyle w:val="Itadtabletext"/>
              <w:rPr>
                <w:rFonts w:ascii="Times New Roman" w:eastAsia="Calibri" w:hAnsi="Times New Roman" w:cs="Times New Roman"/>
                <w:color w:val="000000" w:themeColor="text1"/>
                <w:sz w:val="15"/>
                <w:szCs w:val="15"/>
                <w:lang w:val="en-GB"/>
              </w:rPr>
            </w:pPr>
          </w:p>
        </w:tc>
      </w:tr>
    </w:tbl>
    <w:p w14:paraId="78631B03" w14:textId="0948FB02" w:rsidR="5DC39AF9" w:rsidRPr="00B56B9A" w:rsidRDefault="5DC39AF9" w:rsidP="00B56B9A"/>
    <w:p w14:paraId="30D941D9" w14:textId="77777777" w:rsidR="002D6FF3" w:rsidRDefault="002D6FF3" w:rsidP="002D6FF3">
      <w:pPr>
        <w:pStyle w:val="ListParagraph"/>
        <w:ind w:left="360"/>
        <w:jc w:val="both"/>
        <w:rPr>
          <w:rFonts w:ascii="Times New Roman" w:eastAsia="Times New Roman" w:hAnsi="Times New Roman" w:cs="Times New Roman"/>
          <w:b/>
          <w:bCs/>
          <w:color w:val="4471C4"/>
          <w:sz w:val="24"/>
          <w:szCs w:val="24"/>
          <w:lang w:val="en-GB"/>
        </w:rPr>
      </w:pPr>
    </w:p>
    <w:p w14:paraId="707EF2B7" w14:textId="00FE24DF" w:rsidR="4A282FC1" w:rsidRDefault="4A282FC1" w:rsidP="5DC39AF9">
      <w:pPr>
        <w:pStyle w:val="ListParagraph"/>
        <w:numPr>
          <w:ilvl w:val="0"/>
          <w:numId w:val="34"/>
        </w:numPr>
        <w:jc w:val="both"/>
        <w:rPr>
          <w:rFonts w:ascii="Times New Roman" w:eastAsia="Times New Roman" w:hAnsi="Times New Roman" w:cs="Times New Roman"/>
          <w:b/>
          <w:bCs/>
          <w:color w:val="4471C4"/>
          <w:sz w:val="24"/>
          <w:szCs w:val="24"/>
          <w:lang w:val="en-GB"/>
        </w:rPr>
      </w:pPr>
      <w:r w:rsidRPr="5DC39AF9">
        <w:rPr>
          <w:rFonts w:ascii="Times New Roman" w:eastAsia="Times New Roman" w:hAnsi="Times New Roman" w:cs="Times New Roman"/>
          <w:b/>
          <w:bCs/>
          <w:color w:val="4471C4"/>
          <w:sz w:val="24"/>
          <w:szCs w:val="24"/>
          <w:lang w:val="en-GB"/>
        </w:rPr>
        <w:t xml:space="preserve">Evaluability Assessment of certain aspects of the JP Programme </w:t>
      </w:r>
    </w:p>
    <w:p w14:paraId="38D5A353" w14:textId="19BFFC93" w:rsidR="00B56B9A" w:rsidRDefault="6AF3E038" w:rsidP="00B56B9A">
      <w:pPr>
        <w:jc w:val="both"/>
      </w:pPr>
      <w:r w:rsidRPr="5CF61BAE">
        <w:t xml:space="preserve">At the time of drafting the inception report, the Evaluation team had access to reports covering the period of 2019 and 2020 as the 2021 </w:t>
      </w:r>
      <w:r w:rsidR="01E35A48" w:rsidRPr="5CF61BAE">
        <w:t xml:space="preserve">annual report covering Jan-Dec 2021 is due by June 2022. The JP team has indicated that the updated information will be made available to the evaluators as soon as it is complete and cleared by management. </w:t>
      </w:r>
    </w:p>
    <w:p w14:paraId="7549511A" w14:textId="77777777" w:rsidR="002D6FF3" w:rsidRPr="00B56B9A" w:rsidRDefault="002D6FF3" w:rsidP="00B56B9A">
      <w:pPr>
        <w:jc w:val="both"/>
        <w:rPr>
          <w:color w:val="000000" w:themeColor="text1"/>
        </w:rPr>
      </w:pPr>
    </w:p>
    <w:p w14:paraId="5184D10D" w14:textId="7CD79CE6" w:rsidR="003D4D7E" w:rsidRDefault="2B3E6204" w:rsidP="5DC39AF9">
      <w:pPr>
        <w:pStyle w:val="Heading1"/>
        <w:numPr>
          <w:ilvl w:val="0"/>
          <w:numId w:val="34"/>
        </w:numPr>
        <w:rPr>
          <w:rFonts w:ascii="Times New Roman" w:eastAsia="Times New Roman" w:hAnsi="Times New Roman" w:cs="Times New Roman"/>
          <w:b/>
          <w:bCs/>
          <w:color w:val="4471C4"/>
          <w:sz w:val="24"/>
          <w:szCs w:val="24"/>
        </w:rPr>
      </w:pPr>
      <w:bookmarkStart w:id="41" w:name="_Toc97453933"/>
      <w:r w:rsidRPr="5DC39AF9">
        <w:rPr>
          <w:rFonts w:ascii="Times New Roman" w:eastAsia="Times New Roman" w:hAnsi="Times New Roman" w:cs="Times New Roman"/>
          <w:b/>
          <w:bCs/>
          <w:color w:val="4471C4"/>
          <w:sz w:val="24"/>
          <w:szCs w:val="24"/>
        </w:rPr>
        <w:t>Evaluation Approach, design and Methodology</w:t>
      </w:r>
      <w:bookmarkEnd w:id="41"/>
    </w:p>
    <w:p w14:paraId="76AB0B67" w14:textId="77777777" w:rsidR="00B56B9A" w:rsidRPr="00B56B9A" w:rsidRDefault="00B56B9A" w:rsidP="00B56B9A">
      <w:pPr>
        <w:rPr>
          <w:lang w:val="en-US" w:eastAsia="en-US"/>
        </w:rPr>
      </w:pPr>
    </w:p>
    <w:p w14:paraId="6EB4D96C" w14:textId="5CA5CDD6" w:rsidR="00ED4831" w:rsidRPr="006B44CD" w:rsidRDefault="25B1DF78" w:rsidP="08E1794F">
      <w:pPr>
        <w:suppressAutoHyphens/>
        <w:autoSpaceDN w:val="0"/>
        <w:jc w:val="both"/>
        <w:textAlignment w:val="baseline"/>
        <w:rPr>
          <w:color w:val="000000" w:themeColor="text1"/>
        </w:rPr>
      </w:pPr>
      <w:r w:rsidRPr="006B44CD">
        <w:rPr>
          <w:color w:val="000000" w:themeColor="text1"/>
        </w:rPr>
        <w:t>Th</w:t>
      </w:r>
      <w:r w:rsidR="5B4F4AD8" w:rsidRPr="006B44CD">
        <w:rPr>
          <w:color w:val="000000" w:themeColor="text1"/>
        </w:rPr>
        <w:t>e MTE</w:t>
      </w:r>
      <w:r w:rsidRPr="006B44CD">
        <w:rPr>
          <w:color w:val="000000" w:themeColor="text1"/>
        </w:rPr>
        <w:t xml:space="preserve"> will be a </w:t>
      </w:r>
      <w:r w:rsidR="32048F1D">
        <w:rPr>
          <w:color w:val="000000" w:themeColor="text1"/>
        </w:rPr>
        <w:t>t</w:t>
      </w:r>
      <w:r w:rsidRPr="006B44CD">
        <w:rPr>
          <w:color w:val="000000" w:themeColor="text1"/>
        </w:rPr>
        <w:t>heory-based</w:t>
      </w:r>
      <w:r w:rsidR="008D63F5" w:rsidRPr="4D27054C">
        <w:rPr>
          <w:rStyle w:val="FootnoteReference"/>
          <w:color w:val="000000" w:themeColor="text1"/>
          <w:sz w:val="16"/>
          <w:szCs w:val="16"/>
        </w:rPr>
        <w:footnoteReference w:id="69"/>
      </w:r>
      <w:r w:rsidRPr="006B44CD">
        <w:rPr>
          <w:color w:val="000000" w:themeColor="text1"/>
        </w:rPr>
        <w:t>, utilization-focused</w:t>
      </w:r>
      <w:r w:rsidR="008D63F5" w:rsidRPr="4D27054C">
        <w:rPr>
          <w:rStyle w:val="FootnoteReference"/>
          <w:color w:val="000000" w:themeColor="text1"/>
          <w:sz w:val="16"/>
          <w:szCs w:val="16"/>
        </w:rPr>
        <w:footnoteReference w:id="70"/>
      </w:r>
      <w:r w:rsidRPr="006B44CD">
        <w:rPr>
          <w:color w:val="000000" w:themeColor="text1"/>
        </w:rPr>
        <w:t xml:space="preserve">evaluation that will apply the principles of gender and human-rights based to evaluation, ensuring that the principles of stakeholder </w:t>
      </w:r>
      <w:r w:rsidRPr="006B44CD">
        <w:rPr>
          <w:color w:val="000000" w:themeColor="text1"/>
        </w:rPr>
        <w:lastRenderedPageBreak/>
        <w:t xml:space="preserve">participation particularly the most vulnerable individuals and groups of stakeholders are involved across the evaluation cycle. </w:t>
      </w:r>
      <w:r w:rsidR="2B3E6204" w:rsidRPr="4D27054C">
        <w:rPr>
          <w:color w:val="000000" w:themeColor="text1"/>
        </w:rPr>
        <w:t>The MTE will apply a mixed</w:t>
      </w:r>
      <w:r w:rsidR="6B1CCE94" w:rsidRPr="4D27054C">
        <w:rPr>
          <w:color w:val="000000" w:themeColor="text1"/>
        </w:rPr>
        <w:t>-</w:t>
      </w:r>
      <w:r w:rsidR="2B3E6204" w:rsidRPr="4D27054C">
        <w:rPr>
          <w:color w:val="000000" w:themeColor="text1"/>
        </w:rPr>
        <w:t>method approach and use triangulation to validate the data through cross verification from multi data sources and test the consistency of findings obtained through different instruments.</w:t>
      </w:r>
    </w:p>
    <w:p w14:paraId="4786ABB9" w14:textId="77777777" w:rsidR="00ED4831" w:rsidRPr="006B44CD" w:rsidRDefault="00ED4831" w:rsidP="08E1794F">
      <w:pPr>
        <w:suppressAutoHyphens/>
        <w:autoSpaceDN w:val="0"/>
        <w:textAlignment w:val="baseline"/>
        <w:rPr>
          <w:color w:val="000000" w:themeColor="text1"/>
        </w:rPr>
      </w:pPr>
    </w:p>
    <w:p w14:paraId="6405F169" w14:textId="1476A277" w:rsidR="003D4D7E" w:rsidRDefault="1E2288DD" w:rsidP="497DC040">
      <w:pPr>
        <w:suppressAutoHyphens/>
        <w:autoSpaceDN w:val="0"/>
        <w:textAlignment w:val="baseline"/>
        <w:rPr>
          <w:color w:val="000000" w:themeColor="text1"/>
        </w:rPr>
      </w:pPr>
      <w:r w:rsidRPr="006B44CD">
        <w:rPr>
          <w:color w:val="000000" w:themeColor="text1"/>
        </w:rPr>
        <w:t xml:space="preserve">The MTE will be underpinned by a set of gender responsive evaluation (GRE) approaches, analytical frameworks and methods as described below: </w:t>
      </w:r>
    </w:p>
    <w:p w14:paraId="264362EF" w14:textId="77777777" w:rsidR="00ED4831" w:rsidRPr="006B44CD" w:rsidRDefault="00ED4831" w:rsidP="497DC040">
      <w:pPr>
        <w:suppressAutoHyphens/>
        <w:autoSpaceDN w:val="0"/>
        <w:textAlignment w:val="baseline"/>
        <w:rPr>
          <w:color w:val="000000" w:themeColor="text1"/>
        </w:rPr>
      </w:pPr>
    </w:p>
    <w:p w14:paraId="75DF7E57" w14:textId="35890AE8" w:rsidR="003D4D7E" w:rsidRPr="001A6A36" w:rsidRDefault="1E2288DD" w:rsidP="001A6A36">
      <w:pPr>
        <w:pStyle w:val="ListParagraph"/>
        <w:numPr>
          <w:ilvl w:val="0"/>
          <w:numId w:val="27"/>
        </w:numPr>
        <w:suppressAutoHyphens/>
        <w:autoSpaceDN w:val="0"/>
        <w:textAlignment w:val="baseline"/>
        <w:rPr>
          <w:rFonts w:ascii="Times New Roman" w:eastAsia="Times New Roman" w:hAnsi="Times New Roman" w:cs="Times New Roman"/>
          <w:color w:val="000000" w:themeColor="text1"/>
        </w:rPr>
      </w:pPr>
      <w:r w:rsidRPr="001A6A36">
        <w:rPr>
          <w:rFonts w:ascii="Times New Roman" w:eastAsia="Times New Roman" w:hAnsi="Times New Roman" w:cs="Times New Roman"/>
          <w:b/>
          <w:bCs/>
          <w:color w:val="000000" w:themeColor="text1"/>
        </w:rPr>
        <w:t xml:space="preserve">Contribution Analysis: </w:t>
      </w:r>
    </w:p>
    <w:p w14:paraId="623C8B31" w14:textId="46F965DE" w:rsidR="003D4D7E" w:rsidRPr="006B44CD" w:rsidRDefault="2B3E6204" w:rsidP="497DC040">
      <w:pPr>
        <w:suppressAutoHyphens/>
        <w:autoSpaceDN w:val="0"/>
        <w:spacing w:line="253" w:lineRule="exact"/>
        <w:jc w:val="both"/>
        <w:textAlignment w:val="baseline"/>
        <w:rPr>
          <w:color w:val="000000" w:themeColor="text1"/>
        </w:rPr>
      </w:pPr>
      <w:r w:rsidRPr="4D27054C">
        <w:rPr>
          <w:color w:val="000000" w:themeColor="text1"/>
        </w:rPr>
        <w:t>It will use contribution</w:t>
      </w:r>
      <w:r w:rsidRPr="4D27054C">
        <w:rPr>
          <w:b/>
          <w:bCs/>
          <w:color w:val="000000" w:themeColor="text1"/>
        </w:rPr>
        <w:t xml:space="preserve"> </w:t>
      </w:r>
      <w:r w:rsidRPr="4D27054C">
        <w:rPr>
          <w:color w:val="000000" w:themeColor="text1"/>
        </w:rPr>
        <w:t xml:space="preserve">analysis in combination with other relevant gender, and social norms change analytical frameworks to assess the extent to which the JP regional programme interventions, taken as a whole, have contributed (or not as the case may be) to the achievement of the expected results and outcomes. </w:t>
      </w:r>
      <w:r w:rsidR="1B9B9531" w:rsidRPr="4D27054C">
        <w:rPr>
          <w:color w:val="000000" w:themeColor="text1"/>
        </w:rPr>
        <w:t>The enlisted</w:t>
      </w:r>
      <w:r w:rsidRPr="4D27054C">
        <w:rPr>
          <w:color w:val="000000" w:themeColor="text1"/>
        </w:rPr>
        <w:t xml:space="preserve"> six steps will be followed to conduct the contribution analysis:</w:t>
      </w:r>
    </w:p>
    <w:p w14:paraId="344142B5" w14:textId="3C816640" w:rsidR="003D4D7E" w:rsidRPr="006B44CD" w:rsidRDefault="2B3E6204" w:rsidP="497DC040">
      <w:pPr>
        <w:suppressAutoHyphens/>
        <w:autoSpaceDN w:val="0"/>
        <w:spacing w:line="253" w:lineRule="exact"/>
        <w:jc w:val="both"/>
        <w:textAlignment w:val="baseline"/>
        <w:rPr>
          <w:color w:val="000000" w:themeColor="text1"/>
        </w:rPr>
      </w:pPr>
      <w:r w:rsidRPr="4D27054C">
        <w:rPr>
          <w:b/>
          <w:bCs/>
          <w:color w:val="000000" w:themeColor="text1"/>
        </w:rPr>
        <w:t>Steps 1 and 2</w:t>
      </w:r>
      <w:r w:rsidRPr="4D27054C">
        <w:rPr>
          <w:color w:val="000000" w:themeColor="text1"/>
        </w:rPr>
        <w:t xml:space="preserve">: Setting out problems to be addressed and elaborate the ToC. Clarify the EQs for the JP </w:t>
      </w:r>
    </w:p>
    <w:p w14:paraId="6F2C97E7" w14:textId="46F750E7" w:rsidR="003D4D7E" w:rsidRPr="006B44CD" w:rsidRDefault="1E2288DD" w:rsidP="497DC040">
      <w:pPr>
        <w:suppressAutoHyphens/>
        <w:autoSpaceDN w:val="0"/>
        <w:spacing w:line="253" w:lineRule="exact"/>
        <w:jc w:val="both"/>
        <w:textAlignment w:val="baseline"/>
        <w:rPr>
          <w:color w:val="000000" w:themeColor="text1"/>
        </w:rPr>
      </w:pPr>
      <w:r w:rsidRPr="006B44CD">
        <w:rPr>
          <w:b/>
          <w:bCs/>
          <w:color w:val="000000" w:themeColor="text1"/>
        </w:rPr>
        <w:t>Step 3</w:t>
      </w:r>
      <w:r w:rsidRPr="006B44CD">
        <w:rPr>
          <w:color w:val="000000" w:themeColor="text1"/>
        </w:rPr>
        <w:t xml:space="preserve">: Gather existing programme data and evidence from previous evaluations and relevant research. This will be the main focus of the desk reviews.  </w:t>
      </w:r>
    </w:p>
    <w:p w14:paraId="2202B590" w14:textId="582E4F09" w:rsidR="003D4D7E" w:rsidRPr="006B44CD" w:rsidRDefault="1E2288DD" w:rsidP="497DC040">
      <w:pPr>
        <w:suppressAutoHyphens/>
        <w:autoSpaceDN w:val="0"/>
        <w:spacing w:line="253" w:lineRule="exact"/>
        <w:jc w:val="both"/>
        <w:textAlignment w:val="baseline"/>
        <w:rPr>
          <w:color w:val="000000" w:themeColor="text1"/>
        </w:rPr>
      </w:pPr>
      <w:r w:rsidRPr="006B44CD">
        <w:rPr>
          <w:b/>
          <w:bCs/>
          <w:color w:val="000000" w:themeColor="text1"/>
        </w:rPr>
        <w:t>Step 4</w:t>
      </w:r>
      <w:r w:rsidRPr="006B44CD">
        <w:rPr>
          <w:color w:val="000000" w:themeColor="text1"/>
        </w:rPr>
        <w:t xml:space="preserve">: Use existing evidence to ‘assemble the contribution story’ – evidence on the results, assumptions and influence of other factors.  </w:t>
      </w:r>
    </w:p>
    <w:p w14:paraId="744EE4C6" w14:textId="4F107912" w:rsidR="003D4D7E" w:rsidRPr="006B44CD" w:rsidRDefault="1E2288DD" w:rsidP="497DC040">
      <w:pPr>
        <w:suppressAutoHyphens/>
        <w:autoSpaceDN w:val="0"/>
        <w:spacing w:line="253" w:lineRule="exact"/>
        <w:jc w:val="both"/>
        <w:textAlignment w:val="baseline"/>
        <w:rPr>
          <w:color w:val="000000" w:themeColor="text1"/>
        </w:rPr>
      </w:pPr>
      <w:r w:rsidRPr="006B44CD">
        <w:rPr>
          <w:b/>
          <w:bCs/>
          <w:color w:val="000000" w:themeColor="text1"/>
        </w:rPr>
        <w:t>Step 5</w:t>
      </w:r>
      <w:r w:rsidRPr="006B44CD">
        <w:rPr>
          <w:color w:val="000000" w:themeColor="text1"/>
        </w:rPr>
        <w:t xml:space="preserve">: Determine what additional evidence is needed to strengthen the contribution story, and gather new evidence through key informant interviews, focus group discussions and surveys.  </w:t>
      </w:r>
    </w:p>
    <w:p w14:paraId="46A2B8A0" w14:textId="0F8BD0D0" w:rsidR="003D4D7E" w:rsidRDefault="1E2288DD" w:rsidP="497DC040">
      <w:pPr>
        <w:suppressAutoHyphens/>
        <w:autoSpaceDN w:val="0"/>
        <w:spacing w:line="253" w:lineRule="exact"/>
        <w:jc w:val="both"/>
        <w:textAlignment w:val="baseline"/>
        <w:rPr>
          <w:color w:val="000000" w:themeColor="text1"/>
        </w:rPr>
      </w:pPr>
      <w:r w:rsidRPr="006B44CD">
        <w:rPr>
          <w:b/>
          <w:bCs/>
          <w:color w:val="000000" w:themeColor="text1"/>
        </w:rPr>
        <w:t>Step 6</w:t>
      </w:r>
      <w:r w:rsidRPr="006B44CD">
        <w:rPr>
          <w:color w:val="000000" w:themeColor="text1"/>
        </w:rPr>
        <w:t>: Use new evidence to revise the contribution story and reassess its strengths and weaknesses, along with the relevance of other factors.</w:t>
      </w:r>
    </w:p>
    <w:p w14:paraId="01D68080" w14:textId="77777777" w:rsidR="003235F3" w:rsidRPr="006B44CD" w:rsidRDefault="003235F3" w:rsidP="497DC040">
      <w:pPr>
        <w:suppressAutoHyphens/>
        <w:autoSpaceDN w:val="0"/>
        <w:spacing w:line="253" w:lineRule="exact"/>
        <w:jc w:val="both"/>
        <w:textAlignment w:val="baseline"/>
        <w:rPr>
          <w:color w:val="000000" w:themeColor="text1"/>
        </w:rPr>
      </w:pPr>
    </w:p>
    <w:p w14:paraId="0A20C354" w14:textId="2465165C" w:rsidR="003235F3" w:rsidRPr="003235F3" w:rsidRDefault="25B1DF78" w:rsidP="001A6A36">
      <w:pPr>
        <w:pStyle w:val="ListParagraph"/>
        <w:numPr>
          <w:ilvl w:val="0"/>
          <w:numId w:val="27"/>
        </w:numPr>
        <w:suppressAutoHyphens/>
        <w:autoSpaceDN w:val="0"/>
        <w:jc w:val="both"/>
        <w:textAlignment w:val="baseline"/>
        <w:rPr>
          <w:rFonts w:ascii="Times New Roman" w:eastAsia="Times New Roman" w:hAnsi="Times New Roman" w:cs="Times New Roman"/>
          <w:color w:val="000000" w:themeColor="text1"/>
          <w:lang w:val="en-GB"/>
        </w:rPr>
      </w:pPr>
      <w:r w:rsidRPr="001A6A36">
        <w:rPr>
          <w:rFonts w:ascii="Times New Roman" w:eastAsia="Times New Roman" w:hAnsi="Times New Roman" w:cs="Times New Roman"/>
          <w:b/>
          <w:bCs/>
          <w:color w:val="000000" w:themeColor="text1"/>
        </w:rPr>
        <w:t>Socio Ecological Framework</w:t>
      </w:r>
      <w:r w:rsidR="003235F3" w:rsidRPr="4D27054C">
        <w:rPr>
          <w:rStyle w:val="FootnoteReference"/>
          <w:rFonts w:ascii="Times New Roman" w:eastAsia="Times New Roman" w:hAnsi="Times New Roman" w:cs="Times New Roman"/>
          <w:b/>
          <w:bCs/>
          <w:color w:val="000000" w:themeColor="text1"/>
          <w:sz w:val="16"/>
          <w:szCs w:val="16"/>
        </w:rPr>
        <w:footnoteReference w:id="71"/>
      </w:r>
      <w:r w:rsidRPr="001A6A36">
        <w:rPr>
          <w:rFonts w:ascii="Times New Roman" w:eastAsia="Times New Roman" w:hAnsi="Times New Roman" w:cs="Times New Roman"/>
          <w:b/>
          <w:bCs/>
          <w:color w:val="000000" w:themeColor="text1"/>
        </w:rPr>
        <w:t>:</w:t>
      </w:r>
      <w:r w:rsidRPr="001A6A36">
        <w:rPr>
          <w:rFonts w:ascii="Times New Roman" w:eastAsia="Times New Roman" w:hAnsi="Times New Roman" w:cs="Times New Roman"/>
          <w:color w:val="000000" w:themeColor="text1"/>
        </w:rPr>
        <w:t xml:space="preserve"> </w:t>
      </w:r>
    </w:p>
    <w:p w14:paraId="56B317A7" w14:textId="1AE16555" w:rsidR="009C0559" w:rsidRDefault="2B3E6204" w:rsidP="4D27054C">
      <w:pPr>
        <w:suppressAutoHyphens/>
        <w:autoSpaceDN w:val="0"/>
        <w:jc w:val="both"/>
        <w:textAlignment w:val="baseline"/>
        <w:rPr>
          <w:color w:val="000000" w:themeColor="text1"/>
        </w:rPr>
      </w:pPr>
      <w:r w:rsidRPr="4D27054C">
        <w:rPr>
          <w:color w:val="000000" w:themeColor="text1"/>
        </w:rPr>
        <w:t xml:space="preserve">Overall, the Socio-Ecological Framework will underpin the JP </w:t>
      </w:r>
      <w:r w:rsidR="00BA4B75" w:rsidRPr="4D27054C">
        <w:rPr>
          <w:color w:val="000000" w:themeColor="text1"/>
        </w:rPr>
        <w:t xml:space="preserve">mid-term </w:t>
      </w:r>
      <w:r w:rsidRPr="4D27054C">
        <w:rPr>
          <w:color w:val="000000" w:themeColor="text1"/>
        </w:rPr>
        <w:t>evaluation. The framework recognizes that behavior change can be achieved through activities that target four levels: Individual, interpersonal (family/peer), community, and social/structural- see figure below. The framework is effective in designing and assessing programmes like the JP that combines a set of interventions at various levels to bring transformative changes with regard to gender, productive and reproductive roles and responsibilities: at the individual level of boys and girls to challenge the gender stereotypical roles and norms associated with care and reproductive roles of women, at the community level, at the systems level such as education and labor institutions.</w:t>
      </w:r>
    </w:p>
    <w:p w14:paraId="53F92B8B" w14:textId="19086025" w:rsidR="00B56B9A" w:rsidRDefault="00B56B9A" w:rsidP="4D27054C">
      <w:pPr>
        <w:suppressAutoHyphens/>
        <w:autoSpaceDN w:val="0"/>
        <w:jc w:val="both"/>
        <w:textAlignment w:val="baseline"/>
        <w:rPr>
          <w:color w:val="000000" w:themeColor="text1"/>
        </w:rPr>
      </w:pPr>
    </w:p>
    <w:p w14:paraId="715D2D73" w14:textId="1EA595F5" w:rsidR="00B56B9A" w:rsidRDefault="00B56B9A" w:rsidP="4D27054C">
      <w:pPr>
        <w:suppressAutoHyphens/>
        <w:autoSpaceDN w:val="0"/>
        <w:jc w:val="both"/>
        <w:textAlignment w:val="baseline"/>
        <w:rPr>
          <w:color w:val="000000" w:themeColor="text1"/>
        </w:rPr>
      </w:pPr>
    </w:p>
    <w:p w14:paraId="5176912C" w14:textId="4CAC3587" w:rsidR="00B56B9A" w:rsidRDefault="00B56B9A" w:rsidP="4D27054C">
      <w:pPr>
        <w:suppressAutoHyphens/>
        <w:autoSpaceDN w:val="0"/>
        <w:jc w:val="both"/>
        <w:textAlignment w:val="baseline"/>
        <w:rPr>
          <w:color w:val="000000" w:themeColor="text1"/>
        </w:rPr>
      </w:pPr>
    </w:p>
    <w:p w14:paraId="058E4F24" w14:textId="3F7EDC6A" w:rsidR="00B56B9A" w:rsidRDefault="00B56B9A" w:rsidP="4D27054C">
      <w:pPr>
        <w:suppressAutoHyphens/>
        <w:autoSpaceDN w:val="0"/>
        <w:jc w:val="both"/>
        <w:textAlignment w:val="baseline"/>
        <w:rPr>
          <w:color w:val="000000" w:themeColor="text1"/>
        </w:rPr>
      </w:pPr>
    </w:p>
    <w:p w14:paraId="00DA9B2A" w14:textId="5D7F46C4" w:rsidR="00B56B9A" w:rsidRDefault="00B56B9A" w:rsidP="4D27054C">
      <w:pPr>
        <w:suppressAutoHyphens/>
        <w:autoSpaceDN w:val="0"/>
        <w:jc w:val="both"/>
        <w:textAlignment w:val="baseline"/>
        <w:rPr>
          <w:color w:val="000000" w:themeColor="text1"/>
        </w:rPr>
      </w:pPr>
    </w:p>
    <w:p w14:paraId="76CAA2FF" w14:textId="56DBF51D" w:rsidR="00B56B9A" w:rsidRDefault="00B56B9A" w:rsidP="4D27054C">
      <w:pPr>
        <w:suppressAutoHyphens/>
        <w:autoSpaceDN w:val="0"/>
        <w:jc w:val="both"/>
        <w:textAlignment w:val="baseline"/>
        <w:rPr>
          <w:color w:val="000000" w:themeColor="text1"/>
        </w:rPr>
      </w:pPr>
    </w:p>
    <w:p w14:paraId="4F5749B4" w14:textId="62B35502" w:rsidR="00B56B9A" w:rsidRDefault="00B56B9A" w:rsidP="4D27054C">
      <w:pPr>
        <w:suppressAutoHyphens/>
        <w:autoSpaceDN w:val="0"/>
        <w:jc w:val="both"/>
        <w:textAlignment w:val="baseline"/>
        <w:rPr>
          <w:color w:val="000000" w:themeColor="text1"/>
        </w:rPr>
      </w:pPr>
    </w:p>
    <w:p w14:paraId="14D106AB" w14:textId="31F998E7" w:rsidR="00B56B9A" w:rsidRDefault="00B56B9A" w:rsidP="4D27054C">
      <w:pPr>
        <w:suppressAutoHyphens/>
        <w:autoSpaceDN w:val="0"/>
        <w:jc w:val="both"/>
        <w:textAlignment w:val="baseline"/>
        <w:rPr>
          <w:color w:val="000000" w:themeColor="text1"/>
        </w:rPr>
      </w:pPr>
    </w:p>
    <w:p w14:paraId="4F6B9408" w14:textId="6D1AE6FF" w:rsidR="00B56B9A" w:rsidRDefault="00B56B9A" w:rsidP="4D27054C">
      <w:pPr>
        <w:suppressAutoHyphens/>
        <w:autoSpaceDN w:val="0"/>
        <w:jc w:val="both"/>
        <w:textAlignment w:val="baseline"/>
        <w:rPr>
          <w:color w:val="000000" w:themeColor="text1"/>
        </w:rPr>
      </w:pPr>
    </w:p>
    <w:p w14:paraId="3C1CBAA6" w14:textId="35314F71" w:rsidR="00B56B9A" w:rsidRDefault="00B56B9A" w:rsidP="4D27054C">
      <w:pPr>
        <w:suppressAutoHyphens/>
        <w:autoSpaceDN w:val="0"/>
        <w:jc w:val="both"/>
        <w:textAlignment w:val="baseline"/>
        <w:rPr>
          <w:color w:val="000000" w:themeColor="text1"/>
        </w:rPr>
      </w:pPr>
    </w:p>
    <w:p w14:paraId="3FC1736C" w14:textId="77777777" w:rsidR="00B56B9A" w:rsidRDefault="00B56B9A" w:rsidP="4D27054C">
      <w:pPr>
        <w:suppressAutoHyphens/>
        <w:autoSpaceDN w:val="0"/>
        <w:jc w:val="both"/>
        <w:textAlignment w:val="baseline"/>
        <w:rPr>
          <w:color w:val="000000" w:themeColor="text1"/>
        </w:rPr>
      </w:pPr>
    </w:p>
    <w:p w14:paraId="0E8EEFCD" w14:textId="77777777" w:rsidR="009C0559" w:rsidRDefault="009C0559" w:rsidP="000305BD">
      <w:pPr>
        <w:suppressAutoHyphens/>
        <w:autoSpaceDN w:val="0"/>
        <w:jc w:val="both"/>
        <w:textAlignment w:val="baseline"/>
        <w:rPr>
          <w:color w:val="4472C4" w:themeColor="accent1"/>
          <w:sz w:val="16"/>
          <w:szCs w:val="16"/>
        </w:rPr>
      </w:pPr>
    </w:p>
    <w:p w14:paraId="4C3D84F7" w14:textId="35FEDBBE" w:rsidR="000305BD" w:rsidRDefault="000305BD" w:rsidP="000305BD">
      <w:pPr>
        <w:suppressAutoHyphens/>
        <w:autoSpaceDN w:val="0"/>
        <w:jc w:val="both"/>
        <w:textAlignment w:val="baseline"/>
        <w:rPr>
          <w:color w:val="4472C4" w:themeColor="accent1"/>
          <w:sz w:val="16"/>
          <w:szCs w:val="16"/>
        </w:rPr>
      </w:pPr>
      <w:r w:rsidRPr="000305BD">
        <w:rPr>
          <w:color w:val="4472C4" w:themeColor="accent1"/>
          <w:sz w:val="16"/>
          <w:szCs w:val="16"/>
        </w:rPr>
        <w:t>Figure 2: Socio Ecological Framework</w:t>
      </w:r>
    </w:p>
    <w:p w14:paraId="10224AF2" w14:textId="77777777" w:rsidR="002E78FA" w:rsidRPr="000305BD" w:rsidRDefault="002E78FA" w:rsidP="000305BD">
      <w:pPr>
        <w:suppressAutoHyphens/>
        <w:autoSpaceDN w:val="0"/>
        <w:jc w:val="both"/>
        <w:textAlignment w:val="baseline"/>
        <w:rPr>
          <w:color w:val="4472C4" w:themeColor="accent1"/>
          <w:sz w:val="16"/>
          <w:szCs w:val="16"/>
        </w:rPr>
      </w:pPr>
    </w:p>
    <w:p w14:paraId="69388D2C" w14:textId="6EA0A1FD" w:rsidR="003235F3" w:rsidRDefault="126AFD99" w:rsidP="0F721697">
      <w:pPr>
        <w:suppressAutoHyphens/>
        <w:autoSpaceDN w:val="0"/>
        <w:jc w:val="both"/>
        <w:textAlignment w:val="baseline"/>
        <w:rPr>
          <w:color w:val="000000" w:themeColor="text1"/>
        </w:rPr>
      </w:pPr>
      <w:r>
        <w:rPr>
          <w:noProof/>
        </w:rPr>
        <w:drawing>
          <wp:inline distT="0" distB="0" distL="0" distR="0" wp14:anchorId="5D51DB39" wp14:editId="4DFB9870">
            <wp:extent cx="4085790" cy="2858861"/>
            <wp:effectExtent l="0" t="0" r="5715"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4085790" cy="2858861"/>
                    </a:xfrm>
                    <a:prstGeom prst="rect">
                      <a:avLst/>
                    </a:prstGeom>
                  </pic:spPr>
                </pic:pic>
              </a:graphicData>
            </a:graphic>
          </wp:inline>
        </w:drawing>
      </w:r>
    </w:p>
    <w:p w14:paraId="681FC8AE" w14:textId="77777777" w:rsidR="003235F3" w:rsidRDefault="003235F3" w:rsidP="0F721697">
      <w:pPr>
        <w:suppressAutoHyphens/>
        <w:autoSpaceDN w:val="0"/>
        <w:jc w:val="both"/>
        <w:textAlignment w:val="baseline"/>
        <w:rPr>
          <w:color w:val="000000" w:themeColor="text1"/>
        </w:rPr>
      </w:pPr>
    </w:p>
    <w:p w14:paraId="53DA5F21" w14:textId="17158EC7" w:rsidR="003D4D7E" w:rsidRPr="009C0559" w:rsidRDefault="2B3E6204" w:rsidP="4D27054C">
      <w:pPr>
        <w:suppressAutoHyphens/>
        <w:autoSpaceDN w:val="0"/>
        <w:textAlignment w:val="baseline"/>
        <w:rPr>
          <w:rStyle w:val="Hyperlink"/>
          <w:sz w:val="16"/>
          <w:szCs w:val="16"/>
        </w:rPr>
      </w:pPr>
      <w:r w:rsidRPr="4D27054C">
        <w:rPr>
          <w:color w:val="000000" w:themeColor="text1"/>
          <w:sz w:val="16"/>
          <w:szCs w:val="16"/>
        </w:rPr>
        <w:t xml:space="preserve">Source: </w:t>
      </w:r>
      <w:hyperlink r:id="rId17">
        <w:r w:rsidRPr="4D27054C">
          <w:rPr>
            <w:rStyle w:val="Hyperlink"/>
            <w:sz w:val="16"/>
            <w:szCs w:val="16"/>
          </w:rPr>
          <w:t>Social and Behaviour Change and Gender: Models and Frameworks</w:t>
        </w:r>
      </w:hyperlink>
    </w:p>
    <w:p w14:paraId="31133638" w14:textId="6F29DB8F" w:rsidR="003235F3" w:rsidRDefault="003235F3" w:rsidP="0F721697">
      <w:pPr>
        <w:suppressAutoHyphens/>
        <w:autoSpaceDN w:val="0"/>
        <w:textAlignment w:val="baseline"/>
        <w:rPr>
          <w:color w:val="000000" w:themeColor="text1"/>
        </w:rPr>
      </w:pPr>
    </w:p>
    <w:p w14:paraId="06779776" w14:textId="22C269F0" w:rsidR="009C0559" w:rsidRPr="006B44CD" w:rsidRDefault="009C0559" w:rsidP="4D27054C">
      <w:pPr>
        <w:suppressAutoHyphens/>
        <w:autoSpaceDN w:val="0"/>
        <w:textAlignment w:val="baseline"/>
        <w:rPr>
          <w:color w:val="000000" w:themeColor="text1"/>
        </w:rPr>
      </w:pPr>
    </w:p>
    <w:p w14:paraId="678AC881" w14:textId="1B8C2A32" w:rsidR="003D4D7E" w:rsidRPr="001A6A36" w:rsidRDefault="1E2288DD" w:rsidP="001A6A36">
      <w:pPr>
        <w:pStyle w:val="ListParagraph"/>
        <w:numPr>
          <w:ilvl w:val="0"/>
          <w:numId w:val="27"/>
        </w:numPr>
        <w:suppressAutoHyphens/>
        <w:autoSpaceDN w:val="0"/>
        <w:textAlignment w:val="baseline"/>
        <w:rPr>
          <w:rFonts w:ascii="Times New Roman" w:eastAsia="Times New Roman" w:hAnsi="Times New Roman" w:cs="Times New Roman"/>
          <w:color w:val="000000" w:themeColor="text1"/>
          <w:lang w:val="en-GB"/>
        </w:rPr>
      </w:pPr>
      <w:r w:rsidRPr="001A6A36">
        <w:rPr>
          <w:rFonts w:ascii="Times New Roman" w:eastAsia="Times New Roman" w:hAnsi="Times New Roman" w:cs="Times New Roman"/>
          <w:b/>
          <w:bCs/>
          <w:color w:val="000000" w:themeColor="text1"/>
        </w:rPr>
        <w:t xml:space="preserve">Gender and Work Framework </w:t>
      </w:r>
    </w:p>
    <w:p w14:paraId="1ADF398C" w14:textId="067C35D2" w:rsidR="003D4D7E" w:rsidRDefault="1E2288DD" w:rsidP="0F721697">
      <w:pPr>
        <w:suppressAutoHyphens/>
        <w:autoSpaceDN w:val="0"/>
        <w:textAlignment w:val="baseline"/>
        <w:rPr>
          <w:color w:val="000000" w:themeColor="text1"/>
        </w:rPr>
      </w:pPr>
      <w:r w:rsidRPr="006B44CD">
        <w:rPr>
          <w:color w:val="000000" w:themeColor="text1"/>
        </w:rPr>
        <w:t xml:space="preserve">The theory-based evaluation approach will be combined with the Gender and Work framework as shown in the figure below to not only assess the contributions of JP towards women’s Decent work but also to better understand the context and dynamics of the given intervention, its successes and challenges. </w:t>
      </w:r>
    </w:p>
    <w:p w14:paraId="66297D9F" w14:textId="77777777" w:rsidR="009C0559" w:rsidRPr="006B44CD" w:rsidRDefault="009C0559" w:rsidP="0F721697">
      <w:pPr>
        <w:suppressAutoHyphens/>
        <w:autoSpaceDN w:val="0"/>
        <w:textAlignment w:val="baseline"/>
        <w:rPr>
          <w:color w:val="000000" w:themeColor="text1"/>
        </w:rPr>
      </w:pPr>
    </w:p>
    <w:p w14:paraId="671C4FE9" w14:textId="775E9298" w:rsidR="003D4D7E" w:rsidRPr="000305BD" w:rsidRDefault="1E2288DD" w:rsidP="0F721697">
      <w:pPr>
        <w:suppressAutoHyphens/>
        <w:autoSpaceDN w:val="0"/>
        <w:textAlignment w:val="baseline"/>
        <w:rPr>
          <w:color w:val="4472C4" w:themeColor="accent1"/>
          <w:sz w:val="16"/>
          <w:szCs w:val="16"/>
        </w:rPr>
      </w:pPr>
      <w:r w:rsidRPr="000305BD">
        <w:rPr>
          <w:color w:val="4472C4" w:themeColor="accent1"/>
          <w:sz w:val="16"/>
          <w:szCs w:val="16"/>
        </w:rPr>
        <w:t>Figure</w:t>
      </w:r>
      <w:r w:rsidR="000305BD" w:rsidRPr="000305BD">
        <w:rPr>
          <w:color w:val="4472C4" w:themeColor="accent1"/>
          <w:sz w:val="16"/>
          <w:szCs w:val="16"/>
        </w:rPr>
        <w:t xml:space="preserve"> 3</w:t>
      </w:r>
      <w:r w:rsidRPr="000305BD">
        <w:rPr>
          <w:color w:val="4472C4" w:themeColor="accent1"/>
          <w:sz w:val="16"/>
          <w:szCs w:val="16"/>
        </w:rPr>
        <w:t>: Gender and Work Framework</w:t>
      </w:r>
    </w:p>
    <w:p w14:paraId="51571638" w14:textId="05F65069" w:rsidR="003D4D7E" w:rsidRPr="006B44CD" w:rsidRDefault="2B3E6204" w:rsidP="0F721697">
      <w:pPr>
        <w:suppressAutoHyphens/>
        <w:autoSpaceDN w:val="0"/>
        <w:textAlignment w:val="baseline"/>
        <w:rPr>
          <w:rFonts w:eastAsia="Calibri"/>
          <w:color w:val="000000" w:themeColor="text1"/>
        </w:rPr>
      </w:pPr>
      <w:r>
        <w:rPr>
          <w:noProof/>
        </w:rPr>
        <w:drawing>
          <wp:inline distT="0" distB="0" distL="0" distR="0" wp14:anchorId="306547FF" wp14:editId="1F651804">
            <wp:extent cx="3617553" cy="2562860"/>
            <wp:effectExtent l="0" t="0" r="0" b="0"/>
            <wp:docPr id="305527489" name="Picture 305527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2748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17553" cy="2562860"/>
                    </a:xfrm>
                    <a:prstGeom prst="rect">
                      <a:avLst/>
                    </a:prstGeom>
                  </pic:spPr>
                </pic:pic>
              </a:graphicData>
            </a:graphic>
          </wp:inline>
        </w:drawing>
      </w:r>
    </w:p>
    <w:p w14:paraId="7E827A5A" w14:textId="6AE0B04D" w:rsidR="4D27054C" w:rsidRDefault="4D27054C" w:rsidP="4D27054C">
      <w:pPr>
        <w:spacing w:line="256" w:lineRule="auto"/>
        <w:jc w:val="both"/>
        <w:rPr>
          <w:color w:val="000000" w:themeColor="text1"/>
        </w:rPr>
      </w:pPr>
    </w:p>
    <w:p w14:paraId="48D875AE" w14:textId="77777777" w:rsidR="00B56B9A" w:rsidRDefault="00B56B9A" w:rsidP="4D27054C">
      <w:pPr>
        <w:spacing w:line="256" w:lineRule="auto"/>
        <w:jc w:val="both"/>
        <w:rPr>
          <w:color w:val="000000" w:themeColor="text1"/>
        </w:rPr>
      </w:pPr>
    </w:p>
    <w:p w14:paraId="442934FA" w14:textId="6A63A8A0" w:rsidR="00383C09" w:rsidRPr="001A6A36" w:rsidRDefault="25B1DF78" w:rsidP="5CF61BAE">
      <w:pPr>
        <w:pStyle w:val="ListParagraph"/>
        <w:numPr>
          <w:ilvl w:val="0"/>
          <w:numId w:val="27"/>
        </w:numPr>
        <w:suppressAutoHyphens/>
        <w:autoSpaceDN w:val="0"/>
        <w:spacing w:line="256" w:lineRule="auto"/>
        <w:jc w:val="both"/>
        <w:textAlignment w:val="baseline"/>
        <w:rPr>
          <w:rFonts w:ascii="Times New Roman" w:eastAsia="Times New Roman" w:hAnsi="Times New Roman" w:cs="Times New Roman"/>
          <w:color w:val="000000" w:themeColor="text1"/>
          <w:sz w:val="24"/>
          <w:szCs w:val="24"/>
        </w:rPr>
      </w:pPr>
      <w:r w:rsidRPr="5CF61BAE">
        <w:rPr>
          <w:rFonts w:ascii="Times New Roman" w:eastAsia="Times New Roman" w:hAnsi="Times New Roman" w:cs="Times New Roman"/>
          <w:b/>
          <w:bCs/>
          <w:color w:val="000000" w:themeColor="text1"/>
          <w:sz w:val="24"/>
          <w:szCs w:val="24"/>
        </w:rPr>
        <w:lastRenderedPageBreak/>
        <w:t>Kirkpatrick 4-step training evaluation framework:</w:t>
      </w:r>
      <w:r w:rsidRPr="5CF61BAE">
        <w:rPr>
          <w:rFonts w:ascii="Times New Roman" w:eastAsia="Times New Roman" w:hAnsi="Times New Roman" w:cs="Times New Roman"/>
          <w:color w:val="000000" w:themeColor="text1"/>
          <w:sz w:val="24"/>
          <w:szCs w:val="24"/>
        </w:rPr>
        <w:t xml:space="preserve"> JP uses a variety of </w:t>
      </w:r>
      <w:r w:rsidR="6B08BDC5" w:rsidRPr="5CF61BAE">
        <w:rPr>
          <w:rFonts w:ascii="Times New Roman" w:eastAsia="Times New Roman" w:hAnsi="Times New Roman" w:cs="Times New Roman"/>
          <w:color w:val="000000" w:themeColor="text1"/>
          <w:sz w:val="24"/>
          <w:szCs w:val="24"/>
        </w:rPr>
        <w:t>training</w:t>
      </w:r>
      <w:r w:rsidRPr="5CF61BAE">
        <w:rPr>
          <w:rFonts w:ascii="Times New Roman" w:eastAsia="Times New Roman" w:hAnsi="Times New Roman" w:cs="Times New Roman"/>
          <w:color w:val="000000" w:themeColor="text1"/>
          <w:sz w:val="24"/>
          <w:szCs w:val="24"/>
        </w:rPr>
        <w:t xml:space="preserve"> to strengthen the capacity of the stakeholders on various issues related to Gender, decent work, economic empowerment and transforming gender productive and reproductive roles. The implicit Theory of change of training initiatives is that the capacity is enhanced after the training, which leads </w:t>
      </w:r>
      <w:r w:rsidR="7078B470" w:rsidRPr="5CF61BAE">
        <w:rPr>
          <w:rFonts w:ascii="Times New Roman" w:eastAsia="Times New Roman" w:hAnsi="Times New Roman" w:cs="Times New Roman"/>
          <w:color w:val="000000" w:themeColor="text1"/>
          <w:sz w:val="24"/>
          <w:szCs w:val="24"/>
        </w:rPr>
        <w:t>to a</w:t>
      </w:r>
      <w:r w:rsidRPr="5CF61BAE">
        <w:rPr>
          <w:rFonts w:ascii="Times New Roman" w:eastAsia="Times New Roman" w:hAnsi="Times New Roman" w:cs="Times New Roman"/>
          <w:color w:val="000000" w:themeColor="text1"/>
          <w:sz w:val="24"/>
          <w:szCs w:val="24"/>
        </w:rPr>
        <w:t xml:space="preserve"> change in attitude and behavior and to the social and institutional changes that occur due to the increased knowledge, attitudes and skills of the participants. In this regard, Training for Gender Equality (TfGE) analytical Framework developed by UN Women Training Centre</w:t>
      </w:r>
      <w:r w:rsidR="000C2979" w:rsidRPr="5CF61BAE">
        <w:rPr>
          <w:rStyle w:val="FootnoteReference"/>
          <w:rFonts w:ascii="Times New Roman" w:eastAsia="Times New Roman" w:hAnsi="Times New Roman" w:cs="Times New Roman"/>
          <w:color w:val="000000" w:themeColor="text1"/>
          <w:sz w:val="18"/>
          <w:szCs w:val="18"/>
        </w:rPr>
        <w:footnoteReference w:id="72"/>
      </w:r>
      <w:r w:rsidRPr="5CF61BAE">
        <w:rPr>
          <w:rFonts w:ascii="Times New Roman" w:eastAsia="Times New Roman" w:hAnsi="Times New Roman" w:cs="Times New Roman"/>
          <w:color w:val="000000" w:themeColor="text1"/>
          <w:sz w:val="24"/>
          <w:szCs w:val="24"/>
        </w:rPr>
        <w:t xml:space="preserve"> using a combination of Kirk Patrick 4-step model</w:t>
      </w:r>
      <w:r w:rsidR="00F36853" w:rsidRPr="5CF61BAE">
        <w:rPr>
          <w:rStyle w:val="FootnoteReference"/>
          <w:rFonts w:ascii="Times New Roman" w:eastAsia="Times New Roman" w:hAnsi="Times New Roman" w:cs="Times New Roman"/>
          <w:color w:val="000000" w:themeColor="text1"/>
          <w:sz w:val="18"/>
          <w:szCs w:val="18"/>
        </w:rPr>
        <w:footnoteReference w:id="73"/>
      </w:r>
      <w:r w:rsidRPr="5CF61BAE">
        <w:rPr>
          <w:rFonts w:ascii="Times New Roman" w:eastAsia="Times New Roman" w:hAnsi="Times New Roman" w:cs="Times New Roman"/>
          <w:color w:val="000000" w:themeColor="text1"/>
          <w:sz w:val="24"/>
          <w:szCs w:val="24"/>
        </w:rPr>
        <w:t xml:space="preserve">, theory of change, and principles of Results based management (RBM) will be used to evaluate the training for gender equality initiatives of the JP. Please refer to Annex 3 </w:t>
      </w:r>
      <w:r w:rsidR="4FFA907A" w:rsidRPr="5CF61BAE">
        <w:rPr>
          <w:rFonts w:ascii="Times New Roman" w:eastAsia="Times New Roman" w:hAnsi="Times New Roman" w:cs="Times New Roman"/>
          <w:color w:val="000000" w:themeColor="text1"/>
          <w:sz w:val="24"/>
          <w:szCs w:val="24"/>
        </w:rPr>
        <w:t>for the Evaluation Tool/framework for Training for Gender Equality.</w:t>
      </w:r>
      <w:r w:rsidR="1E1ABEBE" w:rsidRPr="5CF61BAE">
        <w:rPr>
          <w:rFonts w:ascii="Times New Roman" w:eastAsia="Times New Roman" w:hAnsi="Times New Roman" w:cs="Times New Roman"/>
          <w:color w:val="000000" w:themeColor="text1"/>
          <w:sz w:val="24"/>
          <w:szCs w:val="24"/>
        </w:rPr>
        <w:t xml:space="preserve"> </w:t>
      </w:r>
    </w:p>
    <w:p w14:paraId="776FBC87" w14:textId="57233726" w:rsidR="00383C09" w:rsidRPr="006B44CD" w:rsidRDefault="00383C09" w:rsidP="5CF61BAE">
      <w:pPr>
        <w:suppressAutoHyphens/>
        <w:autoSpaceDN w:val="0"/>
        <w:spacing w:line="256" w:lineRule="auto"/>
        <w:jc w:val="both"/>
        <w:textAlignment w:val="baseline"/>
      </w:pPr>
      <w:r w:rsidRPr="5CF61BAE">
        <w:t xml:space="preserve">Following stakeholders who benefited from the capacity building activities of the programme will be consulted to assess the relevance and effectiveness of the training interventions: </w:t>
      </w:r>
    </w:p>
    <w:p w14:paraId="14A08DD8"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Trained government representatives on Gender Responsive Budgeting.</w:t>
      </w:r>
    </w:p>
    <w:p w14:paraId="6E6E4240"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National staff who completed training on developing gender sensitive plans.</w:t>
      </w:r>
    </w:p>
    <w:p w14:paraId="16F08697"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Corporate staff trained on promoting gender equality.</w:t>
      </w:r>
    </w:p>
    <w:p w14:paraId="246813B7"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Corporates engaged in promoting gender equality.</w:t>
      </w:r>
    </w:p>
    <w:p w14:paraId="47C92A8C"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Trained corporate staff from employers’ organizations on promoting Gender Equality</w:t>
      </w:r>
    </w:p>
    <w:p w14:paraId="0B721940" w14:textId="77777777" w:rsidR="00383C09" w:rsidRPr="006B44CD" w:rsidRDefault="00383C09" w:rsidP="5CF61BAE">
      <w:pPr>
        <w:pStyle w:val="ListParagraph"/>
        <w:numPr>
          <w:ilvl w:val="0"/>
          <w:numId w:val="8"/>
        </w:numPr>
        <w:suppressAutoHyphens/>
        <w:autoSpaceDN w:val="0"/>
        <w:spacing w:line="256" w:lineRule="auto"/>
        <w:jc w:val="both"/>
        <w:textAlignment w:val="baseline"/>
        <w:rPr>
          <w:rFonts w:ascii="Times New Roman" w:eastAsia="Times New Roman" w:hAnsi="Times New Roman" w:cs="Times New Roman"/>
          <w:sz w:val="24"/>
          <w:szCs w:val="24"/>
          <w:lang w:val="en-GB"/>
        </w:rPr>
      </w:pPr>
      <w:r w:rsidRPr="5CF61BAE">
        <w:rPr>
          <w:rFonts w:ascii="Times New Roman" w:eastAsia="Times New Roman" w:hAnsi="Times New Roman" w:cs="Times New Roman"/>
          <w:sz w:val="24"/>
          <w:szCs w:val="24"/>
          <w:lang w:val="en-GB"/>
        </w:rPr>
        <w:t>Trained corporate staff from workers’ organizations on promoting gender equality.</w:t>
      </w:r>
    </w:p>
    <w:p w14:paraId="621B43C8" w14:textId="77777777" w:rsidR="001A6A36" w:rsidRDefault="001A6A36" w:rsidP="5CF61BAE">
      <w:pPr>
        <w:suppressAutoHyphens/>
        <w:autoSpaceDN w:val="0"/>
        <w:jc w:val="both"/>
        <w:textAlignment w:val="baseline"/>
        <w:rPr>
          <w:color w:val="000000" w:themeColor="text1"/>
        </w:rPr>
      </w:pPr>
    </w:p>
    <w:p w14:paraId="0D11F384" w14:textId="2AA9E0B4" w:rsidR="002E78FA" w:rsidRPr="002E78FA" w:rsidRDefault="2B3E6204" w:rsidP="00577802">
      <w:pPr>
        <w:pStyle w:val="ListParagraph"/>
        <w:numPr>
          <w:ilvl w:val="0"/>
          <w:numId w:val="27"/>
        </w:numPr>
        <w:suppressAutoHyphens/>
        <w:autoSpaceDN w:val="0"/>
        <w:jc w:val="both"/>
        <w:textAlignment w:val="baseline"/>
        <w:rPr>
          <w:rFonts w:ascii="Times New Roman" w:eastAsia="Times New Roman" w:hAnsi="Times New Roman" w:cs="Times New Roman"/>
          <w:color w:val="000000" w:themeColor="text1"/>
          <w:sz w:val="24"/>
          <w:szCs w:val="24"/>
        </w:rPr>
      </w:pPr>
      <w:r w:rsidRPr="5CF61BAE">
        <w:rPr>
          <w:rFonts w:ascii="Times New Roman" w:eastAsia="Times New Roman" w:hAnsi="Times New Roman" w:cs="Times New Roman"/>
          <w:b/>
          <w:bCs/>
          <w:color w:val="000000" w:themeColor="text1"/>
          <w:sz w:val="24"/>
          <w:szCs w:val="24"/>
        </w:rPr>
        <w:t xml:space="preserve">Policy Makers rating and </w:t>
      </w:r>
      <w:r w:rsidR="464CAAB6" w:rsidRPr="5CF61BAE">
        <w:rPr>
          <w:rFonts w:ascii="Times New Roman" w:eastAsia="Times New Roman" w:hAnsi="Times New Roman" w:cs="Times New Roman"/>
          <w:b/>
          <w:bCs/>
          <w:color w:val="000000" w:themeColor="text1"/>
          <w:sz w:val="24"/>
          <w:szCs w:val="24"/>
        </w:rPr>
        <w:t>Bellwether's</w:t>
      </w:r>
      <w:r w:rsidRPr="5CF61BAE">
        <w:rPr>
          <w:rFonts w:ascii="Times New Roman" w:eastAsia="Times New Roman" w:hAnsi="Times New Roman" w:cs="Times New Roman"/>
          <w:b/>
          <w:bCs/>
          <w:color w:val="000000" w:themeColor="text1"/>
          <w:sz w:val="24"/>
          <w:szCs w:val="24"/>
        </w:rPr>
        <w:t xml:space="preserve"> method:</w:t>
      </w:r>
      <w:r w:rsidRPr="5CF61BAE">
        <w:rPr>
          <w:rFonts w:ascii="Times New Roman" w:eastAsia="Times New Roman" w:hAnsi="Times New Roman" w:cs="Times New Roman"/>
          <w:color w:val="000000" w:themeColor="text1"/>
          <w:sz w:val="24"/>
          <w:szCs w:val="24"/>
        </w:rPr>
        <w:t xml:space="preserve"> </w:t>
      </w:r>
      <w:r w:rsidR="002E78FA" w:rsidRPr="5CF61BAE">
        <w:rPr>
          <w:rFonts w:ascii="Times New Roman" w:eastAsia="Times New Roman" w:hAnsi="Times New Roman" w:cs="Times New Roman"/>
          <w:sz w:val="24"/>
          <w:szCs w:val="24"/>
        </w:rPr>
        <w:t>To assess the utility and outcomes of the policy and legal advocacy initiatives of JP the MTE will apply the Bellwether’s policy evaluation method</w:t>
      </w:r>
      <w:r w:rsidR="002E78FA" w:rsidRPr="5CF61BAE">
        <w:rPr>
          <w:rStyle w:val="FootnoteReference"/>
          <w:rFonts w:ascii="Times New Roman" w:eastAsia="Times New Roman" w:hAnsi="Times New Roman" w:cs="Times New Roman"/>
          <w:sz w:val="18"/>
          <w:szCs w:val="18"/>
        </w:rPr>
        <w:footnoteReference w:id="74"/>
      </w:r>
      <w:r w:rsidR="002E78FA" w:rsidRPr="5CF61BAE">
        <w:rPr>
          <w:rFonts w:ascii="Times New Roman" w:eastAsia="Times New Roman" w:hAnsi="Times New Roman" w:cs="Times New Roman"/>
          <w:sz w:val="24"/>
          <w:szCs w:val="24"/>
        </w:rPr>
        <w:t xml:space="preserve"> to assess the extent to which JP’s policy and legal advocacy messages on women’s economic empowerment and decent work issue have “broken through” and is on the state policy agenda.</w:t>
      </w:r>
      <w:r w:rsidR="002E78FA">
        <w:rPr>
          <w:rFonts w:ascii="Times New Roman" w:eastAsia="Times New Roman" w:hAnsi="Times New Roman" w:cs="Times New Roman"/>
          <w:sz w:val="24"/>
          <w:szCs w:val="24"/>
        </w:rPr>
        <w:t xml:space="preserve"> </w:t>
      </w:r>
      <w:r w:rsidR="0E99B173" w:rsidRPr="002E78FA">
        <w:rPr>
          <w:rFonts w:ascii="Times New Roman" w:hAnsi="Times New Roman" w:cs="Times New Roman"/>
          <w:sz w:val="24"/>
          <w:szCs w:val="24"/>
        </w:rPr>
        <w:t>The evaluation team has identified “bellwethers” or influential people in three countries whose opinion and positions will provide a validation of the contribution of JP towards the policy and legal reform issues. Either roundtable discussions or interview will be conducted to discuss the policy issue of interest.</w:t>
      </w:r>
      <w:r w:rsidR="5DEFD00C" w:rsidRPr="002E78FA">
        <w:rPr>
          <w:rFonts w:ascii="Times New Roman" w:hAnsi="Times New Roman" w:cs="Times New Roman"/>
          <w:sz w:val="24"/>
          <w:szCs w:val="24"/>
        </w:rPr>
        <w:t xml:space="preserve"> </w:t>
      </w:r>
      <w:r w:rsidR="26D77629" w:rsidRPr="002E78FA">
        <w:rPr>
          <w:rFonts w:ascii="Times New Roman" w:hAnsi="Times New Roman" w:cs="Times New Roman"/>
          <w:color w:val="000000" w:themeColor="text1"/>
          <w:sz w:val="24"/>
          <w:szCs w:val="24"/>
        </w:rPr>
        <w:t xml:space="preserve">In the context of implementing the Bellwether </w:t>
      </w:r>
      <w:r w:rsidR="250A53FA" w:rsidRPr="002E78FA">
        <w:rPr>
          <w:rFonts w:ascii="Times New Roman" w:hAnsi="Times New Roman" w:cs="Times New Roman"/>
          <w:color w:val="000000" w:themeColor="text1"/>
          <w:sz w:val="24"/>
          <w:szCs w:val="24"/>
        </w:rPr>
        <w:t>m</w:t>
      </w:r>
      <w:r w:rsidR="26D77629" w:rsidRPr="002E78FA">
        <w:rPr>
          <w:rFonts w:ascii="Times New Roman" w:hAnsi="Times New Roman" w:cs="Times New Roman"/>
          <w:color w:val="000000" w:themeColor="text1"/>
          <w:sz w:val="24"/>
          <w:szCs w:val="24"/>
        </w:rPr>
        <w:t xml:space="preserve">ethodology, the opinion </w:t>
      </w:r>
      <w:r w:rsidR="05045DDD" w:rsidRPr="002E78FA">
        <w:rPr>
          <w:rFonts w:ascii="Times New Roman" w:hAnsi="Times New Roman" w:cs="Times New Roman"/>
          <w:color w:val="000000" w:themeColor="text1"/>
          <w:sz w:val="24"/>
          <w:szCs w:val="24"/>
        </w:rPr>
        <w:t>leaders’</w:t>
      </w:r>
      <w:r w:rsidR="26D77629" w:rsidRPr="002E78FA">
        <w:rPr>
          <w:rFonts w:ascii="Times New Roman" w:hAnsi="Times New Roman" w:cs="Times New Roman"/>
          <w:color w:val="000000" w:themeColor="text1"/>
          <w:sz w:val="24"/>
          <w:szCs w:val="24"/>
        </w:rPr>
        <w:t xml:space="preserve"> feedback would be informative about the relevance of the </w:t>
      </w:r>
      <w:r w:rsidR="250A53FA" w:rsidRPr="002E78FA">
        <w:rPr>
          <w:rFonts w:ascii="Times New Roman" w:hAnsi="Times New Roman" w:cs="Times New Roman"/>
          <w:color w:val="000000" w:themeColor="text1"/>
          <w:sz w:val="24"/>
          <w:szCs w:val="24"/>
        </w:rPr>
        <w:t>programme interventions and</w:t>
      </w:r>
      <w:r w:rsidR="26D77629" w:rsidRPr="002E78FA">
        <w:rPr>
          <w:rFonts w:ascii="Times New Roman" w:hAnsi="Times New Roman" w:cs="Times New Roman"/>
          <w:color w:val="000000" w:themeColor="text1"/>
          <w:sz w:val="24"/>
          <w:szCs w:val="24"/>
        </w:rPr>
        <w:t xml:space="preserve"> approaches as well as what re-orientations, adjustments and improvements </w:t>
      </w:r>
      <w:r w:rsidR="250A53FA" w:rsidRPr="002E78FA">
        <w:rPr>
          <w:rFonts w:ascii="Times New Roman" w:hAnsi="Times New Roman" w:cs="Times New Roman"/>
          <w:color w:val="000000" w:themeColor="text1"/>
          <w:sz w:val="24"/>
          <w:szCs w:val="24"/>
        </w:rPr>
        <w:t>could</w:t>
      </w:r>
      <w:r w:rsidR="26D77629" w:rsidRPr="002E78FA">
        <w:rPr>
          <w:rFonts w:ascii="Times New Roman" w:hAnsi="Times New Roman" w:cs="Times New Roman"/>
          <w:color w:val="000000" w:themeColor="text1"/>
          <w:sz w:val="24"/>
          <w:szCs w:val="24"/>
        </w:rPr>
        <w:t xml:space="preserve"> be adopted in the second term of programme implementation.</w:t>
      </w:r>
    </w:p>
    <w:p w14:paraId="7BF54A2C" w14:textId="6277968C" w:rsidR="00FB1CA7" w:rsidRPr="000305BD" w:rsidRDefault="6EE95D71" w:rsidP="00FB1CA7">
      <w:pPr>
        <w:suppressAutoHyphens/>
        <w:autoSpaceDN w:val="0"/>
        <w:spacing w:line="256" w:lineRule="auto"/>
        <w:jc w:val="both"/>
        <w:textAlignment w:val="baseline"/>
        <w:rPr>
          <w:rFonts w:eastAsia="Calibri"/>
          <w:b/>
          <w:bCs/>
          <w:color w:val="000000" w:themeColor="text1"/>
          <w:sz w:val="16"/>
          <w:szCs w:val="16"/>
        </w:rPr>
      </w:pPr>
      <w:r w:rsidRPr="5DC39AF9">
        <w:rPr>
          <w:rFonts w:eastAsia="Calibri"/>
          <w:b/>
          <w:bCs/>
          <w:color w:val="000000" w:themeColor="text1"/>
          <w:sz w:val="16"/>
          <w:szCs w:val="16"/>
        </w:rPr>
        <w:t>Table 5</w:t>
      </w:r>
      <w:r w:rsidR="7E7D7BD3" w:rsidRPr="5DC39AF9">
        <w:rPr>
          <w:rFonts w:eastAsia="Calibri"/>
          <w:b/>
          <w:bCs/>
          <w:color w:val="000000" w:themeColor="text1"/>
          <w:sz w:val="16"/>
          <w:szCs w:val="16"/>
        </w:rPr>
        <w:t>: List of identified Bellwethers</w:t>
      </w:r>
    </w:p>
    <w:tbl>
      <w:tblPr>
        <w:tblW w:w="8642" w:type="dxa"/>
        <w:tblLayout w:type="fixed"/>
        <w:tblLook w:val="04A0" w:firstRow="1" w:lastRow="0" w:firstColumn="1" w:lastColumn="0" w:noHBand="0" w:noVBand="1"/>
      </w:tblPr>
      <w:tblGrid>
        <w:gridCol w:w="3397"/>
        <w:gridCol w:w="5245"/>
        <w:tblGridChange w:id="42">
          <w:tblGrid>
            <w:gridCol w:w="5"/>
            <w:gridCol w:w="355"/>
            <w:gridCol w:w="360"/>
            <w:gridCol w:w="2682"/>
            <w:gridCol w:w="5245"/>
          </w:tblGrid>
        </w:tblGridChange>
      </w:tblGrid>
      <w:tr w:rsidR="006E6F47" w:rsidRPr="005D413A" w14:paraId="7B4A4F2F" w14:textId="77777777" w:rsidTr="002D6FF3">
        <w:trPr>
          <w:trHeight w:val="331"/>
        </w:trPr>
        <w:tc>
          <w:tcPr>
            <w:tcW w:w="339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587544F" w14:textId="77777777" w:rsidR="006E6F47" w:rsidRPr="005D413A" w:rsidRDefault="006E6F47" w:rsidP="006E6F47">
            <w:pPr>
              <w:jc w:val="center"/>
              <w:rPr>
                <w:b/>
                <w:bCs/>
                <w:color w:val="000000"/>
                <w:sz w:val="16"/>
                <w:szCs w:val="16"/>
              </w:rPr>
            </w:pPr>
            <w:r w:rsidRPr="005D413A">
              <w:rPr>
                <w:b/>
                <w:bCs/>
                <w:color w:val="000000"/>
                <w:sz w:val="16"/>
                <w:szCs w:val="16"/>
              </w:rPr>
              <w:t xml:space="preserve">Institution </w:t>
            </w:r>
          </w:p>
        </w:tc>
        <w:tc>
          <w:tcPr>
            <w:tcW w:w="5245"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63BA4086" w14:textId="7FB87E40" w:rsidR="006E6F47" w:rsidRPr="005D413A" w:rsidRDefault="006E6F47" w:rsidP="006E6F47">
            <w:pPr>
              <w:jc w:val="center"/>
              <w:rPr>
                <w:b/>
                <w:bCs/>
                <w:color w:val="000000"/>
                <w:sz w:val="16"/>
                <w:szCs w:val="16"/>
              </w:rPr>
            </w:pPr>
            <w:r w:rsidRPr="005D413A">
              <w:rPr>
                <w:b/>
                <w:bCs/>
                <w:color w:val="000000"/>
                <w:sz w:val="16"/>
                <w:szCs w:val="16"/>
              </w:rPr>
              <w:t xml:space="preserve">Area of </w:t>
            </w:r>
            <w:r w:rsidR="003235F3" w:rsidRPr="005D413A">
              <w:rPr>
                <w:b/>
                <w:bCs/>
                <w:color w:val="000000"/>
                <w:sz w:val="16"/>
                <w:szCs w:val="16"/>
              </w:rPr>
              <w:t>concentration</w:t>
            </w:r>
            <w:r w:rsidRPr="005D413A">
              <w:rPr>
                <w:b/>
                <w:bCs/>
                <w:color w:val="000000"/>
                <w:sz w:val="16"/>
                <w:szCs w:val="16"/>
              </w:rPr>
              <w:t xml:space="preserve"> </w:t>
            </w:r>
          </w:p>
        </w:tc>
      </w:tr>
      <w:tr w:rsidR="006E6F47" w:rsidRPr="005D413A" w14:paraId="6495646B"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B4C6E7" w:themeFill="accent1" w:themeFillTint="66"/>
            <w:noWrap/>
            <w:hideMark/>
          </w:tcPr>
          <w:p w14:paraId="6CCCBD9A" w14:textId="77777777" w:rsidR="006E6F47" w:rsidRPr="005D413A" w:rsidRDefault="0613C4CB" w:rsidP="006E6F47">
            <w:pPr>
              <w:jc w:val="center"/>
              <w:rPr>
                <w:b/>
                <w:bCs/>
                <w:color w:val="000000"/>
                <w:sz w:val="16"/>
                <w:szCs w:val="16"/>
              </w:rPr>
            </w:pPr>
            <w:r w:rsidRPr="4D27054C">
              <w:rPr>
                <w:b/>
                <w:bCs/>
                <w:color w:val="000000" w:themeColor="text1"/>
                <w:sz w:val="16"/>
                <w:szCs w:val="16"/>
              </w:rPr>
              <w:t>Jordan</w:t>
            </w:r>
          </w:p>
        </w:tc>
        <w:tc>
          <w:tcPr>
            <w:tcW w:w="5245" w:type="dxa"/>
            <w:tcBorders>
              <w:top w:val="nil"/>
              <w:left w:val="nil"/>
              <w:bottom w:val="single" w:sz="4" w:space="0" w:color="auto"/>
              <w:right w:val="single" w:sz="4" w:space="0" w:color="auto"/>
            </w:tcBorders>
            <w:shd w:val="clear" w:color="auto" w:fill="B4C6E7" w:themeFill="accent1" w:themeFillTint="66"/>
            <w:noWrap/>
            <w:vAlign w:val="bottom"/>
            <w:hideMark/>
          </w:tcPr>
          <w:p w14:paraId="05929CC8" w14:textId="77777777" w:rsidR="006E6F47" w:rsidRPr="005D413A" w:rsidRDefault="006E6F47" w:rsidP="006E6F47">
            <w:pPr>
              <w:rPr>
                <w:color w:val="000000"/>
                <w:sz w:val="16"/>
                <w:szCs w:val="16"/>
              </w:rPr>
            </w:pPr>
            <w:r w:rsidRPr="005D413A">
              <w:rPr>
                <w:color w:val="000000"/>
                <w:sz w:val="16"/>
                <w:szCs w:val="16"/>
              </w:rPr>
              <w:t> </w:t>
            </w:r>
          </w:p>
        </w:tc>
      </w:tr>
      <w:tr w:rsidR="006E6F47" w:rsidRPr="005D413A" w14:paraId="52DBE584" w14:textId="77777777" w:rsidTr="002D6FF3">
        <w:trPr>
          <w:trHeight w:val="120"/>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523A4CD0" w14:textId="7EB59D56" w:rsidR="006E6F47" w:rsidRPr="005D413A" w:rsidRDefault="1CD4D0B6" w:rsidP="5DC39AF9">
            <w:pPr>
              <w:jc w:val="center"/>
              <w:rPr>
                <w:strike/>
                <w:color w:val="FF0000"/>
                <w:sz w:val="16"/>
                <w:szCs w:val="16"/>
              </w:rPr>
            </w:pPr>
            <w:r w:rsidRPr="5DC39AF9">
              <w:rPr>
                <w:color w:val="000000" w:themeColor="text1"/>
                <w:sz w:val="16"/>
                <w:szCs w:val="16"/>
              </w:rPr>
              <w:t xml:space="preserve">Religious leaders </w:t>
            </w:r>
          </w:p>
        </w:tc>
        <w:tc>
          <w:tcPr>
            <w:tcW w:w="5245" w:type="dxa"/>
            <w:tcBorders>
              <w:top w:val="nil"/>
              <w:left w:val="nil"/>
              <w:bottom w:val="single" w:sz="4" w:space="0" w:color="auto"/>
              <w:right w:val="single" w:sz="4" w:space="0" w:color="auto"/>
            </w:tcBorders>
            <w:shd w:val="clear" w:color="auto" w:fill="auto"/>
            <w:vAlign w:val="bottom"/>
            <w:hideMark/>
          </w:tcPr>
          <w:p w14:paraId="21A1AFA4" w14:textId="3CFD1718" w:rsidR="006E6F47" w:rsidRPr="005D413A" w:rsidRDefault="5354127D" w:rsidP="006E6F47">
            <w:pPr>
              <w:jc w:val="center"/>
              <w:rPr>
                <w:color w:val="000000"/>
                <w:sz w:val="16"/>
                <w:szCs w:val="16"/>
              </w:rPr>
            </w:pPr>
            <w:r w:rsidRPr="33A8402B">
              <w:rPr>
                <w:color w:val="000000" w:themeColor="text1"/>
                <w:sz w:val="16"/>
                <w:szCs w:val="16"/>
              </w:rPr>
              <w:t>Opinion of re</w:t>
            </w:r>
            <w:r w:rsidR="0C6197B6" w:rsidRPr="33A8402B">
              <w:rPr>
                <w:color w:val="000000" w:themeColor="text1"/>
                <w:sz w:val="16"/>
                <w:szCs w:val="16"/>
              </w:rPr>
              <w:t>li</w:t>
            </w:r>
            <w:r w:rsidRPr="33A8402B">
              <w:rPr>
                <w:color w:val="000000" w:themeColor="text1"/>
                <w:sz w:val="16"/>
                <w:szCs w:val="16"/>
              </w:rPr>
              <w:t>gious leader regarding the concerned policy and legal reforms</w:t>
            </w:r>
          </w:p>
        </w:tc>
      </w:tr>
      <w:tr w:rsidR="006E6F47" w:rsidRPr="005D413A" w14:paraId="10F95CE6" w14:textId="77777777" w:rsidTr="002D6FF3">
        <w:trPr>
          <w:trHeight w:val="351"/>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5900E8F8" w14:textId="77777777" w:rsidR="006E6F47" w:rsidRPr="005D413A" w:rsidRDefault="719E4E2C" w:rsidP="006E6F47">
            <w:pPr>
              <w:jc w:val="center"/>
              <w:rPr>
                <w:color w:val="000000"/>
                <w:sz w:val="16"/>
                <w:szCs w:val="16"/>
              </w:rPr>
            </w:pPr>
            <w:r w:rsidRPr="4D27054C">
              <w:rPr>
                <w:color w:val="000000" w:themeColor="text1"/>
                <w:sz w:val="16"/>
                <w:szCs w:val="16"/>
              </w:rPr>
              <w:t xml:space="preserve">Feminist Economist </w:t>
            </w:r>
          </w:p>
        </w:tc>
        <w:tc>
          <w:tcPr>
            <w:tcW w:w="5245" w:type="dxa"/>
            <w:tcBorders>
              <w:top w:val="nil"/>
              <w:left w:val="nil"/>
              <w:bottom w:val="single" w:sz="4" w:space="0" w:color="auto"/>
              <w:right w:val="single" w:sz="4" w:space="0" w:color="auto"/>
            </w:tcBorders>
            <w:shd w:val="clear" w:color="auto" w:fill="auto"/>
            <w:vAlign w:val="bottom"/>
            <w:hideMark/>
          </w:tcPr>
          <w:p w14:paraId="12F66124" w14:textId="77777777" w:rsidR="006E6F47" w:rsidRPr="005D413A" w:rsidRDefault="006E6F47" w:rsidP="006E6F47">
            <w:pPr>
              <w:jc w:val="center"/>
              <w:rPr>
                <w:color w:val="000000"/>
                <w:sz w:val="16"/>
                <w:szCs w:val="16"/>
              </w:rPr>
            </w:pPr>
            <w:r w:rsidRPr="005D413A">
              <w:rPr>
                <w:color w:val="000000"/>
                <w:sz w:val="16"/>
                <w:szCs w:val="16"/>
              </w:rPr>
              <w:t>Economic impact assessment of investing in childcare: The case of Jordan</w:t>
            </w:r>
          </w:p>
        </w:tc>
      </w:tr>
      <w:tr w:rsidR="006E6F47" w:rsidRPr="005D413A" w14:paraId="65238B3E" w14:textId="77777777" w:rsidTr="002D6FF3">
        <w:trPr>
          <w:trHeight w:val="361"/>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96DAD95" w14:textId="77777777" w:rsidR="006E6F47" w:rsidRPr="005D413A" w:rsidRDefault="719E4E2C" w:rsidP="006E6F47">
            <w:pPr>
              <w:jc w:val="center"/>
              <w:rPr>
                <w:color w:val="000000"/>
                <w:sz w:val="16"/>
                <w:szCs w:val="16"/>
              </w:rPr>
            </w:pPr>
            <w:r w:rsidRPr="4D27054C">
              <w:rPr>
                <w:color w:val="000000" w:themeColor="text1"/>
                <w:sz w:val="16"/>
                <w:szCs w:val="16"/>
              </w:rPr>
              <w:lastRenderedPageBreak/>
              <w:t>World Bank, Consultant, Gender and Economic Inclusion Group</w:t>
            </w:r>
          </w:p>
        </w:tc>
        <w:tc>
          <w:tcPr>
            <w:tcW w:w="5245" w:type="dxa"/>
            <w:tcBorders>
              <w:top w:val="nil"/>
              <w:left w:val="nil"/>
              <w:bottom w:val="single" w:sz="4" w:space="0" w:color="auto"/>
              <w:right w:val="single" w:sz="4" w:space="0" w:color="auto"/>
            </w:tcBorders>
            <w:shd w:val="clear" w:color="auto" w:fill="auto"/>
            <w:vAlign w:val="bottom"/>
            <w:hideMark/>
          </w:tcPr>
          <w:p w14:paraId="0FA918A7" w14:textId="77777777" w:rsidR="006E6F47" w:rsidRPr="005D413A" w:rsidRDefault="006E6F47" w:rsidP="006E6F47">
            <w:pPr>
              <w:jc w:val="center"/>
              <w:rPr>
                <w:color w:val="000000"/>
                <w:sz w:val="16"/>
                <w:szCs w:val="16"/>
              </w:rPr>
            </w:pPr>
            <w:r w:rsidRPr="005D413A">
              <w:rPr>
                <w:color w:val="000000"/>
                <w:sz w:val="16"/>
                <w:szCs w:val="16"/>
              </w:rPr>
              <w:t>Working on different issues related WEE and MGF</w:t>
            </w:r>
          </w:p>
        </w:tc>
      </w:tr>
      <w:tr w:rsidR="006E6F47" w:rsidRPr="005D413A" w14:paraId="22675240" w14:textId="77777777" w:rsidTr="002D6FF3">
        <w:trPr>
          <w:trHeight w:val="438"/>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1FA1BBCB" w14:textId="77777777" w:rsidR="006E6F47" w:rsidRPr="005D413A" w:rsidRDefault="006E6F47" w:rsidP="006E6F47">
            <w:pPr>
              <w:jc w:val="center"/>
              <w:rPr>
                <w:color w:val="000000"/>
                <w:sz w:val="16"/>
                <w:szCs w:val="16"/>
              </w:rPr>
            </w:pPr>
            <w:r w:rsidRPr="005D413A">
              <w:rPr>
                <w:color w:val="000000"/>
                <w:sz w:val="16"/>
                <w:szCs w:val="16"/>
              </w:rPr>
              <w:t>IFC, Consultant, Gender and Economic Inclusion Group</w:t>
            </w:r>
          </w:p>
        </w:tc>
        <w:tc>
          <w:tcPr>
            <w:tcW w:w="5245" w:type="dxa"/>
            <w:tcBorders>
              <w:top w:val="nil"/>
              <w:left w:val="nil"/>
              <w:bottom w:val="single" w:sz="4" w:space="0" w:color="auto"/>
              <w:right w:val="single" w:sz="4" w:space="0" w:color="auto"/>
            </w:tcBorders>
            <w:shd w:val="clear" w:color="auto" w:fill="auto"/>
            <w:vAlign w:val="bottom"/>
            <w:hideMark/>
          </w:tcPr>
          <w:p w14:paraId="1AAE0E4D" w14:textId="77777777" w:rsidR="006E6F47" w:rsidRPr="005D413A" w:rsidRDefault="006E6F47" w:rsidP="006E6F47">
            <w:pPr>
              <w:jc w:val="center"/>
              <w:rPr>
                <w:color w:val="000000"/>
                <w:sz w:val="16"/>
                <w:szCs w:val="16"/>
              </w:rPr>
            </w:pPr>
            <w:r w:rsidRPr="005D413A">
              <w:rPr>
                <w:color w:val="000000"/>
                <w:sz w:val="16"/>
                <w:szCs w:val="16"/>
              </w:rPr>
              <w:t xml:space="preserve">Working on supporting a gender responsive private sector that attracts, retains and promotes women </w:t>
            </w:r>
          </w:p>
        </w:tc>
      </w:tr>
      <w:tr w:rsidR="5CF61BAE" w14:paraId="50E4C651" w14:textId="77777777" w:rsidTr="002D6FF3">
        <w:trPr>
          <w:trHeight w:val="300"/>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5FE719B2" w14:textId="07A09493" w:rsidR="5CF61BAE" w:rsidRDefault="5CF61BAE" w:rsidP="5CF61BAE">
            <w:pPr>
              <w:jc w:val="center"/>
              <w:rPr>
                <w:sz w:val="20"/>
                <w:szCs w:val="20"/>
              </w:rPr>
            </w:pPr>
            <w:r w:rsidRPr="5CF61BAE">
              <w:rPr>
                <w:sz w:val="16"/>
                <w:szCs w:val="16"/>
              </w:rPr>
              <w:t>GIZ, Jordanian-German cooperation</w:t>
            </w:r>
          </w:p>
        </w:tc>
        <w:tc>
          <w:tcPr>
            <w:tcW w:w="5245" w:type="dxa"/>
            <w:tcBorders>
              <w:top w:val="nil"/>
              <w:left w:val="nil"/>
              <w:bottom w:val="single" w:sz="4" w:space="0" w:color="auto"/>
              <w:right w:val="single" w:sz="4" w:space="0" w:color="auto"/>
            </w:tcBorders>
            <w:shd w:val="clear" w:color="auto" w:fill="auto"/>
            <w:vAlign w:val="bottom"/>
            <w:hideMark/>
          </w:tcPr>
          <w:p w14:paraId="7C977BD6" w14:textId="3A553A56" w:rsidR="5CF61BAE" w:rsidRDefault="5CF61BAE" w:rsidP="5CF61BAE">
            <w:pPr>
              <w:jc w:val="center"/>
              <w:rPr>
                <w:sz w:val="18"/>
                <w:szCs w:val="18"/>
              </w:rPr>
            </w:pPr>
            <w:r w:rsidRPr="5CF61BAE">
              <w:rPr>
                <w:sz w:val="16"/>
                <w:szCs w:val="16"/>
              </w:rPr>
              <w:t>GIZ is working with key public institutions to ensure that labour market policy measures achieve its desired effects and lead to sustainable investments and lasting employment opportunities</w:t>
            </w:r>
            <w:r w:rsidRPr="5CF61BAE">
              <w:rPr>
                <w:sz w:val="18"/>
                <w:szCs w:val="18"/>
              </w:rPr>
              <w:t>.</w:t>
            </w:r>
          </w:p>
        </w:tc>
      </w:tr>
      <w:tr w:rsidR="006E6F47" w:rsidRPr="005D413A" w14:paraId="3267B1AE" w14:textId="77777777" w:rsidTr="002D6FF3">
        <w:trPr>
          <w:trHeight w:val="576"/>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0CB3684" w14:textId="77777777" w:rsidR="006E6F47" w:rsidRPr="005D413A" w:rsidRDefault="719E4E2C" w:rsidP="006E6F47">
            <w:pPr>
              <w:jc w:val="center"/>
              <w:rPr>
                <w:color w:val="000000"/>
                <w:sz w:val="16"/>
                <w:szCs w:val="16"/>
              </w:rPr>
            </w:pPr>
            <w:r w:rsidRPr="4D27054C">
              <w:rPr>
                <w:color w:val="000000" w:themeColor="text1"/>
                <w:sz w:val="16"/>
                <w:szCs w:val="16"/>
              </w:rPr>
              <w:t>General Federation of Jordanian Trade Unions, Head of International Cooperation</w:t>
            </w:r>
          </w:p>
        </w:tc>
        <w:tc>
          <w:tcPr>
            <w:tcW w:w="5245" w:type="dxa"/>
            <w:tcBorders>
              <w:top w:val="nil"/>
              <w:left w:val="nil"/>
              <w:bottom w:val="single" w:sz="4" w:space="0" w:color="auto"/>
              <w:right w:val="single" w:sz="4" w:space="0" w:color="auto"/>
            </w:tcBorders>
            <w:shd w:val="clear" w:color="auto" w:fill="auto"/>
            <w:vAlign w:val="bottom"/>
            <w:hideMark/>
          </w:tcPr>
          <w:p w14:paraId="3EF75AEB" w14:textId="77777777" w:rsidR="006E6F47" w:rsidRPr="005D413A" w:rsidRDefault="719E4E2C" w:rsidP="006E6F47">
            <w:pPr>
              <w:jc w:val="center"/>
              <w:rPr>
                <w:color w:val="000000"/>
                <w:sz w:val="16"/>
                <w:szCs w:val="16"/>
              </w:rPr>
            </w:pPr>
            <w:r w:rsidRPr="4D27054C">
              <w:rPr>
                <w:color w:val="000000" w:themeColor="text1"/>
                <w:sz w:val="16"/>
                <w:szCs w:val="16"/>
              </w:rPr>
              <w:t>Represent the syndicate and union domain in relation to the project.</w:t>
            </w:r>
          </w:p>
        </w:tc>
      </w:tr>
      <w:tr w:rsidR="006E6F47" w:rsidRPr="005D413A" w14:paraId="4C76EC35" w14:textId="77777777" w:rsidTr="002D6FF3">
        <w:trPr>
          <w:trHeight w:val="419"/>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F181E8D" w14:textId="77777777" w:rsidR="006E6F47" w:rsidRPr="005D413A" w:rsidRDefault="006E6F47" w:rsidP="006E6F47">
            <w:pPr>
              <w:jc w:val="center"/>
              <w:rPr>
                <w:color w:val="000000"/>
                <w:sz w:val="16"/>
                <w:szCs w:val="16"/>
              </w:rPr>
            </w:pPr>
            <w:r w:rsidRPr="005D413A">
              <w:rPr>
                <w:color w:val="000000"/>
                <w:sz w:val="16"/>
                <w:szCs w:val="16"/>
              </w:rPr>
              <w:t>Parliamentarian (Head of Women Committee)</w:t>
            </w:r>
          </w:p>
        </w:tc>
        <w:tc>
          <w:tcPr>
            <w:tcW w:w="5245" w:type="dxa"/>
            <w:tcBorders>
              <w:top w:val="nil"/>
              <w:left w:val="nil"/>
              <w:bottom w:val="single" w:sz="4" w:space="0" w:color="auto"/>
              <w:right w:val="single" w:sz="4" w:space="0" w:color="auto"/>
            </w:tcBorders>
            <w:shd w:val="clear" w:color="auto" w:fill="auto"/>
            <w:vAlign w:val="bottom"/>
            <w:hideMark/>
          </w:tcPr>
          <w:p w14:paraId="6B58E5DB" w14:textId="77777777" w:rsidR="006E6F47" w:rsidRPr="005D413A" w:rsidRDefault="719E4E2C" w:rsidP="006E6F47">
            <w:pPr>
              <w:jc w:val="center"/>
              <w:rPr>
                <w:color w:val="000000"/>
                <w:sz w:val="16"/>
                <w:szCs w:val="16"/>
              </w:rPr>
            </w:pPr>
            <w:r w:rsidRPr="4D27054C">
              <w:rPr>
                <w:color w:val="000000" w:themeColor="text1"/>
                <w:sz w:val="16"/>
                <w:szCs w:val="16"/>
              </w:rPr>
              <w:t xml:space="preserve">Policy makers and key influencial people </w:t>
            </w:r>
          </w:p>
        </w:tc>
      </w:tr>
      <w:tr w:rsidR="006E6F47" w:rsidRPr="005D413A" w14:paraId="35342829" w14:textId="77777777" w:rsidTr="002D6FF3">
        <w:trPr>
          <w:trHeight w:val="42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09508B98" w14:textId="77777777" w:rsidR="006E6F47" w:rsidRPr="005D413A" w:rsidRDefault="719E4E2C" w:rsidP="006E6F47">
            <w:pPr>
              <w:jc w:val="center"/>
              <w:rPr>
                <w:color w:val="000000"/>
                <w:sz w:val="16"/>
                <w:szCs w:val="16"/>
              </w:rPr>
            </w:pPr>
            <w:r w:rsidRPr="4D27054C">
              <w:rPr>
                <w:color w:val="000000" w:themeColor="text1"/>
                <w:sz w:val="16"/>
                <w:szCs w:val="16"/>
              </w:rPr>
              <w:t>Parliamentarian ( Head of Labor and Investment Committee)</w:t>
            </w:r>
          </w:p>
        </w:tc>
        <w:tc>
          <w:tcPr>
            <w:tcW w:w="5245" w:type="dxa"/>
            <w:tcBorders>
              <w:top w:val="nil"/>
              <w:left w:val="nil"/>
              <w:bottom w:val="single" w:sz="4" w:space="0" w:color="auto"/>
              <w:right w:val="single" w:sz="4" w:space="0" w:color="auto"/>
            </w:tcBorders>
            <w:shd w:val="clear" w:color="auto" w:fill="auto"/>
            <w:vAlign w:val="bottom"/>
            <w:hideMark/>
          </w:tcPr>
          <w:p w14:paraId="7207EDA1" w14:textId="77777777" w:rsidR="006E6F47" w:rsidRPr="005D413A" w:rsidRDefault="719E4E2C" w:rsidP="006E6F47">
            <w:pPr>
              <w:jc w:val="center"/>
              <w:rPr>
                <w:color w:val="000000"/>
                <w:sz w:val="16"/>
                <w:szCs w:val="16"/>
              </w:rPr>
            </w:pPr>
            <w:r w:rsidRPr="4D27054C">
              <w:rPr>
                <w:color w:val="000000" w:themeColor="text1"/>
                <w:sz w:val="16"/>
                <w:szCs w:val="16"/>
              </w:rPr>
              <w:t xml:space="preserve">Policy makers and key influencial people </w:t>
            </w:r>
          </w:p>
        </w:tc>
      </w:tr>
      <w:tr w:rsidR="006E6F47" w:rsidRPr="005D413A" w14:paraId="1935D90A"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2E151310" w14:textId="77777777" w:rsidR="006E6F47" w:rsidRPr="005D413A" w:rsidRDefault="719E4E2C" w:rsidP="006E6F47">
            <w:pPr>
              <w:rPr>
                <w:b/>
                <w:bCs/>
                <w:color w:val="000000"/>
                <w:sz w:val="16"/>
                <w:szCs w:val="16"/>
              </w:rPr>
            </w:pPr>
            <w:r w:rsidRPr="4D27054C">
              <w:rPr>
                <w:b/>
                <w:bCs/>
                <w:color w:val="000000" w:themeColor="text1"/>
                <w:sz w:val="16"/>
                <w:szCs w:val="16"/>
              </w:rPr>
              <w:t xml:space="preserve">Egypt </w:t>
            </w:r>
          </w:p>
        </w:tc>
        <w:tc>
          <w:tcPr>
            <w:tcW w:w="5245" w:type="dxa"/>
            <w:tcBorders>
              <w:top w:val="nil"/>
              <w:left w:val="nil"/>
              <w:bottom w:val="single" w:sz="4" w:space="0" w:color="auto"/>
              <w:right w:val="single" w:sz="4" w:space="0" w:color="auto"/>
            </w:tcBorders>
            <w:shd w:val="clear" w:color="auto" w:fill="B4C6E7" w:themeFill="accent1" w:themeFillTint="66"/>
            <w:noWrap/>
            <w:vAlign w:val="bottom"/>
            <w:hideMark/>
          </w:tcPr>
          <w:p w14:paraId="79890947" w14:textId="77777777" w:rsidR="006E6F47" w:rsidRPr="005D413A" w:rsidRDefault="006E6F47" w:rsidP="006E6F47">
            <w:pPr>
              <w:rPr>
                <w:color w:val="000000"/>
                <w:sz w:val="16"/>
                <w:szCs w:val="16"/>
              </w:rPr>
            </w:pPr>
            <w:r w:rsidRPr="005D413A">
              <w:rPr>
                <w:color w:val="000000"/>
                <w:sz w:val="16"/>
                <w:szCs w:val="16"/>
              </w:rPr>
              <w:t> </w:t>
            </w:r>
          </w:p>
        </w:tc>
      </w:tr>
      <w:tr w:rsidR="006E6F47" w:rsidRPr="005D413A" w14:paraId="0E7D192D" w14:textId="77777777" w:rsidTr="002D6FF3">
        <w:trPr>
          <w:trHeight w:val="271"/>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1D40C01" w14:textId="77777777" w:rsidR="006E6F47" w:rsidRPr="005D413A" w:rsidRDefault="006E6F47" w:rsidP="006E6F47">
            <w:pPr>
              <w:jc w:val="center"/>
              <w:rPr>
                <w:color w:val="000000"/>
                <w:sz w:val="16"/>
                <w:szCs w:val="16"/>
              </w:rPr>
            </w:pPr>
            <w:r w:rsidRPr="005D413A">
              <w:rPr>
                <w:color w:val="000000"/>
                <w:sz w:val="16"/>
                <w:szCs w:val="16"/>
              </w:rPr>
              <w:t>Ministry of Planning &amp; Economic Development (MPED)  </w:t>
            </w:r>
          </w:p>
        </w:tc>
        <w:tc>
          <w:tcPr>
            <w:tcW w:w="5245" w:type="dxa"/>
            <w:tcBorders>
              <w:top w:val="nil"/>
              <w:left w:val="nil"/>
              <w:bottom w:val="single" w:sz="4" w:space="0" w:color="auto"/>
              <w:right w:val="single" w:sz="4" w:space="0" w:color="auto"/>
            </w:tcBorders>
            <w:shd w:val="clear" w:color="auto" w:fill="auto"/>
            <w:vAlign w:val="bottom"/>
            <w:hideMark/>
          </w:tcPr>
          <w:p w14:paraId="7EDD651E" w14:textId="77777777" w:rsidR="006E6F47" w:rsidRPr="005D413A" w:rsidRDefault="006E6F47" w:rsidP="006E6F47">
            <w:pPr>
              <w:jc w:val="center"/>
              <w:rPr>
                <w:color w:val="000000"/>
                <w:sz w:val="16"/>
                <w:szCs w:val="16"/>
              </w:rPr>
            </w:pPr>
            <w:r w:rsidRPr="005D413A">
              <w:rPr>
                <w:color w:val="000000"/>
                <w:sz w:val="16"/>
                <w:szCs w:val="16"/>
              </w:rPr>
              <w:t>Deputy of Minister of MPED  </w:t>
            </w:r>
          </w:p>
        </w:tc>
      </w:tr>
      <w:tr w:rsidR="006E6F47" w:rsidRPr="005D413A" w14:paraId="46B007F4" w14:textId="77777777" w:rsidTr="002D6FF3">
        <w:trPr>
          <w:trHeight w:val="340"/>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03B8EC3" w14:textId="77777777" w:rsidR="006E6F47" w:rsidRPr="005D413A" w:rsidRDefault="006E6F47" w:rsidP="006E6F47">
            <w:pPr>
              <w:jc w:val="center"/>
              <w:rPr>
                <w:color w:val="000000"/>
                <w:sz w:val="16"/>
                <w:szCs w:val="16"/>
              </w:rPr>
            </w:pPr>
            <w:r w:rsidRPr="005D413A">
              <w:rPr>
                <w:color w:val="000000"/>
                <w:sz w:val="16"/>
                <w:szCs w:val="16"/>
              </w:rPr>
              <w:t> </w:t>
            </w:r>
          </w:p>
        </w:tc>
        <w:tc>
          <w:tcPr>
            <w:tcW w:w="5245" w:type="dxa"/>
            <w:tcBorders>
              <w:top w:val="nil"/>
              <w:left w:val="nil"/>
              <w:bottom w:val="single" w:sz="4" w:space="0" w:color="auto"/>
              <w:right w:val="single" w:sz="4" w:space="0" w:color="auto"/>
            </w:tcBorders>
            <w:shd w:val="clear" w:color="auto" w:fill="auto"/>
            <w:vAlign w:val="bottom"/>
            <w:hideMark/>
          </w:tcPr>
          <w:p w14:paraId="37E0D09E" w14:textId="77777777" w:rsidR="006E6F47" w:rsidRPr="005D413A" w:rsidRDefault="006E6F47" w:rsidP="006E6F47">
            <w:pPr>
              <w:jc w:val="center"/>
              <w:rPr>
                <w:color w:val="000000"/>
                <w:sz w:val="16"/>
                <w:szCs w:val="16"/>
              </w:rPr>
            </w:pPr>
            <w:r w:rsidRPr="005D413A">
              <w:rPr>
                <w:color w:val="000000"/>
                <w:sz w:val="16"/>
                <w:szCs w:val="16"/>
              </w:rPr>
              <w:t>Head of Labor Market Policies Unit </w:t>
            </w:r>
          </w:p>
        </w:tc>
      </w:tr>
      <w:tr w:rsidR="006E6F47" w:rsidRPr="005D413A" w14:paraId="2C3C6E6E" w14:textId="77777777" w:rsidTr="002D6FF3">
        <w:trPr>
          <w:trHeight w:val="237"/>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6A2DEB36" w14:textId="77777777" w:rsidR="006E6F47" w:rsidRPr="005D413A" w:rsidRDefault="719E4E2C" w:rsidP="006E6F47">
            <w:pPr>
              <w:jc w:val="center"/>
              <w:rPr>
                <w:color w:val="000000"/>
                <w:sz w:val="16"/>
                <w:szCs w:val="16"/>
              </w:rPr>
            </w:pPr>
            <w:r w:rsidRPr="4D27054C">
              <w:rPr>
                <w:color w:val="000000" w:themeColor="text1"/>
                <w:sz w:val="16"/>
                <w:szCs w:val="16"/>
              </w:rPr>
              <w:t>Care Egypt </w:t>
            </w:r>
          </w:p>
        </w:tc>
        <w:tc>
          <w:tcPr>
            <w:tcW w:w="5245" w:type="dxa"/>
            <w:tcBorders>
              <w:top w:val="nil"/>
              <w:left w:val="nil"/>
              <w:bottom w:val="single" w:sz="4" w:space="0" w:color="auto"/>
              <w:right w:val="single" w:sz="4" w:space="0" w:color="auto"/>
            </w:tcBorders>
            <w:shd w:val="clear" w:color="auto" w:fill="auto"/>
            <w:vAlign w:val="bottom"/>
            <w:hideMark/>
          </w:tcPr>
          <w:p w14:paraId="7EA57312" w14:textId="77777777" w:rsidR="006E6F47" w:rsidRPr="005D413A" w:rsidRDefault="006E6F47" w:rsidP="006E6F47">
            <w:pPr>
              <w:jc w:val="center"/>
              <w:rPr>
                <w:color w:val="000000"/>
                <w:sz w:val="16"/>
                <w:szCs w:val="16"/>
              </w:rPr>
            </w:pPr>
            <w:r w:rsidRPr="005D413A">
              <w:rPr>
                <w:color w:val="000000"/>
                <w:sz w:val="16"/>
                <w:szCs w:val="16"/>
              </w:rPr>
              <w:t>Women Economic Empowerment Programme Director </w:t>
            </w:r>
          </w:p>
        </w:tc>
      </w:tr>
      <w:tr w:rsidR="006E6F47" w:rsidRPr="005D413A" w14:paraId="400EBDB2" w14:textId="77777777" w:rsidTr="002D6FF3">
        <w:trPr>
          <w:trHeight w:val="269"/>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2565333A" w14:textId="77777777" w:rsidR="006E6F47" w:rsidRPr="005D413A" w:rsidRDefault="719E4E2C" w:rsidP="006E6F47">
            <w:pPr>
              <w:jc w:val="center"/>
              <w:rPr>
                <w:color w:val="000000"/>
                <w:sz w:val="16"/>
                <w:szCs w:val="16"/>
              </w:rPr>
            </w:pPr>
            <w:r w:rsidRPr="4D27054C">
              <w:rPr>
                <w:color w:val="000000" w:themeColor="text1"/>
                <w:sz w:val="16"/>
                <w:szCs w:val="16"/>
              </w:rPr>
              <w:t>Plan International </w:t>
            </w:r>
          </w:p>
        </w:tc>
        <w:tc>
          <w:tcPr>
            <w:tcW w:w="5245" w:type="dxa"/>
            <w:tcBorders>
              <w:top w:val="nil"/>
              <w:left w:val="nil"/>
              <w:bottom w:val="single" w:sz="4" w:space="0" w:color="auto"/>
              <w:right w:val="single" w:sz="4" w:space="0" w:color="auto"/>
            </w:tcBorders>
            <w:shd w:val="clear" w:color="auto" w:fill="auto"/>
            <w:vAlign w:val="bottom"/>
            <w:hideMark/>
          </w:tcPr>
          <w:p w14:paraId="366AF390" w14:textId="77777777" w:rsidR="006E6F47" w:rsidRPr="005D413A" w:rsidRDefault="719E4E2C" w:rsidP="006E6F47">
            <w:pPr>
              <w:jc w:val="center"/>
              <w:rPr>
                <w:color w:val="000000"/>
                <w:sz w:val="16"/>
                <w:szCs w:val="16"/>
              </w:rPr>
            </w:pPr>
            <w:r w:rsidRPr="4D27054C">
              <w:rPr>
                <w:color w:val="000000" w:themeColor="text1"/>
                <w:sz w:val="16"/>
                <w:szCs w:val="16"/>
              </w:rPr>
              <w:t>Director for Women Economic Empowerment </w:t>
            </w:r>
          </w:p>
        </w:tc>
      </w:tr>
      <w:tr w:rsidR="006E6F47" w:rsidRPr="005D413A" w14:paraId="2F1DF47B" w14:textId="77777777" w:rsidTr="002D6FF3">
        <w:trPr>
          <w:trHeight w:val="305"/>
        </w:trPr>
        <w:tc>
          <w:tcPr>
            <w:tcW w:w="3397" w:type="dxa"/>
            <w:vMerge w:val="restart"/>
            <w:tcBorders>
              <w:top w:val="nil"/>
              <w:left w:val="single" w:sz="4" w:space="0" w:color="auto"/>
              <w:bottom w:val="single" w:sz="4" w:space="0" w:color="auto"/>
              <w:right w:val="single" w:sz="4" w:space="0" w:color="auto"/>
            </w:tcBorders>
            <w:shd w:val="clear" w:color="auto" w:fill="auto"/>
            <w:vAlign w:val="bottom"/>
            <w:hideMark/>
          </w:tcPr>
          <w:p w14:paraId="10901C1A" w14:textId="77777777" w:rsidR="006E6F47" w:rsidRPr="005D413A" w:rsidRDefault="006E6F47" w:rsidP="006E6F47">
            <w:pPr>
              <w:jc w:val="center"/>
              <w:rPr>
                <w:color w:val="000000"/>
                <w:sz w:val="16"/>
                <w:szCs w:val="16"/>
              </w:rPr>
            </w:pPr>
            <w:r w:rsidRPr="005D413A">
              <w:rPr>
                <w:color w:val="000000"/>
                <w:sz w:val="16"/>
                <w:szCs w:val="16"/>
              </w:rPr>
              <w:t>UNICEF Egypt </w:t>
            </w:r>
          </w:p>
        </w:tc>
        <w:tc>
          <w:tcPr>
            <w:tcW w:w="5245" w:type="dxa"/>
            <w:tcBorders>
              <w:top w:val="nil"/>
              <w:left w:val="nil"/>
              <w:bottom w:val="single" w:sz="4" w:space="0" w:color="auto"/>
              <w:right w:val="single" w:sz="4" w:space="0" w:color="auto"/>
            </w:tcBorders>
            <w:shd w:val="clear" w:color="auto" w:fill="auto"/>
            <w:vAlign w:val="bottom"/>
            <w:hideMark/>
          </w:tcPr>
          <w:p w14:paraId="0392BB09" w14:textId="77777777" w:rsidR="006E6F47" w:rsidRPr="005D413A" w:rsidRDefault="006E6F47" w:rsidP="006E6F47">
            <w:pPr>
              <w:jc w:val="center"/>
              <w:rPr>
                <w:color w:val="000000"/>
                <w:sz w:val="16"/>
                <w:szCs w:val="16"/>
              </w:rPr>
            </w:pPr>
            <w:r w:rsidRPr="005D413A">
              <w:rPr>
                <w:color w:val="000000"/>
                <w:sz w:val="16"/>
                <w:szCs w:val="16"/>
              </w:rPr>
              <w:t>Private Sector &amp; Partnerships Consultant </w:t>
            </w:r>
          </w:p>
        </w:tc>
      </w:tr>
      <w:tr w:rsidR="006E6F47" w:rsidRPr="005D413A" w14:paraId="60F2FAA9" w14:textId="77777777" w:rsidTr="002D6FF3">
        <w:tblPrEx>
          <w:tblW w:w="8642" w:type="dxa"/>
          <w:tblLayout w:type="fixed"/>
          <w:tblPrExChange w:id="43" w:author="Chaitali Chattopadhyay" w:date="2022-02-14T10:44:00Z">
            <w:tblPrEx>
              <w:tblW w:w="7650" w:type="dxa"/>
              <w:tblLayout w:type="fixed"/>
            </w:tblPrEx>
          </w:tblPrExChange>
        </w:tblPrEx>
        <w:trPr>
          <w:trHeight w:val="151"/>
          <w:trPrChange w:id="44" w:author="Chaitali Chattopadhyay" w:date="2022-02-14T10:44:00Z">
            <w:trPr>
              <w:gridAfter w:val="0"/>
            </w:trPr>
          </w:trPrChange>
        </w:trPr>
        <w:tc>
          <w:tcPr>
            <w:tcW w:w="3397" w:type="dxa"/>
            <w:vMerge/>
            <w:vAlign w:val="center"/>
            <w:hideMark/>
            <w:tcPrChange w:id="45" w:author="Chaitali Chattopadhyay" w:date="2022-02-14T10:44:00Z">
              <w:tcPr>
                <w:tcW w:w="0" w:type="auto"/>
                <w:gridSpan w:val="2"/>
                <w:vMerge/>
                <w:hideMark/>
              </w:tcPr>
            </w:tcPrChange>
          </w:tcPr>
          <w:p w14:paraId="2B38CC9B" w14:textId="77777777" w:rsidR="006E6F47" w:rsidRPr="005D413A" w:rsidRDefault="006E6F47" w:rsidP="006E6F47">
            <w:pPr>
              <w:rPr>
                <w:color w:val="000000"/>
                <w:sz w:val="16"/>
                <w:szCs w:val="16"/>
              </w:rPr>
            </w:pPr>
          </w:p>
        </w:tc>
        <w:tc>
          <w:tcPr>
            <w:tcW w:w="5245" w:type="dxa"/>
            <w:tcBorders>
              <w:top w:val="nil"/>
              <w:left w:val="nil"/>
              <w:bottom w:val="single" w:sz="4" w:space="0" w:color="auto"/>
              <w:right w:val="single" w:sz="4" w:space="0" w:color="auto"/>
            </w:tcBorders>
            <w:shd w:val="clear" w:color="auto" w:fill="auto"/>
            <w:vAlign w:val="bottom"/>
            <w:hideMark/>
            <w:tcPrChange w:id="46" w:author="Chaitali Chattopadhyay" w:date="2022-02-14T10:44:00Z">
              <w:tcPr>
                <w:tcW w:w="3969" w:type="dxa"/>
                <w:tcBorders>
                  <w:top w:val="nil"/>
                  <w:left w:val="nil"/>
                  <w:bottom w:val="single" w:sz="4" w:space="0" w:color="auto"/>
                  <w:right w:val="single" w:sz="4" w:space="0" w:color="auto"/>
                </w:tcBorders>
                <w:shd w:val="clear" w:color="auto" w:fill="auto"/>
                <w:vAlign w:val="bottom"/>
                <w:hideMark/>
              </w:tcPr>
            </w:tcPrChange>
          </w:tcPr>
          <w:p w14:paraId="3D0E1972" w14:textId="77777777" w:rsidR="006E6F47" w:rsidRPr="005D413A" w:rsidRDefault="006E6F47" w:rsidP="006E6F47">
            <w:pPr>
              <w:jc w:val="center"/>
              <w:rPr>
                <w:color w:val="000000"/>
                <w:sz w:val="16"/>
                <w:szCs w:val="16"/>
              </w:rPr>
            </w:pPr>
            <w:r w:rsidRPr="005D413A">
              <w:rPr>
                <w:color w:val="000000"/>
                <w:sz w:val="16"/>
                <w:szCs w:val="16"/>
              </w:rPr>
              <w:t>ECD Manager </w:t>
            </w:r>
          </w:p>
        </w:tc>
      </w:tr>
      <w:tr w:rsidR="006E6F47" w:rsidRPr="005D413A" w14:paraId="7DA9FEEA" w14:textId="77777777" w:rsidTr="002D6FF3">
        <w:trPr>
          <w:trHeight w:val="183"/>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648713D6" w14:textId="77777777" w:rsidR="006E6F47" w:rsidRPr="005D413A" w:rsidRDefault="006E6F47" w:rsidP="006E6F47">
            <w:pPr>
              <w:jc w:val="center"/>
              <w:rPr>
                <w:color w:val="000000"/>
                <w:sz w:val="16"/>
                <w:szCs w:val="16"/>
              </w:rPr>
            </w:pPr>
            <w:r w:rsidRPr="005D413A">
              <w:rPr>
                <w:color w:val="000000"/>
                <w:sz w:val="16"/>
                <w:szCs w:val="16"/>
              </w:rPr>
              <w:t>World Bank</w:t>
            </w:r>
          </w:p>
        </w:tc>
        <w:tc>
          <w:tcPr>
            <w:tcW w:w="5245" w:type="dxa"/>
            <w:tcBorders>
              <w:top w:val="nil"/>
              <w:left w:val="nil"/>
              <w:bottom w:val="single" w:sz="4" w:space="0" w:color="auto"/>
              <w:right w:val="single" w:sz="4" w:space="0" w:color="auto"/>
            </w:tcBorders>
            <w:shd w:val="clear" w:color="auto" w:fill="auto"/>
            <w:vAlign w:val="bottom"/>
            <w:hideMark/>
          </w:tcPr>
          <w:p w14:paraId="2D10EEE8" w14:textId="77777777" w:rsidR="006E6F47" w:rsidRPr="005D413A" w:rsidRDefault="006E6F47" w:rsidP="006E6F47">
            <w:pPr>
              <w:jc w:val="center"/>
              <w:rPr>
                <w:color w:val="000000"/>
                <w:sz w:val="16"/>
                <w:szCs w:val="16"/>
              </w:rPr>
            </w:pPr>
            <w:r w:rsidRPr="005D413A">
              <w:rPr>
                <w:color w:val="000000"/>
                <w:sz w:val="16"/>
                <w:szCs w:val="16"/>
              </w:rPr>
              <w:t> </w:t>
            </w:r>
          </w:p>
        </w:tc>
      </w:tr>
      <w:tr w:rsidR="006E6F47" w:rsidRPr="005D413A" w14:paraId="0E6B0EC6" w14:textId="77777777" w:rsidTr="002D6FF3">
        <w:trPr>
          <w:trHeight w:val="258"/>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DA53F88" w14:textId="77777777" w:rsidR="006E6F47" w:rsidRPr="005D413A" w:rsidRDefault="719E4E2C" w:rsidP="006E6F47">
            <w:pPr>
              <w:jc w:val="center"/>
              <w:rPr>
                <w:color w:val="000000"/>
                <w:sz w:val="16"/>
                <w:szCs w:val="16"/>
              </w:rPr>
            </w:pPr>
            <w:r w:rsidRPr="4D27054C">
              <w:rPr>
                <w:color w:val="000000" w:themeColor="text1"/>
                <w:sz w:val="16"/>
                <w:szCs w:val="16"/>
              </w:rPr>
              <w:t xml:space="preserve">Food processing sector </w:t>
            </w:r>
          </w:p>
        </w:tc>
        <w:tc>
          <w:tcPr>
            <w:tcW w:w="5245" w:type="dxa"/>
            <w:tcBorders>
              <w:top w:val="nil"/>
              <w:left w:val="nil"/>
              <w:bottom w:val="single" w:sz="4" w:space="0" w:color="auto"/>
              <w:right w:val="single" w:sz="4" w:space="0" w:color="auto"/>
            </w:tcBorders>
            <w:shd w:val="clear" w:color="auto" w:fill="auto"/>
            <w:vAlign w:val="bottom"/>
            <w:hideMark/>
          </w:tcPr>
          <w:p w14:paraId="47832D3B" w14:textId="77777777" w:rsidR="006E6F47" w:rsidRPr="005D413A" w:rsidRDefault="006E6F47" w:rsidP="006E6F47">
            <w:pPr>
              <w:jc w:val="center"/>
              <w:rPr>
                <w:color w:val="000000"/>
                <w:sz w:val="16"/>
                <w:szCs w:val="16"/>
              </w:rPr>
            </w:pPr>
            <w:r w:rsidRPr="005D413A">
              <w:rPr>
                <w:color w:val="000000"/>
                <w:sz w:val="16"/>
                <w:szCs w:val="16"/>
              </w:rPr>
              <w:t xml:space="preserve">One of the private sector companies' representatives </w:t>
            </w:r>
          </w:p>
        </w:tc>
      </w:tr>
      <w:tr w:rsidR="006E6F47" w:rsidRPr="005D413A" w14:paraId="43DFEB22"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3C226958" w14:textId="77777777" w:rsidR="006E6F47" w:rsidRPr="005D413A" w:rsidRDefault="006E6F47" w:rsidP="006E6F47">
            <w:pPr>
              <w:rPr>
                <w:b/>
                <w:bCs/>
                <w:color w:val="000000"/>
                <w:sz w:val="16"/>
                <w:szCs w:val="16"/>
              </w:rPr>
            </w:pPr>
            <w:r w:rsidRPr="005D413A">
              <w:rPr>
                <w:b/>
                <w:bCs/>
                <w:color w:val="000000"/>
                <w:sz w:val="16"/>
                <w:szCs w:val="16"/>
              </w:rPr>
              <w:t xml:space="preserve">Palestine </w:t>
            </w:r>
          </w:p>
        </w:tc>
        <w:tc>
          <w:tcPr>
            <w:tcW w:w="5245" w:type="dxa"/>
            <w:tcBorders>
              <w:top w:val="nil"/>
              <w:left w:val="nil"/>
              <w:bottom w:val="single" w:sz="4" w:space="0" w:color="auto"/>
              <w:right w:val="single" w:sz="4" w:space="0" w:color="auto"/>
            </w:tcBorders>
            <w:shd w:val="clear" w:color="auto" w:fill="B4C6E7" w:themeFill="accent1" w:themeFillTint="66"/>
            <w:noWrap/>
            <w:vAlign w:val="bottom"/>
            <w:hideMark/>
          </w:tcPr>
          <w:p w14:paraId="0F301D47" w14:textId="77777777" w:rsidR="006E6F47" w:rsidRPr="005D413A" w:rsidRDefault="006E6F47" w:rsidP="006E6F47">
            <w:pPr>
              <w:rPr>
                <w:b/>
                <w:bCs/>
                <w:color w:val="000000"/>
                <w:sz w:val="16"/>
                <w:szCs w:val="16"/>
              </w:rPr>
            </w:pPr>
            <w:r w:rsidRPr="005D413A">
              <w:rPr>
                <w:b/>
                <w:bCs/>
                <w:color w:val="000000"/>
                <w:sz w:val="16"/>
                <w:szCs w:val="16"/>
              </w:rPr>
              <w:t> </w:t>
            </w:r>
          </w:p>
        </w:tc>
      </w:tr>
      <w:tr w:rsidR="006E6F47" w:rsidRPr="005D413A" w14:paraId="03DAF25B"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04C55FD" w14:textId="77777777" w:rsidR="006E6F47" w:rsidRPr="005D413A" w:rsidRDefault="006E6F47" w:rsidP="006E6F47">
            <w:pPr>
              <w:jc w:val="center"/>
              <w:rPr>
                <w:color w:val="000000"/>
                <w:sz w:val="16"/>
                <w:szCs w:val="16"/>
              </w:rPr>
            </w:pPr>
            <w:r w:rsidRPr="005D413A">
              <w:rPr>
                <w:color w:val="000000"/>
                <w:sz w:val="16"/>
                <w:szCs w:val="16"/>
              </w:rPr>
              <w:t>World Bank </w:t>
            </w:r>
          </w:p>
        </w:tc>
        <w:tc>
          <w:tcPr>
            <w:tcW w:w="5245" w:type="dxa"/>
            <w:tcBorders>
              <w:top w:val="nil"/>
              <w:left w:val="nil"/>
              <w:bottom w:val="single" w:sz="4" w:space="0" w:color="auto"/>
              <w:right w:val="single" w:sz="4" w:space="0" w:color="auto"/>
            </w:tcBorders>
            <w:shd w:val="clear" w:color="auto" w:fill="auto"/>
            <w:noWrap/>
            <w:vAlign w:val="bottom"/>
            <w:hideMark/>
          </w:tcPr>
          <w:p w14:paraId="0B8B8E33" w14:textId="77777777" w:rsidR="006E6F47" w:rsidRPr="005D413A" w:rsidRDefault="006E6F47" w:rsidP="006E6F47">
            <w:pPr>
              <w:jc w:val="center"/>
              <w:rPr>
                <w:color w:val="000000"/>
                <w:sz w:val="16"/>
                <w:szCs w:val="16"/>
              </w:rPr>
            </w:pPr>
            <w:r w:rsidRPr="005D413A">
              <w:rPr>
                <w:color w:val="000000"/>
                <w:sz w:val="16"/>
                <w:szCs w:val="16"/>
              </w:rPr>
              <w:t> </w:t>
            </w:r>
          </w:p>
        </w:tc>
      </w:tr>
      <w:tr w:rsidR="006E6F47" w:rsidRPr="005D413A" w14:paraId="10887328" w14:textId="77777777" w:rsidTr="002D6FF3">
        <w:trPr>
          <w:trHeight w:val="684"/>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5EBB8F9" w14:textId="77777777" w:rsidR="000A58EA" w:rsidRPr="005D413A" w:rsidRDefault="006E6F47" w:rsidP="006E6F47">
            <w:pPr>
              <w:jc w:val="center"/>
              <w:rPr>
                <w:color w:val="000000"/>
                <w:sz w:val="16"/>
                <w:szCs w:val="16"/>
              </w:rPr>
            </w:pPr>
            <w:r w:rsidRPr="005D413A">
              <w:rPr>
                <w:color w:val="000000"/>
                <w:sz w:val="16"/>
                <w:szCs w:val="16"/>
              </w:rPr>
              <w:t>Deutsche Gesellschaft für Internationale Zusammenarbeit  </w:t>
            </w:r>
          </w:p>
          <w:p w14:paraId="019034EA" w14:textId="47D949A9" w:rsidR="006E6F47" w:rsidRPr="005D413A" w:rsidRDefault="719E4E2C" w:rsidP="006E6F47">
            <w:pPr>
              <w:jc w:val="center"/>
              <w:rPr>
                <w:color w:val="000000"/>
                <w:sz w:val="16"/>
                <w:szCs w:val="16"/>
              </w:rPr>
            </w:pPr>
            <w:r w:rsidRPr="4D27054C">
              <w:rPr>
                <w:color w:val="000000" w:themeColor="text1"/>
                <w:sz w:val="16"/>
                <w:szCs w:val="16"/>
              </w:rPr>
              <w:t xml:space="preserve">(GIZ ) </w:t>
            </w:r>
          </w:p>
        </w:tc>
        <w:tc>
          <w:tcPr>
            <w:tcW w:w="5245" w:type="dxa"/>
            <w:tcBorders>
              <w:top w:val="nil"/>
              <w:left w:val="nil"/>
              <w:bottom w:val="single" w:sz="4" w:space="0" w:color="auto"/>
              <w:right w:val="single" w:sz="4" w:space="0" w:color="auto"/>
            </w:tcBorders>
            <w:shd w:val="clear" w:color="auto" w:fill="auto"/>
            <w:noWrap/>
            <w:vAlign w:val="bottom"/>
            <w:hideMark/>
          </w:tcPr>
          <w:p w14:paraId="144AB182" w14:textId="77777777" w:rsidR="006E6F47" w:rsidRPr="005D413A" w:rsidRDefault="006E6F47" w:rsidP="006E6F47">
            <w:pPr>
              <w:jc w:val="center"/>
              <w:rPr>
                <w:color w:val="000000"/>
                <w:sz w:val="16"/>
                <w:szCs w:val="16"/>
              </w:rPr>
            </w:pPr>
            <w:r w:rsidRPr="005D413A">
              <w:rPr>
                <w:color w:val="000000"/>
                <w:sz w:val="16"/>
                <w:szCs w:val="16"/>
              </w:rPr>
              <w:t>International Organizations  </w:t>
            </w:r>
          </w:p>
        </w:tc>
      </w:tr>
      <w:tr w:rsidR="006E6F47" w:rsidRPr="005D413A" w14:paraId="77E2B5F9" w14:textId="77777777" w:rsidTr="002D6FF3">
        <w:trPr>
          <w:trHeight w:val="227"/>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5DB67850" w14:textId="77777777" w:rsidR="006E6F47" w:rsidRPr="005D413A" w:rsidRDefault="006E6F47" w:rsidP="006E6F47">
            <w:pPr>
              <w:jc w:val="center"/>
              <w:rPr>
                <w:color w:val="000000"/>
                <w:sz w:val="16"/>
                <w:szCs w:val="16"/>
              </w:rPr>
            </w:pPr>
            <w:r w:rsidRPr="005D413A">
              <w:rPr>
                <w:color w:val="000000"/>
                <w:sz w:val="16"/>
                <w:szCs w:val="16"/>
              </w:rPr>
              <w:t>Rosa Luxemburg Stiftung Regional Office Palestine and Jordan </w:t>
            </w:r>
          </w:p>
        </w:tc>
        <w:tc>
          <w:tcPr>
            <w:tcW w:w="5245" w:type="dxa"/>
            <w:tcBorders>
              <w:top w:val="nil"/>
              <w:left w:val="nil"/>
              <w:bottom w:val="single" w:sz="4" w:space="0" w:color="auto"/>
              <w:right w:val="single" w:sz="4" w:space="0" w:color="auto"/>
            </w:tcBorders>
            <w:shd w:val="clear" w:color="auto" w:fill="auto"/>
            <w:noWrap/>
            <w:vAlign w:val="bottom"/>
            <w:hideMark/>
          </w:tcPr>
          <w:p w14:paraId="3C327C98" w14:textId="77777777" w:rsidR="006E6F47" w:rsidRPr="005D413A" w:rsidRDefault="006E6F47" w:rsidP="006E6F47">
            <w:pPr>
              <w:jc w:val="center"/>
              <w:rPr>
                <w:color w:val="000000"/>
                <w:sz w:val="16"/>
                <w:szCs w:val="16"/>
              </w:rPr>
            </w:pPr>
            <w:r w:rsidRPr="005D413A">
              <w:rPr>
                <w:color w:val="000000"/>
                <w:sz w:val="16"/>
                <w:szCs w:val="16"/>
              </w:rPr>
              <w:t>INGO</w:t>
            </w:r>
          </w:p>
        </w:tc>
      </w:tr>
      <w:tr w:rsidR="006E6F47" w:rsidRPr="005D413A" w14:paraId="24A77CE5" w14:textId="77777777" w:rsidTr="002D6FF3">
        <w:trPr>
          <w:trHeight w:val="164"/>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F6BFABB" w14:textId="77777777" w:rsidR="006E6F47" w:rsidRPr="005D413A" w:rsidRDefault="006E6F47" w:rsidP="006E6F47">
            <w:pPr>
              <w:jc w:val="center"/>
              <w:rPr>
                <w:color w:val="000000"/>
                <w:sz w:val="16"/>
                <w:szCs w:val="16"/>
              </w:rPr>
            </w:pPr>
            <w:r w:rsidRPr="005D413A">
              <w:rPr>
                <w:color w:val="000000"/>
                <w:sz w:val="16"/>
                <w:szCs w:val="16"/>
              </w:rPr>
              <w:t>Care International </w:t>
            </w:r>
          </w:p>
        </w:tc>
        <w:tc>
          <w:tcPr>
            <w:tcW w:w="5245" w:type="dxa"/>
            <w:tcBorders>
              <w:top w:val="nil"/>
              <w:left w:val="nil"/>
              <w:bottom w:val="single" w:sz="4" w:space="0" w:color="auto"/>
              <w:right w:val="single" w:sz="4" w:space="0" w:color="auto"/>
            </w:tcBorders>
            <w:shd w:val="clear" w:color="auto" w:fill="auto"/>
            <w:noWrap/>
            <w:vAlign w:val="bottom"/>
            <w:hideMark/>
          </w:tcPr>
          <w:p w14:paraId="7C7EB9B6" w14:textId="77777777" w:rsidR="006E6F47" w:rsidRPr="005D413A" w:rsidRDefault="006E6F47" w:rsidP="006E6F47">
            <w:pPr>
              <w:jc w:val="center"/>
              <w:rPr>
                <w:color w:val="000000"/>
                <w:sz w:val="16"/>
                <w:szCs w:val="16"/>
              </w:rPr>
            </w:pPr>
            <w:r w:rsidRPr="005D413A">
              <w:rPr>
                <w:color w:val="000000"/>
                <w:sz w:val="16"/>
                <w:szCs w:val="16"/>
              </w:rPr>
              <w:t>INGO</w:t>
            </w:r>
          </w:p>
        </w:tc>
      </w:tr>
      <w:tr w:rsidR="006E6F47" w:rsidRPr="005D413A" w14:paraId="27A34876" w14:textId="77777777" w:rsidTr="002D6FF3">
        <w:trPr>
          <w:trHeight w:val="181"/>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486F27BF" w14:textId="77777777" w:rsidR="006E6F47" w:rsidRPr="00AC38DF" w:rsidRDefault="719E4E2C" w:rsidP="006E6F47">
            <w:pPr>
              <w:jc w:val="center"/>
              <w:rPr>
                <w:color w:val="000000" w:themeColor="text1"/>
              </w:rPr>
            </w:pPr>
            <w:r w:rsidRPr="4D27054C">
              <w:rPr>
                <w:color w:val="000000" w:themeColor="text1"/>
                <w:sz w:val="16"/>
                <w:szCs w:val="16"/>
              </w:rPr>
              <w:t>Lutheran World Federation </w:t>
            </w:r>
          </w:p>
        </w:tc>
        <w:tc>
          <w:tcPr>
            <w:tcW w:w="5245" w:type="dxa"/>
            <w:tcBorders>
              <w:top w:val="nil"/>
              <w:left w:val="nil"/>
              <w:bottom w:val="single" w:sz="4" w:space="0" w:color="auto"/>
              <w:right w:val="single" w:sz="4" w:space="0" w:color="auto"/>
            </w:tcBorders>
            <w:shd w:val="clear" w:color="auto" w:fill="auto"/>
            <w:vAlign w:val="bottom"/>
            <w:hideMark/>
          </w:tcPr>
          <w:p w14:paraId="6B5499F5" w14:textId="77777777" w:rsidR="006E6F47" w:rsidRPr="005D413A" w:rsidRDefault="719E4E2C" w:rsidP="006E6F47">
            <w:pPr>
              <w:jc w:val="center"/>
              <w:rPr>
                <w:color w:val="000000"/>
                <w:sz w:val="16"/>
                <w:szCs w:val="16"/>
              </w:rPr>
            </w:pPr>
            <w:r w:rsidRPr="4D27054C">
              <w:rPr>
                <w:color w:val="000000" w:themeColor="text1"/>
                <w:sz w:val="16"/>
                <w:szCs w:val="16"/>
              </w:rPr>
              <w:t>INGO</w:t>
            </w:r>
          </w:p>
        </w:tc>
      </w:tr>
      <w:tr w:rsidR="006E6F47" w:rsidRPr="005D413A" w14:paraId="44F4E063" w14:textId="77777777" w:rsidTr="002D6FF3">
        <w:trPr>
          <w:trHeight w:val="214"/>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E1FA578" w14:textId="77777777" w:rsidR="006E6F47" w:rsidRPr="00516BD4" w:rsidRDefault="719E4E2C" w:rsidP="4D27054C">
            <w:pPr>
              <w:rPr>
                <w:color w:val="000000"/>
                <w:sz w:val="16"/>
                <w:szCs w:val="16"/>
              </w:rPr>
            </w:pPr>
            <w:r w:rsidRPr="4D27054C">
              <w:rPr>
                <w:color w:val="000000" w:themeColor="text1"/>
                <w:sz w:val="16"/>
                <w:szCs w:val="16"/>
              </w:rPr>
              <w:t>Young Women Christian Association (YWCA) </w:t>
            </w:r>
          </w:p>
        </w:tc>
        <w:tc>
          <w:tcPr>
            <w:tcW w:w="5245" w:type="dxa"/>
            <w:tcBorders>
              <w:top w:val="nil"/>
              <w:left w:val="nil"/>
              <w:bottom w:val="single" w:sz="4" w:space="0" w:color="auto"/>
              <w:right w:val="single" w:sz="4" w:space="0" w:color="auto"/>
            </w:tcBorders>
            <w:shd w:val="clear" w:color="auto" w:fill="auto"/>
            <w:noWrap/>
            <w:vAlign w:val="bottom"/>
            <w:hideMark/>
          </w:tcPr>
          <w:p w14:paraId="5F1BB4D3" w14:textId="77777777" w:rsidR="006E6F47" w:rsidRPr="005D413A" w:rsidRDefault="719E4E2C" w:rsidP="006E6F47">
            <w:pPr>
              <w:jc w:val="center"/>
              <w:rPr>
                <w:color w:val="000000"/>
                <w:sz w:val="16"/>
                <w:szCs w:val="16"/>
              </w:rPr>
            </w:pPr>
            <w:r w:rsidRPr="4D27054C">
              <w:rPr>
                <w:color w:val="000000" w:themeColor="text1"/>
                <w:sz w:val="16"/>
                <w:szCs w:val="16"/>
              </w:rPr>
              <w:t>INGO</w:t>
            </w:r>
          </w:p>
        </w:tc>
      </w:tr>
      <w:tr w:rsidR="006E6F47" w:rsidRPr="005D413A" w14:paraId="4A92449B" w14:textId="77777777" w:rsidTr="002D6FF3">
        <w:trPr>
          <w:trHeight w:val="10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15118B9" w14:textId="77777777" w:rsidR="006E6F47" w:rsidRPr="005D413A" w:rsidRDefault="719E4E2C" w:rsidP="006E6F47">
            <w:pPr>
              <w:jc w:val="center"/>
              <w:rPr>
                <w:color w:val="000000"/>
                <w:sz w:val="16"/>
                <w:szCs w:val="16"/>
              </w:rPr>
            </w:pPr>
            <w:r w:rsidRPr="4D27054C">
              <w:rPr>
                <w:color w:val="000000" w:themeColor="text1"/>
                <w:sz w:val="16"/>
                <w:szCs w:val="16"/>
              </w:rPr>
              <w:t>Birzeit University </w:t>
            </w:r>
          </w:p>
        </w:tc>
        <w:tc>
          <w:tcPr>
            <w:tcW w:w="5245" w:type="dxa"/>
            <w:tcBorders>
              <w:top w:val="nil"/>
              <w:left w:val="nil"/>
              <w:bottom w:val="single" w:sz="4" w:space="0" w:color="auto"/>
              <w:right w:val="single" w:sz="4" w:space="0" w:color="auto"/>
            </w:tcBorders>
            <w:shd w:val="clear" w:color="auto" w:fill="auto"/>
            <w:noWrap/>
            <w:vAlign w:val="center"/>
            <w:hideMark/>
          </w:tcPr>
          <w:p w14:paraId="1F2E341F" w14:textId="77777777" w:rsidR="006E6F47" w:rsidRPr="005D413A" w:rsidRDefault="006E6F47" w:rsidP="006E6F47">
            <w:pPr>
              <w:jc w:val="center"/>
              <w:rPr>
                <w:color w:val="000000"/>
                <w:sz w:val="16"/>
                <w:szCs w:val="16"/>
              </w:rPr>
            </w:pPr>
            <w:r w:rsidRPr="005D413A">
              <w:rPr>
                <w:color w:val="000000"/>
                <w:sz w:val="16"/>
                <w:szCs w:val="16"/>
              </w:rPr>
              <w:t>Academia &amp; media </w:t>
            </w:r>
          </w:p>
        </w:tc>
      </w:tr>
      <w:tr w:rsidR="006E6F47" w:rsidRPr="005D413A" w14:paraId="6FC9E6BB" w14:textId="77777777" w:rsidTr="002D6FF3">
        <w:trPr>
          <w:trHeight w:val="13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85ECE41" w14:textId="0389763B" w:rsidR="006E6F47" w:rsidRPr="005D413A" w:rsidRDefault="006E6F47" w:rsidP="006E6F47">
            <w:pPr>
              <w:jc w:val="center"/>
              <w:rPr>
                <w:color w:val="000000"/>
                <w:sz w:val="16"/>
                <w:szCs w:val="16"/>
              </w:rPr>
            </w:pPr>
            <w:r w:rsidRPr="005D413A">
              <w:rPr>
                <w:color w:val="000000"/>
                <w:sz w:val="16"/>
                <w:szCs w:val="16"/>
              </w:rPr>
              <w:t>Institute of Women studies </w:t>
            </w:r>
          </w:p>
        </w:tc>
        <w:tc>
          <w:tcPr>
            <w:tcW w:w="5245" w:type="dxa"/>
            <w:tcBorders>
              <w:top w:val="nil"/>
              <w:left w:val="nil"/>
              <w:bottom w:val="single" w:sz="4" w:space="0" w:color="auto"/>
              <w:right w:val="single" w:sz="4" w:space="0" w:color="auto"/>
            </w:tcBorders>
            <w:shd w:val="clear" w:color="auto" w:fill="auto"/>
            <w:noWrap/>
            <w:vAlign w:val="bottom"/>
            <w:hideMark/>
          </w:tcPr>
          <w:p w14:paraId="181B70FA" w14:textId="77777777" w:rsidR="006E6F47" w:rsidRPr="005D413A" w:rsidRDefault="006E6F47" w:rsidP="006E6F47">
            <w:pPr>
              <w:jc w:val="center"/>
              <w:rPr>
                <w:color w:val="000000"/>
                <w:sz w:val="16"/>
                <w:szCs w:val="16"/>
              </w:rPr>
            </w:pPr>
            <w:r w:rsidRPr="005D413A">
              <w:rPr>
                <w:color w:val="000000"/>
                <w:sz w:val="16"/>
                <w:szCs w:val="16"/>
              </w:rPr>
              <w:t> </w:t>
            </w:r>
          </w:p>
        </w:tc>
      </w:tr>
      <w:tr w:rsidR="006E6F47" w:rsidRPr="005D413A" w14:paraId="57C9E0BE"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FA591D0" w14:textId="721FFD97" w:rsidR="006E6F47" w:rsidRPr="005D413A" w:rsidRDefault="006E6F47" w:rsidP="006E6F47">
            <w:pPr>
              <w:jc w:val="center"/>
              <w:rPr>
                <w:color w:val="000000"/>
                <w:sz w:val="16"/>
                <w:szCs w:val="16"/>
              </w:rPr>
            </w:pPr>
            <w:r w:rsidRPr="005D413A">
              <w:rPr>
                <w:color w:val="000000"/>
                <w:sz w:val="16"/>
                <w:szCs w:val="16"/>
              </w:rPr>
              <w:t>Media Development Center </w:t>
            </w:r>
          </w:p>
        </w:tc>
        <w:tc>
          <w:tcPr>
            <w:tcW w:w="5245" w:type="dxa"/>
            <w:tcBorders>
              <w:top w:val="nil"/>
              <w:left w:val="nil"/>
              <w:bottom w:val="single" w:sz="4" w:space="0" w:color="auto"/>
              <w:right w:val="single" w:sz="4" w:space="0" w:color="auto"/>
            </w:tcBorders>
            <w:shd w:val="clear" w:color="auto" w:fill="auto"/>
            <w:noWrap/>
            <w:vAlign w:val="bottom"/>
            <w:hideMark/>
          </w:tcPr>
          <w:p w14:paraId="7DD7B864" w14:textId="77777777" w:rsidR="006E6F47" w:rsidRPr="005D413A" w:rsidRDefault="006E6F47" w:rsidP="006E6F47">
            <w:pPr>
              <w:jc w:val="center"/>
              <w:rPr>
                <w:color w:val="000000"/>
                <w:sz w:val="16"/>
                <w:szCs w:val="16"/>
              </w:rPr>
            </w:pPr>
            <w:r w:rsidRPr="005D413A">
              <w:rPr>
                <w:color w:val="000000"/>
                <w:sz w:val="16"/>
                <w:szCs w:val="16"/>
              </w:rPr>
              <w:t> </w:t>
            </w:r>
          </w:p>
        </w:tc>
      </w:tr>
      <w:tr w:rsidR="006E6F47" w:rsidRPr="005D413A" w14:paraId="3D64873D"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6BFC225" w14:textId="77777777" w:rsidR="006E6F47" w:rsidRPr="005D413A" w:rsidRDefault="719E4E2C" w:rsidP="006E6F47">
            <w:pPr>
              <w:jc w:val="center"/>
              <w:rPr>
                <w:color w:val="000000"/>
                <w:sz w:val="16"/>
                <w:szCs w:val="16"/>
              </w:rPr>
            </w:pPr>
            <w:r w:rsidRPr="4D27054C">
              <w:rPr>
                <w:color w:val="000000" w:themeColor="text1"/>
                <w:sz w:val="16"/>
                <w:szCs w:val="16"/>
              </w:rPr>
              <w:t>Ministry of Social Affairs</w:t>
            </w:r>
          </w:p>
        </w:tc>
        <w:tc>
          <w:tcPr>
            <w:tcW w:w="5245" w:type="dxa"/>
            <w:tcBorders>
              <w:top w:val="nil"/>
              <w:left w:val="nil"/>
              <w:bottom w:val="single" w:sz="4" w:space="0" w:color="auto"/>
              <w:right w:val="single" w:sz="4" w:space="0" w:color="auto"/>
            </w:tcBorders>
            <w:shd w:val="clear" w:color="auto" w:fill="auto"/>
            <w:noWrap/>
            <w:vAlign w:val="bottom"/>
            <w:hideMark/>
          </w:tcPr>
          <w:p w14:paraId="3587FF93" w14:textId="77777777" w:rsidR="006E6F47" w:rsidRPr="005D413A" w:rsidRDefault="006E6F47" w:rsidP="006E6F47">
            <w:pPr>
              <w:jc w:val="center"/>
              <w:rPr>
                <w:color w:val="000000"/>
                <w:sz w:val="16"/>
                <w:szCs w:val="16"/>
              </w:rPr>
            </w:pPr>
            <w:r w:rsidRPr="005D413A">
              <w:rPr>
                <w:color w:val="000000"/>
                <w:sz w:val="16"/>
                <w:szCs w:val="16"/>
              </w:rPr>
              <w:t xml:space="preserve">Government  </w:t>
            </w:r>
          </w:p>
        </w:tc>
      </w:tr>
      <w:tr w:rsidR="006E6F47" w:rsidRPr="005D413A" w14:paraId="7B7AC8EB" w14:textId="77777777" w:rsidTr="002D6FF3">
        <w:trPr>
          <w:trHeight w:val="320"/>
        </w:trPr>
        <w:tc>
          <w:tcPr>
            <w:tcW w:w="3397" w:type="dxa"/>
            <w:tcBorders>
              <w:top w:val="nil"/>
              <w:left w:val="single" w:sz="4" w:space="0" w:color="auto"/>
              <w:right w:val="single" w:sz="4" w:space="0" w:color="auto"/>
            </w:tcBorders>
            <w:shd w:val="clear" w:color="auto" w:fill="auto"/>
            <w:noWrap/>
            <w:vAlign w:val="bottom"/>
            <w:hideMark/>
          </w:tcPr>
          <w:p w14:paraId="54A50B05" w14:textId="77777777" w:rsidR="006E6F47" w:rsidRPr="00516BD4" w:rsidRDefault="719E4E2C" w:rsidP="4D27054C">
            <w:pPr>
              <w:jc w:val="center"/>
              <w:rPr>
                <w:color w:val="000000"/>
                <w:sz w:val="16"/>
                <w:szCs w:val="16"/>
              </w:rPr>
            </w:pPr>
            <w:r w:rsidRPr="4D27054C">
              <w:rPr>
                <w:color w:val="000000" w:themeColor="text1"/>
                <w:sz w:val="16"/>
                <w:szCs w:val="16"/>
              </w:rPr>
              <w:t>Supreme Court of Appeal </w:t>
            </w:r>
          </w:p>
        </w:tc>
        <w:tc>
          <w:tcPr>
            <w:tcW w:w="5245" w:type="dxa"/>
            <w:tcBorders>
              <w:top w:val="nil"/>
              <w:left w:val="nil"/>
              <w:right w:val="single" w:sz="4" w:space="0" w:color="auto"/>
            </w:tcBorders>
            <w:shd w:val="clear" w:color="auto" w:fill="auto"/>
            <w:noWrap/>
            <w:vAlign w:val="bottom"/>
            <w:hideMark/>
          </w:tcPr>
          <w:p w14:paraId="5AA4B32E" w14:textId="77777777" w:rsidR="006E6F47" w:rsidRPr="00516BD4" w:rsidRDefault="435EF2AA" w:rsidP="4D27054C">
            <w:pPr>
              <w:jc w:val="center"/>
              <w:rPr>
                <w:color w:val="000000"/>
                <w:sz w:val="16"/>
                <w:szCs w:val="16"/>
              </w:rPr>
            </w:pPr>
            <w:r w:rsidRPr="4D27054C">
              <w:rPr>
                <w:color w:val="000000" w:themeColor="text1"/>
                <w:sz w:val="16"/>
                <w:szCs w:val="16"/>
              </w:rPr>
              <w:t xml:space="preserve"> </w:t>
            </w:r>
            <w:r w:rsidR="719E4E2C" w:rsidRPr="4D27054C">
              <w:rPr>
                <w:color w:val="000000" w:themeColor="text1"/>
                <w:sz w:val="16"/>
                <w:szCs w:val="16"/>
              </w:rPr>
              <w:t>Religious establishment </w:t>
            </w:r>
          </w:p>
        </w:tc>
      </w:tr>
      <w:tr w:rsidR="003235F3" w:rsidRPr="005D413A" w14:paraId="0FF20898" w14:textId="77777777" w:rsidTr="002D6FF3">
        <w:trPr>
          <w:trHeight w:val="320"/>
        </w:trPr>
        <w:tc>
          <w:tcPr>
            <w:tcW w:w="3397" w:type="dxa"/>
            <w:tcBorders>
              <w:top w:val="nil"/>
              <w:left w:val="single" w:sz="4" w:space="0" w:color="auto"/>
              <w:bottom w:val="nil"/>
              <w:right w:val="single" w:sz="4" w:space="0" w:color="auto"/>
            </w:tcBorders>
            <w:shd w:val="clear" w:color="auto" w:fill="8EAADB" w:themeFill="accent1" w:themeFillTint="99"/>
            <w:noWrap/>
            <w:vAlign w:val="bottom"/>
          </w:tcPr>
          <w:p w14:paraId="30BBFAE6" w14:textId="4ABADC5B" w:rsidR="003235F3" w:rsidRPr="003235F3" w:rsidRDefault="003235F3" w:rsidP="003235F3">
            <w:pPr>
              <w:rPr>
                <w:b/>
                <w:bCs/>
                <w:color w:val="000000"/>
                <w:sz w:val="16"/>
                <w:szCs w:val="16"/>
              </w:rPr>
            </w:pPr>
            <w:r w:rsidRPr="003235F3">
              <w:rPr>
                <w:b/>
                <w:bCs/>
                <w:color w:val="000000"/>
                <w:sz w:val="16"/>
                <w:szCs w:val="16"/>
              </w:rPr>
              <w:t xml:space="preserve">Regional </w:t>
            </w:r>
          </w:p>
        </w:tc>
        <w:tc>
          <w:tcPr>
            <w:tcW w:w="5245" w:type="dxa"/>
            <w:tcBorders>
              <w:top w:val="nil"/>
              <w:left w:val="nil"/>
              <w:bottom w:val="nil"/>
              <w:right w:val="single" w:sz="4" w:space="0" w:color="auto"/>
            </w:tcBorders>
            <w:shd w:val="clear" w:color="auto" w:fill="8EAADB" w:themeFill="accent1" w:themeFillTint="99"/>
            <w:noWrap/>
            <w:vAlign w:val="bottom"/>
          </w:tcPr>
          <w:p w14:paraId="36951276" w14:textId="77777777" w:rsidR="003235F3" w:rsidRPr="003235F3" w:rsidRDefault="003235F3" w:rsidP="003235F3">
            <w:pPr>
              <w:rPr>
                <w:b/>
                <w:bCs/>
                <w:color w:val="000000"/>
                <w:sz w:val="16"/>
                <w:szCs w:val="16"/>
              </w:rPr>
            </w:pPr>
          </w:p>
        </w:tc>
      </w:tr>
      <w:tr w:rsidR="003235F3" w14:paraId="4B6E9424"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397BF95A" w14:textId="77777777" w:rsidR="003235F3" w:rsidRPr="003235F3" w:rsidRDefault="76112575" w:rsidP="003235F3">
            <w:pPr>
              <w:jc w:val="center"/>
              <w:rPr>
                <w:color w:val="000000"/>
                <w:sz w:val="16"/>
                <w:szCs w:val="16"/>
              </w:rPr>
            </w:pPr>
            <w:r w:rsidRPr="4D27054C">
              <w:rPr>
                <w:color w:val="000000" w:themeColor="text1"/>
                <w:sz w:val="16"/>
                <w:szCs w:val="16"/>
              </w:rPr>
              <w:t>Union for the Mediterranean (UfM)</w:t>
            </w:r>
          </w:p>
        </w:tc>
        <w:tc>
          <w:tcPr>
            <w:tcW w:w="5245" w:type="dxa"/>
            <w:tcBorders>
              <w:top w:val="nil"/>
              <w:left w:val="nil"/>
              <w:bottom w:val="single" w:sz="4" w:space="0" w:color="auto"/>
              <w:right w:val="single" w:sz="4" w:space="0" w:color="auto"/>
            </w:tcBorders>
            <w:shd w:val="clear" w:color="auto" w:fill="auto"/>
            <w:noWrap/>
            <w:vAlign w:val="bottom"/>
          </w:tcPr>
          <w:p w14:paraId="6419C384" w14:textId="77777777" w:rsidR="003235F3" w:rsidRPr="003235F3" w:rsidRDefault="003235F3" w:rsidP="003235F3">
            <w:pPr>
              <w:jc w:val="center"/>
              <w:rPr>
                <w:color w:val="000000"/>
                <w:sz w:val="16"/>
                <w:szCs w:val="16"/>
              </w:rPr>
            </w:pPr>
            <w:r w:rsidRPr="003235F3">
              <w:rPr>
                <w:color w:val="000000"/>
                <w:sz w:val="16"/>
                <w:szCs w:val="16"/>
              </w:rPr>
              <w:t>Project Manager, Social and Civil Affairs Division</w:t>
            </w:r>
          </w:p>
        </w:tc>
      </w:tr>
      <w:tr w:rsidR="003235F3" w14:paraId="64D389B9"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6C360636" w14:textId="77777777" w:rsidR="003235F3" w:rsidRPr="003235F3" w:rsidRDefault="003235F3" w:rsidP="003235F3">
            <w:pPr>
              <w:jc w:val="center"/>
              <w:rPr>
                <w:color w:val="000000"/>
                <w:sz w:val="16"/>
                <w:szCs w:val="16"/>
              </w:rPr>
            </w:pPr>
            <w:r w:rsidRPr="003235F3">
              <w:rPr>
                <w:color w:val="000000"/>
                <w:sz w:val="16"/>
                <w:szCs w:val="16"/>
              </w:rPr>
              <w:t>UNDP</w:t>
            </w:r>
          </w:p>
        </w:tc>
        <w:tc>
          <w:tcPr>
            <w:tcW w:w="5245" w:type="dxa"/>
            <w:tcBorders>
              <w:top w:val="nil"/>
              <w:left w:val="nil"/>
              <w:bottom w:val="single" w:sz="4" w:space="0" w:color="auto"/>
              <w:right w:val="single" w:sz="4" w:space="0" w:color="auto"/>
            </w:tcBorders>
            <w:shd w:val="clear" w:color="auto" w:fill="auto"/>
            <w:noWrap/>
            <w:vAlign w:val="bottom"/>
          </w:tcPr>
          <w:p w14:paraId="6F993D5A" w14:textId="77777777" w:rsidR="003235F3" w:rsidRPr="003235F3" w:rsidRDefault="003235F3" w:rsidP="003235F3">
            <w:pPr>
              <w:jc w:val="center"/>
              <w:rPr>
                <w:color w:val="000000"/>
                <w:sz w:val="16"/>
                <w:szCs w:val="16"/>
              </w:rPr>
            </w:pPr>
            <w:r w:rsidRPr="003235F3">
              <w:rPr>
                <w:color w:val="000000"/>
                <w:sz w:val="16"/>
                <w:szCs w:val="16"/>
              </w:rPr>
              <w:t>Gender Specialist, Regional Bureau for Arab States</w:t>
            </w:r>
          </w:p>
        </w:tc>
      </w:tr>
      <w:tr w:rsidR="003235F3" w14:paraId="42ADC6BE"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22576AEE" w14:textId="77777777" w:rsidR="003235F3" w:rsidRPr="003235F3" w:rsidRDefault="003235F3" w:rsidP="003235F3">
            <w:pPr>
              <w:jc w:val="center"/>
              <w:rPr>
                <w:color w:val="000000"/>
                <w:sz w:val="16"/>
                <w:szCs w:val="16"/>
              </w:rPr>
            </w:pPr>
            <w:r w:rsidRPr="003235F3">
              <w:rPr>
                <w:color w:val="000000"/>
                <w:sz w:val="16"/>
                <w:szCs w:val="16"/>
              </w:rPr>
              <w:t>WB MGF</w:t>
            </w:r>
          </w:p>
        </w:tc>
        <w:tc>
          <w:tcPr>
            <w:tcW w:w="5245" w:type="dxa"/>
            <w:tcBorders>
              <w:top w:val="nil"/>
              <w:left w:val="nil"/>
              <w:bottom w:val="single" w:sz="4" w:space="0" w:color="auto"/>
              <w:right w:val="single" w:sz="4" w:space="0" w:color="auto"/>
            </w:tcBorders>
            <w:shd w:val="clear" w:color="auto" w:fill="auto"/>
            <w:noWrap/>
            <w:vAlign w:val="bottom"/>
          </w:tcPr>
          <w:p w14:paraId="0EADF572" w14:textId="77777777" w:rsidR="003235F3" w:rsidRPr="003235F3" w:rsidRDefault="003235F3" w:rsidP="003235F3">
            <w:pPr>
              <w:jc w:val="center"/>
              <w:rPr>
                <w:color w:val="000000"/>
                <w:sz w:val="16"/>
                <w:szCs w:val="16"/>
              </w:rPr>
            </w:pPr>
            <w:r w:rsidRPr="003235F3">
              <w:rPr>
                <w:color w:val="000000"/>
                <w:sz w:val="16"/>
                <w:szCs w:val="16"/>
              </w:rPr>
              <w:t>Senior Social Scientist</w:t>
            </w:r>
          </w:p>
        </w:tc>
      </w:tr>
      <w:tr w:rsidR="003235F3" w14:paraId="75B32489"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1FAE46EF" w14:textId="77777777" w:rsidR="003235F3" w:rsidRPr="003235F3" w:rsidRDefault="003235F3" w:rsidP="003235F3">
            <w:pPr>
              <w:jc w:val="center"/>
              <w:rPr>
                <w:color w:val="000000"/>
                <w:sz w:val="16"/>
                <w:szCs w:val="16"/>
              </w:rPr>
            </w:pPr>
            <w:r w:rsidRPr="003235F3">
              <w:rPr>
                <w:color w:val="000000"/>
                <w:sz w:val="16"/>
                <w:szCs w:val="16"/>
              </w:rPr>
              <w:t>UNICEF</w:t>
            </w:r>
          </w:p>
        </w:tc>
        <w:tc>
          <w:tcPr>
            <w:tcW w:w="5245" w:type="dxa"/>
            <w:tcBorders>
              <w:top w:val="nil"/>
              <w:left w:val="nil"/>
              <w:bottom w:val="single" w:sz="4" w:space="0" w:color="auto"/>
              <w:right w:val="single" w:sz="4" w:space="0" w:color="auto"/>
            </w:tcBorders>
            <w:shd w:val="clear" w:color="auto" w:fill="auto"/>
            <w:noWrap/>
            <w:vAlign w:val="bottom"/>
          </w:tcPr>
          <w:p w14:paraId="7BE4057A" w14:textId="77777777" w:rsidR="003235F3" w:rsidRPr="003235F3" w:rsidRDefault="003235F3" w:rsidP="003235F3">
            <w:pPr>
              <w:jc w:val="center"/>
              <w:rPr>
                <w:color w:val="000000"/>
                <w:sz w:val="16"/>
                <w:szCs w:val="16"/>
              </w:rPr>
            </w:pPr>
            <w:r w:rsidRPr="003235F3">
              <w:rPr>
                <w:color w:val="000000"/>
                <w:sz w:val="16"/>
                <w:szCs w:val="16"/>
              </w:rPr>
              <w:t xml:space="preserve">Corporate Alliances Specialist </w:t>
            </w:r>
          </w:p>
        </w:tc>
      </w:tr>
      <w:tr w:rsidR="003235F3" w14:paraId="21712CC1" w14:textId="77777777" w:rsidTr="002D6FF3">
        <w:trPr>
          <w:trHeight w:val="3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748D887D" w14:textId="77777777" w:rsidR="003235F3" w:rsidRPr="003235F3" w:rsidRDefault="003235F3" w:rsidP="003235F3">
            <w:pPr>
              <w:jc w:val="center"/>
              <w:rPr>
                <w:color w:val="000000"/>
                <w:sz w:val="16"/>
                <w:szCs w:val="16"/>
              </w:rPr>
            </w:pPr>
            <w:r w:rsidRPr="003235F3">
              <w:rPr>
                <w:color w:val="000000"/>
                <w:sz w:val="16"/>
                <w:szCs w:val="16"/>
              </w:rPr>
              <w:t>UNICEF</w:t>
            </w:r>
          </w:p>
        </w:tc>
        <w:tc>
          <w:tcPr>
            <w:tcW w:w="5245" w:type="dxa"/>
            <w:tcBorders>
              <w:top w:val="nil"/>
              <w:left w:val="nil"/>
              <w:bottom w:val="single" w:sz="4" w:space="0" w:color="auto"/>
              <w:right w:val="single" w:sz="4" w:space="0" w:color="auto"/>
            </w:tcBorders>
            <w:shd w:val="clear" w:color="auto" w:fill="auto"/>
            <w:noWrap/>
            <w:vAlign w:val="bottom"/>
          </w:tcPr>
          <w:p w14:paraId="74BA12D3" w14:textId="77777777" w:rsidR="003235F3" w:rsidRPr="003235F3" w:rsidRDefault="003235F3" w:rsidP="003235F3">
            <w:pPr>
              <w:jc w:val="center"/>
              <w:rPr>
                <w:color w:val="000000"/>
                <w:sz w:val="16"/>
                <w:szCs w:val="16"/>
              </w:rPr>
            </w:pPr>
            <w:r w:rsidRPr="003235F3">
              <w:rPr>
                <w:color w:val="000000"/>
                <w:sz w:val="16"/>
                <w:szCs w:val="16"/>
              </w:rPr>
              <w:t xml:space="preserve">Regional Advisor, Gender </w:t>
            </w:r>
          </w:p>
        </w:tc>
      </w:tr>
    </w:tbl>
    <w:p w14:paraId="54E1AD8E" w14:textId="70CC02BD" w:rsidR="006E6F47" w:rsidRPr="006B44CD" w:rsidRDefault="006E6F47" w:rsidP="00FB1CA7">
      <w:pPr>
        <w:suppressAutoHyphens/>
        <w:autoSpaceDN w:val="0"/>
        <w:spacing w:line="256" w:lineRule="auto"/>
        <w:jc w:val="both"/>
        <w:textAlignment w:val="baseline"/>
        <w:rPr>
          <w:rFonts w:eastAsia="Calibri"/>
          <w:color w:val="000000" w:themeColor="text1"/>
        </w:rPr>
      </w:pPr>
    </w:p>
    <w:p w14:paraId="0B5C88E3" w14:textId="76754458" w:rsidR="00722CFA" w:rsidRPr="006B44CD" w:rsidRDefault="59E0A0EA" w:rsidP="000A58EA">
      <w:pPr>
        <w:suppressAutoHyphens/>
        <w:autoSpaceDN w:val="0"/>
        <w:spacing w:line="256" w:lineRule="auto"/>
        <w:jc w:val="both"/>
        <w:textAlignment w:val="baseline"/>
        <w:rPr>
          <w:rFonts w:eastAsia="Calibri"/>
          <w:color w:val="000000" w:themeColor="text1"/>
        </w:rPr>
      </w:pPr>
      <w:r w:rsidRPr="006B44CD">
        <w:rPr>
          <w:rFonts w:eastAsia="Calibri"/>
          <w:color w:val="000000" w:themeColor="text1"/>
        </w:rPr>
        <w:t xml:space="preserve">In addition to the Bellwether’s method, the MTE will apply </w:t>
      </w:r>
      <w:r w:rsidR="0E99B173" w:rsidRPr="006B44CD">
        <w:rPr>
          <w:color w:val="000000" w:themeColor="text1"/>
        </w:rPr>
        <w:t>an adapted version of the Policy Makers rating</w:t>
      </w:r>
      <w:r w:rsidR="00577802" w:rsidRPr="4D27054C">
        <w:rPr>
          <w:rStyle w:val="FootnoteReference"/>
          <w:color w:val="000000" w:themeColor="text1"/>
          <w:sz w:val="16"/>
          <w:szCs w:val="16"/>
        </w:rPr>
        <w:footnoteReference w:id="75"/>
      </w:r>
      <w:r w:rsidR="6B01E6CC" w:rsidRPr="006B44CD">
        <w:rPr>
          <w:color w:val="000000" w:themeColor="text1"/>
        </w:rPr>
        <w:t xml:space="preserve"> </w:t>
      </w:r>
      <w:r w:rsidR="0E99B173" w:rsidRPr="006B44CD">
        <w:rPr>
          <w:color w:val="000000" w:themeColor="text1"/>
        </w:rPr>
        <w:t xml:space="preserve">to seek the opinion of the policy Makers who are involved with the Joint </w:t>
      </w:r>
      <w:r w:rsidR="0E99B173" w:rsidRPr="006B44CD">
        <w:rPr>
          <w:color w:val="000000" w:themeColor="text1"/>
        </w:rPr>
        <w:lastRenderedPageBreak/>
        <w:t xml:space="preserve">Programme as members of the Steering Committee. </w:t>
      </w:r>
      <w:r w:rsidR="717761AD">
        <w:rPr>
          <w:color w:val="000000" w:themeColor="text1"/>
        </w:rPr>
        <w:t>S</w:t>
      </w:r>
      <w:r w:rsidR="0E99B173" w:rsidRPr="006B44CD">
        <w:rPr>
          <w:color w:val="000000" w:themeColor="text1"/>
        </w:rPr>
        <w:t xml:space="preserve">ee Annex 4 for the Policy makers rating scale.  </w:t>
      </w:r>
    </w:p>
    <w:p w14:paraId="5EC9AF6E" w14:textId="77777777" w:rsidR="009C0559" w:rsidRDefault="009C0559" w:rsidP="08E1794F">
      <w:pPr>
        <w:suppressAutoHyphens/>
        <w:autoSpaceDN w:val="0"/>
        <w:jc w:val="both"/>
        <w:textAlignment w:val="baseline"/>
        <w:rPr>
          <w:color w:val="000000" w:themeColor="text1"/>
        </w:rPr>
      </w:pPr>
    </w:p>
    <w:p w14:paraId="0D0E0A5E" w14:textId="7A5BFA68" w:rsidR="00333C57" w:rsidRPr="003235F3" w:rsidRDefault="1E2288DD" w:rsidP="08E1794F">
      <w:pPr>
        <w:suppressAutoHyphens/>
        <w:autoSpaceDN w:val="0"/>
        <w:jc w:val="both"/>
        <w:textAlignment w:val="baseline"/>
        <w:rPr>
          <w:color w:val="000000" w:themeColor="text1"/>
        </w:rPr>
      </w:pPr>
      <w:r w:rsidRPr="006B44CD">
        <w:rPr>
          <w:color w:val="000000" w:themeColor="text1"/>
        </w:rPr>
        <w:t>The evidence generated will be triangulated with other sources of data and the following analytical framework will be used for evaluating and analysing the policy contribution made by the JP:</w:t>
      </w:r>
    </w:p>
    <w:p w14:paraId="7C7371B5" w14:textId="797B2D4C" w:rsidR="003D4D7E" w:rsidRPr="000305BD" w:rsidRDefault="60169FF5" w:rsidP="3BAF1B68">
      <w:pPr>
        <w:pStyle w:val="Heading4"/>
        <w:spacing w:before="240"/>
        <w:rPr>
          <w:rFonts w:ascii="Times New Roman" w:eastAsia="Calibri" w:hAnsi="Times New Roman" w:cs="Times New Roman"/>
          <w:color w:val="000000" w:themeColor="text1"/>
          <w:sz w:val="16"/>
          <w:szCs w:val="16"/>
          <w:lang w:val="en-GB"/>
        </w:rPr>
      </w:pPr>
      <w:r w:rsidRPr="5DC39AF9">
        <w:rPr>
          <w:rFonts w:ascii="Times New Roman" w:eastAsia="Calibri" w:hAnsi="Times New Roman" w:cs="Times New Roman"/>
          <w:b/>
          <w:bCs/>
          <w:i w:val="0"/>
          <w:iCs w:val="0"/>
          <w:color w:val="000000" w:themeColor="text1"/>
          <w:sz w:val="16"/>
          <w:szCs w:val="16"/>
          <w:lang w:val="en-CA"/>
        </w:rPr>
        <w:t xml:space="preserve">Table 6: </w:t>
      </w:r>
      <w:r w:rsidR="2B3E6204" w:rsidRPr="5DC39AF9">
        <w:rPr>
          <w:rFonts w:ascii="Times New Roman" w:eastAsia="Calibri" w:hAnsi="Times New Roman" w:cs="Times New Roman"/>
          <w:b/>
          <w:bCs/>
          <w:i w:val="0"/>
          <w:iCs w:val="0"/>
          <w:color w:val="000000" w:themeColor="text1"/>
          <w:sz w:val="16"/>
          <w:szCs w:val="16"/>
          <w:lang w:val="en-CA"/>
        </w:rPr>
        <w:t xml:space="preserve">Framework for </w:t>
      </w:r>
      <w:r w:rsidR="7E7D7BD3" w:rsidRPr="5DC39AF9">
        <w:rPr>
          <w:rFonts w:ascii="Times New Roman" w:eastAsia="Calibri" w:hAnsi="Times New Roman" w:cs="Times New Roman"/>
          <w:b/>
          <w:bCs/>
          <w:i w:val="0"/>
          <w:iCs w:val="0"/>
          <w:color w:val="000000" w:themeColor="text1"/>
          <w:sz w:val="16"/>
          <w:szCs w:val="16"/>
          <w:lang w:val="en-CA"/>
        </w:rPr>
        <w:t xml:space="preserve">analysing JP’s contribution to policy and legal reform </w:t>
      </w:r>
    </w:p>
    <w:tbl>
      <w:tblPr>
        <w:tblStyle w:val="TableGrid"/>
        <w:tblW w:w="0" w:type="auto"/>
        <w:tblLayout w:type="fixed"/>
        <w:tblLook w:val="06A0" w:firstRow="1" w:lastRow="0" w:firstColumn="1" w:lastColumn="0" w:noHBand="1" w:noVBand="1"/>
      </w:tblPr>
      <w:tblGrid>
        <w:gridCol w:w="1320"/>
        <w:gridCol w:w="1320"/>
        <w:gridCol w:w="1320"/>
        <w:gridCol w:w="1320"/>
        <w:gridCol w:w="1513"/>
        <w:gridCol w:w="1409"/>
        <w:gridCol w:w="1157"/>
      </w:tblGrid>
      <w:tr w:rsidR="0F721697" w:rsidRPr="005D413A" w14:paraId="191A5ED8" w14:textId="77777777" w:rsidTr="5CF61BAE">
        <w:tc>
          <w:tcPr>
            <w:tcW w:w="2640" w:type="dxa"/>
            <w:gridSpan w:val="2"/>
            <w:shd w:val="clear" w:color="auto" w:fill="D9E2F3" w:themeFill="accent1" w:themeFillTint="33"/>
          </w:tcPr>
          <w:p w14:paraId="4D3B4300" w14:textId="0EAC9AE0" w:rsidR="0F721697" w:rsidRPr="005D413A" w:rsidRDefault="0F721697" w:rsidP="0F721697">
            <w:pPr>
              <w:spacing w:line="259" w:lineRule="auto"/>
              <w:jc w:val="center"/>
              <w:rPr>
                <w:sz w:val="16"/>
                <w:szCs w:val="16"/>
              </w:rPr>
            </w:pPr>
          </w:p>
          <w:p w14:paraId="5127A095" w14:textId="08804C24" w:rsidR="0F721697" w:rsidRPr="005D413A" w:rsidRDefault="0F721697" w:rsidP="0F721697">
            <w:pPr>
              <w:spacing w:line="259" w:lineRule="auto"/>
              <w:jc w:val="center"/>
              <w:rPr>
                <w:sz w:val="16"/>
                <w:szCs w:val="16"/>
              </w:rPr>
            </w:pPr>
            <w:r w:rsidRPr="005D413A">
              <w:rPr>
                <w:b/>
                <w:bCs/>
                <w:sz w:val="16"/>
                <w:szCs w:val="16"/>
              </w:rPr>
              <w:t xml:space="preserve">JP’s contribution towards Policy and legal reform </w:t>
            </w:r>
          </w:p>
          <w:p w14:paraId="68760B5B" w14:textId="5CE07FDF" w:rsidR="0F721697" w:rsidRPr="005D413A" w:rsidRDefault="0F721697" w:rsidP="0F721697">
            <w:pPr>
              <w:spacing w:line="259" w:lineRule="auto"/>
              <w:jc w:val="center"/>
              <w:rPr>
                <w:sz w:val="16"/>
                <w:szCs w:val="16"/>
              </w:rPr>
            </w:pPr>
          </w:p>
        </w:tc>
        <w:tc>
          <w:tcPr>
            <w:tcW w:w="2640" w:type="dxa"/>
            <w:gridSpan w:val="2"/>
            <w:shd w:val="clear" w:color="auto" w:fill="D9E2F3" w:themeFill="accent1" w:themeFillTint="33"/>
          </w:tcPr>
          <w:p w14:paraId="4144053C" w14:textId="6DA8B01B" w:rsidR="0F721697" w:rsidRPr="005D413A" w:rsidRDefault="0F721697" w:rsidP="0F721697">
            <w:pPr>
              <w:spacing w:line="259" w:lineRule="auto"/>
              <w:jc w:val="center"/>
              <w:rPr>
                <w:sz w:val="16"/>
                <w:szCs w:val="16"/>
              </w:rPr>
            </w:pPr>
            <w:r w:rsidRPr="005D413A">
              <w:rPr>
                <w:b/>
                <w:bCs/>
                <w:sz w:val="16"/>
                <w:szCs w:val="16"/>
              </w:rPr>
              <w:t xml:space="preserve">JP’s support for operationalising policy and legal reform </w:t>
            </w:r>
          </w:p>
        </w:tc>
        <w:tc>
          <w:tcPr>
            <w:tcW w:w="1513" w:type="dxa"/>
            <w:shd w:val="clear" w:color="auto" w:fill="D9E2F3" w:themeFill="accent1" w:themeFillTint="33"/>
          </w:tcPr>
          <w:p w14:paraId="116318E4" w14:textId="372D1C33" w:rsidR="0F721697" w:rsidRPr="005D413A" w:rsidRDefault="0F721697" w:rsidP="0F721697">
            <w:pPr>
              <w:spacing w:line="259" w:lineRule="auto"/>
              <w:jc w:val="center"/>
              <w:rPr>
                <w:sz w:val="16"/>
                <w:szCs w:val="16"/>
              </w:rPr>
            </w:pPr>
            <w:r w:rsidRPr="005D413A">
              <w:rPr>
                <w:b/>
                <w:bCs/>
                <w:sz w:val="16"/>
                <w:szCs w:val="16"/>
              </w:rPr>
              <w:t>JP’s strategies, approach and capacity</w:t>
            </w:r>
          </w:p>
          <w:p w14:paraId="7C0BC711" w14:textId="551F435B" w:rsidR="0F721697" w:rsidRPr="005D413A" w:rsidRDefault="0F721697" w:rsidP="0F721697">
            <w:pPr>
              <w:spacing w:line="259" w:lineRule="auto"/>
              <w:jc w:val="center"/>
              <w:rPr>
                <w:sz w:val="16"/>
                <w:szCs w:val="16"/>
              </w:rPr>
            </w:pPr>
            <w:r w:rsidRPr="005D413A">
              <w:rPr>
                <w:b/>
                <w:bCs/>
                <w:sz w:val="16"/>
                <w:szCs w:val="16"/>
              </w:rPr>
              <w:t xml:space="preserve"> </w:t>
            </w:r>
          </w:p>
        </w:tc>
        <w:tc>
          <w:tcPr>
            <w:tcW w:w="2566" w:type="dxa"/>
            <w:gridSpan w:val="2"/>
            <w:shd w:val="clear" w:color="auto" w:fill="D9E2F3" w:themeFill="accent1" w:themeFillTint="33"/>
          </w:tcPr>
          <w:p w14:paraId="78DD478A" w14:textId="78F794F7" w:rsidR="0F721697" w:rsidRPr="005D413A" w:rsidRDefault="0F721697" w:rsidP="0F721697">
            <w:pPr>
              <w:spacing w:line="259" w:lineRule="auto"/>
              <w:jc w:val="center"/>
              <w:rPr>
                <w:sz w:val="16"/>
                <w:szCs w:val="16"/>
              </w:rPr>
            </w:pPr>
            <w:r w:rsidRPr="005D413A">
              <w:rPr>
                <w:b/>
                <w:bCs/>
                <w:sz w:val="16"/>
                <w:szCs w:val="16"/>
              </w:rPr>
              <w:t xml:space="preserve">Contribution towards </w:t>
            </w:r>
          </w:p>
          <w:p w14:paraId="37A61474" w14:textId="18356260" w:rsidR="0F721697" w:rsidRPr="005D413A" w:rsidRDefault="0F721697" w:rsidP="0F721697">
            <w:pPr>
              <w:spacing w:line="259" w:lineRule="auto"/>
              <w:jc w:val="center"/>
              <w:rPr>
                <w:sz w:val="16"/>
                <w:szCs w:val="16"/>
              </w:rPr>
            </w:pPr>
            <w:r w:rsidRPr="005D413A">
              <w:rPr>
                <w:b/>
                <w:bCs/>
                <w:sz w:val="16"/>
                <w:szCs w:val="16"/>
              </w:rPr>
              <w:t xml:space="preserve">Transformative </w:t>
            </w:r>
          </w:p>
          <w:p w14:paraId="56952C89" w14:textId="3E485E84" w:rsidR="0F721697" w:rsidRPr="005D413A" w:rsidRDefault="0F721697" w:rsidP="0F721697">
            <w:pPr>
              <w:spacing w:line="259" w:lineRule="auto"/>
              <w:jc w:val="center"/>
              <w:rPr>
                <w:sz w:val="16"/>
                <w:szCs w:val="16"/>
              </w:rPr>
            </w:pPr>
            <w:r w:rsidRPr="005D413A">
              <w:rPr>
                <w:b/>
                <w:bCs/>
                <w:sz w:val="16"/>
                <w:szCs w:val="16"/>
              </w:rPr>
              <w:t xml:space="preserve">changes </w:t>
            </w:r>
          </w:p>
        </w:tc>
      </w:tr>
      <w:tr w:rsidR="0F721697" w:rsidRPr="005D413A" w14:paraId="05E7EBD8" w14:textId="77777777" w:rsidTr="5CF61BAE">
        <w:tc>
          <w:tcPr>
            <w:tcW w:w="1320" w:type="dxa"/>
          </w:tcPr>
          <w:p w14:paraId="32925C3F" w14:textId="7CE967D8" w:rsidR="0F721697" w:rsidRPr="005D413A" w:rsidRDefault="0F721697" w:rsidP="0F721697">
            <w:pPr>
              <w:spacing w:line="259" w:lineRule="auto"/>
              <w:rPr>
                <w:sz w:val="16"/>
                <w:szCs w:val="16"/>
              </w:rPr>
            </w:pPr>
          </w:p>
          <w:p w14:paraId="394DD41C" w14:textId="06CCE16E" w:rsidR="0F721697" w:rsidRPr="005D413A" w:rsidRDefault="0F721697" w:rsidP="0F721697">
            <w:pPr>
              <w:spacing w:line="259" w:lineRule="auto"/>
              <w:rPr>
                <w:sz w:val="16"/>
                <w:szCs w:val="16"/>
              </w:rPr>
            </w:pPr>
          </w:p>
          <w:p w14:paraId="7C0464E8" w14:textId="72B3D69A" w:rsidR="0F721697" w:rsidRPr="005D413A" w:rsidRDefault="0F721697" w:rsidP="0F721697">
            <w:pPr>
              <w:spacing w:line="257" w:lineRule="auto"/>
              <w:rPr>
                <w:sz w:val="16"/>
                <w:szCs w:val="16"/>
              </w:rPr>
            </w:pPr>
            <w:r w:rsidRPr="005D413A">
              <w:rPr>
                <w:sz w:val="16"/>
                <w:szCs w:val="16"/>
              </w:rPr>
              <w:t>How is policy/legal  reform being implemented at the regional and country levels?</w:t>
            </w:r>
          </w:p>
          <w:p w14:paraId="6D0C2B19" w14:textId="5D6B4F7B" w:rsidR="0F721697" w:rsidRPr="005D413A" w:rsidRDefault="0F721697" w:rsidP="0F721697">
            <w:pPr>
              <w:spacing w:line="259" w:lineRule="auto"/>
              <w:rPr>
                <w:sz w:val="16"/>
                <w:szCs w:val="16"/>
              </w:rPr>
            </w:pPr>
          </w:p>
          <w:p w14:paraId="11D783F9" w14:textId="279CE239" w:rsidR="0F721697" w:rsidRPr="005D413A" w:rsidRDefault="0F721697" w:rsidP="0F721697">
            <w:pPr>
              <w:spacing w:line="259" w:lineRule="auto"/>
              <w:rPr>
                <w:sz w:val="16"/>
                <w:szCs w:val="16"/>
              </w:rPr>
            </w:pPr>
          </w:p>
          <w:p w14:paraId="79A99F56" w14:textId="232EE4C7" w:rsidR="0F721697" w:rsidRPr="005D413A" w:rsidRDefault="0F721697" w:rsidP="0F721697">
            <w:pPr>
              <w:spacing w:line="259" w:lineRule="auto"/>
              <w:rPr>
                <w:sz w:val="16"/>
                <w:szCs w:val="16"/>
              </w:rPr>
            </w:pPr>
          </w:p>
          <w:p w14:paraId="07EBB69A" w14:textId="39DA5D5A" w:rsidR="0F721697" w:rsidRPr="005D413A" w:rsidRDefault="0F721697" w:rsidP="0F721697">
            <w:pPr>
              <w:spacing w:line="259" w:lineRule="auto"/>
              <w:rPr>
                <w:sz w:val="16"/>
                <w:szCs w:val="16"/>
              </w:rPr>
            </w:pPr>
          </w:p>
          <w:p w14:paraId="784B55DF" w14:textId="78CB4995" w:rsidR="0F721697" w:rsidRPr="005D413A" w:rsidRDefault="0F721697" w:rsidP="0F721697">
            <w:pPr>
              <w:spacing w:line="259" w:lineRule="auto"/>
              <w:rPr>
                <w:sz w:val="16"/>
                <w:szCs w:val="16"/>
              </w:rPr>
            </w:pPr>
          </w:p>
        </w:tc>
        <w:tc>
          <w:tcPr>
            <w:tcW w:w="1320" w:type="dxa"/>
          </w:tcPr>
          <w:p w14:paraId="5A20AFC5" w14:textId="41E24292" w:rsidR="0F721697" w:rsidRPr="005D413A" w:rsidRDefault="0F721697" w:rsidP="0F721697">
            <w:pPr>
              <w:spacing w:line="259" w:lineRule="auto"/>
              <w:rPr>
                <w:sz w:val="16"/>
                <w:szCs w:val="16"/>
              </w:rPr>
            </w:pPr>
          </w:p>
          <w:p w14:paraId="2BB04F4E" w14:textId="292F01EB" w:rsidR="0F721697" w:rsidRPr="005D413A" w:rsidRDefault="0F721697" w:rsidP="0F721697">
            <w:pPr>
              <w:spacing w:line="257" w:lineRule="auto"/>
              <w:rPr>
                <w:sz w:val="16"/>
                <w:szCs w:val="16"/>
              </w:rPr>
            </w:pPr>
            <w:r w:rsidRPr="005D413A">
              <w:rPr>
                <w:sz w:val="16"/>
                <w:szCs w:val="16"/>
              </w:rPr>
              <w:t xml:space="preserve">What are the successful contributory factors? </w:t>
            </w:r>
          </w:p>
          <w:p w14:paraId="08EC7FD2" w14:textId="44325DD9" w:rsidR="0F721697" w:rsidRPr="005D413A" w:rsidRDefault="0F721697" w:rsidP="0F721697">
            <w:pPr>
              <w:spacing w:line="257" w:lineRule="auto"/>
              <w:rPr>
                <w:sz w:val="16"/>
                <w:szCs w:val="16"/>
              </w:rPr>
            </w:pPr>
          </w:p>
          <w:p w14:paraId="1795B5B7" w14:textId="0BAE8714" w:rsidR="0F721697" w:rsidRPr="005D413A" w:rsidRDefault="0F721697" w:rsidP="0F721697">
            <w:pPr>
              <w:spacing w:line="257" w:lineRule="auto"/>
              <w:rPr>
                <w:sz w:val="16"/>
                <w:szCs w:val="16"/>
              </w:rPr>
            </w:pPr>
            <w:r w:rsidRPr="005D413A">
              <w:rPr>
                <w:sz w:val="16"/>
                <w:szCs w:val="16"/>
              </w:rPr>
              <w:t>What are the areas of improvement?</w:t>
            </w:r>
          </w:p>
          <w:p w14:paraId="46BB9813" w14:textId="4F8E2E8D" w:rsidR="0F721697" w:rsidRPr="005D413A" w:rsidRDefault="0F721697" w:rsidP="0F721697">
            <w:pPr>
              <w:spacing w:line="259" w:lineRule="auto"/>
              <w:rPr>
                <w:sz w:val="16"/>
                <w:szCs w:val="16"/>
              </w:rPr>
            </w:pPr>
          </w:p>
        </w:tc>
        <w:tc>
          <w:tcPr>
            <w:tcW w:w="1320" w:type="dxa"/>
          </w:tcPr>
          <w:p w14:paraId="10BB1616" w14:textId="2E726F1D" w:rsidR="0F721697" w:rsidRPr="005D413A" w:rsidRDefault="0F721697" w:rsidP="0F721697">
            <w:pPr>
              <w:spacing w:line="257" w:lineRule="auto"/>
              <w:rPr>
                <w:sz w:val="16"/>
                <w:szCs w:val="16"/>
              </w:rPr>
            </w:pPr>
          </w:p>
          <w:p w14:paraId="686D20DE" w14:textId="0536C7BF" w:rsidR="0F721697" w:rsidRPr="005D413A" w:rsidRDefault="0F721697" w:rsidP="0F721697">
            <w:pPr>
              <w:spacing w:line="257" w:lineRule="auto"/>
              <w:rPr>
                <w:sz w:val="16"/>
                <w:szCs w:val="16"/>
              </w:rPr>
            </w:pPr>
          </w:p>
          <w:p w14:paraId="28E2517C" w14:textId="3CB58633" w:rsidR="0F721697" w:rsidRPr="005D413A" w:rsidRDefault="0F721697" w:rsidP="0F721697">
            <w:pPr>
              <w:spacing w:line="257" w:lineRule="auto"/>
              <w:rPr>
                <w:sz w:val="16"/>
                <w:szCs w:val="16"/>
              </w:rPr>
            </w:pPr>
            <w:r w:rsidRPr="005D413A">
              <w:rPr>
                <w:sz w:val="16"/>
                <w:szCs w:val="16"/>
              </w:rPr>
              <w:t>How is JP supporting the implementation/operationalisation of the policy/legal reforms</w:t>
            </w:r>
          </w:p>
          <w:p w14:paraId="18A5A620" w14:textId="71629C4A" w:rsidR="0F721697" w:rsidRPr="005D413A" w:rsidRDefault="0F721697" w:rsidP="0F721697">
            <w:pPr>
              <w:spacing w:line="259" w:lineRule="auto"/>
              <w:rPr>
                <w:sz w:val="16"/>
                <w:szCs w:val="16"/>
              </w:rPr>
            </w:pPr>
          </w:p>
        </w:tc>
        <w:tc>
          <w:tcPr>
            <w:tcW w:w="1320" w:type="dxa"/>
          </w:tcPr>
          <w:p w14:paraId="73E89B15" w14:textId="5799F9C3" w:rsidR="0F721697" w:rsidRPr="005D413A" w:rsidRDefault="0F721697" w:rsidP="0F721697">
            <w:pPr>
              <w:spacing w:line="257" w:lineRule="auto"/>
              <w:rPr>
                <w:sz w:val="16"/>
                <w:szCs w:val="16"/>
              </w:rPr>
            </w:pPr>
          </w:p>
          <w:p w14:paraId="32C1A807" w14:textId="3974B8F8" w:rsidR="0F721697" w:rsidRPr="005D413A" w:rsidRDefault="0F721697" w:rsidP="0F721697">
            <w:pPr>
              <w:spacing w:line="257" w:lineRule="auto"/>
              <w:rPr>
                <w:sz w:val="16"/>
                <w:szCs w:val="16"/>
              </w:rPr>
            </w:pPr>
          </w:p>
          <w:p w14:paraId="60D773B5" w14:textId="7B8FCFDC" w:rsidR="0F721697" w:rsidRPr="005D413A" w:rsidRDefault="0F721697" w:rsidP="0F721697">
            <w:pPr>
              <w:spacing w:line="257" w:lineRule="auto"/>
              <w:rPr>
                <w:sz w:val="16"/>
                <w:szCs w:val="16"/>
              </w:rPr>
            </w:pPr>
            <w:r w:rsidRPr="005D413A">
              <w:rPr>
                <w:sz w:val="16"/>
                <w:szCs w:val="16"/>
              </w:rPr>
              <w:t xml:space="preserve">What are the successful contributory factors? </w:t>
            </w:r>
          </w:p>
          <w:p w14:paraId="178AB118" w14:textId="56C7C376" w:rsidR="0F721697" w:rsidRPr="005D413A" w:rsidRDefault="0F721697" w:rsidP="0F721697">
            <w:pPr>
              <w:spacing w:line="257" w:lineRule="auto"/>
              <w:rPr>
                <w:sz w:val="16"/>
                <w:szCs w:val="16"/>
              </w:rPr>
            </w:pPr>
          </w:p>
          <w:p w14:paraId="2697D2F7" w14:textId="711EEBE5" w:rsidR="0F721697" w:rsidRPr="005D413A" w:rsidRDefault="0F721697" w:rsidP="0F721697">
            <w:pPr>
              <w:spacing w:line="257" w:lineRule="auto"/>
              <w:rPr>
                <w:sz w:val="16"/>
                <w:szCs w:val="16"/>
              </w:rPr>
            </w:pPr>
            <w:r w:rsidRPr="005D413A">
              <w:rPr>
                <w:sz w:val="16"/>
                <w:szCs w:val="16"/>
              </w:rPr>
              <w:t>What are the areas of improvement?</w:t>
            </w:r>
          </w:p>
          <w:p w14:paraId="38BE8175" w14:textId="366F6EC4" w:rsidR="0F721697" w:rsidRPr="005D413A" w:rsidRDefault="0F721697" w:rsidP="0F721697">
            <w:pPr>
              <w:spacing w:line="257" w:lineRule="auto"/>
              <w:rPr>
                <w:sz w:val="16"/>
                <w:szCs w:val="16"/>
              </w:rPr>
            </w:pPr>
          </w:p>
          <w:p w14:paraId="01D80711" w14:textId="69C2AF67" w:rsidR="0F721697" w:rsidRPr="005D413A" w:rsidRDefault="0F721697" w:rsidP="0F721697">
            <w:pPr>
              <w:spacing w:line="259" w:lineRule="auto"/>
              <w:rPr>
                <w:sz w:val="16"/>
                <w:szCs w:val="16"/>
              </w:rPr>
            </w:pPr>
          </w:p>
        </w:tc>
        <w:tc>
          <w:tcPr>
            <w:tcW w:w="1513" w:type="dxa"/>
          </w:tcPr>
          <w:p w14:paraId="3DAC3AE1" w14:textId="444832DF" w:rsidR="0F721697" w:rsidRPr="005D413A" w:rsidRDefault="0F721697" w:rsidP="0F721697">
            <w:pPr>
              <w:spacing w:line="257" w:lineRule="auto"/>
              <w:rPr>
                <w:sz w:val="16"/>
                <w:szCs w:val="16"/>
              </w:rPr>
            </w:pPr>
          </w:p>
          <w:p w14:paraId="529A046B" w14:textId="6AE89530" w:rsidR="0F721697" w:rsidRPr="005D413A" w:rsidRDefault="0F721697" w:rsidP="0F721697">
            <w:pPr>
              <w:spacing w:line="257" w:lineRule="auto"/>
              <w:rPr>
                <w:sz w:val="16"/>
                <w:szCs w:val="16"/>
              </w:rPr>
            </w:pPr>
            <w:r w:rsidRPr="005D413A">
              <w:rPr>
                <w:sz w:val="16"/>
                <w:szCs w:val="16"/>
              </w:rPr>
              <w:t>How strategic are JP’s approaches and capacity to efficiently and effectively influence and support the policy/legal reforms for promoting women’s decent employment and economic empowerment?</w:t>
            </w:r>
          </w:p>
          <w:p w14:paraId="2F4F507B" w14:textId="32A54246" w:rsidR="0F721697" w:rsidRPr="005D413A" w:rsidRDefault="0F721697" w:rsidP="0F721697">
            <w:pPr>
              <w:spacing w:line="259" w:lineRule="auto"/>
              <w:rPr>
                <w:sz w:val="16"/>
                <w:szCs w:val="16"/>
              </w:rPr>
            </w:pPr>
          </w:p>
        </w:tc>
        <w:tc>
          <w:tcPr>
            <w:tcW w:w="1409" w:type="dxa"/>
          </w:tcPr>
          <w:p w14:paraId="5A1F9257" w14:textId="3B90E163" w:rsidR="0F721697" w:rsidRPr="005D413A" w:rsidRDefault="0F721697" w:rsidP="0F721697">
            <w:pPr>
              <w:spacing w:line="257" w:lineRule="auto"/>
              <w:rPr>
                <w:sz w:val="16"/>
                <w:szCs w:val="16"/>
              </w:rPr>
            </w:pPr>
          </w:p>
          <w:p w14:paraId="3C38CF1F" w14:textId="3C7F506D" w:rsidR="0F721697" w:rsidRPr="005D413A" w:rsidRDefault="315FA554" w:rsidP="20C304C7">
            <w:pPr>
              <w:spacing w:line="257" w:lineRule="auto"/>
              <w:rPr>
                <w:sz w:val="16"/>
                <w:szCs w:val="16"/>
              </w:rPr>
            </w:pPr>
            <w:r w:rsidRPr="5CF61BAE">
              <w:rPr>
                <w:sz w:val="16"/>
                <w:szCs w:val="16"/>
              </w:rPr>
              <w:t>How human rights, gender equality and inclusion, specifically inclusion of people living with disability  are incorporated into UN Women’s policy advocacy work?</w:t>
            </w:r>
          </w:p>
          <w:p w14:paraId="00D062C2" w14:textId="05518BFB" w:rsidR="0F721697" w:rsidRPr="005D413A" w:rsidRDefault="0F721697" w:rsidP="0F721697">
            <w:pPr>
              <w:spacing w:line="259" w:lineRule="auto"/>
              <w:rPr>
                <w:sz w:val="16"/>
                <w:szCs w:val="16"/>
              </w:rPr>
            </w:pPr>
          </w:p>
        </w:tc>
        <w:tc>
          <w:tcPr>
            <w:tcW w:w="1157" w:type="dxa"/>
          </w:tcPr>
          <w:p w14:paraId="49C76E1C" w14:textId="44EBF2B3" w:rsidR="0F721697" w:rsidRPr="005D413A" w:rsidRDefault="0F721697" w:rsidP="0F721697">
            <w:pPr>
              <w:spacing w:line="257" w:lineRule="auto"/>
              <w:rPr>
                <w:sz w:val="16"/>
                <w:szCs w:val="16"/>
              </w:rPr>
            </w:pPr>
          </w:p>
          <w:p w14:paraId="6BBABE89" w14:textId="50E03B7A" w:rsidR="0F721697" w:rsidRPr="005D413A" w:rsidRDefault="0F721697" w:rsidP="0F721697">
            <w:pPr>
              <w:spacing w:line="257" w:lineRule="auto"/>
              <w:rPr>
                <w:sz w:val="16"/>
                <w:szCs w:val="16"/>
              </w:rPr>
            </w:pPr>
          </w:p>
          <w:p w14:paraId="7D631A4B" w14:textId="1499D0B8" w:rsidR="0F721697" w:rsidRPr="005D413A" w:rsidRDefault="0F721697" w:rsidP="0F721697">
            <w:pPr>
              <w:spacing w:line="257" w:lineRule="auto"/>
              <w:rPr>
                <w:sz w:val="16"/>
                <w:szCs w:val="16"/>
              </w:rPr>
            </w:pPr>
            <w:r w:rsidRPr="005D413A">
              <w:rPr>
                <w:sz w:val="16"/>
                <w:szCs w:val="16"/>
              </w:rPr>
              <w:t>How does policy work contribute to outcomes and transformative changes</w:t>
            </w:r>
          </w:p>
          <w:p w14:paraId="182378AA" w14:textId="100000A1" w:rsidR="0F721697" w:rsidRPr="005D413A" w:rsidRDefault="0F721697" w:rsidP="0F721697">
            <w:pPr>
              <w:spacing w:line="259" w:lineRule="auto"/>
              <w:rPr>
                <w:sz w:val="16"/>
                <w:szCs w:val="16"/>
              </w:rPr>
            </w:pPr>
          </w:p>
        </w:tc>
      </w:tr>
    </w:tbl>
    <w:p w14:paraId="0BF7EECD" w14:textId="77777777" w:rsidR="001A6A36" w:rsidRDefault="001A6A36" w:rsidP="20C304C7">
      <w:pPr>
        <w:suppressAutoHyphens/>
        <w:autoSpaceDN w:val="0"/>
        <w:textAlignment w:val="baseline"/>
        <w:rPr>
          <w:color w:val="000000" w:themeColor="text1"/>
        </w:rPr>
      </w:pPr>
    </w:p>
    <w:p w14:paraId="308852C6" w14:textId="1AEDF8D4" w:rsidR="003D4D7E" w:rsidRPr="001A6A36" w:rsidRDefault="2B3E6204" w:rsidP="001A6A36">
      <w:pPr>
        <w:pStyle w:val="ListParagraph"/>
        <w:numPr>
          <w:ilvl w:val="0"/>
          <w:numId w:val="27"/>
        </w:numPr>
        <w:suppressAutoHyphens/>
        <w:autoSpaceDN w:val="0"/>
        <w:textAlignment w:val="baseline"/>
        <w:rPr>
          <w:rFonts w:ascii="Times New Roman" w:eastAsia="Times New Roman" w:hAnsi="Times New Roman" w:cs="Times New Roman"/>
          <w:lang w:val="en-GB"/>
        </w:rPr>
      </w:pPr>
      <w:r w:rsidRPr="4D27054C">
        <w:rPr>
          <w:rFonts w:ascii="Times New Roman" w:eastAsia="Times New Roman" w:hAnsi="Times New Roman" w:cs="Times New Roman"/>
          <w:b/>
          <w:bCs/>
        </w:rPr>
        <w:t xml:space="preserve">GRES gender and work </w:t>
      </w:r>
    </w:p>
    <w:p w14:paraId="4BD465A2" w14:textId="79D59FB0" w:rsidR="003856CC" w:rsidRPr="009C0559" w:rsidRDefault="6AA7EA93" w:rsidP="009C0559">
      <w:pPr>
        <w:pStyle w:val="ItadNormalText"/>
        <w:rPr>
          <w:rFonts w:ascii="Times New Roman" w:eastAsia="Times New Roman" w:hAnsi="Times New Roman" w:cs="Times New Roman"/>
          <w:color w:val="auto"/>
          <w:lang w:val="en-GB"/>
        </w:rPr>
      </w:pPr>
      <w:r w:rsidRPr="006B44CD">
        <w:rPr>
          <w:rFonts w:ascii="Times New Roman" w:eastAsia="Times New Roman" w:hAnsi="Times New Roman" w:cs="Times New Roman"/>
          <w:color w:val="auto"/>
          <w:lang w:val="en-GB"/>
        </w:rPr>
        <w:t>The UNDP Gender Results Effectiveness Scale (GRES)</w:t>
      </w:r>
      <w:r w:rsidR="003D4D7E" w:rsidRPr="4D27054C">
        <w:rPr>
          <w:rStyle w:val="FootnoteReference"/>
          <w:rFonts w:ascii="Times New Roman" w:eastAsia="Times New Roman" w:hAnsi="Times New Roman" w:cs="Times New Roman"/>
          <w:color w:val="auto"/>
          <w:sz w:val="16"/>
          <w:szCs w:val="16"/>
          <w:lang w:val="en-GB"/>
        </w:rPr>
        <w:footnoteReference w:id="76"/>
      </w:r>
      <w:r w:rsidRPr="006B44CD">
        <w:rPr>
          <w:rFonts w:ascii="Times New Roman" w:eastAsia="Times New Roman" w:hAnsi="Times New Roman" w:cs="Times New Roman"/>
          <w:color w:val="auto"/>
          <w:lang w:val="en-GB"/>
        </w:rPr>
        <w:t xml:space="preserve"> will be used to assess and capture </w:t>
      </w:r>
      <w:r w:rsidR="691C0D43">
        <w:rPr>
          <w:rFonts w:ascii="Times New Roman" w:eastAsia="Times New Roman" w:hAnsi="Times New Roman" w:cs="Times New Roman"/>
          <w:color w:val="auto"/>
          <w:lang w:val="en-GB"/>
        </w:rPr>
        <w:t xml:space="preserve">and present </w:t>
      </w:r>
      <w:r w:rsidRPr="006B44CD">
        <w:rPr>
          <w:rFonts w:ascii="Times New Roman" w:eastAsia="Times New Roman" w:hAnsi="Times New Roman" w:cs="Times New Roman"/>
          <w:color w:val="auto"/>
          <w:lang w:val="en-GB"/>
        </w:rPr>
        <w:t xml:space="preserve">the </w:t>
      </w:r>
      <w:r w:rsidR="691C0D43">
        <w:rPr>
          <w:rFonts w:ascii="Times New Roman" w:eastAsia="Times New Roman" w:hAnsi="Times New Roman" w:cs="Times New Roman"/>
          <w:color w:val="auto"/>
          <w:lang w:val="en-GB"/>
        </w:rPr>
        <w:t xml:space="preserve">overall </w:t>
      </w:r>
      <w:r w:rsidRPr="006B44CD">
        <w:rPr>
          <w:rFonts w:ascii="Times New Roman" w:eastAsia="Times New Roman" w:hAnsi="Times New Roman" w:cs="Times New Roman"/>
          <w:color w:val="auto"/>
          <w:lang w:val="en-GB"/>
        </w:rPr>
        <w:t xml:space="preserve">gender transformative contribution of the </w:t>
      </w:r>
      <w:r w:rsidR="691C0D43">
        <w:rPr>
          <w:rFonts w:ascii="Times New Roman" w:eastAsia="Times New Roman" w:hAnsi="Times New Roman" w:cs="Times New Roman"/>
          <w:color w:val="auto"/>
          <w:lang w:val="en-GB"/>
        </w:rPr>
        <w:t>JP</w:t>
      </w:r>
      <w:r w:rsidRPr="006B44CD">
        <w:rPr>
          <w:rFonts w:ascii="Times New Roman" w:eastAsia="Times New Roman" w:hAnsi="Times New Roman" w:cs="Times New Roman"/>
          <w:color w:val="auto"/>
          <w:lang w:val="en-GB"/>
        </w:rPr>
        <w:t xml:space="preserve"> using the five categories: Gender negative, gender blind, gender targeted, gender responsive and gender transformative</w:t>
      </w:r>
      <w:r w:rsidR="180998E5" w:rsidRPr="006B44CD">
        <w:rPr>
          <w:rFonts w:ascii="Times New Roman" w:eastAsia="Times New Roman" w:hAnsi="Times New Roman" w:cs="Times New Roman"/>
          <w:color w:val="auto"/>
          <w:lang w:val="en-GB"/>
        </w:rPr>
        <w:t>.</w:t>
      </w:r>
    </w:p>
    <w:p w14:paraId="3DC0DF8D" w14:textId="2962BC09" w:rsidR="003D4D7E" w:rsidRPr="009C0559" w:rsidRDefault="25B1DF78" w:rsidP="00617267">
      <w:pPr>
        <w:pStyle w:val="Heading1"/>
        <w:numPr>
          <w:ilvl w:val="0"/>
          <w:numId w:val="34"/>
        </w:numPr>
        <w:rPr>
          <w:rFonts w:ascii="Times New Roman" w:eastAsia="Times New Roman" w:hAnsi="Times New Roman" w:cs="Times New Roman"/>
          <w:b/>
          <w:bCs/>
          <w:sz w:val="24"/>
          <w:szCs w:val="24"/>
          <w:lang w:val="en-GB"/>
        </w:rPr>
      </w:pPr>
      <w:bookmarkStart w:id="47" w:name="_Toc97453934"/>
      <w:r w:rsidRPr="5DC39AF9">
        <w:rPr>
          <w:rFonts w:ascii="Times New Roman" w:eastAsia="Times New Roman" w:hAnsi="Times New Roman" w:cs="Times New Roman"/>
          <w:b/>
          <w:bCs/>
          <w:sz w:val="24"/>
          <w:szCs w:val="24"/>
          <w:lang w:val="en-GB"/>
        </w:rPr>
        <w:t xml:space="preserve">Data </w:t>
      </w:r>
      <w:r w:rsidR="007DEFDF" w:rsidRPr="5DC39AF9">
        <w:rPr>
          <w:rFonts w:ascii="Times New Roman" w:eastAsia="Times New Roman" w:hAnsi="Times New Roman" w:cs="Times New Roman"/>
          <w:b/>
          <w:bCs/>
          <w:sz w:val="24"/>
          <w:szCs w:val="24"/>
          <w:lang w:val="en-GB"/>
        </w:rPr>
        <w:t xml:space="preserve">and </w:t>
      </w:r>
      <w:r w:rsidR="6BA07D1F" w:rsidRPr="5DC39AF9">
        <w:rPr>
          <w:rFonts w:ascii="Times New Roman" w:eastAsia="Times New Roman" w:hAnsi="Times New Roman" w:cs="Times New Roman"/>
          <w:b/>
          <w:bCs/>
          <w:sz w:val="24"/>
          <w:szCs w:val="24"/>
          <w:lang w:val="en-GB"/>
        </w:rPr>
        <w:t>Samplin</w:t>
      </w:r>
      <w:r w:rsidR="7FB1E2CF" w:rsidRPr="5DC39AF9">
        <w:rPr>
          <w:rFonts w:ascii="Times New Roman" w:eastAsia="Times New Roman" w:hAnsi="Times New Roman" w:cs="Times New Roman"/>
          <w:b/>
          <w:bCs/>
          <w:sz w:val="24"/>
          <w:szCs w:val="24"/>
          <w:lang w:val="en-GB"/>
        </w:rPr>
        <w:t>g:</w:t>
      </w:r>
      <w:bookmarkEnd w:id="47"/>
    </w:p>
    <w:p w14:paraId="18B94A05" w14:textId="7624E7B4" w:rsidR="33A8402B" w:rsidRDefault="42FE05D6" w:rsidP="4D27054C">
      <w:pPr>
        <w:jc w:val="both"/>
      </w:pPr>
      <w:r w:rsidRPr="4D27054C">
        <w:t>A stakeholder analysis was conducted to understand different institutions/organizations working with JP at the regional and national level. It provided the basis for understanding UN Women’s direct and indirect partners and to inform the sampling strategies for KIIs and FGDs. The JP works with a wide range of stakeholders, so a purposive sampling was applied to identify and choose a cross-section of stakeholders who will be consulted by the evaluation team to capture a variety of perspectives- see annex 2. The stakeholder list was shared with the regional and the country team for validation. </w:t>
      </w:r>
      <w:r w:rsidRPr="4D27054C">
        <w:rPr>
          <w:lang w:val="en-US"/>
        </w:rPr>
        <w:t> </w:t>
      </w:r>
      <w:r w:rsidRPr="4D27054C">
        <w:t xml:space="preserve"> The evaluation team will use triangulation to check and establish validity of the evaluation findings.</w:t>
      </w:r>
    </w:p>
    <w:p w14:paraId="20B9EE96" w14:textId="618F0123" w:rsidR="33A8402B" w:rsidRDefault="33A8402B" w:rsidP="33A8402B"/>
    <w:p w14:paraId="645687F9" w14:textId="2C05787F" w:rsidR="003D4D7E" w:rsidRPr="006B44CD" w:rsidRDefault="47CEA90A" w:rsidP="3BAF1B68">
      <w:pPr>
        <w:suppressAutoHyphens/>
        <w:autoSpaceDN w:val="0"/>
        <w:jc w:val="both"/>
        <w:textAlignment w:val="baseline"/>
        <w:rPr>
          <w:rFonts w:eastAsia="Calibri"/>
          <w:b/>
          <w:bCs/>
        </w:rPr>
      </w:pPr>
      <w:r w:rsidRPr="006B44CD">
        <w:rPr>
          <w:rFonts w:eastAsia="Calibri"/>
          <w:b/>
          <w:bCs/>
        </w:rPr>
        <w:t>Data Collection:</w:t>
      </w:r>
    </w:p>
    <w:p w14:paraId="5AAB5193" w14:textId="5D13E481" w:rsidR="00FF18B3" w:rsidRDefault="6DC69F44" w:rsidP="23A87BBC">
      <w:pPr>
        <w:suppressAutoHyphens/>
        <w:autoSpaceDN w:val="0"/>
        <w:jc w:val="both"/>
        <w:textAlignment w:val="baseline"/>
        <w:rPr>
          <w:rFonts w:eastAsia="Calibri"/>
        </w:rPr>
      </w:pPr>
      <w:r w:rsidRPr="006B44CD">
        <w:rPr>
          <w:rFonts w:eastAsia="Calibri"/>
        </w:rPr>
        <w:t>Following</w:t>
      </w:r>
      <w:r w:rsidR="388118AC" w:rsidRPr="006B44CD">
        <w:rPr>
          <w:rFonts w:eastAsia="Calibri"/>
        </w:rPr>
        <w:t xml:space="preserve"> evidence collection methods will be used during the M</w:t>
      </w:r>
      <w:r w:rsidR="2D8248B0" w:rsidRPr="006B44CD">
        <w:rPr>
          <w:rFonts w:eastAsia="Calibri"/>
        </w:rPr>
        <w:t>TE</w:t>
      </w:r>
      <w:r w:rsidR="388118AC" w:rsidRPr="006B44CD">
        <w:rPr>
          <w:rFonts w:eastAsia="Calibri"/>
        </w:rPr>
        <w:t xml:space="preserve"> as well as participant selection criteria at regional programme management level and for each of the three countries in which the Joint Programme was implemented</w:t>
      </w:r>
      <w:r w:rsidR="00FF18B3">
        <w:rPr>
          <w:rFonts w:eastAsia="Calibri"/>
        </w:rPr>
        <w:t>:</w:t>
      </w:r>
    </w:p>
    <w:p w14:paraId="31140BD9" w14:textId="7B75DA1C" w:rsidR="00B56B9A" w:rsidRDefault="00B56B9A" w:rsidP="23A87BBC">
      <w:pPr>
        <w:suppressAutoHyphens/>
        <w:autoSpaceDN w:val="0"/>
        <w:jc w:val="both"/>
        <w:textAlignment w:val="baseline"/>
        <w:rPr>
          <w:rFonts w:eastAsia="Calibri"/>
        </w:rPr>
      </w:pPr>
    </w:p>
    <w:p w14:paraId="733D693E" w14:textId="15FB6025" w:rsidR="00B56B9A" w:rsidRDefault="00B56B9A" w:rsidP="23A87BBC">
      <w:pPr>
        <w:suppressAutoHyphens/>
        <w:autoSpaceDN w:val="0"/>
        <w:jc w:val="both"/>
        <w:textAlignment w:val="baseline"/>
        <w:rPr>
          <w:rFonts w:eastAsia="Calibri"/>
        </w:rPr>
      </w:pPr>
    </w:p>
    <w:p w14:paraId="67A41F37" w14:textId="1E4E6E87" w:rsidR="00B56B9A" w:rsidRDefault="00B56B9A" w:rsidP="23A87BBC">
      <w:pPr>
        <w:suppressAutoHyphens/>
        <w:autoSpaceDN w:val="0"/>
        <w:jc w:val="both"/>
        <w:textAlignment w:val="baseline"/>
        <w:rPr>
          <w:rFonts w:eastAsia="Calibri"/>
        </w:rPr>
      </w:pPr>
    </w:p>
    <w:p w14:paraId="41F2F9F3" w14:textId="77777777" w:rsidR="00B56B9A" w:rsidRPr="006B44CD" w:rsidRDefault="00B56B9A" w:rsidP="23A87BBC">
      <w:pPr>
        <w:suppressAutoHyphens/>
        <w:autoSpaceDN w:val="0"/>
        <w:jc w:val="both"/>
        <w:textAlignment w:val="baseline"/>
        <w:rPr>
          <w:rFonts w:eastAsia="Calibri"/>
        </w:rPr>
      </w:pPr>
    </w:p>
    <w:p w14:paraId="2D6A9C94" w14:textId="4033F9F1" w:rsidR="003D4D7E" w:rsidRPr="005D413A" w:rsidRDefault="732E583C" w:rsidP="579C34A4">
      <w:pPr>
        <w:suppressAutoHyphens/>
        <w:autoSpaceDN w:val="0"/>
        <w:spacing w:line="256" w:lineRule="auto"/>
        <w:jc w:val="both"/>
        <w:textAlignment w:val="baseline"/>
        <w:rPr>
          <w:rFonts w:eastAsia="Calibri"/>
        </w:rPr>
      </w:pPr>
      <w:r w:rsidRPr="4D27054C">
        <w:rPr>
          <w:rFonts w:eastAsia="Calibri"/>
        </w:rPr>
        <w:lastRenderedPageBreak/>
        <w:t xml:space="preserve">a) </w:t>
      </w:r>
      <w:r w:rsidR="3445184E" w:rsidRPr="4D27054C">
        <w:rPr>
          <w:rFonts w:eastAsia="Calibri"/>
          <w:b/>
          <w:bCs/>
        </w:rPr>
        <w:t>Desk Review</w:t>
      </w:r>
      <w:r w:rsidR="4946540C" w:rsidRPr="4D27054C">
        <w:rPr>
          <w:rFonts w:eastAsia="Calibri"/>
          <w:b/>
          <w:bCs/>
        </w:rPr>
        <w:t xml:space="preserve"> and content analysis:</w:t>
      </w:r>
    </w:p>
    <w:p w14:paraId="6E05B301" w14:textId="7A6804DA" w:rsidR="003D4D7E" w:rsidRPr="006B44CD" w:rsidRDefault="45C3DD17" w:rsidP="4D27054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rPr>
      </w:pPr>
      <w:r w:rsidRPr="151D6FEB">
        <w:rPr>
          <w:rFonts w:ascii="Times New Roman" w:eastAsia="Calibri" w:hAnsi="Times New Roman" w:cs="Times New Roman"/>
          <w:lang w:val="en-GB"/>
        </w:rPr>
        <w:t xml:space="preserve">JP Programme documents: </w:t>
      </w:r>
      <w:r w:rsidR="3445184E" w:rsidRPr="151D6FEB">
        <w:rPr>
          <w:rFonts w:ascii="Times New Roman" w:eastAsia="Calibri" w:hAnsi="Times New Roman" w:cs="Times New Roman"/>
          <w:lang w:val="en-GB"/>
        </w:rPr>
        <w:t xml:space="preserve">Different Joint Programme reports and documents including JP </w:t>
      </w:r>
      <w:r w:rsidR="3445184E" w:rsidRPr="151D6FEB">
        <w:rPr>
          <w:rFonts w:ascii="Times New Roman" w:hAnsi="Times New Roman"/>
        </w:rPr>
        <w:t>a</w:t>
      </w:r>
      <w:r w:rsidR="3445184E" w:rsidRPr="151D6FEB">
        <w:rPr>
          <w:rFonts w:ascii="Times New Roman" w:eastAsia="Calibri" w:hAnsi="Times New Roman" w:cs="Times New Roman"/>
        </w:rPr>
        <w:t>nnual</w:t>
      </w:r>
      <w:r w:rsidR="3445184E" w:rsidRPr="151D6FEB">
        <w:rPr>
          <w:rFonts w:ascii="Times New Roman" w:eastAsia="Calibri" w:hAnsi="Times New Roman" w:cs="Times New Roman"/>
          <w:lang w:val="en-GB"/>
        </w:rPr>
        <w:t xml:space="preserve"> and progress</w:t>
      </w:r>
      <w:r w:rsidR="3445184E" w:rsidRPr="151D6FEB">
        <w:rPr>
          <w:rFonts w:ascii="Times New Roman" w:eastAsia="Calibri" w:hAnsi="Times New Roman" w:cs="Times New Roman"/>
        </w:rPr>
        <w:t xml:space="preserve"> reports, </w:t>
      </w:r>
      <w:r w:rsidR="3445184E" w:rsidRPr="151D6FEB">
        <w:rPr>
          <w:rFonts w:ascii="Times New Roman" w:eastAsia="Calibri" w:hAnsi="Times New Roman" w:cs="Times New Roman"/>
          <w:lang w:val="en-GB"/>
        </w:rPr>
        <w:t>UN Women country level reporting to HQ</w:t>
      </w:r>
      <w:r w:rsidR="79E0A21A" w:rsidRPr="151D6FEB">
        <w:rPr>
          <w:rFonts w:ascii="Times New Roman" w:eastAsia="Calibri" w:hAnsi="Times New Roman" w:cs="Times New Roman"/>
          <w:lang w:val="en-GB"/>
        </w:rPr>
        <w:t xml:space="preserve"> and donors</w:t>
      </w:r>
      <w:r w:rsidR="3445184E" w:rsidRPr="151D6FEB">
        <w:rPr>
          <w:rFonts w:ascii="Times New Roman" w:eastAsia="Calibri" w:hAnsi="Times New Roman" w:cs="Times New Roman"/>
          <w:lang w:val="en-GB"/>
        </w:rPr>
        <w:t>,</w:t>
      </w:r>
      <w:r w:rsidR="4F34840C" w:rsidRPr="151D6FEB">
        <w:rPr>
          <w:rFonts w:ascii="Times New Roman" w:eastAsia="Calibri" w:hAnsi="Times New Roman" w:cs="Times New Roman"/>
          <w:lang w:val="en-GB"/>
        </w:rPr>
        <w:t xml:space="preserve"> </w:t>
      </w:r>
      <w:r w:rsidR="3445184E" w:rsidRPr="151D6FEB">
        <w:rPr>
          <w:rFonts w:ascii="Times New Roman" w:eastAsia="Calibri" w:hAnsi="Times New Roman" w:cs="Times New Roman"/>
          <w:lang w:val="en-GB"/>
        </w:rPr>
        <w:t xml:space="preserve">training reports and records, </w:t>
      </w:r>
      <w:r w:rsidR="3445184E" w:rsidRPr="151D6FEB">
        <w:rPr>
          <w:rFonts w:ascii="Times New Roman" w:eastAsia="Calibri" w:hAnsi="Times New Roman" w:cs="Times New Roman"/>
        </w:rPr>
        <w:t>pre-post tests, post training surveys</w:t>
      </w:r>
      <w:r w:rsidR="2CFF08AF" w:rsidRPr="151D6FEB">
        <w:rPr>
          <w:rFonts w:ascii="Times New Roman" w:eastAsia="Calibri" w:hAnsi="Times New Roman" w:cs="Times New Roman"/>
        </w:rPr>
        <w:t xml:space="preserve"> etc</w:t>
      </w:r>
      <w:r w:rsidR="3445184E" w:rsidRPr="151D6FEB">
        <w:rPr>
          <w:rFonts w:ascii="Times New Roman" w:eastAsia="Calibri" w:hAnsi="Times New Roman" w:cs="Times New Roman"/>
          <w:lang w:val="en-GB"/>
        </w:rPr>
        <w:t>.</w:t>
      </w:r>
      <w:r w:rsidR="3445184E" w:rsidRPr="151D6FEB">
        <w:rPr>
          <w:rFonts w:ascii="Times New Roman" w:eastAsia="Calibri" w:hAnsi="Times New Roman" w:cs="Times New Roman"/>
        </w:rPr>
        <w:t xml:space="preserve">  </w:t>
      </w:r>
    </w:p>
    <w:p w14:paraId="6BB11403" w14:textId="3E662E7B" w:rsidR="003D4D7E" w:rsidRPr="006B44CD" w:rsidRDefault="3445184E" w:rsidP="4D27054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lang w:val="en-GB"/>
        </w:rPr>
      </w:pPr>
      <w:r w:rsidRPr="4D27054C">
        <w:rPr>
          <w:rFonts w:ascii="Times New Roman" w:eastAsia="Calibri" w:hAnsi="Times New Roman" w:cs="Times New Roman"/>
        </w:rPr>
        <w:t>Different laws and legislation, regulations and policies related to Gender Equality in the labour market, social protection and reconciliation of p</w:t>
      </w:r>
      <w:r w:rsidR="64FEF0D8" w:rsidRPr="4D27054C">
        <w:rPr>
          <w:rFonts w:ascii="Times New Roman" w:eastAsia="Calibri" w:hAnsi="Times New Roman" w:cs="Times New Roman"/>
        </w:rPr>
        <w:t>ersonal</w:t>
      </w:r>
      <w:r w:rsidRPr="4D27054C">
        <w:rPr>
          <w:rFonts w:ascii="Times New Roman" w:eastAsia="Calibri" w:hAnsi="Times New Roman" w:cs="Times New Roman"/>
        </w:rPr>
        <w:t xml:space="preserve"> and professional life, including reforms achieved by the pro</w:t>
      </w:r>
      <w:r w:rsidR="70049A77" w:rsidRPr="4D27054C">
        <w:rPr>
          <w:rFonts w:ascii="Times New Roman" w:eastAsia="Calibri" w:hAnsi="Times New Roman" w:cs="Times New Roman"/>
        </w:rPr>
        <w:t>gramme</w:t>
      </w:r>
      <w:r w:rsidRPr="4D27054C">
        <w:rPr>
          <w:rFonts w:ascii="Times New Roman" w:eastAsia="Calibri" w:hAnsi="Times New Roman" w:cs="Times New Roman"/>
          <w:lang w:val="en-GB"/>
        </w:rPr>
        <w:t>; o</w:t>
      </w:r>
      <w:r w:rsidRPr="4D27054C">
        <w:rPr>
          <w:rFonts w:ascii="Times New Roman" w:eastAsia="Calibri" w:hAnsi="Times New Roman" w:cs="Times New Roman"/>
        </w:rPr>
        <w:t>fficial gazette</w:t>
      </w:r>
      <w:r w:rsidRPr="4D27054C">
        <w:rPr>
          <w:rFonts w:ascii="Times New Roman" w:eastAsia="Calibri" w:hAnsi="Times New Roman" w:cs="Times New Roman"/>
          <w:lang w:val="en-GB"/>
        </w:rPr>
        <w:t>s, reports of l</w:t>
      </w:r>
      <w:r w:rsidRPr="4D27054C">
        <w:rPr>
          <w:rFonts w:ascii="Times New Roman" w:eastAsia="Calibri" w:hAnsi="Times New Roman" w:cs="Times New Roman"/>
        </w:rPr>
        <w:t>egislative bodies</w:t>
      </w:r>
      <w:r w:rsidR="7931A766" w:rsidRPr="4D27054C">
        <w:rPr>
          <w:rFonts w:ascii="Times New Roman" w:eastAsia="Calibri" w:hAnsi="Times New Roman" w:cs="Times New Roman"/>
        </w:rPr>
        <w:t xml:space="preserve"> etc.</w:t>
      </w:r>
    </w:p>
    <w:p w14:paraId="0359B19A" w14:textId="77777777" w:rsidR="003D4D7E" w:rsidRPr="006B44CD" w:rsidRDefault="3445184E" w:rsidP="4D27054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rPr>
      </w:pPr>
      <w:r w:rsidRPr="4D27054C">
        <w:rPr>
          <w:rFonts w:ascii="Times New Roman" w:eastAsia="Calibri" w:hAnsi="Times New Roman" w:cs="Times New Roman"/>
        </w:rPr>
        <w:t>Strategy documents and national action plans in relevant sectors</w:t>
      </w:r>
      <w:r w:rsidRPr="4D27054C">
        <w:rPr>
          <w:rFonts w:ascii="Times New Roman" w:eastAsia="Calibri" w:hAnsi="Times New Roman" w:cs="Times New Roman"/>
          <w:lang w:val="en-GB"/>
        </w:rPr>
        <w:t xml:space="preserve"> in addition to n</w:t>
      </w:r>
      <w:r w:rsidRPr="4D27054C">
        <w:rPr>
          <w:rFonts w:ascii="Times New Roman" w:eastAsia="Calibri" w:hAnsi="Times New Roman" w:cs="Times New Roman"/>
        </w:rPr>
        <w:t>ational budget</w:t>
      </w:r>
      <w:r w:rsidRPr="4D27054C">
        <w:rPr>
          <w:rFonts w:ascii="Times New Roman" w:eastAsia="Calibri" w:hAnsi="Times New Roman" w:cs="Times New Roman"/>
          <w:lang w:val="en-GB"/>
        </w:rPr>
        <w:t xml:space="preserve"> documents.</w:t>
      </w:r>
    </w:p>
    <w:p w14:paraId="2EA845F1" w14:textId="79DBE80A" w:rsidR="003D4D7E" w:rsidRPr="006B44CD" w:rsidRDefault="3445184E" w:rsidP="4D27054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rPr>
      </w:pPr>
      <w:r w:rsidRPr="4D27054C">
        <w:rPr>
          <w:rFonts w:ascii="Times New Roman" w:eastAsia="Calibri" w:hAnsi="Times New Roman" w:cs="Times New Roman"/>
        </w:rPr>
        <w:t>Statistics, data, reports and surveys on women in the labour market</w:t>
      </w:r>
      <w:r w:rsidR="2ECA9F36" w:rsidRPr="4D27054C">
        <w:rPr>
          <w:rFonts w:ascii="Times New Roman" w:eastAsia="Calibri" w:hAnsi="Times New Roman" w:cs="Times New Roman"/>
        </w:rPr>
        <w:t xml:space="preserve">. </w:t>
      </w:r>
      <w:r w:rsidR="44C244A9" w:rsidRPr="4D27054C">
        <w:rPr>
          <w:rFonts w:ascii="Times New Roman" w:eastAsia="Calibri" w:hAnsi="Times New Roman" w:cs="Times New Roman"/>
        </w:rPr>
        <w:t xml:space="preserve"> </w:t>
      </w:r>
      <w:r w:rsidRPr="4D27054C">
        <w:rPr>
          <w:rFonts w:ascii="Times New Roman" w:eastAsia="Calibri" w:hAnsi="Times New Roman" w:cs="Times New Roman"/>
        </w:rPr>
        <w:t>Baseline assessment</w:t>
      </w:r>
      <w:r w:rsidRPr="4D27054C">
        <w:rPr>
          <w:rFonts w:ascii="Times New Roman" w:eastAsia="Calibri" w:hAnsi="Times New Roman" w:cs="Times New Roman"/>
          <w:lang w:val="en-GB"/>
        </w:rPr>
        <w:t>s</w:t>
      </w:r>
      <w:r w:rsidRPr="4D27054C">
        <w:rPr>
          <w:rFonts w:ascii="Times New Roman" w:eastAsia="Calibri" w:hAnsi="Times New Roman" w:cs="Times New Roman"/>
        </w:rPr>
        <w:t xml:space="preserve"> </w:t>
      </w:r>
      <w:r w:rsidR="003D4D7E">
        <w:tab/>
      </w:r>
      <w:r w:rsidRPr="4D27054C">
        <w:rPr>
          <w:rFonts w:ascii="Times New Roman" w:eastAsia="Calibri" w:hAnsi="Times New Roman" w:cs="Times New Roman"/>
        </w:rPr>
        <w:t>for economic sectors</w:t>
      </w:r>
    </w:p>
    <w:p w14:paraId="0890028D" w14:textId="77777777" w:rsidR="003D4D7E" w:rsidRPr="006B44CD" w:rsidRDefault="003D4D7E" w:rsidP="00DA41C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rPr>
      </w:pPr>
      <w:r w:rsidRPr="006B44CD">
        <w:rPr>
          <w:rFonts w:ascii="Times New Roman" w:eastAsia="Calibri" w:hAnsi="Times New Roman" w:cs="Times New Roman"/>
        </w:rPr>
        <w:t>Social dialogue reports of the last decade</w:t>
      </w:r>
    </w:p>
    <w:p w14:paraId="0244B3EC" w14:textId="0EE383A6" w:rsidR="003D4D7E" w:rsidRPr="006B44CD" w:rsidRDefault="03997FAF" w:rsidP="4D27054C">
      <w:pPr>
        <w:pStyle w:val="ListParagraph"/>
        <w:numPr>
          <w:ilvl w:val="0"/>
          <w:numId w:val="9"/>
        </w:numPr>
        <w:suppressAutoHyphens/>
        <w:autoSpaceDN w:val="0"/>
        <w:spacing w:line="256" w:lineRule="auto"/>
        <w:jc w:val="both"/>
        <w:textAlignment w:val="baseline"/>
        <w:rPr>
          <w:rFonts w:ascii="Times New Roman" w:eastAsiaTheme="majorBidi" w:hAnsi="Times New Roman" w:cs="Times New Roman"/>
          <w:lang w:val="en-GB"/>
        </w:rPr>
      </w:pPr>
      <w:r w:rsidRPr="151D6FEB">
        <w:rPr>
          <w:rFonts w:ascii="Times New Roman" w:eastAsia="Times New Roman" w:hAnsi="Times New Roman" w:cs="Times New Roman"/>
        </w:rPr>
        <w:t>Private sector- c</w:t>
      </w:r>
      <w:r w:rsidR="3445184E" w:rsidRPr="151D6FEB">
        <w:rPr>
          <w:rFonts w:ascii="Times New Roman" w:eastAsia="Times New Roman" w:hAnsi="Times New Roman" w:cs="Times New Roman"/>
        </w:rPr>
        <w:t>ompany policy documents</w:t>
      </w:r>
      <w:r w:rsidR="3445184E" w:rsidRPr="151D6FEB">
        <w:rPr>
          <w:rFonts w:ascii="Times New Roman" w:eastAsia="Times New Roman" w:hAnsi="Times New Roman" w:cs="Times New Roman"/>
          <w:lang w:val="en-GB"/>
        </w:rPr>
        <w:t>, e</w:t>
      </w:r>
      <w:r w:rsidR="3445184E" w:rsidRPr="151D6FEB">
        <w:rPr>
          <w:rFonts w:ascii="Times New Roman" w:eastAsia="Times New Roman" w:hAnsi="Times New Roman" w:cs="Times New Roman"/>
        </w:rPr>
        <w:t>xisting codes of conduct against violence</w:t>
      </w:r>
      <w:r w:rsidR="2911802E" w:rsidRPr="151D6FEB">
        <w:rPr>
          <w:rFonts w:ascii="Times New Roman" w:eastAsia="Times New Roman" w:hAnsi="Times New Roman" w:cs="Times New Roman"/>
        </w:rPr>
        <w:t xml:space="preserve">, </w:t>
      </w:r>
      <w:r w:rsidR="2911802E" w:rsidRPr="151D6FEB">
        <w:rPr>
          <w:rFonts w:ascii="Times New Roman" w:eastAsia="Times New Roman" w:hAnsi="Times New Roman" w:cs="Times New Roman"/>
          <w:lang w:val="en-GB"/>
        </w:rPr>
        <w:t xml:space="preserve"> </w:t>
      </w:r>
      <w:r w:rsidR="3445184E" w:rsidRPr="151D6FEB">
        <w:rPr>
          <w:rFonts w:ascii="Times New Roman" w:eastAsia="Times New Roman" w:hAnsi="Times New Roman" w:cs="Times New Roman"/>
        </w:rPr>
        <w:t>Corporate partner database</w:t>
      </w:r>
      <w:r w:rsidR="0CD52DC8" w:rsidRPr="151D6FEB">
        <w:rPr>
          <w:rFonts w:ascii="Times New Roman" w:eastAsia="Times New Roman" w:hAnsi="Times New Roman" w:cs="Times New Roman"/>
        </w:rPr>
        <w:t xml:space="preserve"> and </w:t>
      </w:r>
      <w:r w:rsidR="0CD52DC8" w:rsidRPr="151D6FEB">
        <w:rPr>
          <w:rFonts w:ascii="Times New Roman" w:eastAsia="Times New Roman" w:hAnsi="Times New Roman" w:cs="Times New Roman"/>
          <w:lang w:val="en-GB"/>
        </w:rPr>
        <w:t>c</w:t>
      </w:r>
      <w:r w:rsidR="0CD52DC8" w:rsidRPr="151D6FEB">
        <w:rPr>
          <w:rFonts w:ascii="Times New Roman" w:eastAsia="Times New Roman" w:hAnsi="Times New Roman" w:cs="Times New Roman"/>
        </w:rPr>
        <w:t>orporate partner assessments.</w:t>
      </w:r>
    </w:p>
    <w:p w14:paraId="64FE755D" w14:textId="6486E479" w:rsidR="151D6FEB" w:rsidRDefault="151D6FEB" w:rsidP="151D6FEB">
      <w:pPr>
        <w:pStyle w:val="ListParagraph"/>
        <w:numPr>
          <w:ilvl w:val="0"/>
          <w:numId w:val="9"/>
        </w:numPr>
        <w:spacing w:line="256" w:lineRule="auto"/>
        <w:jc w:val="both"/>
        <w:rPr>
          <w:rFonts w:ascii="Times New Roman" w:eastAsia="Times New Roman" w:hAnsi="Times New Roman" w:cs="Times New Roman"/>
          <w:color w:val="000000" w:themeColor="text1"/>
          <w:sz w:val="24"/>
          <w:szCs w:val="24"/>
          <w:lang w:val="en-GB"/>
        </w:rPr>
      </w:pPr>
      <w:r w:rsidRPr="151D6FEB">
        <w:rPr>
          <w:rFonts w:ascii="Times New Roman" w:eastAsia="Times New Roman" w:hAnsi="Times New Roman" w:cs="Times New Roman"/>
          <w:color w:val="000000" w:themeColor="text1"/>
          <w:lang w:val="en-GB"/>
        </w:rPr>
        <w:t xml:space="preserve">Websites: national Ministries of Labour, </w:t>
      </w:r>
      <w:r w:rsidRPr="151D6FEB">
        <w:rPr>
          <w:rFonts w:ascii="Times New Roman" w:eastAsia="Times New Roman" w:hAnsi="Times New Roman" w:cs="Times New Roman"/>
          <w:lang w:val="en-GB"/>
        </w:rPr>
        <w:t xml:space="preserve">Manpower, Youth and National Economy; National Council for Women; and other national stakeholders’ </w:t>
      </w:r>
      <w:r w:rsidRPr="151D6FEB">
        <w:rPr>
          <w:rFonts w:ascii="Times New Roman" w:eastAsia="Times New Roman" w:hAnsi="Times New Roman" w:cs="Times New Roman"/>
        </w:rPr>
        <w:t>website</w:t>
      </w:r>
      <w:r w:rsidRPr="151D6FEB">
        <w:rPr>
          <w:rFonts w:ascii="Times New Roman" w:eastAsia="Times New Roman" w:hAnsi="Times New Roman" w:cs="Times New Roman"/>
          <w:lang w:val="en-GB"/>
        </w:rPr>
        <w:t xml:space="preserve">s as well as websites of </w:t>
      </w:r>
      <w:r w:rsidRPr="151D6FEB">
        <w:rPr>
          <w:rFonts w:ascii="Times New Roman" w:eastAsia="Times New Roman" w:hAnsi="Times New Roman" w:cs="Times New Roman"/>
        </w:rPr>
        <w:t>UN Women, ILO,</w:t>
      </w:r>
      <w:r w:rsidRPr="151D6FEB">
        <w:rPr>
          <w:rFonts w:ascii="Times New Roman" w:eastAsia="Times New Roman" w:hAnsi="Times New Roman" w:cs="Times New Roman"/>
          <w:lang w:val="en-GB"/>
        </w:rPr>
        <w:t xml:space="preserve"> </w:t>
      </w:r>
      <w:r w:rsidRPr="151D6FEB">
        <w:rPr>
          <w:rFonts w:ascii="Times New Roman" w:eastAsia="Times New Roman" w:hAnsi="Times New Roman" w:cs="Times New Roman"/>
        </w:rPr>
        <w:t>WEPs website</w:t>
      </w:r>
      <w:r w:rsidRPr="151D6FEB">
        <w:rPr>
          <w:rFonts w:ascii="Times New Roman" w:eastAsia="Times New Roman" w:hAnsi="Times New Roman" w:cs="Times New Roman"/>
          <w:lang w:val="en-GB"/>
        </w:rPr>
        <w:t>, social media etc.</w:t>
      </w:r>
    </w:p>
    <w:p w14:paraId="3E0CEDB6" w14:textId="75A66150" w:rsidR="52A1DA48" w:rsidRDefault="52A1DA48" w:rsidP="5DC39AF9">
      <w:pPr>
        <w:pStyle w:val="ListParagraph"/>
        <w:numPr>
          <w:ilvl w:val="0"/>
          <w:numId w:val="9"/>
        </w:numPr>
        <w:spacing w:line="256" w:lineRule="auto"/>
        <w:jc w:val="both"/>
        <w:rPr>
          <w:rFonts w:ascii="Times New Roman" w:eastAsia="Times New Roman" w:hAnsi="Times New Roman" w:cs="Times New Roman"/>
          <w:color w:val="000000" w:themeColor="text1"/>
        </w:rPr>
      </w:pPr>
      <w:r w:rsidRPr="151D6FEB">
        <w:rPr>
          <w:rFonts w:ascii="Times New Roman" w:eastAsia="Times New Roman" w:hAnsi="Times New Roman" w:cs="Times New Roman"/>
        </w:rPr>
        <w:t>Ongoing relevant evaluation</w:t>
      </w:r>
      <w:r w:rsidR="4A18004C" w:rsidRPr="151D6FEB">
        <w:rPr>
          <w:rFonts w:ascii="Times New Roman" w:eastAsia="Times New Roman" w:hAnsi="Times New Roman" w:cs="Times New Roman"/>
        </w:rPr>
        <w:t>s: f</w:t>
      </w:r>
      <w:r w:rsidRPr="151D6FEB">
        <w:rPr>
          <w:rFonts w:ascii="Times New Roman" w:eastAsia="Times New Roman" w:hAnsi="Times New Roman" w:cs="Times New Roman"/>
        </w:rPr>
        <w:t>ollo</w:t>
      </w:r>
      <w:r w:rsidRPr="151D6FEB">
        <w:rPr>
          <w:rFonts w:ascii="Times New Roman" w:eastAsia="Times New Roman" w:hAnsi="Times New Roman" w:cs="Times New Roman"/>
          <w:color w:val="000000" w:themeColor="text1"/>
        </w:rPr>
        <w:t>wing ongoing evaluations can be a source of good secondary data for the JP mid-term evaluation. Due to overlapping timelines with the JP evaluation, all efforts will be made to draw upon these evaluations:</w:t>
      </w:r>
    </w:p>
    <w:p w14:paraId="07C58647" w14:textId="18218ED4" w:rsidR="52A1DA48" w:rsidRDefault="52A1DA48" w:rsidP="5DC39AF9">
      <w:pPr>
        <w:pStyle w:val="ListParagraph"/>
        <w:numPr>
          <w:ilvl w:val="0"/>
          <w:numId w:val="1"/>
        </w:numPr>
        <w:jc w:val="both"/>
        <w:rPr>
          <w:rFonts w:eastAsiaTheme="minorEastAsia"/>
          <w:color w:val="000000" w:themeColor="text1"/>
        </w:rPr>
      </w:pPr>
      <w:r w:rsidRPr="5DC39AF9">
        <w:rPr>
          <w:rFonts w:ascii="Times New Roman" w:eastAsia="Times" w:hAnsi="Times New Roman" w:cs="Times New Roman"/>
          <w:color w:val="000000" w:themeColor="text1"/>
        </w:rPr>
        <w:t>End-term evaluation of UN Women, Men and Women for Gender Equality</w:t>
      </w:r>
      <w:r w:rsidRPr="5DC39AF9">
        <w:rPr>
          <w:rFonts w:ascii="Times New Roman" w:eastAsia="Times New Roman" w:hAnsi="Times New Roman" w:cs="Times New Roman"/>
          <w:color w:val="000000" w:themeColor="text1"/>
        </w:rPr>
        <w:t xml:space="preserve"> (MWGE) Programme- </w:t>
      </w:r>
      <w:r w:rsidRPr="5DC39AF9">
        <w:rPr>
          <w:rFonts w:ascii="Times New Roman" w:eastAsia="Times" w:hAnsi="Times New Roman" w:cs="Times New Roman"/>
          <w:color w:val="000000" w:themeColor="text1"/>
        </w:rPr>
        <w:t>August 2021- April 2022</w:t>
      </w:r>
    </w:p>
    <w:p w14:paraId="3264AAE0" w14:textId="0F55E990" w:rsidR="52A1DA48" w:rsidRDefault="52A1DA48" w:rsidP="5DC39AF9">
      <w:pPr>
        <w:pStyle w:val="ListParagraph"/>
        <w:numPr>
          <w:ilvl w:val="0"/>
          <w:numId w:val="1"/>
        </w:numPr>
        <w:jc w:val="both"/>
        <w:rPr>
          <w:rFonts w:eastAsiaTheme="minorEastAsia"/>
          <w:color w:val="000000" w:themeColor="text1"/>
        </w:rPr>
      </w:pPr>
      <w:r w:rsidRPr="5DC39AF9">
        <w:rPr>
          <w:rFonts w:ascii="Times New Roman" w:eastAsia="Times New Roman" w:hAnsi="Times New Roman" w:cs="Times New Roman"/>
          <w:color w:val="000000" w:themeColor="text1"/>
        </w:rPr>
        <w:t>UN Women Egypt Country Portfolio Evaluation (CPE)- November 2021-April 2022</w:t>
      </w:r>
    </w:p>
    <w:p w14:paraId="611E2319" w14:textId="585BF6AD" w:rsidR="52A1DA48" w:rsidRDefault="52A1DA48" w:rsidP="5DC39AF9">
      <w:pPr>
        <w:pStyle w:val="ListParagraph"/>
        <w:numPr>
          <w:ilvl w:val="0"/>
          <w:numId w:val="1"/>
        </w:numPr>
        <w:jc w:val="both"/>
        <w:rPr>
          <w:rFonts w:eastAsiaTheme="minorEastAsia"/>
          <w:color w:val="000000" w:themeColor="text1"/>
        </w:rPr>
      </w:pPr>
      <w:r w:rsidRPr="5DC39AF9">
        <w:rPr>
          <w:rFonts w:ascii="Times New Roman" w:eastAsia="Times New Roman" w:hAnsi="Times New Roman" w:cs="Times New Roman"/>
          <w:color w:val="000000" w:themeColor="text1"/>
        </w:rPr>
        <w:t>End-term evaluation of UN Women- ILO Joint Project: “Promoting Women’s Equal Access to Economic Opportunities and Decent Work in Palestine”- a b</w:t>
      </w:r>
      <w:r w:rsidR="2818EF71" w:rsidRPr="5DC39AF9">
        <w:rPr>
          <w:rFonts w:ascii="Times New Roman" w:eastAsia="Times New Roman" w:hAnsi="Times New Roman" w:cs="Times New Roman"/>
          <w:color w:val="000000" w:themeColor="text1"/>
        </w:rPr>
        <w:t>rief summary</w:t>
      </w:r>
      <w:r w:rsidR="2A71FF44" w:rsidRPr="5DC39AF9">
        <w:rPr>
          <w:rFonts w:ascii="Times New Roman" w:eastAsia="Times New Roman" w:hAnsi="Times New Roman" w:cs="Times New Roman"/>
          <w:color w:val="000000" w:themeColor="text1"/>
        </w:rPr>
        <w:t xml:space="preserve"> is </w:t>
      </w:r>
      <w:r w:rsidR="2818EF71" w:rsidRPr="5DC39AF9">
        <w:rPr>
          <w:rFonts w:ascii="Times New Roman" w:eastAsia="Times New Roman" w:hAnsi="Times New Roman" w:cs="Times New Roman"/>
          <w:color w:val="000000" w:themeColor="text1"/>
        </w:rPr>
        <w:t xml:space="preserve"> presented </w:t>
      </w:r>
      <w:r w:rsidR="405F52CF" w:rsidRPr="5DC39AF9">
        <w:rPr>
          <w:rFonts w:ascii="Times New Roman" w:eastAsia="Times New Roman" w:hAnsi="Times New Roman" w:cs="Times New Roman"/>
          <w:color w:val="000000" w:themeColor="text1"/>
        </w:rPr>
        <w:t>as Annex 8.</w:t>
      </w:r>
    </w:p>
    <w:p w14:paraId="54DCACF0" w14:textId="774601B6" w:rsidR="4D27054C" w:rsidRDefault="4D27054C" w:rsidP="5DC39AF9">
      <w:pPr>
        <w:pStyle w:val="ListParagraph"/>
        <w:numPr>
          <w:ilvl w:val="0"/>
          <w:numId w:val="1"/>
        </w:numPr>
        <w:jc w:val="both"/>
        <w:rPr>
          <w:rFonts w:eastAsiaTheme="minorEastAsia"/>
          <w:color w:val="000000" w:themeColor="text1"/>
          <w:sz w:val="20"/>
          <w:szCs w:val="20"/>
        </w:rPr>
      </w:pPr>
      <w:r w:rsidRPr="5DC39AF9">
        <w:rPr>
          <w:rFonts w:ascii="Times New Roman" w:eastAsia="Times New Roman" w:hAnsi="Times New Roman" w:cs="Times New Roman"/>
        </w:rPr>
        <w:t>A standalone, independent M&amp;E report covering ILO's outputs for Jordan, Egypt and OpT will also be available during the course of the evaluation as an important piece of evidence</w:t>
      </w:r>
      <w:r w:rsidRPr="5DC39AF9">
        <w:rPr>
          <w:rFonts w:ascii="Times New Roman" w:eastAsia="Times New Roman" w:hAnsi="Times New Roman" w:cs="Times New Roman"/>
          <w:sz w:val="20"/>
          <w:szCs w:val="20"/>
        </w:rPr>
        <w:t>.</w:t>
      </w:r>
    </w:p>
    <w:p w14:paraId="1E8F9E66" w14:textId="77777777" w:rsidR="002E78FA" w:rsidRPr="002D6FF3" w:rsidRDefault="002E78FA" w:rsidP="70CABE24">
      <w:pPr>
        <w:suppressAutoHyphens/>
        <w:autoSpaceDN w:val="0"/>
        <w:spacing w:line="256" w:lineRule="auto"/>
        <w:jc w:val="both"/>
        <w:textAlignment w:val="baseline"/>
        <w:rPr>
          <w:rFonts w:eastAsia="Calibri"/>
          <w:lang w:val="en-US"/>
        </w:rPr>
      </w:pPr>
    </w:p>
    <w:p w14:paraId="3C432059" w14:textId="02DC748C" w:rsidR="00290F17" w:rsidRPr="005D413A" w:rsidRDefault="1C1388A4" w:rsidP="4D27054C">
      <w:pPr>
        <w:suppressAutoHyphens/>
        <w:autoSpaceDN w:val="0"/>
        <w:spacing w:line="256" w:lineRule="auto"/>
        <w:jc w:val="both"/>
        <w:textAlignment w:val="baseline"/>
        <w:rPr>
          <w:b/>
          <w:bCs/>
        </w:rPr>
      </w:pPr>
      <w:r>
        <w:t>b)</w:t>
      </w:r>
      <w:r w:rsidRPr="4D27054C">
        <w:rPr>
          <w:b/>
          <w:bCs/>
        </w:rPr>
        <w:t xml:space="preserve"> I</w:t>
      </w:r>
      <w:r w:rsidR="43F0FDD5" w:rsidRPr="4D27054C">
        <w:rPr>
          <w:b/>
          <w:bCs/>
        </w:rPr>
        <w:t xml:space="preserve">n-depth interviews </w:t>
      </w:r>
      <w:r w:rsidR="67CD87E4" w:rsidRPr="4D27054C">
        <w:rPr>
          <w:b/>
          <w:bCs/>
        </w:rPr>
        <w:t>key informant interview</w:t>
      </w:r>
      <w:r w:rsidR="140D706C" w:rsidRPr="4D27054C">
        <w:rPr>
          <w:b/>
          <w:bCs/>
        </w:rPr>
        <w:t>s:</w:t>
      </w:r>
    </w:p>
    <w:p w14:paraId="71FDDC5C" w14:textId="4C6E20F6" w:rsidR="00290F17" w:rsidRDefault="7311E493" w:rsidP="00290F17">
      <w:pPr>
        <w:spacing w:line="256" w:lineRule="auto"/>
        <w:jc w:val="both"/>
      </w:pPr>
      <w:r>
        <w:t xml:space="preserve">Based on the stakeholder mapping, the </w:t>
      </w:r>
      <w:r w:rsidR="5006DB78">
        <w:t>evaluation team</w:t>
      </w:r>
      <w:r>
        <w:t xml:space="preserve"> will hold (remotely, and in person – COVID-19 restrictions permitting) a series of semi-structured interviews with the main information sources for the evaluation. Potential cohorts will include: UN Women regional and country office staff, government staff at technical and decision-making level, civil society partners, private sector representatives, donors</w:t>
      </w:r>
      <w:r w:rsidR="6D06290F">
        <w:t>, employer’s and worker’s organisation etc.</w:t>
      </w:r>
      <w:r>
        <w:t xml:space="preserve"> (see Annex </w:t>
      </w:r>
      <w:r w:rsidR="300BF0D4">
        <w:t>2</w:t>
      </w:r>
      <w:r>
        <w:t xml:space="preserve"> for</w:t>
      </w:r>
      <w:r w:rsidR="1D539F5A">
        <w:t xml:space="preserve"> the list of stakeholders</w:t>
      </w:r>
      <w:r w:rsidR="6C28303F">
        <w:t xml:space="preserve"> to be consulted). </w:t>
      </w:r>
      <w:r>
        <w:t>The ET plans to interview approximately</w:t>
      </w:r>
      <w:r w:rsidR="6C28303F">
        <w:t xml:space="preserve"> </w:t>
      </w:r>
      <w:r w:rsidR="01417948">
        <w:t>90</w:t>
      </w:r>
      <w:r>
        <w:t xml:space="preserve"> key informants at the country level and approximately </w:t>
      </w:r>
      <w:r w:rsidR="6C28303F">
        <w:t xml:space="preserve">17 </w:t>
      </w:r>
      <w:r>
        <w:t xml:space="preserve">key informants at the regional level.   The total number of KIIs is estimated to be around </w:t>
      </w:r>
      <w:r w:rsidR="6C28303F">
        <w:t xml:space="preserve">107. </w:t>
      </w:r>
      <w:r w:rsidR="6D06290F">
        <w:t>See table 7 below for details.</w:t>
      </w:r>
    </w:p>
    <w:p w14:paraId="6581EC7B" w14:textId="77777777" w:rsidR="00FF18B3" w:rsidRPr="006B44CD" w:rsidRDefault="00FF18B3" w:rsidP="00290F17">
      <w:pPr>
        <w:spacing w:line="256" w:lineRule="auto"/>
        <w:jc w:val="both"/>
      </w:pPr>
    </w:p>
    <w:p w14:paraId="47D8C82B" w14:textId="7083345E" w:rsidR="00FF18B3" w:rsidRPr="00FF18B3" w:rsidRDefault="6D06290F" w:rsidP="00FF18B3">
      <w:pPr>
        <w:suppressAutoHyphens/>
        <w:autoSpaceDN w:val="0"/>
        <w:spacing w:line="256" w:lineRule="auto"/>
        <w:jc w:val="both"/>
        <w:textAlignment w:val="baseline"/>
        <w:rPr>
          <w:rFonts w:eastAsia="Calibri"/>
          <w:b/>
          <w:bCs/>
        </w:rPr>
      </w:pPr>
      <w:r w:rsidRPr="4D27054C">
        <w:rPr>
          <w:rFonts w:eastAsia="Calibri"/>
          <w:b/>
          <w:bCs/>
        </w:rPr>
        <w:t xml:space="preserve">c) Focus group discussions (FDGs) </w:t>
      </w:r>
    </w:p>
    <w:p w14:paraId="2A8CED63" w14:textId="00B24ACF" w:rsidR="6C28303F" w:rsidRDefault="6C28303F" w:rsidP="4D27054C">
      <w:pPr>
        <w:spacing w:line="256" w:lineRule="auto"/>
        <w:jc w:val="both"/>
        <w:rPr>
          <w:rFonts w:eastAsia="Calibri"/>
        </w:rPr>
      </w:pPr>
      <w:r w:rsidRPr="4D27054C">
        <w:rPr>
          <w:rFonts w:eastAsia="Calibri"/>
        </w:rPr>
        <w:t>A number of virtual FGDs will be organized with programme partners and beneficiaries in the three countries to cover a diverse perspective. See annex 2 for the FGD details</w:t>
      </w:r>
      <w:r w:rsidR="01417948" w:rsidRPr="4D27054C">
        <w:rPr>
          <w:rFonts w:eastAsia="Calibri"/>
        </w:rPr>
        <w:t xml:space="preserve"> and table below for the proposed sample size:</w:t>
      </w:r>
    </w:p>
    <w:p w14:paraId="3B82385A" w14:textId="53C98375" w:rsidR="4D27054C" w:rsidRDefault="4D27054C" w:rsidP="4D27054C">
      <w:pPr>
        <w:spacing w:line="256" w:lineRule="auto"/>
        <w:jc w:val="both"/>
      </w:pPr>
    </w:p>
    <w:p w14:paraId="74C4FEA7" w14:textId="77777777" w:rsidR="002D6FF3" w:rsidRDefault="002D6FF3" w:rsidP="4D27054C">
      <w:pPr>
        <w:spacing w:line="256" w:lineRule="auto"/>
        <w:jc w:val="both"/>
      </w:pPr>
    </w:p>
    <w:p w14:paraId="216680E4" w14:textId="4B6D424B" w:rsidR="005D413A" w:rsidRDefault="7E7D7BD3" w:rsidP="4D27054C">
      <w:pPr>
        <w:spacing w:line="256" w:lineRule="auto"/>
        <w:jc w:val="both"/>
        <w:rPr>
          <w:b/>
          <w:bCs/>
          <w:sz w:val="16"/>
          <w:szCs w:val="16"/>
        </w:rPr>
      </w:pPr>
      <w:r w:rsidRPr="5DC39AF9">
        <w:rPr>
          <w:b/>
          <w:bCs/>
          <w:sz w:val="16"/>
          <w:szCs w:val="16"/>
        </w:rPr>
        <w:lastRenderedPageBreak/>
        <w:t>Table 7: Data collection sample</w:t>
      </w:r>
    </w:p>
    <w:tbl>
      <w:tblPr>
        <w:tblStyle w:val="TableGrid"/>
        <w:tblW w:w="7854" w:type="dxa"/>
        <w:tblLayout w:type="fixed"/>
        <w:tblLook w:val="06A0" w:firstRow="1" w:lastRow="0" w:firstColumn="1" w:lastColumn="0" w:noHBand="1" w:noVBand="1"/>
      </w:tblPr>
      <w:tblGrid>
        <w:gridCol w:w="872"/>
        <w:gridCol w:w="1845"/>
        <w:gridCol w:w="1980"/>
        <w:gridCol w:w="1936"/>
        <w:gridCol w:w="1221"/>
      </w:tblGrid>
      <w:tr w:rsidR="4D27054C" w14:paraId="4A4E9438" w14:textId="77777777" w:rsidTr="151D6FEB">
        <w:trPr>
          <w:trHeight w:val="311"/>
        </w:trPr>
        <w:tc>
          <w:tcPr>
            <w:tcW w:w="8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6854347" w14:textId="29855FC5" w:rsidR="4D27054C" w:rsidRDefault="4D27054C" w:rsidP="4D27054C">
            <w:pPr>
              <w:jc w:val="center"/>
              <w:rPr>
                <w:b/>
                <w:bCs/>
                <w:color w:val="000000" w:themeColor="text1"/>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74056C0" w14:textId="20A40D7C" w:rsidR="4D27054C" w:rsidRDefault="4D27054C" w:rsidP="4D27054C">
            <w:pPr>
              <w:jc w:val="center"/>
              <w:rPr>
                <w:b/>
                <w:bCs/>
                <w:color w:val="000000" w:themeColor="text1"/>
                <w:sz w:val="20"/>
                <w:szCs w:val="20"/>
              </w:rPr>
            </w:pPr>
            <w:r w:rsidRPr="4D27054C">
              <w:rPr>
                <w:b/>
                <w:bCs/>
                <w:color w:val="000000" w:themeColor="text1"/>
                <w:sz w:val="20"/>
                <w:szCs w:val="20"/>
              </w:rPr>
              <w:t xml:space="preserve">Egypt </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783DD89" w14:textId="7BFC0E58" w:rsidR="4D27054C" w:rsidRDefault="4D27054C" w:rsidP="4D27054C">
            <w:pPr>
              <w:jc w:val="center"/>
              <w:rPr>
                <w:b/>
                <w:bCs/>
                <w:color w:val="000000" w:themeColor="text1"/>
                <w:sz w:val="20"/>
                <w:szCs w:val="20"/>
              </w:rPr>
            </w:pPr>
            <w:r w:rsidRPr="4D27054C">
              <w:rPr>
                <w:b/>
                <w:bCs/>
                <w:color w:val="000000" w:themeColor="text1"/>
                <w:sz w:val="20"/>
                <w:szCs w:val="20"/>
              </w:rPr>
              <w:t>Jordan</w:t>
            </w:r>
          </w:p>
        </w:tc>
        <w:tc>
          <w:tcPr>
            <w:tcW w:w="19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EDCD826" w14:textId="4FE812C4" w:rsidR="4D27054C" w:rsidRDefault="4D27054C" w:rsidP="4D27054C">
            <w:pPr>
              <w:jc w:val="center"/>
              <w:rPr>
                <w:b/>
                <w:bCs/>
                <w:color w:val="000000" w:themeColor="text1"/>
                <w:sz w:val="20"/>
                <w:szCs w:val="20"/>
              </w:rPr>
            </w:pPr>
            <w:r w:rsidRPr="4D27054C">
              <w:rPr>
                <w:b/>
                <w:bCs/>
                <w:color w:val="000000" w:themeColor="text1"/>
                <w:sz w:val="20"/>
                <w:szCs w:val="20"/>
              </w:rPr>
              <w:t xml:space="preserve">Palestine </w:t>
            </w:r>
          </w:p>
        </w:tc>
        <w:tc>
          <w:tcPr>
            <w:tcW w:w="122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52F1586" w14:textId="587C90EE" w:rsidR="4D27054C" w:rsidRDefault="4D27054C" w:rsidP="4D27054C">
            <w:pPr>
              <w:jc w:val="center"/>
              <w:rPr>
                <w:b/>
                <w:bCs/>
                <w:color w:val="000000" w:themeColor="text1"/>
                <w:sz w:val="20"/>
                <w:szCs w:val="20"/>
              </w:rPr>
            </w:pPr>
            <w:r w:rsidRPr="4D27054C">
              <w:rPr>
                <w:b/>
                <w:bCs/>
                <w:color w:val="000000" w:themeColor="text1"/>
                <w:sz w:val="20"/>
                <w:szCs w:val="20"/>
              </w:rPr>
              <w:t xml:space="preserve">Regional </w:t>
            </w:r>
          </w:p>
        </w:tc>
      </w:tr>
      <w:tr w:rsidR="4D27054C" w14:paraId="653AA92C" w14:textId="77777777" w:rsidTr="151D6FEB">
        <w:trPr>
          <w:trHeight w:val="315"/>
        </w:trPr>
        <w:tc>
          <w:tcPr>
            <w:tcW w:w="8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9B85A3B" w14:textId="502130BE" w:rsidR="4D27054C" w:rsidRDefault="4D27054C" w:rsidP="4D27054C">
            <w:pPr>
              <w:jc w:val="center"/>
              <w:rPr>
                <w:b/>
                <w:bCs/>
                <w:color w:val="000000" w:themeColor="text1"/>
                <w:sz w:val="20"/>
                <w:szCs w:val="20"/>
              </w:rPr>
            </w:pPr>
            <w:r w:rsidRPr="4D27054C">
              <w:rPr>
                <w:b/>
                <w:bCs/>
                <w:color w:val="000000" w:themeColor="text1"/>
                <w:sz w:val="20"/>
                <w:szCs w:val="20"/>
              </w:rPr>
              <w:t>KII</w:t>
            </w:r>
          </w:p>
        </w:tc>
        <w:tc>
          <w:tcPr>
            <w:tcW w:w="1845" w:type="dxa"/>
            <w:tcBorders>
              <w:top w:val="single" w:sz="4" w:space="0" w:color="auto"/>
              <w:left w:val="single" w:sz="4" w:space="0" w:color="auto"/>
              <w:bottom w:val="single" w:sz="4" w:space="0" w:color="auto"/>
              <w:right w:val="single" w:sz="4" w:space="0" w:color="auto"/>
            </w:tcBorders>
            <w:vAlign w:val="bottom"/>
          </w:tcPr>
          <w:p w14:paraId="5C6B623B" w14:textId="7119BECF" w:rsidR="4D27054C" w:rsidRDefault="4D27054C" w:rsidP="4D27054C">
            <w:pPr>
              <w:jc w:val="center"/>
              <w:rPr>
                <w:color w:val="000000" w:themeColor="text1"/>
                <w:sz w:val="20"/>
                <w:szCs w:val="20"/>
              </w:rPr>
            </w:pPr>
            <w:r w:rsidRPr="4D27054C">
              <w:rPr>
                <w:color w:val="000000" w:themeColor="text1"/>
                <w:sz w:val="20"/>
                <w:szCs w:val="20"/>
              </w:rPr>
              <w:t>33</w:t>
            </w:r>
          </w:p>
        </w:tc>
        <w:tc>
          <w:tcPr>
            <w:tcW w:w="1980" w:type="dxa"/>
            <w:tcBorders>
              <w:top w:val="single" w:sz="4" w:space="0" w:color="auto"/>
              <w:left w:val="single" w:sz="4" w:space="0" w:color="auto"/>
              <w:bottom w:val="single" w:sz="4" w:space="0" w:color="auto"/>
              <w:right w:val="single" w:sz="4" w:space="0" w:color="auto"/>
            </w:tcBorders>
            <w:vAlign w:val="bottom"/>
          </w:tcPr>
          <w:p w14:paraId="64293332" w14:textId="692A8315" w:rsidR="4D27054C" w:rsidRDefault="5CF61BAE" w:rsidP="5CF61BAE">
            <w:pPr>
              <w:jc w:val="center"/>
              <w:rPr>
                <w:color w:val="000000" w:themeColor="text1"/>
                <w:sz w:val="20"/>
                <w:szCs w:val="20"/>
              </w:rPr>
            </w:pPr>
            <w:r w:rsidRPr="5CF61BAE">
              <w:rPr>
                <w:color w:val="000000" w:themeColor="text1"/>
                <w:sz w:val="20"/>
                <w:szCs w:val="20"/>
              </w:rPr>
              <w:t>20</w:t>
            </w:r>
          </w:p>
        </w:tc>
        <w:tc>
          <w:tcPr>
            <w:tcW w:w="1936" w:type="dxa"/>
            <w:tcBorders>
              <w:top w:val="single" w:sz="4" w:space="0" w:color="auto"/>
              <w:left w:val="single" w:sz="4" w:space="0" w:color="auto"/>
              <w:bottom w:val="single" w:sz="4" w:space="0" w:color="auto"/>
              <w:right w:val="single" w:sz="4" w:space="0" w:color="auto"/>
            </w:tcBorders>
            <w:vAlign w:val="bottom"/>
          </w:tcPr>
          <w:p w14:paraId="5BF0B02F" w14:textId="1942DFAA" w:rsidR="4D27054C" w:rsidRDefault="4D27054C" w:rsidP="4D27054C">
            <w:pPr>
              <w:jc w:val="center"/>
              <w:rPr>
                <w:color w:val="000000" w:themeColor="text1"/>
                <w:sz w:val="20"/>
                <w:szCs w:val="20"/>
              </w:rPr>
            </w:pPr>
            <w:r w:rsidRPr="4D27054C">
              <w:rPr>
                <w:color w:val="000000" w:themeColor="text1"/>
                <w:sz w:val="20"/>
                <w:szCs w:val="20"/>
              </w:rPr>
              <w:t>37</w:t>
            </w:r>
          </w:p>
        </w:tc>
        <w:tc>
          <w:tcPr>
            <w:tcW w:w="1221" w:type="dxa"/>
            <w:tcBorders>
              <w:top w:val="single" w:sz="4" w:space="0" w:color="auto"/>
              <w:left w:val="single" w:sz="4" w:space="0" w:color="auto"/>
              <w:bottom w:val="single" w:sz="4" w:space="0" w:color="auto"/>
              <w:right w:val="single" w:sz="4" w:space="0" w:color="auto"/>
            </w:tcBorders>
            <w:vAlign w:val="bottom"/>
          </w:tcPr>
          <w:p w14:paraId="6E7412F7" w14:textId="444D6072" w:rsidR="4D27054C" w:rsidRDefault="4D27054C" w:rsidP="4D27054C">
            <w:pPr>
              <w:jc w:val="center"/>
              <w:rPr>
                <w:color w:val="000000" w:themeColor="text1"/>
                <w:sz w:val="20"/>
                <w:szCs w:val="20"/>
              </w:rPr>
            </w:pPr>
            <w:r w:rsidRPr="4D27054C">
              <w:rPr>
                <w:color w:val="000000" w:themeColor="text1"/>
                <w:sz w:val="20"/>
                <w:szCs w:val="20"/>
              </w:rPr>
              <w:t>17</w:t>
            </w:r>
          </w:p>
        </w:tc>
      </w:tr>
      <w:tr w:rsidR="4D27054C" w14:paraId="62181E9B" w14:textId="77777777" w:rsidTr="151D6FEB">
        <w:trPr>
          <w:trHeight w:val="315"/>
        </w:trPr>
        <w:tc>
          <w:tcPr>
            <w:tcW w:w="8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0B991AF0" w14:textId="395BAD10" w:rsidR="4D27054C" w:rsidRDefault="4D27054C" w:rsidP="4D27054C">
            <w:pPr>
              <w:jc w:val="center"/>
              <w:rPr>
                <w:b/>
                <w:bCs/>
                <w:color w:val="000000" w:themeColor="text1"/>
                <w:sz w:val="20"/>
                <w:szCs w:val="20"/>
              </w:rPr>
            </w:pPr>
            <w:r w:rsidRPr="4D27054C">
              <w:rPr>
                <w:b/>
                <w:bCs/>
                <w:color w:val="000000" w:themeColor="text1"/>
                <w:sz w:val="20"/>
                <w:szCs w:val="20"/>
              </w:rPr>
              <w:t>FGD</w:t>
            </w:r>
          </w:p>
        </w:tc>
        <w:tc>
          <w:tcPr>
            <w:tcW w:w="1845" w:type="dxa"/>
            <w:tcBorders>
              <w:top w:val="single" w:sz="4" w:space="0" w:color="auto"/>
              <w:left w:val="single" w:sz="4" w:space="0" w:color="auto"/>
              <w:bottom w:val="single" w:sz="4" w:space="0" w:color="auto"/>
              <w:right w:val="single" w:sz="4" w:space="0" w:color="auto"/>
            </w:tcBorders>
            <w:vAlign w:val="bottom"/>
          </w:tcPr>
          <w:p w14:paraId="5FCDF4CB" w14:textId="60D32A50" w:rsidR="4D27054C" w:rsidRDefault="4D27054C" w:rsidP="151D6FEB">
            <w:pPr>
              <w:jc w:val="center"/>
              <w:rPr>
                <w:color w:val="000000" w:themeColor="text1"/>
                <w:sz w:val="20"/>
                <w:szCs w:val="20"/>
              </w:rPr>
            </w:pPr>
            <w:r w:rsidRPr="151D6FEB">
              <w:rPr>
                <w:color w:val="000000" w:themeColor="text1"/>
                <w:sz w:val="20"/>
                <w:szCs w:val="20"/>
              </w:rPr>
              <w:t>6 (36 participants)</w:t>
            </w:r>
          </w:p>
        </w:tc>
        <w:tc>
          <w:tcPr>
            <w:tcW w:w="1980" w:type="dxa"/>
            <w:tcBorders>
              <w:top w:val="single" w:sz="4" w:space="0" w:color="auto"/>
              <w:left w:val="single" w:sz="4" w:space="0" w:color="auto"/>
              <w:bottom w:val="single" w:sz="4" w:space="0" w:color="auto"/>
              <w:right w:val="single" w:sz="4" w:space="0" w:color="auto"/>
            </w:tcBorders>
            <w:vAlign w:val="bottom"/>
          </w:tcPr>
          <w:p w14:paraId="7E3721B7" w14:textId="3CCFE288" w:rsidR="4D27054C" w:rsidRDefault="4D27054C" w:rsidP="4D27054C">
            <w:pPr>
              <w:jc w:val="center"/>
              <w:rPr>
                <w:color w:val="000000" w:themeColor="text1"/>
                <w:sz w:val="20"/>
                <w:szCs w:val="20"/>
              </w:rPr>
            </w:pPr>
            <w:r w:rsidRPr="4D27054C">
              <w:rPr>
                <w:color w:val="000000" w:themeColor="text1"/>
                <w:sz w:val="20"/>
                <w:szCs w:val="20"/>
              </w:rPr>
              <w:t>6 (22 participants)</w:t>
            </w:r>
          </w:p>
        </w:tc>
        <w:tc>
          <w:tcPr>
            <w:tcW w:w="1936" w:type="dxa"/>
            <w:tcBorders>
              <w:top w:val="single" w:sz="4" w:space="0" w:color="auto"/>
              <w:left w:val="single" w:sz="4" w:space="0" w:color="auto"/>
              <w:bottom w:val="single" w:sz="4" w:space="0" w:color="auto"/>
              <w:right w:val="single" w:sz="4" w:space="0" w:color="auto"/>
            </w:tcBorders>
            <w:vAlign w:val="bottom"/>
          </w:tcPr>
          <w:p w14:paraId="70F9CEAE" w14:textId="6F03FAE0" w:rsidR="4D27054C" w:rsidRDefault="4D27054C" w:rsidP="4D27054C">
            <w:pPr>
              <w:jc w:val="center"/>
              <w:rPr>
                <w:color w:val="000000" w:themeColor="text1"/>
                <w:sz w:val="20"/>
                <w:szCs w:val="20"/>
              </w:rPr>
            </w:pPr>
            <w:r w:rsidRPr="4D27054C">
              <w:rPr>
                <w:color w:val="000000" w:themeColor="text1"/>
                <w:sz w:val="20"/>
                <w:szCs w:val="20"/>
              </w:rPr>
              <w:t>5 (30 participants)</w:t>
            </w:r>
          </w:p>
        </w:tc>
        <w:tc>
          <w:tcPr>
            <w:tcW w:w="1221" w:type="dxa"/>
            <w:tcBorders>
              <w:top w:val="single" w:sz="4" w:space="0" w:color="auto"/>
              <w:left w:val="single" w:sz="4" w:space="0" w:color="auto"/>
              <w:bottom w:val="single" w:sz="4" w:space="0" w:color="auto"/>
              <w:right w:val="single" w:sz="4" w:space="0" w:color="auto"/>
            </w:tcBorders>
            <w:vAlign w:val="bottom"/>
          </w:tcPr>
          <w:p w14:paraId="1C187203" w14:textId="3B8DA539" w:rsidR="4D27054C" w:rsidRDefault="4D27054C" w:rsidP="4D27054C">
            <w:pPr>
              <w:jc w:val="center"/>
              <w:rPr>
                <w:color w:val="000000" w:themeColor="text1"/>
                <w:sz w:val="20"/>
                <w:szCs w:val="20"/>
              </w:rPr>
            </w:pPr>
            <w:r w:rsidRPr="4D27054C">
              <w:rPr>
                <w:color w:val="000000" w:themeColor="text1"/>
                <w:sz w:val="20"/>
                <w:szCs w:val="20"/>
              </w:rPr>
              <w:t xml:space="preserve"> </w:t>
            </w:r>
          </w:p>
        </w:tc>
      </w:tr>
      <w:tr w:rsidR="4D27054C" w14:paraId="67726FC0" w14:textId="77777777" w:rsidTr="151D6FEB">
        <w:trPr>
          <w:trHeight w:val="686"/>
        </w:trPr>
        <w:tc>
          <w:tcPr>
            <w:tcW w:w="8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2352F10" w14:textId="79FC578D" w:rsidR="4D27054C" w:rsidRDefault="4D27054C" w:rsidP="4D27054C">
            <w:pPr>
              <w:jc w:val="center"/>
              <w:rPr>
                <w:b/>
                <w:bCs/>
                <w:color w:val="000000" w:themeColor="text1"/>
                <w:sz w:val="20"/>
                <w:szCs w:val="20"/>
              </w:rPr>
            </w:pPr>
            <w:r w:rsidRPr="4D27054C">
              <w:rPr>
                <w:b/>
                <w:bCs/>
                <w:color w:val="000000" w:themeColor="text1"/>
                <w:sz w:val="20"/>
                <w:szCs w:val="20"/>
              </w:rPr>
              <w:t xml:space="preserve"> </w:t>
            </w:r>
          </w:p>
        </w:tc>
        <w:tc>
          <w:tcPr>
            <w:tcW w:w="1845" w:type="dxa"/>
            <w:tcBorders>
              <w:top w:val="single" w:sz="4" w:space="0" w:color="auto"/>
              <w:left w:val="single" w:sz="4" w:space="0" w:color="auto"/>
              <w:bottom w:val="single" w:sz="4" w:space="0" w:color="auto"/>
              <w:right w:val="single" w:sz="4" w:space="0" w:color="auto"/>
            </w:tcBorders>
            <w:vAlign w:val="bottom"/>
          </w:tcPr>
          <w:p w14:paraId="6D57701C" w14:textId="1E801DF5" w:rsidR="4D27054C" w:rsidRDefault="4D27054C" w:rsidP="4D27054C">
            <w:pPr>
              <w:jc w:val="center"/>
              <w:rPr>
                <w:color w:val="000000" w:themeColor="text1"/>
                <w:sz w:val="20"/>
                <w:szCs w:val="20"/>
              </w:rPr>
            </w:pPr>
            <w:r w:rsidRPr="4D27054C">
              <w:rPr>
                <w:color w:val="000000" w:themeColor="text1"/>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3EAAB625" w14:textId="15BB3F09" w:rsidR="4D27054C" w:rsidRDefault="4D27054C" w:rsidP="4D27054C">
            <w:pPr>
              <w:jc w:val="center"/>
              <w:rPr>
                <w:color w:val="000000" w:themeColor="text1"/>
                <w:sz w:val="20"/>
                <w:szCs w:val="20"/>
              </w:rPr>
            </w:pPr>
            <w:r w:rsidRPr="4D27054C">
              <w:rPr>
                <w:color w:val="000000" w:themeColor="text1"/>
                <w:sz w:val="20"/>
                <w:szCs w:val="20"/>
              </w:rPr>
              <w:t xml:space="preserve">5 FGDs with beneficiaries (30 participants) </w:t>
            </w:r>
          </w:p>
        </w:tc>
        <w:tc>
          <w:tcPr>
            <w:tcW w:w="1936" w:type="dxa"/>
            <w:tcBorders>
              <w:top w:val="single" w:sz="4" w:space="0" w:color="auto"/>
              <w:left w:val="single" w:sz="4" w:space="0" w:color="auto"/>
              <w:bottom w:val="single" w:sz="4" w:space="0" w:color="auto"/>
              <w:right w:val="single" w:sz="4" w:space="0" w:color="auto"/>
            </w:tcBorders>
            <w:vAlign w:val="bottom"/>
          </w:tcPr>
          <w:p w14:paraId="0B2BFF54" w14:textId="0491116D" w:rsidR="4D27054C" w:rsidRDefault="4D27054C" w:rsidP="4D27054C">
            <w:pPr>
              <w:jc w:val="center"/>
              <w:rPr>
                <w:color w:val="000000" w:themeColor="text1"/>
                <w:sz w:val="20"/>
                <w:szCs w:val="20"/>
              </w:rPr>
            </w:pPr>
            <w:r w:rsidRPr="4D27054C">
              <w:rPr>
                <w:color w:val="000000" w:themeColor="text1"/>
                <w:sz w:val="20"/>
                <w:szCs w:val="20"/>
              </w:rPr>
              <w:t xml:space="preserve">1 round table with private sector: 5 participants </w:t>
            </w:r>
          </w:p>
        </w:tc>
        <w:tc>
          <w:tcPr>
            <w:tcW w:w="1221" w:type="dxa"/>
            <w:tcBorders>
              <w:top w:val="single" w:sz="4" w:space="0" w:color="auto"/>
              <w:left w:val="single" w:sz="4" w:space="0" w:color="auto"/>
              <w:bottom w:val="single" w:sz="4" w:space="0" w:color="auto"/>
              <w:right w:val="single" w:sz="4" w:space="0" w:color="auto"/>
            </w:tcBorders>
            <w:vAlign w:val="bottom"/>
          </w:tcPr>
          <w:p w14:paraId="28810C4F" w14:textId="2DB1608B" w:rsidR="4D27054C" w:rsidRDefault="4D27054C" w:rsidP="4D27054C">
            <w:pPr>
              <w:jc w:val="center"/>
              <w:rPr>
                <w:color w:val="000000" w:themeColor="text1"/>
                <w:sz w:val="20"/>
                <w:szCs w:val="20"/>
              </w:rPr>
            </w:pPr>
            <w:r w:rsidRPr="4D27054C">
              <w:rPr>
                <w:color w:val="000000" w:themeColor="text1"/>
                <w:sz w:val="20"/>
                <w:szCs w:val="20"/>
              </w:rPr>
              <w:t xml:space="preserve"> </w:t>
            </w:r>
          </w:p>
        </w:tc>
      </w:tr>
      <w:tr w:rsidR="4D27054C" w14:paraId="389D8C7C" w14:textId="77777777" w:rsidTr="151D6FEB">
        <w:trPr>
          <w:trHeight w:val="315"/>
        </w:trPr>
        <w:tc>
          <w:tcPr>
            <w:tcW w:w="8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6978E32A" w14:textId="1486A3DE" w:rsidR="4D27054C" w:rsidRDefault="4D27054C" w:rsidP="4D27054C">
            <w:pPr>
              <w:jc w:val="center"/>
              <w:rPr>
                <w:b/>
                <w:bCs/>
                <w:color w:val="000000" w:themeColor="text1"/>
                <w:sz w:val="20"/>
                <w:szCs w:val="20"/>
              </w:rPr>
            </w:pPr>
            <w:r w:rsidRPr="4D27054C">
              <w:rPr>
                <w:b/>
                <w:bCs/>
                <w:color w:val="000000" w:themeColor="text1"/>
                <w:sz w:val="20"/>
                <w:szCs w:val="20"/>
              </w:rPr>
              <w:t>Total</w:t>
            </w:r>
          </w:p>
        </w:tc>
        <w:tc>
          <w:tcPr>
            <w:tcW w:w="1845" w:type="dxa"/>
            <w:tcBorders>
              <w:top w:val="single" w:sz="4" w:space="0" w:color="auto"/>
              <w:left w:val="single" w:sz="4" w:space="0" w:color="auto"/>
              <w:bottom w:val="single" w:sz="4" w:space="0" w:color="auto"/>
              <w:right w:val="single" w:sz="4" w:space="0" w:color="auto"/>
            </w:tcBorders>
            <w:vAlign w:val="bottom"/>
          </w:tcPr>
          <w:p w14:paraId="53AB0691" w14:textId="15CC23DF" w:rsidR="4D27054C" w:rsidRDefault="4D27054C" w:rsidP="4D27054C">
            <w:pPr>
              <w:jc w:val="center"/>
              <w:rPr>
                <w:color w:val="000000" w:themeColor="text1"/>
                <w:sz w:val="20"/>
                <w:szCs w:val="20"/>
              </w:rPr>
            </w:pPr>
            <w:r w:rsidRPr="4D27054C">
              <w:rPr>
                <w:color w:val="000000" w:themeColor="text1"/>
                <w:sz w:val="20"/>
                <w:szCs w:val="20"/>
              </w:rPr>
              <w:t>69</w:t>
            </w:r>
          </w:p>
        </w:tc>
        <w:tc>
          <w:tcPr>
            <w:tcW w:w="1980" w:type="dxa"/>
            <w:tcBorders>
              <w:top w:val="single" w:sz="4" w:space="0" w:color="auto"/>
              <w:left w:val="single" w:sz="4" w:space="0" w:color="auto"/>
              <w:bottom w:val="single" w:sz="4" w:space="0" w:color="auto"/>
              <w:right w:val="single" w:sz="4" w:space="0" w:color="auto"/>
            </w:tcBorders>
            <w:vAlign w:val="bottom"/>
          </w:tcPr>
          <w:p w14:paraId="43672B23" w14:textId="0C3D8842" w:rsidR="4D27054C" w:rsidRDefault="4D27054C" w:rsidP="5CF61BAE">
            <w:pPr>
              <w:jc w:val="center"/>
              <w:rPr>
                <w:color w:val="000000" w:themeColor="text1"/>
                <w:sz w:val="20"/>
                <w:szCs w:val="20"/>
              </w:rPr>
            </w:pPr>
            <w:r w:rsidRPr="5CF61BAE">
              <w:rPr>
                <w:color w:val="000000" w:themeColor="text1"/>
                <w:sz w:val="20"/>
                <w:szCs w:val="20"/>
              </w:rPr>
              <w:t>72</w:t>
            </w:r>
          </w:p>
        </w:tc>
        <w:tc>
          <w:tcPr>
            <w:tcW w:w="1936" w:type="dxa"/>
            <w:tcBorders>
              <w:top w:val="single" w:sz="4" w:space="0" w:color="auto"/>
              <w:left w:val="single" w:sz="4" w:space="0" w:color="auto"/>
              <w:bottom w:val="single" w:sz="4" w:space="0" w:color="auto"/>
              <w:right w:val="single" w:sz="4" w:space="0" w:color="auto"/>
            </w:tcBorders>
            <w:vAlign w:val="bottom"/>
          </w:tcPr>
          <w:p w14:paraId="5BDBE010" w14:textId="04AE1E4D" w:rsidR="4D27054C" w:rsidRDefault="4D27054C" w:rsidP="4D27054C">
            <w:pPr>
              <w:jc w:val="center"/>
              <w:rPr>
                <w:color w:val="000000" w:themeColor="text1"/>
                <w:sz w:val="20"/>
                <w:szCs w:val="20"/>
              </w:rPr>
            </w:pPr>
            <w:r w:rsidRPr="4D27054C">
              <w:rPr>
                <w:color w:val="000000" w:themeColor="text1"/>
                <w:sz w:val="20"/>
                <w:szCs w:val="20"/>
              </w:rPr>
              <w:t>72</w:t>
            </w:r>
          </w:p>
        </w:tc>
        <w:tc>
          <w:tcPr>
            <w:tcW w:w="1221" w:type="dxa"/>
            <w:tcBorders>
              <w:top w:val="single" w:sz="4" w:space="0" w:color="auto"/>
              <w:left w:val="single" w:sz="4" w:space="0" w:color="auto"/>
              <w:bottom w:val="single" w:sz="4" w:space="0" w:color="auto"/>
              <w:right w:val="single" w:sz="4" w:space="0" w:color="auto"/>
            </w:tcBorders>
            <w:vAlign w:val="bottom"/>
          </w:tcPr>
          <w:p w14:paraId="3726C886" w14:textId="55158608" w:rsidR="4D27054C" w:rsidRDefault="4D27054C" w:rsidP="4D27054C">
            <w:pPr>
              <w:jc w:val="center"/>
              <w:rPr>
                <w:color w:val="000000" w:themeColor="text1"/>
                <w:sz w:val="20"/>
                <w:szCs w:val="20"/>
              </w:rPr>
            </w:pPr>
            <w:r w:rsidRPr="4D27054C">
              <w:rPr>
                <w:color w:val="000000" w:themeColor="text1"/>
                <w:sz w:val="20"/>
                <w:szCs w:val="20"/>
              </w:rPr>
              <w:t>17</w:t>
            </w:r>
          </w:p>
        </w:tc>
      </w:tr>
    </w:tbl>
    <w:p w14:paraId="0FBE640B" w14:textId="7BB29C0A" w:rsidR="005D413A" w:rsidRDefault="005D413A" w:rsidP="4D27054C">
      <w:pPr>
        <w:spacing w:line="256" w:lineRule="auto"/>
        <w:jc w:val="both"/>
        <w:rPr>
          <w:b/>
          <w:bCs/>
        </w:rPr>
      </w:pPr>
    </w:p>
    <w:p w14:paraId="1AEB67B3" w14:textId="1AD79C36" w:rsidR="005D413A" w:rsidRDefault="76112575" w:rsidP="4D27054C">
      <w:pPr>
        <w:spacing w:line="256" w:lineRule="auto"/>
        <w:jc w:val="both"/>
        <w:rPr>
          <w:color w:val="000000" w:themeColor="text1"/>
        </w:rPr>
      </w:pPr>
      <w:r w:rsidRPr="5DC39AF9">
        <w:rPr>
          <w:color w:val="000000" w:themeColor="text1"/>
        </w:rPr>
        <w:t>R</w:t>
      </w:r>
      <w:r w:rsidR="0ADB2488" w:rsidRPr="5DC39AF9">
        <w:rPr>
          <w:color w:val="000000" w:themeColor="text1"/>
        </w:rPr>
        <w:t xml:space="preserve">efer to Annex 7 </w:t>
      </w:r>
      <w:r w:rsidR="10AEB51C" w:rsidRPr="5DC39AF9">
        <w:rPr>
          <w:color w:val="000000" w:themeColor="text1"/>
        </w:rPr>
        <w:t>for the data collection tools</w:t>
      </w:r>
      <w:r w:rsidR="0ADB2488" w:rsidRPr="5DC39AF9">
        <w:rPr>
          <w:color w:val="000000" w:themeColor="text1"/>
        </w:rPr>
        <w:t xml:space="preserve">. </w:t>
      </w:r>
    </w:p>
    <w:p w14:paraId="1CF36DCF" w14:textId="77777777" w:rsidR="003235F3" w:rsidRPr="00C63F18" w:rsidRDefault="003235F3" w:rsidP="005D413A">
      <w:pPr>
        <w:spacing w:line="256" w:lineRule="auto"/>
        <w:jc w:val="both"/>
        <w:rPr>
          <w:color w:val="000000" w:themeColor="text1"/>
        </w:rPr>
      </w:pPr>
    </w:p>
    <w:p w14:paraId="2EE6D9E5" w14:textId="0FF55F63" w:rsidR="0089481A" w:rsidRPr="005D413A" w:rsidRDefault="3413914B" w:rsidP="005D413A">
      <w:pPr>
        <w:spacing w:line="256" w:lineRule="auto"/>
        <w:jc w:val="both"/>
        <w:rPr>
          <w:color w:val="FF0000"/>
        </w:rPr>
      </w:pPr>
      <w:r w:rsidRPr="005D413A">
        <w:rPr>
          <w:color w:val="000000" w:themeColor="text1"/>
        </w:rPr>
        <w:t xml:space="preserve">c) </w:t>
      </w:r>
      <w:r w:rsidR="17F0582E" w:rsidRPr="005D413A">
        <w:rPr>
          <w:rFonts w:eastAsia="Calibri"/>
          <w:b/>
          <w:bCs/>
          <w:color w:val="000000" w:themeColor="text1"/>
        </w:rPr>
        <w:t>R</w:t>
      </w:r>
      <w:r w:rsidR="5823EE32" w:rsidRPr="005D413A">
        <w:rPr>
          <w:rFonts w:eastAsia="Calibri"/>
          <w:b/>
          <w:bCs/>
          <w:color w:val="000000" w:themeColor="text1"/>
        </w:rPr>
        <w:t>oundtable</w:t>
      </w:r>
      <w:r w:rsidR="17F0582E" w:rsidRPr="005D413A">
        <w:rPr>
          <w:rFonts w:eastAsia="Calibri"/>
          <w:b/>
          <w:bCs/>
          <w:color w:val="000000" w:themeColor="text1"/>
        </w:rPr>
        <w:t xml:space="preserve"> discussions</w:t>
      </w:r>
      <w:r w:rsidR="00D8261B" w:rsidRPr="4D27054C">
        <w:rPr>
          <w:rStyle w:val="FootnoteReference"/>
          <w:b/>
          <w:bCs/>
          <w:color w:val="000000" w:themeColor="text1"/>
          <w:sz w:val="16"/>
          <w:szCs w:val="16"/>
        </w:rPr>
        <w:footnoteReference w:id="77"/>
      </w:r>
      <w:r w:rsidR="4D27054C" w:rsidRPr="4D27054C">
        <w:rPr>
          <w:rFonts w:eastAsia="Calibri"/>
          <w:b/>
          <w:bCs/>
          <w:color w:val="000000" w:themeColor="text1"/>
        </w:rPr>
        <w:t>:</w:t>
      </w:r>
    </w:p>
    <w:p w14:paraId="53C86659" w14:textId="0DBD1F20" w:rsidR="005D413A" w:rsidRDefault="79A56CE6" w:rsidP="005D413A">
      <w:pPr>
        <w:spacing w:line="256" w:lineRule="auto"/>
        <w:jc w:val="both"/>
        <w:rPr>
          <w:rFonts w:eastAsia="Calibri"/>
          <w:color w:val="000000" w:themeColor="text1"/>
        </w:rPr>
      </w:pPr>
      <w:r w:rsidRPr="4D27054C">
        <w:rPr>
          <w:rFonts w:eastAsia="Calibri"/>
          <w:color w:val="000000" w:themeColor="text1"/>
        </w:rPr>
        <w:t xml:space="preserve">The ET is also proposing to conduct three </w:t>
      </w:r>
      <w:r w:rsidR="30F3AA9D" w:rsidRPr="4D27054C">
        <w:rPr>
          <w:rFonts w:eastAsia="Calibri"/>
          <w:color w:val="000000" w:themeColor="text1"/>
        </w:rPr>
        <w:t xml:space="preserve">roundtable </w:t>
      </w:r>
      <w:r w:rsidRPr="4D27054C">
        <w:rPr>
          <w:rFonts w:eastAsia="Calibri"/>
          <w:color w:val="000000" w:themeColor="text1"/>
        </w:rPr>
        <w:t>discussion</w:t>
      </w:r>
      <w:r w:rsidR="30F3AA9D" w:rsidRPr="4D27054C">
        <w:rPr>
          <w:rFonts w:eastAsia="Calibri"/>
          <w:color w:val="000000" w:themeColor="text1"/>
        </w:rPr>
        <w:t>s</w:t>
      </w:r>
      <w:r w:rsidR="0CF51832" w:rsidRPr="4D27054C">
        <w:rPr>
          <w:rFonts w:eastAsia="Calibri"/>
          <w:color w:val="000000" w:themeColor="text1"/>
        </w:rPr>
        <w:t>, one in each target country</w:t>
      </w:r>
      <w:r w:rsidR="30F3AA9D" w:rsidRPr="4D27054C">
        <w:rPr>
          <w:rFonts w:eastAsia="Calibri"/>
          <w:color w:val="000000" w:themeColor="text1"/>
        </w:rPr>
        <w:t xml:space="preserve"> </w:t>
      </w:r>
      <w:r w:rsidR="7A6164B3" w:rsidRPr="4D27054C">
        <w:rPr>
          <w:rFonts w:eastAsia="Calibri"/>
          <w:color w:val="000000" w:themeColor="text1"/>
        </w:rPr>
        <w:t xml:space="preserve">with the policy makers and other key stakeholders </w:t>
      </w:r>
      <w:r w:rsidR="30F3AA9D" w:rsidRPr="4D27054C">
        <w:rPr>
          <w:rFonts w:eastAsia="Calibri"/>
          <w:color w:val="000000" w:themeColor="text1"/>
        </w:rPr>
        <w:t xml:space="preserve">to </w:t>
      </w:r>
      <w:r w:rsidR="7A6164B3" w:rsidRPr="4D27054C">
        <w:rPr>
          <w:rFonts w:eastAsia="Calibri"/>
          <w:color w:val="000000" w:themeColor="text1"/>
        </w:rPr>
        <w:t xml:space="preserve">seek </w:t>
      </w:r>
      <w:r w:rsidR="30F3AA9D" w:rsidRPr="4D27054C">
        <w:rPr>
          <w:rFonts w:eastAsia="Calibri"/>
          <w:color w:val="000000" w:themeColor="text1"/>
        </w:rPr>
        <w:t xml:space="preserve">additional insights </w:t>
      </w:r>
      <w:r w:rsidR="7A6164B3" w:rsidRPr="4D27054C">
        <w:rPr>
          <w:rFonts w:eastAsia="Calibri"/>
          <w:color w:val="000000" w:themeColor="text1"/>
        </w:rPr>
        <w:t xml:space="preserve">into the JP programme, validate some of the emerging observation as well as to </w:t>
      </w:r>
      <w:r w:rsidR="0CF51832" w:rsidRPr="4D27054C">
        <w:rPr>
          <w:rFonts w:eastAsia="Calibri"/>
          <w:color w:val="000000" w:themeColor="text1"/>
        </w:rPr>
        <w:t>triangulat</w:t>
      </w:r>
      <w:r w:rsidR="7A6164B3" w:rsidRPr="4D27054C">
        <w:rPr>
          <w:rFonts w:eastAsia="Calibri"/>
          <w:color w:val="000000" w:themeColor="text1"/>
        </w:rPr>
        <w:t xml:space="preserve">e the data. </w:t>
      </w:r>
    </w:p>
    <w:p w14:paraId="2B5FBE5B" w14:textId="77777777" w:rsidR="00FF18B3" w:rsidRDefault="00FF18B3" w:rsidP="005D413A">
      <w:pPr>
        <w:spacing w:line="256" w:lineRule="auto"/>
        <w:jc w:val="both"/>
        <w:rPr>
          <w:rFonts w:eastAsia="Calibri"/>
          <w:color w:val="000000" w:themeColor="text1"/>
        </w:rPr>
      </w:pPr>
    </w:p>
    <w:p w14:paraId="156E7E80" w14:textId="2F2AA7EE" w:rsidR="005D413A" w:rsidRDefault="6A8ACDE6" w:rsidP="4D27054C">
      <w:pPr>
        <w:jc w:val="both"/>
      </w:pPr>
      <w:r w:rsidRPr="5CF61BAE">
        <w:rPr>
          <w:b/>
          <w:bCs/>
        </w:rPr>
        <w:t>d)</w:t>
      </w:r>
      <w:r w:rsidR="04D83751" w:rsidRPr="5CF61BAE">
        <w:rPr>
          <w:b/>
          <w:bCs/>
        </w:rPr>
        <w:t xml:space="preserve"> </w:t>
      </w:r>
      <w:r w:rsidR="5048ADAA" w:rsidRPr="5CF61BAE">
        <w:rPr>
          <w:b/>
          <w:bCs/>
        </w:rPr>
        <w:t>Country Office</w:t>
      </w:r>
      <w:r w:rsidR="5856E1A6" w:rsidRPr="5CF61BAE">
        <w:rPr>
          <w:b/>
          <w:bCs/>
        </w:rPr>
        <w:t>s</w:t>
      </w:r>
      <w:r w:rsidR="5048ADAA" w:rsidRPr="5CF61BAE">
        <w:rPr>
          <w:b/>
          <w:bCs/>
        </w:rPr>
        <w:t xml:space="preserve"> (CO) and ILO and UN Women </w:t>
      </w:r>
      <w:r w:rsidR="6D06290F" w:rsidRPr="5CF61BAE">
        <w:rPr>
          <w:b/>
          <w:bCs/>
        </w:rPr>
        <w:t>Regional Office</w:t>
      </w:r>
      <w:r w:rsidR="5856E1A6" w:rsidRPr="5CF61BAE">
        <w:rPr>
          <w:b/>
          <w:bCs/>
        </w:rPr>
        <w:t>s</w:t>
      </w:r>
      <w:r w:rsidR="6D06290F" w:rsidRPr="5CF61BAE">
        <w:rPr>
          <w:b/>
          <w:bCs/>
        </w:rPr>
        <w:t xml:space="preserve"> for the Arab States (</w:t>
      </w:r>
      <w:r w:rsidR="5048ADAA" w:rsidRPr="5CF61BAE">
        <w:rPr>
          <w:b/>
          <w:bCs/>
        </w:rPr>
        <w:t>ROAS</w:t>
      </w:r>
      <w:r w:rsidR="6D06290F" w:rsidRPr="5CF61BAE">
        <w:rPr>
          <w:b/>
          <w:bCs/>
        </w:rPr>
        <w:t xml:space="preserve">) </w:t>
      </w:r>
      <w:r w:rsidR="5048ADAA" w:rsidRPr="5CF61BAE">
        <w:rPr>
          <w:b/>
          <w:bCs/>
        </w:rPr>
        <w:t>de-briefings</w:t>
      </w:r>
      <w:r w:rsidR="5048ADAA">
        <w:t xml:space="preserve">: </w:t>
      </w:r>
      <w:r w:rsidR="7A6164B3">
        <w:t>the evaluation team will share the</w:t>
      </w:r>
      <w:r w:rsidR="5048ADAA">
        <w:t xml:space="preserve"> preliminary</w:t>
      </w:r>
      <w:r w:rsidR="7A6164B3">
        <w:t xml:space="preserve"> </w:t>
      </w:r>
      <w:r w:rsidR="0A13BC2F">
        <w:t>observations</w:t>
      </w:r>
      <w:r w:rsidR="5048ADAA">
        <w:t xml:space="preserve"> </w:t>
      </w:r>
      <w:r w:rsidR="7A6164B3">
        <w:t xml:space="preserve">with the </w:t>
      </w:r>
      <w:r w:rsidR="5048ADAA">
        <w:t>country and regional key stakeholders after completing the data collection phase. The debriefing session will be an opportunity to review data with selected key stakeholders and identify data issues or gaps that remain to be addressed. It would also be an opportunity for the C</w:t>
      </w:r>
      <w:r w:rsidR="6D06290F">
        <w:t xml:space="preserve">ountry Office </w:t>
      </w:r>
      <w:r w:rsidR="5048ADAA">
        <w:t>and R</w:t>
      </w:r>
      <w:r w:rsidR="6D06290F">
        <w:t xml:space="preserve">egional Office </w:t>
      </w:r>
      <w:r w:rsidR="5048ADAA">
        <w:t xml:space="preserve">to provide additional information if needed. </w:t>
      </w:r>
    </w:p>
    <w:p w14:paraId="43A1AD77" w14:textId="77777777" w:rsidR="001C67FF" w:rsidRDefault="001C67FF" w:rsidP="001C67FF">
      <w:pPr>
        <w:pStyle w:val="ListParagraph"/>
        <w:spacing w:line="256" w:lineRule="auto"/>
        <w:jc w:val="both"/>
      </w:pPr>
    </w:p>
    <w:p w14:paraId="76E09D7F" w14:textId="52B40364" w:rsidR="029DFFCC" w:rsidRPr="005D413A" w:rsidRDefault="005D413A" w:rsidP="005D413A">
      <w:pPr>
        <w:spacing w:line="256" w:lineRule="auto"/>
        <w:jc w:val="both"/>
        <w:rPr>
          <w:rFonts w:eastAsia="Calibri"/>
          <w:color w:val="000000" w:themeColor="text1"/>
        </w:rPr>
      </w:pPr>
      <w:r>
        <w:t>e)</w:t>
      </w:r>
      <w:r w:rsidRPr="005D413A">
        <w:rPr>
          <w:b/>
          <w:bCs/>
        </w:rPr>
        <w:t xml:space="preserve"> Presentation</w:t>
      </w:r>
      <w:r w:rsidR="566A6ABA" w:rsidRPr="005D413A">
        <w:rPr>
          <w:b/>
          <w:bCs/>
        </w:rPr>
        <w:t xml:space="preserve"> of preliminary findings to EMG and internal ERG members</w:t>
      </w:r>
      <w:r w:rsidR="566A6ABA" w:rsidRPr="005D413A">
        <w:t xml:space="preserve">: To ensure the evaluation’s utilization focus, a PowerPoint presentation detailing the emerging findings of the evaluation will be presented for validation and feedback with the EMG and </w:t>
      </w:r>
      <w:r w:rsidR="00D8261B" w:rsidRPr="005D413A">
        <w:t xml:space="preserve">the </w:t>
      </w:r>
      <w:r w:rsidR="566A6ABA" w:rsidRPr="005D413A">
        <w:t>internal ERG members. This remotely held, participatory workshop will also provide the opportunity to co-create actionable recommendations.</w:t>
      </w:r>
    </w:p>
    <w:p w14:paraId="60772519" w14:textId="4E862033" w:rsidR="029DFFCC" w:rsidRPr="006B44CD" w:rsidRDefault="029DFFCC" w:rsidP="3BAF1B68">
      <w:pPr>
        <w:rPr>
          <w:rFonts w:eastAsia="Arial"/>
          <w:color w:val="4471C4"/>
        </w:rPr>
      </w:pPr>
    </w:p>
    <w:p w14:paraId="259B315F" w14:textId="5CD5BD22" w:rsidR="003D4D7E" w:rsidRPr="001C67FF" w:rsidRDefault="14B90F58" w:rsidP="00354F87">
      <w:pPr>
        <w:pStyle w:val="Heading1"/>
        <w:numPr>
          <w:ilvl w:val="0"/>
          <w:numId w:val="34"/>
        </w:numPr>
        <w:rPr>
          <w:rFonts w:ascii="Times New Roman" w:eastAsia="Times New Roman" w:hAnsi="Times New Roman" w:cs="Times New Roman"/>
          <w:b/>
          <w:bCs/>
          <w:color w:val="4472C4" w:themeColor="accent1"/>
          <w:sz w:val="24"/>
          <w:szCs w:val="24"/>
        </w:rPr>
      </w:pPr>
      <w:bookmarkStart w:id="48" w:name="_Toc97453935"/>
      <w:r w:rsidRPr="5DC39AF9">
        <w:rPr>
          <w:rFonts w:ascii="Times New Roman" w:eastAsia="Times New Roman" w:hAnsi="Times New Roman" w:cs="Times New Roman"/>
          <w:b/>
          <w:bCs/>
          <w:sz w:val="24"/>
          <w:szCs w:val="24"/>
        </w:rPr>
        <w:t>Data Analysis &amp; Synthesis</w:t>
      </w:r>
      <w:bookmarkEnd w:id="48"/>
    </w:p>
    <w:p w14:paraId="4EF6CA48" w14:textId="0E0274FD" w:rsidR="003D4D7E" w:rsidRPr="006B44CD" w:rsidRDefault="541DA198" w:rsidP="0F721697">
      <w:pPr>
        <w:rPr>
          <w:color w:val="000000" w:themeColor="text1"/>
        </w:rPr>
      </w:pPr>
      <w:r w:rsidRPr="006B44CD">
        <w:rPr>
          <w:color w:val="000000" w:themeColor="text1"/>
        </w:rPr>
        <w:t xml:space="preserve">For the qualitative data analysis Nvivo qualitative software will be used. </w:t>
      </w:r>
      <w:r w:rsidR="6277D557" w:rsidRPr="006B44CD">
        <w:rPr>
          <w:color w:val="000000" w:themeColor="text1"/>
        </w:rPr>
        <w:t>T</w:t>
      </w:r>
      <w:r w:rsidRPr="006B44CD">
        <w:rPr>
          <w:color w:val="000000" w:themeColor="text1"/>
        </w:rPr>
        <w:t xml:space="preserve">he quantitative </w:t>
      </w:r>
      <w:r w:rsidR="5734DAF5" w:rsidRPr="006B44CD">
        <w:rPr>
          <w:color w:val="000000" w:themeColor="text1"/>
        </w:rPr>
        <w:t>data</w:t>
      </w:r>
      <w:r w:rsidRPr="006B44CD">
        <w:rPr>
          <w:color w:val="000000" w:themeColor="text1"/>
        </w:rPr>
        <w:t xml:space="preserve"> collected </w:t>
      </w:r>
      <w:r w:rsidR="7B00788C" w:rsidRPr="006B44CD">
        <w:rPr>
          <w:color w:val="000000" w:themeColor="text1"/>
        </w:rPr>
        <w:t xml:space="preserve">will be analyzed using a combination of survey monkey analytics as well as Microsoft excel. </w:t>
      </w:r>
    </w:p>
    <w:p w14:paraId="4FB41302" w14:textId="69175A4C" w:rsidR="005D413A" w:rsidRPr="005D413A" w:rsidRDefault="43CF2039" w:rsidP="005D413A">
      <w:pPr>
        <w:spacing w:line="256" w:lineRule="auto"/>
        <w:jc w:val="both"/>
      </w:pPr>
      <w:r w:rsidRPr="007C3287">
        <w:t>Comparative analysis- the MTE will</w:t>
      </w:r>
      <w:r w:rsidRPr="006B44CD">
        <w:rPr>
          <w:b/>
          <w:bCs/>
        </w:rPr>
        <w:t xml:space="preserve"> </w:t>
      </w:r>
      <w:r w:rsidRPr="006B44CD">
        <w:t xml:space="preserve">include </w:t>
      </w:r>
      <w:r w:rsidR="06186C6E" w:rsidRPr="006B44CD">
        <w:t xml:space="preserve">an </w:t>
      </w:r>
      <w:r w:rsidRPr="006B44CD">
        <w:t xml:space="preserve">analysis and synthesis of the similarities, differences and patterns among the three countries on a comparative basis </w:t>
      </w:r>
      <w:r w:rsidR="64618F4F" w:rsidRPr="006B44CD">
        <w:t xml:space="preserve">to </w:t>
      </w:r>
      <w:r w:rsidRPr="006B44CD">
        <w:t xml:space="preserve">facilitate </w:t>
      </w:r>
      <w:r w:rsidR="52D580DA" w:rsidRPr="006B44CD">
        <w:t xml:space="preserve">learning </w:t>
      </w:r>
      <w:r w:rsidRPr="006B44CD">
        <w:t>an</w:t>
      </w:r>
      <w:r w:rsidR="197BA771" w:rsidRPr="006B44CD">
        <w:t>d</w:t>
      </w:r>
      <w:r w:rsidRPr="006B44CD">
        <w:t xml:space="preserve"> understanding of how and why particular pro</w:t>
      </w:r>
      <w:r w:rsidR="6500DFC2" w:rsidRPr="006B44CD">
        <w:t xml:space="preserve">gramme </w:t>
      </w:r>
      <w:r w:rsidR="00566926" w:rsidRPr="006B44CD">
        <w:t>approaches,</w:t>
      </w:r>
      <w:r w:rsidRPr="006B44CD">
        <w:t xml:space="preserve"> or sequences of approaches and interventions are successful or unsuccessful.</w:t>
      </w:r>
    </w:p>
    <w:p w14:paraId="35F48DAE" w14:textId="3845636E" w:rsidR="7D5DEFD9" w:rsidRPr="001C67FF" w:rsidRDefault="6FAA8BFC" w:rsidP="00354F87">
      <w:pPr>
        <w:pStyle w:val="Heading1"/>
        <w:numPr>
          <w:ilvl w:val="0"/>
          <w:numId w:val="34"/>
        </w:numPr>
        <w:rPr>
          <w:rFonts w:ascii="Times New Roman" w:eastAsia="Times New Roman" w:hAnsi="Times New Roman" w:cs="Times New Roman"/>
          <w:b/>
          <w:bCs/>
          <w:sz w:val="24"/>
          <w:szCs w:val="24"/>
        </w:rPr>
      </w:pPr>
      <w:bookmarkStart w:id="49" w:name="_Toc97453936"/>
      <w:r w:rsidRPr="5DC39AF9">
        <w:rPr>
          <w:rFonts w:ascii="Times New Roman" w:eastAsia="Times New Roman" w:hAnsi="Times New Roman" w:cs="Times New Roman"/>
          <w:b/>
          <w:bCs/>
          <w:sz w:val="24"/>
          <w:szCs w:val="24"/>
        </w:rPr>
        <w:t>Report Structure</w:t>
      </w:r>
      <w:bookmarkEnd w:id="49"/>
      <w:r w:rsidRPr="5DC39AF9">
        <w:rPr>
          <w:rFonts w:ascii="Times New Roman" w:eastAsia="Times New Roman" w:hAnsi="Times New Roman" w:cs="Times New Roman"/>
          <w:b/>
          <w:bCs/>
          <w:sz w:val="24"/>
          <w:szCs w:val="24"/>
        </w:rPr>
        <w:t xml:space="preserve"> </w:t>
      </w:r>
    </w:p>
    <w:p w14:paraId="24686681" w14:textId="1871C53A" w:rsidR="00AA5291" w:rsidRDefault="084F323F" w:rsidP="00AA5291">
      <w:pPr>
        <w:jc w:val="both"/>
      </w:pPr>
      <w:r w:rsidRPr="006B44CD">
        <w:t xml:space="preserve">The </w:t>
      </w:r>
      <w:r w:rsidR="78F0DF33" w:rsidRPr="006B44CD">
        <w:t xml:space="preserve">evaluation report </w:t>
      </w:r>
      <w:r w:rsidR="36D2DBB1" w:rsidRPr="006B44CD">
        <w:t xml:space="preserve">with </w:t>
      </w:r>
      <w:r w:rsidR="3413914B" w:rsidRPr="006B44CD">
        <w:t>maximum 65 pages</w:t>
      </w:r>
      <w:r w:rsidR="36D2DBB1" w:rsidRPr="006B44CD">
        <w:t xml:space="preserve">, including </w:t>
      </w:r>
      <w:r w:rsidR="3413914B" w:rsidRPr="006B44CD">
        <w:t>three country</w:t>
      </w:r>
      <w:r w:rsidR="36D2DBB1" w:rsidRPr="006B44CD">
        <w:t xml:space="preserve"> </w:t>
      </w:r>
      <w:r w:rsidR="2BD8AC93" w:rsidRPr="006B44CD">
        <w:t>chapters (</w:t>
      </w:r>
      <w:r w:rsidR="36D2DBB1" w:rsidRPr="006B44CD">
        <w:t xml:space="preserve">approx. 10-12  pages/  country  chapter),  and  a  regional  chapter  (approx. 30 pages) will be developed.  In addition, </w:t>
      </w:r>
      <w:r w:rsidR="2BD8AC93" w:rsidRPr="006B44CD">
        <w:t>the report</w:t>
      </w:r>
      <w:r w:rsidR="36D2DBB1" w:rsidRPr="006B44CD">
        <w:t xml:space="preserve">  will  include a  concise  Executive  Summary  and  annexes  detailing  the </w:t>
      </w:r>
      <w:r w:rsidR="36D2DBB1" w:rsidRPr="006B44CD">
        <w:lastRenderedPageBreak/>
        <w:t xml:space="preserve">methodological approach/analytical products </w:t>
      </w:r>
      <w:r w:rsidR="36D2DBB1" w:rsidRPr="00AA5291">
        <w:t xml:space="preserve">developed during the course of the evaluation. The evaluation report will be developed following </w:t>
      </w:r>
      <w:r w:rsidR="78F0DF33" w:rsidRPr="00AA5291">
        <w:t xml:space="preserve">the UN Women Evaluation Global Evaluation Reports Assessment and Analysis System </w:t>
      </w:r>
      <w:r w:rsidR="5639BEA6" w:rsidRPr="00AA5291">
        <w:t>(GERAAS)</w:t>
      </w:r>
      <w:r w:rsidR="00AA5291" w:rsidRPr="4D27054C">
        <w:rPr>
          <w:rStyle w:val="FootnoteReference"/>
          <w:sz w:val="16"/>
          <w:szCs w:val="16"/>
        </w:rPr>
        <w:footnoteReference w:id="78"/>
      </w:r>
      <w:r w:rsidR="4D27054C" w:rsidRPr="4D27054C">
        <w:rPr>
          <w:sz w:val="16"/>
          <w:szCs w:val="16"/>
        </w:rPr>
        <w:t>.</w:t>
      </w:r>
    </w:p>
    <w:p w14:paraId="64071115" w14:textId="77777777" w:rsidR="001C67FF" w:rsidRPr="00AA5291" w:rsidRDefault="001C67FF" w:rsidP="00AA5291">
      <w:pPr>
        <w:jc w:val="both"/>
      </w:pPr>
    </w:p>
    <w:p w14:paraId="2204955D" w14:textId="3FF006FA" w:rsidR="5DC39AF9" w:rsidRDefault="6E04CE7D" w:rsidP="5DC39AF9">
      <w:pPr>
        <w:jc w:val="both"/>
      </w:pPr>
      <w:r>
        <w:t xml:space="preserve">Evaluation </w:t>
      </w:r>
      <w:r w:rsidR="1A4D727C">
        <w:t>communication products</w:t>
      </w:r>
      <w:r>
        <w:t xml:space="preserve">:  </w:t>
      </w:r>
      <w:r w:rsidR="6A8ACDE6">
        <w:t>A PowerPoint</w:t>
      </w:r>
      <w:r>
        <w:t>/Prezi presentation of the  final key evaluation findings and recommendations, and a 2-pager/infographics on the final key findings, lessons learned, and recommendations</w:t>
      </w:r>
      <w:r w:rsidR="4D0B7322">
        <w:t xml:space="preserve"> will be developed</w:t>
      </w:r>
      <w:r>
        <w:t>. All products such as inception, draft and final reports will developed in English. The final English report will be translated into Arabic.</w:t>
      </w:r>
      <w:r w:rsidR="77F00238">
        <w:t xml:space="preserve"> For the report structure see Annex 5</w:t>
      </w:r>
      <w:r w:rsidR="21708635">
        <w:t>.</w:t>
      </w:r>
    </w:p>
    <w:p w14:paraId="239BC882" w14:textId="1A34B1C5" w:rsidR="7D5DEFD9" w:rsidRPr="001C67FF" w:rsidRDefault="78F0DF33" w:rsidP="00354F87">
      <w:pPr>
        <w:pStyle w:val="Heading1"/>
        <w:numPr>
          <w:ilvl w:val="0"/>
          <w:numId w:val="34"/>
        </w:numPr>
        <w:rPr>
          <w:rFonts w:ascii="Times New Roman" w:eastAsia="Times New Roman" w:hAnsi="Times New Roman" w:cs="Times New Roman"/>
          <w:b/>
          <w:bCs/>
          <w:color w:val="4472C4" w:themeColor="accent1"/>
          <w:sz w:val="24"/>
          <w:szCs w:val="24"/>
        </w:rPr>
      </w:pPr>
      <w:bookmarkStart w:id="50" w:name="_Toc97453937"/>
      <w:r w:rsidRPr="5DC39AF9">
        <w:rPr>
          <w:rFonts w:ascii="Times New Roman" w:eastAsia="Times New Roman" w:hAnsi="Times New Roman" w:cs="Times New Roman"/>
          <w:b/>
          <w:bCs/>
          <w:sz w:val="24"/>
          <w:szCs w:val="24"/>
        </w:rPr>
        <w:t>Data Management Plan</w:t>
      </w:r>
      <w:bookmarkEnd w:id="50"/>
      <w:r w:rsidRPr="5DC39AF9">
        <w:rPr>
          <w:rFonts w:ascii="Times New Roman" w:eastAsia="Times New Roman" w:hAnsi="Times New Roman" w:cs="Times New Roman"/>
          <w:b/>
          <w:bCs/>
          <w:sz w:val="24"/>
          <w:szCs w:val="24"/>
        </w:rPr>
        <w:t xml:space="preserve"> </w:t>
      </w:r>
    </w:p>
    <w:p w14:paraId="62E6BEE7" w14:textId="764877D6" w:rsidR="5DC39AF9" w:rsidRDefault="6E04CE7D" w:rsidP="5DC39AF9">
      <w:pPr>
        <w:jc w:val="both"/>
        <w:rPr>
          <w:color w:val="000000" w:themeColor="text1"/>
        </w:rPr>
      </w:pPr>
      <w:r w:rsidRPr="5DC39AF9">
        <w:rPr>
          <w:color w:val="000000" w:themeColor="text1"/>
        </w:rPr>
        <w:t xml:space="preserve">In keeping with standard evaluation ethics and practice the evaluation team will maintain the confidentiality of all data sources. In Annex 6, the team has outlined a detailed data management plan about how it will keep all evaluation data collected either digitally or physically secure, e.g. through storage in the UN Women Teams secure folder. This data will subsequently be stored for four years in TeamMate. The data management plan also outlines the proposed treatment of populations to be consulted and indicates that all persons interviewed, surveyed or who participate in the evaluation focus group discussions will be asked to provide informed consent.  </w:t>
      </w:r>
    </w:p>
    <w:p w14:paraId="00506DD3" w14:textId="5735EA3A" w:rsidR="7D5DEFD9" w:rsidRPr="00D234D8" w:rsidRDefault="2BD8AC93" w:rsidP="00354F87">
      <w:pPr>
        <w:pStyle w:val="Heading1"/>
        <w:numPr>
          <w:ilvl w:val="0"/>
          <w:numId w:val="34"/>
        </w:numPr>
        <w:rPr>
          <w:rFonts w:ascii="Times New Roman" w:eastAsia="Times New Roman" w:hAnsi="Times New Roman" w:cs="Times New Roman"/>
          <w:b/>
          <w:bCs/>
          <w:color w:val="4472C4" w:themeColor="accent1"/>
          <w:sz w:val="24"/>
          <w:szCs w:val="24"/>
        </w:rPr>
      </w:pPr>
      <w:bookmarkStart w:id="51" w:name="_Toc97453938"/>
      <w:r w:rsidRPr="5DC39AF9">
        <w:rPr>
          <w:rFonts w:ascii="Times New Roman" w:eastAsia="Times New Roman" w:hAnsi="Times New Roman" w:cs="Times New Roman"/>
          <w:b/>
          <w:bCs/>
          <w:color w:val="4471C4"/>
          <w:sz w:val="24"/>
          <w:szCs w:val="24"/>
        </w:rPr>
        <w:t xml:space="preserve">Evaluation Team, </w:t>
      </w:r>
      <w:r w:rsidR="7DA1C183" w:rsidRPr="5DC39AF9">
        <w:rPr>
          <w:rFonts w:ascii="Times New Roman" w:eastAsia="Times New Roman" w:hAnsi="Times New Roman" w:cs="Times New Roman"/>
          <w:b/>
          <w:bCs/>
          <w:color w:val="4471C4"/>
          <w:sz w:val="24"/>
          <w:szCs w:val="24"/>
        </w:rPr>
        <w:t>Oversight and quality assurance</w:t>
      </w:r>
      <w:bookmarkEnd w:id="51"/>
      <w:r w:rsidR="7DA1C183" w:rsidRPr="5DC39AF9">
        <w:rPr>
          <w:rFonts w:ascii="Times New Roman" w:eastAsia="Times New Roman" w:hAnsi="Times New Roman" w:cs="Times New Roman"/>
          <w:b/>
          <w:bCs/>
          <w:color w:val="4471C4"/>
          <w:sz w:val="24"/>
          <w:szCs w:val="24"/>
        </w:rPr>
        <w:t xml:space="preserve"> </w:t>
      </w:r>
    </w:p>
    <w:p w14:paraId="07DF9105" w14:textId="237985D4" w:rsidR="001C67FF" w:rsidRDefault="001C67FF" w:rsidP="001C67FF">
      <w:pPr>
        <w:rPr>
          <w:lang w:eastAsia="en-US"/>
        </w:rPr>
      </w:pPr>
      <w:r>
        <w:rPr>
          <w:lang w:val="en-US" w:eastAsia="en-US"/>
        </w:rPr>
        <w:t>The evaluation Team includes Chaitali Chattopadhyay, Regional Evaluation Specialist for the ROAS region as the team leader</w:t>
      </w:r>
      <w:r w:rsidR="00D234D8">
        <w:rPr>
          <w:lang w:val="en-US" w:eastAsia="en-US"/>
        </w:rPr>
        <w:t xml:space="preserve">; </w:t>
      </w:r>
      <w:r>
        <w:rPr>
          <w:lang w:val="en-US" w:eastAsia="en-US"/>
        </w:rPr>
        <w:t>Wael Zakkar as the international evaluator and thematic expert</w:t>
      </w:r>
      <w:r w:rsidR="00D234D8">
        <w:rPr>
          <w:lang w:val="en-US" w:eastAsia="en-US"/>
        </w:rPr>
        <w:t xml:space="preserve">; and </w:t>
      </w:r>
      <w:r>
        <w:rPr>
          <w:lang w:val="en-US" w:eastAsia="en-US"/>
        </w:rPr>
        <w:t xml:space="preserve">three national evaluators, </w:t>
      </w:r>
      <w:r w:rsidRPr="001C67FF">
        <w:rPr>
          <w:lang w:eastAsia="en-US"/>
        </w:rPr>
        <w:t xml:space="preserve">Zein Soufan for Jordan, Awny </w:t>
      </w:r>
      <w:r>
        <w:rPr>
          <w:lang w:eastAsia="en-US"/>
        </w:rPr>
        <w:t xml:space="preserve">Amer </w:t>
      </w:r>
      <w:r w:rsidRPr="001C67FF">
        <w:rPr>
          <w:lang w:eastAsia="en-US"/>
        </w:rPr>
        <w:t xml:space="preserve">for Egypt and </w:t>
      </w:r>
      <w:r w:rsidR="00D234D8" w:rsidRPr="001C67FF">
        <w:rPr>
          <w:color w:val="000000" w:themeColor="text1"/>
          <w:shd w:val="clear" w:color="auto" w:fill="FFFFFF"/>
        </w:rPr>
        <w:t>Aysheh Abu-Hweij</w:t>
      </w:r>
      <w:r w:rsidRPr="001C67FF">
        <w:rPr>
          <w:lang w:eastAsia="en-US"/>
        </w:rPr>
        <w:t xml:space="preserve"> for Palestine. I</w:t>
      </w:r>
      <w:r w:rsidR="00D234D8">
        <w:rPr>
          <w:lang w:eastAsia="en-US"/>
        </w:rPr>
        <w:t>n</w:t>
      </w:r>
      <w:r w:rsidRPr="001C67FF">
        <w:rPr>
          <w:lang w:eastAsia="en-US"/>
        </w:rPr>
        <w:t xml:space="preserve"> additi</w:t>
      </w:r>
      <w:r>
        <w:rPr>
          <w:lang w:eastAsia="en-US"/>
        </w:rPr>
        <w:t xml:space="preserve">on, a part time research assistant is supporting the evaluation team. </w:t>
      </w:r>
    </w:p>
    <w:p w14:paraId="080FE884" w14:textId="6557C2E7" w:rsidR="00D234D8" w:rsidRDefault="00D234D8" w:rsidP="001C67FF">
      <w:pPr>
        <w:rPr>
          <w:lang w:eastAsia="en-US"/>
        </w:rPr>
      </w:pPr>
    </w:p>
    <w:p w14:paraId="241E4FB7" w14:textId="1CA862D2" w:rsidR="7D5DEFD9" w:rsidRPr="006B44CD" w:rsidRDefault="7332B3A3" w:rsidP="050676BD">
      <w:pPr>
        <w:jc w:val="both"/>
        <w:rPr>
          <w:color w:val="000000" w:themeColor="text1"/>
        </w:rPr>
      </w:pPr>
      <w:r w:rsidRPr="006B44CD">
        <w:rPr>
          <w:color w:val="000000" w:themeColor="text1"/>
        </w:rPr>
        <w:t xml:space="preserve">The evaluation </w:t>
      </w:r>
      <w:r w:rsidR="00D234D8">
        <w:rPr>
          <w:color w:val="000000" w:themeColor="text1"/>
        </w:rPr>
        <w:t>is</w:t>
      </w:r>
      <w:r w:rsidRPr="006B44CD">
        <w:rPr>
          <w:color w:val="000000" w:themeColor="text1"/>
        </w:rPr>
        <w:t xml:space="preserve"> follow</w:t>
      </w:r>
      <w:r w:rsidR="00D234D8">
        <w:rPr>
          <w:color w:val="000000" w:themeColor="text1"/>
        </w:rPr>
        <w:t>ing</w:t>
      </w:r>
      <w:r w:rsidRPr="006B44CD">
        <w:rPr>
          <w:color w:val="000000" w:themeColor="text1"/>
        </w:rPr>
        <w:t xml:space="preserve"> a consultative, inclusive and participatory process and include</w:t>
      </w:r>
      <w:r w:rsidR="00D234D8">
        <w:rPr>
          <w:color w:val="000000" w:themeColor="text1"/>
        </w:rPr>
        <w:t>s</w:t>
      </w:r>
      <w:r w:rsidRPr="006B44CD">
        <w:rPr>
          <w:color w:val="000000" w:themeColor="text1"/>
        </w:rPr>
        <w:t xml:space="preserve"> a threefold management structure consisting of an Evaluation Steering Committee (ESC), an Evaluation Management Group (EMG) and Evaluation Reference Group (ERG)- described below.</w:t>
      </w:r>
      <w:r w:rsidR="00D234D8" w:rsidRPr="00D234D8">
        <w:rPr>
          <w:lang w:eastAsia="en-US"/>
        </w:rPr>
        <w:t xml:space="preserve"> </w:t>
      </w:r>
      <w:r w:rsidR="00D234D8">
        <w:rPr>
          <w:lang w:eastAsia="en-US"/>
        </w:rPr>
        <w:t xml:space="preserve">Since this is a Joint Evaluation, all the structures include representation from both the partner agencies. </w:t>
      </w:r>
    </w:p>
    <w:p w14:paraId="7BA48E24" w14:textId="0FE38138" w:rsidR="00D234D8" w:rsidRDefault="00D234D8" w:rsidP="050676BD">
      <w:pPr>
        <w:jc w:val="both"/>
        <w:rPr>
          <w:color w:val="000000" w:themeColor="text1"/>
        </w:rPr>
      </w:pPr>
    </w:p>
    <w:p w14:paraId="17704ECC" w14:textId="02E3E3BD" w:rsidR="7D5DEFD9" w:rsidRDefault="7332B3A3" w:rsidP="050676BD">
      <w:pPr>
        <w:jc w:val="both"/>
        <w:rPr>
          <w:color w:val="000000" w:themeColor="text1"/>
        </w:rPr>
      </w:pPr>
      <w:r w:rsidRPr="006B44CD">
        <w:rPr>
          <w:color w:val="000000" w:themeColor="text1"/>
        </w:rPr>
        <w:t>The threefold evaluation governance and management structure-</w:t>
      </w:r>
    </w:p>
    <w:p w14:paraId="086D45D0" w14:textId="4AD90FE1" w:rsidR="7D5DEFD9" w:rsidRDefault="7332B3A3" w:rsidP="050676BD">
      <w:pPr>
        <w:jc w:val="both"/>
        <w:rPr>
          <w:color w:val="000000" w:themeColor="text1"/>
        </w:rPr>
      </w:pPr>
      <w:r w:rsidRPr="006B44CD">
        <w:rPr>
          <w:b/>
          <w:bCs/>
          <w:color w:val="000000" w:themeColor="text1"/>
        </w:rPr>
        <w:t>Evaluation Management Group (EMG)</w:t>
      </w:r>
      <w:r w:rsidRPr="006B44CD">
        <w:rPr>
          <w:color w:val="000000" w:themeColor="text1"/>
        </w:rPr>
        <w:t xml:space="preserve"> will be responsible for supporting the evaluation team in the conduct of the evaluation such as by facilitating access to programme documents, coordinating field missions for data collection and quality assurance of the evaluation deliverables. The regional </w:t>
      </w:r>
      <w:r w:rsidR="00851013">
        <w:rPr>
          <w:color w:val="000000" w:themeColor="text1"/>
        </w:rPr>
        <w:t>M&amp;E personnel for JP and the regional M&amp;E specialist from ILO are part of this group. In addition, t</w:t>
      </w:r>
      <w:r w:rsidRPr="006B44CD">
        <w:rPr>
          <w:color w:val="000000" w:themeColor="text1"/>
        </w:rPr>
        <w:t>he Director of UN Women Independent Evaluation and Audit Service (IEAS) and Chief of Independent Evaluation Services (IES) will also be a part of this group for quality assurance.</w:t>
      </w:r>
    </w:p>
    <w:p w14:paraId="623E642E" w14:textId="77777777" w:rsidR="001C67FF" w:rsidRPr="006B44CD" w:rsidRDefault="001C67FF" w:rsidP="050676BD">
      <w:pPr>
        <w:jc w:val="both"/>
        <w:rPr>
          <w:color w:val="000000" w:themeColor="text1"/>
        </w:rPr>
      </w:pPr>
    </w:p>
    <w:p w14:paraId="34DA80F0" w14:textId="0E96139A" w:rsidR="7D5DEFD9" w:rsidRDefault="7332B3A3" w:rsidP="050676BD">
      <w:pPr>
        <w:jc w:val="both"/>
        <w:rPr>
          <w:color w:val="000000" w:themeColor="text1"/>
        </w:rPr>
      </w:pPr>
      <w:r w:rsidRPr="006B44CD">
        <w:rPr>
          <w:b/>
          <w:bCs/>
          <w:color w:val="000000" w:themeColor="text1"/>
        </w:rPr>
        <w:t>Evaluation Reference Group (ERG)</w:t>
      </w:r>
      <w:r w:rsidRPr="006B44CD">
        <w:rPr>
          <w:color w:val="000000" w:themeColor="text1"/>
        </w:rPr>
        <w:t xml:space="preserve"> will be responsible for facilitating the participation of relevant stakeholders in the design and scope of the evaluation, raising awareness about different information needs, maintaining quality assurance throughout the process and disseminating the evaluation results. The ERG will include key national stakeholders from government, employers’ and workers’ organizations, civil society organizations, donor partners, key programme staff </w:t>
      </w:r>
      <w:r w:rsidRPr="006B44CD">
        <w:rPr>
          <w:color w:val="000000" w:themeColor="text1"/>
        </w:rPr>
        <w:lastRenderedPageBreak/>
        <w:t xml:space="preserve">members (Regional Programme Manager, national coordinators from the countries of implementation), UN Women and ILO thematic experts, and relevant regional/national programme partners. </w:t>
      </w:r>
    </w:p>
    <w:p w14:paraId="2E7ABB16" w14:textId="77777777" w:rsidR="001C67FF" w:rsidRPr="006B44CD" w:rsidRDefault="001C67FF" w:rsidP="050676BD">
      <w:pPr>
        <w:jc w:val="both"/>
        <w:rPr>
          <w:color w:val="000000" w:themeColor="text1"/>
        </w:rPr>
      </w:pPr>
    </w:p>
    <w:p w14:paraId="62B4BF17" w14:textId="409EAC24" w:rsidR="7D5DEFD9" w:rsidRPr="006B44CD" w:rsidRDefault="7332B3A3" w:rsidP="050676BD">
      <w:pPr>
        <w:jc w:val="both"/>
        <w:rPr>
          <w:color w:val="000000" w:themeColor="text1"/>
        </w:rPr>
      </w:pPr>
      <w:r w:rsidRPr="006B44CD">
        <w:rPr>
          <w:b/>
          <w:bCs/>
          <w:color w:val="000000" w:themeColor="text1"/>
        </w:rPr>
        <w:t>Evaluation Steering Committee</w:t>
      </w:r>
      <w:r w:rsidRPr="006B44CD">
        <w:rPr>
          <w:color w:val="000000" w:themeColor="text1"/>
        </w:rPr>
        <w:t xml:space="preserve"> </w:t>
      </w:r>
      <w:r w:rsidRPr="006B44CD">
        <w:rPr>
          <w:b/>
          <w:bCs/>
          <w:color w:val="000000" w:themeColor="text1"/>
        </w:rPr>
        <w:t>(ESC)</w:t>
      </w:r>
      <w:r w:rsidRPr="006B44CD">
        <w:rPr>
          <w:color w:val="000000" w:themeColor="text1"/>
        </w:rPr>
        <w:t xml:space="preserve"> will be the key responsible body for the development of an Evaluation Management Response (MR) to address the recommendations included in the report. The Management Response will be developed jointly by both the entities. The ESC will be chaired by the UN Women Regional Director, ROAS, in the function of the joint programme Administrative Agent and Convening Agency, and will include the UN Women Deputy Regional Director, ROAS, the ILO Regional Director/Deputy Regional Director, ROAS, and the UN Women and ILO country representatives (or their alternates) from the countries of implementation.  </w:t>
      </w:r>
    </w:p>
    <w:p w14:paraId="1C7A97C4" w14:textId="77777777" w:rsidR="00851013" w:rsidRDefault="00851013" w:rsidP="050676BD">
      <w:pPr>
        <w:jc w:val="both"/>
        <w:rPr>
          <w:color w:val="000000" w:themeColor="text1"/>
        </w:rPr>
      </w:pPr>
    </w:p>
    <w:p w14:paraId="118298B9" w14:textId="0443149E" w:rsidR="7D5DEFD9" w:rsidRPr="00851013" w:rsidRDefault="7332B3A3" w:rsidP="050676BD">
      <w:pPr>
        <w:jc w:val="both"/>
        <w:rPr>
          <w:color w:val="000000" w:themeColor="text1"/>
        </w:rPr>
      </w:pPr>
      <w:r w:rsidRPr="00851013">
        <w:rPr>
          <w:color w:val="000000" w:themeColor="text1"/>
        </w:rPr>
        <w:t>In addition, the following oversight and quality assurance arrangements will be in place:</w:t>
      </w:r>
    </w:p>
    <w:p w14:paraId="76F986B3" w14:textId="2E0E0658" w:rsidR="7D5DEFD9" w:rsidRPr="00851013" w:rsidRDefault="39101C6F" w:rsidP="00DA41CC">
      <w:pPr>
        <w:pStyle w:val="ListParagraph"/>
        <w:numPr>
          <w:ilvl w:val="0"/>
          <w:numId w:val="12"/>
        </w:numPr>
        <w:spacing w:line="276" w:lineRule="auto"/>
        <w:jc w:val="both"/>
        <w:rPr>
          <w:rFonts w:ascii="Times New Roman" w:eastAsia="Times New Roman" w:hAnsi="Times New Roman" w:cs="Times New Roman"/>
          <w:color w:val="000000" w:themeColor="text1"/>
          <w:sz w:val="24"/>
          <w:szCs w:val="24"/>
        </w:rPr>
      </w:pPr>
      <w:r w:rsidRPr="4D27054C">
        <w:rPr>
          <w:rFonts w:ascii="Times New Roman" w:eastAsia="Times New Roman" w:hAnsi="Times New Roman" w:cs="Times New Roman"/>
          <w:color w:val="000000" w:themeColor="text1"/>
          <w:sz w:val="24"/>
          <w:szCs w:val="24"/>
          <w:lang w:val="en-GB"/>
        </w:rPr>
        <w:t>Independent Evaluation and Audit Service (IEAS) Oversight: As indicated above, the Director of IEAS who oversees all activities, and the Chief of Independent Evaluation Service,</w:t>
      </w:r>
      <w:r w:rsidR="7AB5F98A" w:rsidRPr="4D27054C">
        <w:rPr>
          <w:rFonts w:ascii="Times New Roman" w:eastAsia="Times New Roman" w:hAnsi="Times New Roman" w:cs="Times New Roman"/>
          <w:color w:val="000000" w:themeColor="text1"/>
          <w:sz w:val="24"/>
          <w:szCs w:val="24"/>
          <w:lang w:val="en-GB"/>
        </w:rPr>
        <w:t xml:space="preserve"> </w:t>
      </w:r>
      <w:r w:rsidRPr="4D27054C">
        <w:rPr>
          <w:rFonts w:ascii="Times New Roman" w:eastAsia="Times New Roman" w:hAnsi="Times New Roman" w:cs="Times New Roman"/>
          <w:color w:val="000000" w:themeColor="text1"/>
          <w:sz w:val="24"/>
          <w:szCs w:val="24"/>
          <w:lang w:val="en-GB"/>
        </w:rPr>
        <w:t>responsible for the evaluation related activities; both will review the key products of the evaluation and sign off on the final report and associated products;</w:t>
      </w:r>
    </w:p>
    <w:p w14:paraId="34CEAC35" w14:textId="6198795F" w:rsidR="7D5DEFD9" w:rsidRPr="00851013" w:rsidRDefault="70A02088" w:rsidP="00DA41CC">
      <w:pPr>
        <w:pStyle w:val="ListParagraph"/>
        <w:numPr>
          <w:ilvl w:val="0"/>
          <w:numId w:val="12"/>
        </w:numPr>
        <w:spacing w:before="240" w:after="120" w:line="240" w:lineRule="auto"/>
        <w:jc w:val="both"/>
        <w:rPr>
          <w:rFonts w:ascii="Times New Roman" w:eastAsia="Times New Roman" w:hAnsi="Times New Roman" w:cs="Times New Roman"/>
          <w:color w:val="000000" w:themeColor="text1"/>
          <w:sz w:val="24"/>
          <w:szCs w:val="24"/>
        </w:rPr>
      </w:pPr>
      <w:r w:rsidRPr="00851013">
        <w:rPr>
          <w:rFonts w:ascii="Times New Roman" w:eastAsia="Times New Roman" w:hAnsi="Times New Roman" w:cs="Times New Roman"/>
          <w:color w:val="000000" w:themeColor="text1"/>
          <w:sz w:val="24"/>
          <w:szCs w:val="24"/>
          <w:lang w:val="en-GB"/>
        </w:rPr>
        <w:t>Peer Review for methodological guidance and feedback:</w:t>
      </w:r>
      <w:r w:rsidR="00851013">
        <w:rPr>
          <w:rFonts w:ascii="Times New Roman" w:eastAsia="Times New Roman" w:hAnsi="Times New Roman" w:cs="Times New Roman"/>
          <w:color w:val="000000" w:themeColor="text1"/>
          <w:sz w:val="24"/>
          <w:szCs w:val="24"/>
          <w:lang w:val="en-GB"/>
        </w:rPr>
        <w:t xml:space="preserve"> one </w:t>
      </w:r>
      <w:r w:rsidRPr="00851013">
        <w:rPr>
          <w:rFonts w:ascii="Times New Roman" w:eastAsia="Times New Roman" w:hAnsi="Times New Roman" w:cs="Times New Roman"/>
          <w:color w:val="000000" w:themeColor="text1"/>
          <w:sz w:val="24"/>
          <w:szCs w:val="24"/>
          <w:lang w:val="en-GB"/>
        </w:rPr>
        <w:t>IES staff will be engaged as peer reviewers of the evaluation.</w:t>
      </w:r>
    </w:p>
    <w:p w14:paraId="61F88AC9" w14:textId="20374A4A" w:rsidR="5DC39AF9" w:rsidRPr="002E78FA" w:rsidRDefault="1455BF9F" w:rsidP="5DC39AF9">
      <w:pPr>
        <w:pStyle w:val="ListParagraph"/>
        <w:numPr>
          <w:ilvl w:val="0"/>
          <w:numId w:val="12"/>
        </w:numPr>
        <w:spacing w:before="240" w:after="120" w:line="240" w:lineRule="auto"/>
        <w:jc w:val="both"/>
        <w:rPr>
          <w:rFonts w:ascii="Times New Roman" w:eastAsia="Times New Roman" w:hAnsi="Times New Roman" w:cs="Times New Roman"/>
          <w:color w:val="000000" w:themeColor="text1"/>
          <w:sz w:val="24"/>
          <w:szCs w:val="24"/>
          <w:vertAlign w:val="superscript"/>
          <w:lang w:val="en-GB"/>
        </w:rPr>
      </w:pPr>
      <w:r w:rsidRPr="00851013">
        <w:rPr>
          <w:rFonts w:ascii="Times New Roman" w:eastAsia="Times New Roman" w:hAnsi="Times New Roman" w:cs="Times New Roman"/>
          <w:color w:val="000000" w:themeColor="text1"/>
          <w:sz w:val="24"/>
          <w:szCs w:val="24"/>
          <w:lang w:val="en-GB"/>
        </w:rPr>
        <w:t>The Evaluation Report will be quality assured following the UN Women Evaluation Global Evaluation Reports Assessment and Analysis System (GERAAS)</w:t>
      </w:r>
      <w:r w:rsidR="00851013" w:rsidRPr="4D27054C">
        <w:rPr>
          <w:rStyle w:val="FootnoteReference"/>
          <w:rFonts w:ascii="Times New Roman" w:eastAsia="Times New Roman" w:hAnsi="Times New Roman" w:cs="Times New Roman"/>
          <w:color w:val="000000" w:themeColor="text1"/>
          <w:sz w:val="16"/>
          <w:szCs w:val="16"/>
          <w:lang w:val="en-GB"/>
        </w:rPr>
        <w:footnoteReference w:id="79"/>
      </w:r>
      <w:r w:rsidR="7A4A3785">
        <w:rPr>
          <w:rFonts w:ascii="Times New Roman" w:eastAsia="Times New Roman" w:hAnsi="Times New Roman" w:cs="Times New Roman"/>
          <w:color w:val="000000" w:themeColor="text1"/>
          <w:sz w:val="24"/>
          <w:szCs w:val="24"/>
          <w:lang w:val="en-GB"/>
        </w:rPr>
        <w:t>.</w:t>
      </w:r>
    </w:p>
    <w:p w14:paraId="0429BDBF" w14:textId="77777777" w:rsidR="002E78FA" w:rsidRPr="002E78FA" w:rsidRDefault="002E78FA" w:rsidP="002E78FA">
      <w:pPr>
        <w:pStyle w:val="ListParagraph"/>
        <w:spacing w:before="240" w:after="120" w:line="240" w:lineRule="auto"/>
        <w:ind w:left="360"/>
        <w:jc w:val="both"/>
        <w:rPr>
          <w:rFonts w:ascii="Times New Roman" w:eastAsia="Times New Roman" w:hAnsi="Times New Roman" w:cs="Times New Roman"/>
          <w:color w:val="000000" w:themeColor="text1"/>
          <w:sz w:val="24"/>
          <w:szCs w:val="24"/>
          <w:vertAlign w:val="superscript"/>
          <w:lang w:val="en-GB"/>
        </w:rPr>
      </w:pPr>
    </w:p>
    <w:p w14:paraId="3D6B7426" w14:textId="0D4A8B9C" w:rsidR="7D5DEFD9" w:rsidRPr="00851013" w:rsidRDefault="0A68E825" w:rsidP="00354F87">
      <w:pPr>
        <w:pStyle w:val="Heading1"/>
        <w:numPr>
          <w:ilvl w:val="0"/>
          <w:numId w:val="34"/>
        </w:numPr>
        <w:rPr>
          <w:rFonts w:ascii="Times New Roman" w:hAnsi="Times New Roman" w:cs="Times New Roman"/>
          <w:b/>
          <w:bCs/>
          <w:sz w:val="24"/>
          <w:szCs w:val="24"/>
        </w:rPr>
      </w:pPr>
      <w:bookmarkStart w:id="52" w:name="_Toc97453939"/>
      <w:r w:rsidRPr="5DC39AF9">
        <w:rPr>
          <w:rFonts w:ascii="Times New Roman" w:eastAsia="Times New Roman" w:hAnsi="Times New Roman" w:cs="Times New Roman"/>
          <w:b/>
          <w:bCs/>
          <w:sz w:val="24"/>
          <w:szCs w:val="24"/>
        </w:rPr>
        <w:t>Workplan</w:t>
      </w:r>
      <w:bookmarkEnd w:id="52"/>
      <w:r w:rsidRPr="5DC39AF9">
        <w:rPr>
          <w:rFonts w:ascii="Times New Roman" w:eastAsia="Times New Roman" w:hAnsi="Times New Roman" w:cs="Times New Roman"/>
          <w:b/>
          <w:bCs/>
          <w:sz w:val="24"/>
          <w:szCs w:val="24"/>
        </w:rPr>
        <w:t xml:space="preserve"> </w:t>
      </w:r>
    </w:p>
    <w:p w14:paraId="44CB4A33" w14:textId="552A56D6" w:rsidR="002E78FA" w:rsidRDefault="791E8E49" w:rsidP="4D27054C">
      <w:pPr>
        <w:rPr>
          <w:color w:val="000000" w:themeColor="text1"/>
        </w:rPr>
      </w:pPr>
      <w:r w:rsidRPr="4D27054C">
        <w:rPr>
          <w:color w:val="000000" w:themeColor="text1"/>
        </w:rPr>
        <w:t>T</w:t>
      </w:r>
      <w:r w:rsidR="5D0A4A20" w:rsidRPr="4D27054C">
        <w:rPr>
          <w:color w:val="000000" w:themeColor="text1"/>
        </w:rPr>
        <w:t xml:space="preserve">he evaluation will be coordinated and led by IES. It will be conducted over a period of 8 months, beginning in </w:t>
      </w:r>
      <w:r w:rsidR="6DDCD7EE" w:rsidRPr="4D27054C">
        <w:rPr>
          <w:color w:val="000000" w:themeColor="text1"/>
        </w:rPr>
        <w:t>mid-</w:t>
      </w:r>
      <w:r w:rsidR="1A4D727C" w:rsidRPr="4D27054C">
        <w:rPr>
          <w:color w:val="000000" w:themeColor="text1"/>
        </w:rPr>
        <w:t xml:space="preserve">November </w:t>
      </w:r>
      <w:r w:rsidR="5D0A4A20" w:rsidRPr="4D27054C">
        <w:rPr>
          <w:color w:val="000000" w:themeColor="text1"/>
        </w:rPr>
        <w:t>2021.</w:t>
      </w:r>
    </w:p>
    <w:p w14:paraId="34DC049F" w14:textId="3FEB7717" w:rsidR="00B32F7E" w:rsidRPr="009C4D7B" w:rsidRDefault="3A042329" w:rsidP="4D27054C">
      <w:pPr>
        <w:jc w:val="both"/>
        <w:rPr>
          <w:b/>
          <w:bCs/>
          <w:color w:val="000000" w:themeColor="text1"/>
          <w:sz w:val="16"/>
          <w:szCs w:val="16"/>
        </w:rPr>
      </w:pPr>
      <w:r w:rsidRPr="5DC39AF9">
        <w:rPr>
          <w:b/>
          <w:bCs/>
          <w:color w:val="000000" w:themeColor="text1"/>
          <w:sz w:val="16"/>
          <w:szCs w:val="16"/>
        </w:rPr>
        <w:t xml:space="preserve">Table 8: Evaluation timelines and deliverables </w:t>
      </w:r>
    </w:p>
    <w:tbl>
      <w:tblPr>
        <w:tblStyle w:val="TableGrid"/>
        <w:tblW w:w="9469" w:type="dxa"/>
        <w:tblLayout w:type="fixed"/>
        <w:tblLook w:val="06A0" w:firstRow="1" w:lastRow="0" w:firstColumn="1" w:lastColumn="0" w:noHBand="1" w:noVBand="1"/>
      </w:tblPr>
      <w:tblGrid>
        <w:gridCol w:w="6374"/>
        <w:gridCol w:w="3095"/>
      </w:tblGrid>
      <w:tr w:rsidR="050676BD" w:rsidRPr="006B44CD" w14:paraId="3399B0B1" w14:textId="77777777" w:rsidTr="00B56B9A">
        <w:trPr>
          <w:trHeight w:val="285"/>
        </w:trPr>
        <w:tc>
          <w:tcPr>
            <w:tcW w:w="6374" w:type="dxa"/>
            <w:shd w:val="clear" w:color="auto" w:fill="FFF2CC" w:themeFill="accent4" w:themeFillTint="33"/>
          </w:tcPr>
          <w:p w14:paraId="262C1DF5" w14:textId="7D1C45E2" w:rsidR="050676BD" w:rsidRPr="006B44CD" w:rsidRDefault="6D1AA5F2" w:rsidP="00B56B9A">
            <w:pPr>
              <w:jc w:val="center"/>
              <w:rPr>
                <w:b/>
                <w:bCs/>
                <w:sz w:val="20"/>
                <w:szCs w:val="20"/>
              </w:rPr>
            </w:pPr>
            <w:r w:rsidRPr="4D27054C">
              <w:rPr>
                <w:b/>
                <w:bCs/>
                <w:sz w:val="20"/>
                <w:szCs w:val="20"/>
              </w:rPr>
              <w:t>Tasks/deliverables</w:t>
            </w:r>
          </w:p>
        </w:tc>
        <w:tc>
          <w:tcPr>
            <w:tcW w:w="3095" w:type="dxa"/>
            <w:shd w:val="clear" w:color="auto" w:fill="FFF2CC" w:themeFill="accent4" w:themeFillTint="33"/>
          </w:tcPr>
          <w:p w14:paraId="22B4C2F7" w14:textId="5EEF4AFC" w:rsidR="3AFCCC43" w:rsidRPr="006B44CD" w:rsidRDefault="6D1AA5F2" w:rsidP="4D27054C">
            <w:pPr>
              <w:jc w:val="center"/>
              <w:rPr>
                <w:b/>
                <w:bCs/>
                <w:sz w:val="20"/>
                <w:szCs w:val="20"/>
              </w:rPr>
            </w:pPr>
            <w:r w:rsidRPr="4D27054C">
              <w:rPr>
                <w:b/>
                <w:bCs/>
                <w:sz w:val="20"/>
                <w:szCs w:val="20"/>
              </w:rPr>
              <w:t>Expected delivery date</w:t>
            </w:r>
          </w:p>
        </w:tc>
      </w:tr>
      <w:tr w:rsidR="050676BD" w:rsidRPr="006B44CD" w14:paraId="6FDFC1D4" w14:textId="77777777" w:rsidTr="00B56B9A">
        <w:tc>
          <w:tcPr>
            <w:tcW w:w="6374" w:type="dxa"/>
            <w:shd w:val="clear" w:color="auto" w:fill="B4C6E7" w:themeFill="accent1" w:themeFillTint="66"/>
          </w:tcPr>
          <w:p w14:paraId="7FC45C73" w14:textId="6FAAE8A8" w:rsidR="3AFCCC43" w:rsidRPr="006B44CD" w:rsidRDefault="6D1AA5F2" w:rsidP="4D27054C">
            <w:pPr>
              <w:rPr>
                <w:b/>
                <w:bCs/>
                <w:sz w:val="20"/>
                <w:szCs w:val="20"/>
              </w:rPr>
            </w:pPr>
            <w:r w:rsidRPr="4D27054C">
              <w:rPr>
                <w:b/>
                <w:bCs/>
                <w:sz w:val="20"/>
                <w:szCs w:val="20"/>
              </w:rPr>
              <w:t>Inception phase</w:t>
            </w:r>
          </w:p>
          <w:p w14:paraId="6D5FD1B6" w14:textId="444D8C6A" w:rsidR="050676BD" w:rsidRPr="006B44CD" w:rsidRDefault="050676BD" w:rsidP="4D27054C">
            <w:pPr>
              <w:rPr>
                <w:b/>
                <w:bCs/>
                <w:sz w:val="20"/>
                <w:szCs w:val="20"/>
              </w:rPr>
            </w:pPr>
          </w:p>
        </w:tc>
        <w:tc>
          <w:tcPr>
            <w:tcW w:w="3095" w:type="dxa"/>
            <w:shd w:val="clear" w:color="auto" w:fill="B4C6E7" w:themeFill="accent1" w:themeFillTint="66"/>
          </w:tcPr>
          <w:p w14:paraId="2FC9BACB" w14:textId="4800A066" w:rsidR="050676BD" w:rsidRPr="006B44CD" w:rsidRDefault="050676BD" w:rsidP="4D27054C">
            <w:pPr>
              <w:rPr>
                <w:b/>
                <w:bCs/>
                <w:sz w:val="20"/>
                <w:szCs w:val="20"/>
              </w:rPr>
            </w:pPr>
          </w:p>
        </w:tc>
      </w:tr>
      <w:tr w:rsidR="050676BD" w:rsidRPr="006B44CD" w14:paraId="1DDD1283" w14:textId="77777777" w:rsidTr="00B56B9A">
        <w:tc>
          <w:tcPr>
            <w:tcW w:w="6374" w:type="dxa"/>
          </w:tcPr>
          <w:p w14:paraId="0691F5E4" w14:textId="3FA85FC1" w:rsidR="3AFCCC43" w:rsidRPr="006B44CD" w:rsidRDefault="6D1AA5F2" w:rsidP="4D27054C">
            <w:pPr>
              <w:rPr>
                <w:sz w:val="20"/>
                <w:szCs w:val="20"/>
              </w:rPr>
            </w:pPr>
            <w:r w:rsidRPr="4D27054C">
              <w:rPr>
                <w:sz w:val="20"/>
                <w:szCs w:val="20"/>
              </w:rPr>
              <w:t>Desk review of background documentation</w:t>
            </w:r>
          </w:p>
        </w:tc>
        <w:tc>
          <w:tcPr>
            <w:tcW w:w="3095" w:type="dxa"/>
          </w:tcPr>
          <w:p w14:paraId="7175A25E" w14:textId="1A548917" w:rsidR="050676BD" w:rsidRPr="006B44CD" w:rsidRDefault="3AD75F7C" w:rsidP="4D27054C">
            <w:pPr>
              <w:rPr>
                <w:color w:val="000000" w:themeColor="text1"/>
                <w:sz w:val="20"/>
                <w:szCs w:val="20"/>
              </w:rPr>
            </w:pPr>
            <w:r w:rsidRPr="4D27054C">
              <w:rPr>
                <w:color w:val="000000" w:themeColor="text1"/>
                <w:sz w:val="20"/>
                <w:szCs w:val="20"/>
              </w:rPr>
              <w:t xml:space="preserve">Mid Oct- November 2021 </w:t>
            </w:r>
          </w:p>
        </w:tc>
      </w:tr>
      <w:tr w:rsidR="050676BD" w:rsidRPr="006B44CD" w14:paraId="7E6B9418" w14:textId="77777777" w:rsidTr="00B56B9A">
        <w:tc>
          <w:tcPr>
            <w:tcW w:w="6374" w:type="dxa"/>
          </w:tcPr>
          <w:p w14:paraId="17B198D0" w14:textId="7493199A" w:rsidR="3AFCCC43" w:rsidRPr="006B44CD" w:rsidRDefault="6D1AA5F2" w:rsidP="4D27054C">
            <w:pPr>
              <w:rPr>
                <w:sz w:val="20"/>
                <w:szCs w:val="20"/>
              </w:rPr>
            </w:pPr>
            <w:r w:rsidRPr="4D27054C">
              <w:rPr>
                <w:sz w:val="20"/>
                <w:szCs w:val="20"/>
              </w:rPr>
              <w:t>Inception</w:t>
            </w:r>
            <w:r w:rsidR="0FE50670" w:rsidRPr="4D27054C">
              <w:rPr>
                <w:sz w:val="20"/>
                <w:szCs w:val="20"/>
              </w:rPr>
              <w:t>/scoping</w:t>
            </w:r>
            <w:r w:rsidRPr="4D27054C">
              <w:rPr>
                <w:sz w:val="20"/>
                <w:szCs w:val="20"/>
              </w:rPr>
              <w:t xml:space="preserve"> meeting with ERG and EMG</w:t>
            </w:r>
          </w:p>
        </w:tc>
        <w:tc>
          <w:tcPr>
            <w:tcW w:w="3095" w:type="dxa"/>
          </w:tcPr>
          <w:p w14:paraId="47624BBC" w14:textId="2F9AF51A" w:rsidR="050676BD" w:rsidRPr="006B44CD" w:rsidRDefault="1AACF06E" w:rsidP="4D27054C">
            <w:pPr>
              <w:rPr>
                <w:color w:val="000000" w:themeColor="text1"/>
                <w:sz w:val="20"/>
                <w:szCs w:val="20"/>
              </w:rPr>
            </w:pPr>
            <w:r w:rsidRPr="4D27054C">
              <w:rPr>
                <w:color w:val="000000" w:themeColor="text1"/>
                <w:sz w:val="20"/>
                <w:szCs w:val="20"/>
              </w:rPr>
              <w:t xml:space="preserve">November 2021 </w:t>
            </w:r>
          </w:p>
        </w:tc>
      </w:tr>
      <w:tr w:rsidR="050676BD" w:rsidRPr="006B44CD" w14:paraId="227A4184" w14:textId="77777777" w:rsidTr="00B56B9A">
        <w:tc>
          <w:tcPr>
            <w:tcW w:w="6374" w:type="dxa"/>
          </w:tcPr>
          <w:p w14:paraId="611CF80A" w14:textId="017668B8" w:rsidR="3AFCCC43" w:rsidRPr="006B44CD" w:rsidRDefault="6CBFCC4B" w:rsidP="4D27054C">
            <w:pPr>
              <w:rPr>
                <w:sz w:val="20"/>
                <w:szCs w:val="20"/>
              </w:rPr>
            </w:pPr>
            <w:r w:rsidRPr="4D27054C">
              <w:rPr>
                <w:sz w:val="20"/>
                <w:szCs w:val="20"/>
              </w:rPr>
              <w:t>Draft</w:t>
            </w:r>
            <w:r w:rsidR="6D1AA5F2" w:rsidRPr="4D27054C">
              <w:rPr>
                <w:sz w:val="20"/>
                <w:szCs w:val="20"/>
              </w:rPr>
              <w:t xml:space="preserve"> inception report</w:t>
            </w:r>
          </w:p>
        </w:tc>
        <w:tc>
          <w:tcPr>
            <w:tcW w:w="3095" w:type="dxa"/>
          </w:tcPr>
          <w:p w14:paraId="507D0B24" w14:textId="1CE82311" w:rsidR="050676BD" w:rsidRPr="006B44CD" w:rsidRDefault="6CBFCC4B" w:rsidP="4D27054C">
            <w:pPr>
              <w:rPr>
                <w:color w:val="000000" w:themeColor="text1"/>
                <w:sz w:val="20"/>
                <w:szCs w:val="20"/>
              </w:rPr>
            </w:pPr>
            <w:r w:rsidRPr="4D27054C">
              <w:rPr>
                <w:color w:val="000000" w:themeColor="text1"/>
                <w:sz w:val="20"/>
                <w:szCs w:val="20"/>
              </w:rPr>
              <w:t>December</w:t>
            </w:r>
            <w:r w:rsidR="74CD4901" w:rsidRPr="4D27054C">
              <w:rPr>
                <w:color w:val="000000" w:themeColor="text1"/>
                <w:sz w:val="20"/>
                <w:szCs w:val="20"/>
              </w:rPr>
              <w:t xml:space="preserve"> 2021</w:t>
            </w:r>
          </w:p>
        </w:tc>
      </w:tr>
      <w:tr w:rsidR="000C0691" w:rsidRPr="006B44CD" w14:paraId="0AD446EB" w14:textId="77777777" w:rsidTr="00B56B9A">
        <w:tc>
          <w:tcPr>
            <w:tcW w:w="6374" w:type="dxa"/>
          </w:tcPr>
          <w:p w14:paraId="361C60B9" w14:textId="71B12D37" w:rsidR="000C0691" w:rsidRPr="006B44CD" w:rsidRDefault="6CBFCC4B" w:rsidP="4D27054C">
            <w:pPr>
              <w:rPr>
                <w:sz w:val="20"/>
                <w:szCs w:val="20"/>
              </w:rPr>
            </w:pPr>
            <w:r w:rsidRPr="4D27054C">
              <w:rPr>
                <w:sz w:val="20"/>
                <w:szCs w:val="20"/>
              </w:rPr>
              <w:t xml:space="preserve">Final inception report </w:t>
            </w:r>
          </w:p>
        </w:tc>
        <w:tc>
          <w:tcPr>
            <w:tcW w:w="3095" w:type="dxa"/>
          </w:tcPr>
          <w:p w14:paraId="79B75F69" w14:textId="5614C91A" w:rsidR="000C0691" w:rsidRPr="006B44CD" w:rsidRDefault="0F1A7B15" w:rsidP="4D27054C">
            <w:pPr>
              <w:rPr>
                <w:color w:val="000000" w:themeColor="text1"/>
                <w:sz w:val="20"/>
                <w:szCs w:val="20"/>
              </w:rPr>
            </w:pPr>
            <w:r w:rsidRPr="4D27054C">
              <w:rPr>
                <w:color w:val="000000" w:themeColor="text1"/>
                <w:sz w:val="20"/>
                <w:szCs w:val="20"/>
              </w:rPr>
              <w:t>Mid-February 2022</w:t>
            </w:r>
          </w:p>
        </w:tc>
      </w:tr>
      <w:tr w:rsidR="050676BD" w:rsidRPr="006B44CD" w14:paraId="7B5A41B0" w14:textId="77777777" w:rsidTr="00B56B9A">
        <w:tc>
          <w:tcPr>
            <w:tcW w:w="6374" w:type="dxa"/>
            <w:shd w:val="clear" w:color="auto" w:fill="B4C6E7" w:themeFill="accent1" w:themeFillTint="66"/>
          </w:tcPr>
          <w:p w14:paraId="652A61AA" w14:textId="25CB42C0" w:rsidR="73B332F2" w:rsidRPr="006B44CD" w:rsidRDefault="62B957CF" w:rsidP="4D27054C">
            <w:pPr>
              <w:rPr>
                <w:b/>
                <w:bCs/>
                <w:sz w:val="20"/>
                <w:szCs w:val="20"/>
              </w:rPr>
            </w:pPr>
            <w:r w:rsidRPr="4D27054C">
              <w:rPr>
                <w:b/>
                <w:bCs/>
                <w:sz w:val="20"/>
                <w:szCs w:val="20"/>
              </w:rPr>
              <w:t>Data collection phase</w:t>
            </w:r>
          </w:p>
        </w:tc>
        <w:tc>
          <w:tcPr>
            <w:tcW w:w="3095" w:type="dxa"/>
            <w:shd w:val="clear" w:color="auto" w:fill="B4C6E7" w:themeFill="accent1" w:themeFillTint="66"/>
          </w:tcPr>
          <w:p w14:paraId="14BD1A66" w14:textId="256F439C" w:rsidR="050676BD" w:rsidRPr="006B44CD" w:rsidRDefault="050676BD" w:rsidP="4D27054C">
            <w:pPr>
              <w:rPr>
                <w:color w:val="000000" w:themeColor="text1"/>
                <w:sz w:val="20"/>
                <w:szCs w:val="20"/>
              </w:rPr>
            </w:pPr>
          </w:p>
        </w:tc>
      </w:tr>
      <w:tr w:rsidR="050676BD" w:rsidRPr="006B44CD" w14:paraId="633BEED7" w14:textId="77777777" w:rsidTr="00B56B9A">
        <w:tc>
          <w:tcPr>
            <w:tcW w:w="6374" w:type="dxa"/>
          </w:tcPr>
          <w:p w14:paraId="6C25312C" w14:textId="590063A0" w:rsidR="73B332F2" w:rsidRPr="006B44CD" w:rsidRDefault="62B957CF" w:rsidP="4D27054C">
            <w:pPr>
              <w:rPr>
                <w:sz w:val="20"/>
                <w:szCs w:val="20"/>
              </w:rPr>
            </w:pPr>
            <w:r w:rsidRPr="4D27054C">
              <w:rPr>
                <w:sz w:val="20"/>
                <w:szCs w:val="20"/>
              </w:rPr>
              <w:t>Additional documents review and in-depth data collection</w:t>
            </w:r>
          </w:p>
          <w:p w14:paraId="459EBEAD" w14:textId="7ACAABF3" w:rsidR="050676BD" w:rsidRPr="006B44CD" w:rsidRDefault="050676BD" w:rsidP="4D27054C">
            <w:pPr>
              <w:rPr>
                <w:sz w:val="20"/>
                <w:szCs w:val="20"/>
              </w:rPr>
            </w:pPr>
          </w:p>
        </w:tc>
        <w:tc>
          <w:tcPr>
            <w:tcW w:w="3095" w:type="dxa"/>
          </w:tcPr>
          <w:p w14:paraId="3C1A2F7A" w14:textId="7AAD44CC" w:rsidR="050676BD" w:rsidRPr="006B44CD" w:rsidRDefault="45CD10CF" w:rsidP="4D27054C">
            <w:pPr>
              <w:rPr>
                <w:color w:val="000000" w:themeColor="text1"/>
                <w:sz w:val="20"/>
                <w:szCs w:val="20"/>
              </w:rPr>
            </w:pPr>
            <w:r w:rsidRPr="4D27054C">
              <w:rPr>
                <w:color w:val="000000" w:themeColor="text1"/>
                <w:sz w:val="20"/>
                <w:szCs w:val="20"/>
              </w:rPr>
              <w:t>March</w:t>
            </w:r>
            <w:r w:rsidR="0F1A7B15" w:rsidRPr="4D27054C">
              <w:rPr>
                <w:color w:val="000000" w:themeColor="text1"/>
                <w:sz w:val="20"/>
                <w:szCs w:val="20"/>
              </w:rPr>
              <w:t xml:space="preserve">- April </w:t>
            </w:r>
            <w:r w:rsidRPr="4D27054C">
              <w:rPr>
                <w:color w:val="000000" w:themeColor="text1"/>
                <w:sz w:val="20"/>
                <w:szCs w:val="20"/>
              </w:rPr>
              <w:t>2022**</w:t>
            </w:r>
          </w:p>
        </w:tc>
      </w:tr>
      <w:tr w:rsidR="050676BD" w:rsidRPr="006B44CD" w14:paraId="0C9BC017" w14:textId="77777777" w:rsidTr="00B56B9A">
        <w:tc>
          <w:tcPr>
            <w:tcW w:w="6374" w:type="dxa"/>
            <w:shd w:val="clear" w:color="auto" w:fill="B4C6E7" w:themeFill="accent1" w:themeFillTint="66"/>
          </w:tcPr>
          <w:p w14:paraId="2171B821" w14:textId="2B411217" w:rsidR="73B332F2" w:rsidRPr="006B44CD" w:rsidRDefault="62B957CF" w:rsidP="4D27054C">
            <w:pPr>
              <w:rPr>
                <w:b/>
                <w:bCs/>
                <w:sz w:val="20"/>
                <w:szCs w:val="20"/>
              </w:rPr>
            </w:pPr>
            <w:r w:rsidRPr="4D27054C">
              <w:rPr>
                <w:b/>
                <w:bCs/>
                <w:sz w:val="20"/>
                <w:szCs w:val="20"/>
              </w:rPr>
              <w:t>Analysis and reporting phase</w:t>
            </w:r>
          </w:p>
        </w:tc>
        <w:tc>
          <w:tcPr>
            <w:tcW w:w="3095" w:type="dxa"/>
            <w:shd w:val="clear" w:color="auto" w:fill="B4C6E7" w:themeFill="accent1" w:themeFillTint="66"/>
          </w:tcPr>
          <w:p w14:paraId="00C4E51E" w14:textId="23CD08AA" w:rsidR="050676BD" w:rsidRPr="006B44CD" w:rsidRDefault="050676BD" w:rsidP="4D27054C">
            <w:pPr>
              <w:rPr>
                <w:color w:val="000000" w:themeColor="text1"/>
                <w:sz w:val="20"/>
                <w:szCs w:val="20"/>
              </w:rPr>
            </w:pPr>
          </w:p>
        </w:tc>
      </w:tr>
      <w:tr w:rsidR="050676BD" w:rsidRPr="006B44CD" w14:paraId="712E54A8" w14:textId="77777777" w:rsidTr="00B56B9A">
        <w:tc>
          <w:tcPr>
            <w:tcW w:w="6374" w:type="dxa"/>
          </w:tcPr>
          <w:p w14:paraId="60563940" w14:textId="7378C5EC" w:rsidR="73B332F2" w:rsidRPr="006B44CD" w:rsidRDefault="2856B09D" w:rsidP="4D27054C">
            <w:pPr>
              <w:rPr>
                <w:sz w:val="20"/>
                <w:szCs w:val="20"/>
              </w:rPr>
            </w:pPr>
            <w:r w:rsidRPr="19C26BB9">
              <w:rPr>
                <w:sz w:val="20"/>
                <w:szCs w:val="20"/>
              </w:rPr>
              <w:t>Presentation of preliminary findings to</w:t>
            </w:r>
            <w:r w:rsidR="49E0B5A9" w:rsidRPr="19C26BB9">
              <w:rPr>
                <w:sz w:val="20"/>
                <w:szCs w:val="20"/>
              </w:rPr>
              <w:t xml:space="preserve"> the ERG </w:t>
            </w:r>
          </w:p>
        </w:tc>
        <w:tc>
          <w:tcPr>
            <w:tcW w:w="3095" w:type="dxa"/>
          </w:tcPr>
          <w:p w14:paraId="1A754A2C" w14:textId="051CD655" w:rsidR="050676BD" w:rsidRPr="006B44CD" w:rsidRDefault="0F1A7B15" w:rsidP="4D27054C">
            <w:pPr>
              <w:rPr>
                <w:color w:val="000000" w:themeColor="text1"/>
                <w:sz w:val="20"/>
                <w:szCs w:val="20"/>
              </w:rPr>
            </w:pPr>
            <w:r w:rsidRPr="4D27054C">
              <w:rPr>
                <w:color w:val="000000" w:themeColor="text1"/>
                <w:sz w:val="20"/>
                <w:szCs w:val="20"/>
              </w:rPr>
              <w:t xml:space="preserve">First week of May </w:t>
            </w:r>
            <w:r w:rsidR="37442BDE" w:rsidRPr="4D27054C">
              <w:rPr>
                <w:color w:val="000000" w:themeColor="text1"/>
                <w:sz w:val="20"/>
                <w:szCs w:val="20"/>
              </w:rPr>
              <w:t>2022</w:t>
            </w:r>
          </w:p>
        </w:tc>
      </w:tr>
      <w:tr w:rsidR="050676BD" w:rsidRPr="006B44CD" w14:paraId="3166E0D6" w14:textId="77777777" w:rsidTr="00B56B9A">
        <w:tc>
          <w:tcPr>
            <w:tcW w:w="6374" w:type="dxa"/>
          </w:tcPr>
          <w:p w14:paraId="49145111" w14:textId="722DFB7A" w:rsidR="73B332F2" w:rsidRPr="006B44CD" w:rsidRDefault="62B957CF" w:rsidP="4D27054C">
            <w:pPr>
              <w:rPr>
                <w:sz w:val="20"/>
                <w:szCs w:val="20"/>
              </w:rPr>
            </w:pPr>
            <w:r w:rsidRPr="4D27054C">
              <w:rPr>
                <w:sz w:val="20"/>
                <w:szCs w:val="20"/>
              </w:rPr>
              <w:t xml:space="preserve">Draft report </w:t>
            </w:r>
          </w:p>
        </w:tc>
        <w:tc>
          <w:tcPr>
            <w:tcW w:w="3095" w:type="dxa"/>
          </w:tcPr>
          <w:p w14:paraId="7C8E1EC7" w14:textId="093DF63A" w:rsidR="050676BD" w:rsidRPr="006B44CD" w:rsidRDefault="0F1A7B15" w:rsidP="4D27054C">
            <w:pPr>
              <w:rPr>
                <w:color w:val="000000" w:themeColor="text1"/>
                <w:sz w:val="20"/>
                <w:szCs w:val="20"/>
              </w:rPr>
            </w:pPr>
            <w:r w:rsidRPr="4D27054C">
              <w:rPr>
                <w:color w:val="000000" w:themeColor="text1"/>
                <w:sz w:val="20"/>
                <w:szCs w:val="20"/>
              </w:rPr>
              <w:t xml:space="preserve">End of May </w:t>
            </w:r>
            <w:r w:rsidR="54DB1A7C" w:rsidRPr="4D27054C">
              <w:rPr>
                <w:color w:val="000000" w:themeColor="text1"/>
                <w:sz w:val="20"/>
                <w:szCs w:val="20"/>
              </w:rPr>
              <w:t>2022</w:t>
            </w:r>
          </w:p>
        </w:tc>
      </w:tr>
      <w:tr w:rsidR="050676BD" w:rsidRPr="006B44CD" w14:paraId="147303A8" w14:textId="77777777" w:rsidTr="00B56B9A">
        <w:tc>
          <w:tcPr>
            <w:tcW w:w="6374" w:type="dxa"/>
          </w:tcPr>
          <w:p w14:paraId="250868F3" w14:textId="7A75A102" w:rsidR="73B332F2" w:rsidRPr="006B44CD" w:rsidRDefault="62B957CF" w:rsidP="4D27054C">
            <w:pPr>
              <w:rPr>
                <w:sz w:val="20"/>
                <w:szCs w:val="20"/>
              </w:rPr>
            </w:pPr>
            <w:r w:rsidRPr="4D27054C">
              <w:rPr>
                <w:sz w:val="20"/>
                <w:szCs w:val="20"/>
              </w:rPr>
              <w:t>Final report</w:t>
            </w:r>
          </w:p>
        </w:tc>
        <w:tc>
          <w:tcPr>
            <w:tcW w:w="3095" w:type="dxa"/>
          </w:tcPr>
          <w:p w14:paraId="7F2B2A88" w14:textId="491A23EF" w:rsidR="050676BD" w:rsidRPr="006B44CD" w:rsidRDefault="02073203" w:rsidP="4D27054C">
            <w:pPr>
              <w:rPr>
                <w:color w:val="000000" w:themeColor="text1"/>
                <w:sz w:val="20"/>
                <w:szCs w:val="20"/>
              </w:rPr>
            </w:pPr>
            <w:r w:rsidRPr="4D27054C">
              <w:rPr>
                <w:color w:val="000000" w:themeColor="text1"/>
                <w:sz w:val="20"/>
                <w:szCs w:val="20"/>
              </w:rPr>
              <w:t xml:space="preserve">End of June 2022 </w:t>
            </w:r>
          </w:p>
        </w:tc>
      </w:tr>
      <w:tr w:rsidR="050676BD" w:rsidRPr="006B44CD" w14:paraId="300482A9" w14:textId="77777777" w:rsidTr="00B56B9A">
        <w:tc>
          <w:tcPr>
            <w:tcW w:w="6374" w:type="dxa"/>
          </w:tcPr>
          <w:p w14:paraId="630C0E04" w14:textId="70AF9D27" w:rsidR="7AFE8B08" w:rsidRPr="006B44CD" w:rsidRDefault="3A223BD7" w:rsidP="4D27054C">
            <w:pPr>
              <w:rPr>
                <w:sz w:val="20"/>
                <w:szCs w:val="20"/>
              </w:rPr>
            </w:pPr>
            <w:r w:rsidRPr="4D27054C">
              <w:rPr>
                <w:sz w:val="20"/>
                <w:szCs w:val="20"/>
              </w:rPr>
              <w:t>E</w:t>
            </w:r>
            <w:r w:rsidR="5057D089" w:rsidRPr="4D27054C">
              <w:rPr>
                <w:sz w:val="20"/>
                <w:szCs w:val="20"/>
              </w:rPr>
              <w:t>valuation communication products (brief PPT, two-pager)</w:t>
            </w:r>
          </w:p>
          <w:p w14:paraId="484E0DE4" w14:textId="31AA5522" w:rsidR="73B332F2" w:rsidRPr="006B44CD" w:rsidRDefault="62B957CF" w:rsidP="4D27054C">
            <w:pPr>
              <w:rPr>
                <w:sz w:val="20"/>
                <w:szCs w:val="20"/>
              </w:rPr>
            </w:pPr>
            <w:r w:rsidRPr="4D27054C">
              <w:rPr>
                <w:sz w:val="20"/>
                <w:szCs w:val="20"/>
              </w:rPr>
              <w:t>Final presentation of the evaluation</w:t>
            </w:r>
          </w:p>
        </w:tc>
        <w:tc>
          <w:tcPr>
            <w:tcW w:w="3095" w:type="dxa"/>
          </w:tcPr>
          <w:p w14:paraId="435833A1" w14:textId="4E8BA798" w:rsidR="050676BD" w:rsidRPr="006B44CD" w:rsidRDefault="765F2D90" w:rsidP="4D27054C">
            <w:pPr>
              <w:rPr>
                <w:color w:val="000000" w:themeColor="text1"/>
                <w:sz w:val="20"/>
                <w:szCs w:val="20"/>
              </w:rPr>
            </w:pPr>
            <w:r w:rsidRPr="4D27054C">
              <w:rPr>
                <w:color w:val="000000" w:themeColor="text1"/>
                <w:sz w:val="20"/>
                <w:szCs w:val="20"/>
              </w:rPr>
              <w:t xml:space="preserve">June 2022 </w:t>
            </w:r>
          </w:p>
        </w:tc>
      </w:tr>
    </w:tbl>
    <w:p w14:paraId="2C2C8CB8" w14:textId="6B346268" w:rsidR="7D5DEFD9" w:rsidRPr="006B44CD" w:rsidRDefault="7D5DEFD9" w:rsidP="050676BD">
      <w:pPr>
        <w:rPr>
          <w:rFonts w:eastAsia="Calibri"/>
          <w:color w:val="000000" w:themeColor="text1"/>
        </w:rPr>
      </w:pPr>
    </w:p>
    <w:p w14:paraId="15156B65" w14:textId="3C569142" w:rsidR="00851013" w:rsidRPr="006B44CD" w:rsidRDefault="42FE05D6" w:rsidP="4D27054C">
      <w:pPr>
        <w:rPr>
          <w:color w:val="000000" w:themeColor="text1"/>
        </w:rPr>
      </w:pPr>
      <w:r w:rsidRPr="4D27054C">
        <w:rPr>
          <w:rFonts w:eastAsia="Calibri"/>
          <w:color w:val="000000" w:themeColor="text1"/>
        </w:rPr>
        <w:lastRenderedPageBreak/>
        <w:t xml:space="preserve">**The Evaluation team is keen to complete the interviews in March as April is the holy month of Ramadan and stakeholder availability will be limited. The evaluation team will primarily focus on document reviews and desk analysis in the month of April. </w:t>
      </w:r>
    </w:p>
    <w:p w14:paraId="6043D2FD" w14:textId="63D43BBF" w:rsidR="00851013" w:rsidRPr="006B44CD" w:rsidRDefault="00851013" w:rsidP="4D27054C">
      <w:pPr>
        <w:rPr>
          <w:color w:val="000000" w:themeColor="text1"/>
        </w:rPr>
      </w:pPr>
    </w:p>
    <w:p w14:paraId="40E61FD9" w14:textId="0A76D83F" w:rsidR="3F46226D" w:rsidRPr="00851013" w:rsidRDefault="483DFCC9" w:rsidP="00354F87">
      <w:pPr>
        <w:pStyle w:val="Heading1"/>
        <w:numPr>
          <w:ilvl w:val="0"/>
          <w:numId w:val="34"/>
        </w:numPr>
        <w:rPr>
          <w:rFonts w:ascii="Times New Roman" w:eastAsia="Times New Roman" w:hAnsi="Times New Roman" w:cs="Times New Roman"/>
          <w:b/>
          <w:bCs/>
          <w:sz w:val="24"/>
          <w:szCs w:val="24"/>
          <w:lang w:val="en-GB"/>
        </w:rPr>
      </w:pPr>
      <w:bookmarkStart w:id="53" w:name="_Toc97453940"/>
      <w:r w:rsidRPr="5DC39AF9">
        <w:rPr>
          <w:rFonts w:ascii="Times New Roman" w:eastAsia="Times New Roman" w:hAnsi="Times New Roman" w:cs="Times New Roman"/>
          <w:b/>
          <w:bCs/>
          <w:sz w:val="24"/>
          <w:szCs w:val="24"/>
        </w:rPr>
        <w:t>Risks and Challenges</w:t>
      </w:r>
      <w:bookmarkEnd w:id="53"/>
      <w:r w:rsidRPr="5DC39AF9">
        <w:rPr>
          <w:rFonts w:ascii="Times New Roman" w:eastAsia="Times New Roman" w:hAnsi="Times New Roman" w:cs="Times New Roman"/>
          <w:b/>
          <w:bCs/>
          <w:sz w:val="24"/>
          <w:szCs w:val="24"/>
          <w:lang w:val="en-GB"/>
        </w:rPr>
        <w:t xml:space="preserve"> </w:t>
      </w:r>
    </w:p>
    <w:p w14:paraId="59C54A75" w14:textId="16B062F7" w:rsidR="3F46226D" w:rsidRDefault="41BB5BDF" w:rsidP="20C304C7">
      <w:pPr>
        <w:rPr>
          <w:color w:val="3B3B3C"/>
        </w:rPr>
      </w:pPr>
      <w:r>
        <w:t xml:space="preserve">Table </w:t>
      </w:r>
      <w:r w:rsidR="10AEB51C">
        <w:t xml:space="preserve">10 </w:t>
      </w:r>
      <w:r w:rsidRPr="4D27054C">
        <w:rPr>
          <w:color w:val="3B3B3C"/>
        </w:rPr>
        <w:t xml:space="preserve">below summarizes the potential risks that the evaluation may face as well as proposed solutions or mitigating measures. </w:t>
      </w:r>
    </w:p>
    <w:p w14:paraId="776F3AA5" w14:textId="12A7FF44" w:rsidR="00B32F7E" w:rsidRPr="00851013" w:rsidRDefault="3A042329" w:rsidP="20C304C7">
      <w:pPr>
        <w:rPr>
          <w:b/>
          <w:bCs/>
          <w:color w:val="3B3B3C"/>
          <w:sz w:val="16"/>
          <w:szCs w:val="16"/>
        </w:rPr>
      </w:pPr>
      <w:r w:rsidRPr="5DC39AF9">
        <w:rPr>
          <w:b/>
          <w:bCs/>
          <w:color w:val="3B3B3C"/>
          <w:sz w:val="16"/>
          <w:szCs w:val="16"/>
        </w:rPr>
        <w:t xml:space="preserve">Table 9: Evaluation risks and mitigation measures </w:t>
      </w:r>
    </w:p>
    <w:p w14:paraId="1090263A" w14:textId="78614390" w:rsidR="000C0691" w:rsidRPr="00851013" w:rsidRDefault="000C0691" w:rsidP="20C304C7">
      <w:pPr>
        <w:rPr>
          <w:b/>
          <w:bCs/>
          <w:color w:val="3B3B3C"/>
          <w:sz w:val="16"/>
          <w:szCs w:val="16"/>
        </w:rPr>
      </w:pPr>
      <w:r w:rsidRPr="00851013">
        <w:rPr>
          <w:b/>
          <w:bCs/>
          <w:color w:val="3B3B3C"/>
          <w:sz w:val="16"/>
          <w:szCs w:val="16"/>
        </w:rPr>
        <w:t xml:space="preserve">L: Low; M: Medium; H: High </w:t>
      </w:r>
    </w:p>
    <w:tbl>
      <w:tblPr>
        <w:tblW w:w="10480" w:type="dxa"/>
        <w:tblLayout w:type="fixed"/>
        <w:tblLook w:val="06A0" w:firstRow="1" w:lastRow="0" w:firstColumn="1" w:lastColumn="0" w:noHBand="1" w:noVBand="1"/>
      </w:tblPr>
      <w:tblGrid>
        <w:gridCol w:w="2684"/>
        <w:gridCol w:w="992"/>
        <w:gridCol w:w="6804"/>
      </w:tblGrid>
      <w:tr w:rsidR="20C304C7" w:rsidRPr="005D413A" w14:paraId="197DE394" w14:textId="77777777" w:rsidTr="002E78FA">
        <w:trPr>
          <w:trHeight w:val="300"/>
        </w:trPr>
        <w:tc>
          <w:tcPr>
            <w:tcW w:w="2684" w:type="dxa"/>
            <w:tcBorders>
              <w:top w:val="single" w:sz="8" w:space="0" w:color="auto"/>
              <w:left w:val="single" w:sz="8" w:space="0" w:color="auto"/>
              <w:bottom w:val="single" w:sz="8" w:space="0" w:color="auto"/>
              <w:right w:val="single" w:sz="8" w:space="0" w:color="FFFFFF" w:themeColor="background1"/>
            </w:tcBorders>
            <w:shd w:val="clear" w:color="auto" w:fill="0070C0"/>
          </w:tcPr>
          <w:p w14:paraId="2F36BCD7" w14:textId="43FCB459" w:rsidR="20C304C7" w:rsidRPr="005D413A" w:rsidRDefault="20C304C7">
            <w:pPr>
              <w:rPr>
                <w:sz w:val="16"/>
                <w:szCs w:val="16"/>
              </w:rPr>
            </w:pPr>
            <w:r w:rsidRPr="005D413A">
              <w:rPr>
                <w:rFonts w:eastAsia="Calibri"/>
                <w:color w:val="FFFFFF" w:themeColor="background1"/>
                <w:sz w:val="16"/>
                <w:szCs w:val="16"/>
              </w:rPr>
              <w:t xml:space="preserve">Potential Challenge  </w:t>
            </w:r>
          </w:p>
        </w:tc>
        <w:tc>
          <w:tcPr>
            <w:tcW w:w="992"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70C0"/>
          </w:tcPr>
          <w:p w14:paraId="1FB224E3" w14:textId="4FB6CF95" w:rsidR="20C304C7" w:rsidRPr="005D413A" w:rsidRDefault="20C304C7">
            <w:pPr>
              <w:rPr>
                <w:sz w:val="16"/>
                <w:szCs w:val="16"/>
              </w:rPr>
            </w:pPr>
            <w:r w:rsidRPr="005D413A">
              <w:rPr>
                <w:rFonts w:eastAsia="Calibri"/>
                <w:color w:val="FFFFFF" w:themeColor="background1"/>
                <w:sz w:val="16"/>
                <w:szCs w:val="16"/>
              </w:rPr>
              <w:t xml:space="preserve">Risk  </w:t>
            </w:r>
          </w:p>
        </w:tc>
        <w:tc>
          <w:tcPr>
            <w:tcW w:w="6804" w:type="dxa"/>
            <w:tcBorders>
              <w:top w:val="single" w:sz="8" w:space="0" w:color="auto"/>
              <w:left w:val="single" w:sz="8" w:space="0" w:color="FFFFFF" w:themeColor="background1"/>
              <w:bottom w:val="single" w:sz="8" w:space="0" w:color="auto"/>
              <w:right w:val="single" w:sz="8" w:space="0" w:color="FFFFFF" w:themeColor="background1"/>
            </w:tcBorders>
            <w:shd w:val="clear" w:color="auto" w:fill="0070C0"/>
          </w:tcPr>
          <w:p w14:paraId="6DC5D67C" w14:textId="3CADDBBD" w:rsidR="20C304C7" w:rsidRPr="005D413A" w:rsidRDefault="20C304C7">
            <w:pPr>
              <w:rPr>
                <w:sz w:val="16"/>
                <w:szCs w:val="16"/>
              </w:rPr>
            </w:pPr>
            <w:r w:rsidRPr="005D413A">
              <w:rPr>
                <w:rFonts w:eastAsia="Calibri"/>
                <w:color w:val="FFFFFF" w:themeColor="background1"/>
                <w:sz w:val="16"/>
                <w:szCs w:val="16"/>
              </w:rPr>
              <w:t xml:space="preserve">Proposed solution/Mitigating measures </w:t>
            </w:r>
          </w:p>
        </w:tc>
      </w:tr>
      <w:tr w:rsidR="20C304C7" w:rsidRPr="005D413A" w14:paraId="71BD7163" w14:textId="77777777" w:rsidTr="002E78FA">
        <w:trPr>
          <w:trHeight w:val="583"/>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E807F53" w14:textId="2E98967B" w:rsidR="20C304C7" w:rsidRPr="005D413A" w:rsidRDefault="20C304C7">
            <w:pPr>
              <w:rPr>
                <w:sz w:val="16"/>
                <w:szCs w:val="16"/>
              </w:rPr>
            </w:pPr>
            <w:r w:rsidRPr="005D413A">
              <w:rPr>
                <w:rFonts w:eastAsia="Calibri"/>
                <w:color w:val="3B3B3C"/>
                <w:sz w:val="16"/>
                <w:szCs w:val="16"/>
              </w:rPr>
              <w:t xml:space="preserve">Disruption to project timelines due to COVID-19 </w:t>
            </w:r>
          </w:p>
        </w:tc>
        <w:tc>
          <w:tcPr>
            <w:tcW w:w="992" w:type="dxa"/>
            <w:tcBorders>
              <w:top w:val="single" w:sz="8" w:space="0" w:color="auto"/>
              <w:left w:val="single" w:sz="8" w:space="0" w:color="auto"/>
              <w:bottom w:val="single" w:sz="8" w:space="0" w:color="auto"/>
              <w:right w:val="single" w:sz="8" w:space="0" w:color="auto"/>
            </w:tcBorders>
          </w:tcPr>
          <w:p w14:paraId="5B5D7917" w14:textId="6208769E" w:rsidR="20C304C7" w:rsidRPr="005D413A" w:rsidRDefault="20C304C7" w:rsidP="20C304C7">
            <w:pPr>
              <w:jc w:val="center"/>
              <w:rPr>
                <w:sz w:val="16"/>
                <w:szCs w:val="16"/>
              </w:rPr>
            </w:pPr>
            <w:r w:rsidRPr="005D413A">
              <w:rPr>
                <w:rFonts w:eastAsia="Calibri"/>
                <w:color w:val="3B3B3C"/>
                <w:sz w:val="16"/>
                <w:szCs w:val="16"/>
              </w:rPr>
              <w:t xml:space="preserve">M </w:t>
            </w:r>
          </w:p>
        </w:tc>
        <w:tc>
          <w:tcPr>
            <w:tcW w:w="6804" w:type="dxa"/>
            <w:tcBorders>
              <w:top w:val="single" w:sz="8" w:space="0" w:color="auto"/>
              <w:left w:val="single" w:sz="8" w:space="0" w:color="auto"/>
              <w:bottom w:val="single" w:sz="8" w:space="0" w:color="auto"/>
              <w:right w:val="single" w:sz="8" w:space="0" w:color="auto"/>
            </w:tcBorders>
          </w:tcPr>
          <w:p w14:paraId="435855BA" w14:textId="7025DCFF" w:rsidR="20C304C7" w:rsidRPr="0075623C" w:rsidRDefault="20C304C7" w:rsidP="0075623C">
            <w:pPr>
              <w:pStyle w:val="ListParagraph"/>
              <w:numPr>
                <w:ilvl w:val="0"/>
                <w:numId w:val="36"/>
              </w:numPr>
              <w:rPr>
                <w:rFonts w:ascii="Times New Roman" w:hAnsi="Times New Roman" w:cs="Times New Roman"/>
                <w:sz w:val="16"/>
                <w:szCs w:val="16"/>
              </w:rPr>
            </w:pPr>
            <w:r w:rsidRPr="0075623C">
              <w:rPr>
                <w:rFonts w:ascii="Times New Roman" w:eastAsia="Symbol" w:hAnsi="Times New Roman" w:cs="Times New Roman"/>
                <w:color w:val="3B3B3C"/>
                <w:sz w:val="16"/>
                <w:szCs w:val="16"/>
              </w:rPr>
              <w:t>·</w:t>
            </w:r>
            <w:r w:rsidRPr="0075623C">
              <w:rPr>
                <w:rFonts w:ascii="Times New Roman" w:eastAsia="Times New Roman" w:hAnsi="Times New Roman" w:cs="Times New Roman"/>
                <w:color w:val="3B3B3C"/>
                <w:sz w:val="16"/>
                <w:szCs w:val="16"/>
              </w:rPr>
              <w:t xml:space="preserve">                </w:t>
            </w:r>
            <w:r w:rsidRPr="0075623C">
              <w:rPr>
                <w:rFonts w:ascii="Times New Roman" w:eastAsia="Calibri" w:hAnsi="Times New Roman" w:cs="Times New Roman"/>
                <w:color w:val="3B3B3C"/>
                <w:sz w:val="16"/>
                <w:szCs w:val="16"/>
              </w:rPr>
              <w:t xml:space="preserve">Use of remote data collection aimed at minimising the potential </w:t>
            </w:r>
            <w:r w:rsidR="00C13B48" w:rsidRPr="0075623C">
              <w:rPr>
                <w:rFonts w:ascii="Times New Roman" w:eastAsia="Calibri" w:hAnsi="Times New Roman" w:cs="Times New Roman"/>
                <w:color w:val="3B3B3C"/>
                <w:sz w:val="16"/>
                <w:szCs w:val="16"/>
              </w:rPr>
              <w:t>of</w:t>
            </w:r>
            <w:r w:rsidRPr="0075623C">
              <w:rPr>
                <w:rFonts w:ascii="Times New Roman" w:eastAsia="Calibri" w:hAnsi="Times New Roman" w:cs="Times New Roman"/>
                <w:color w:val="3B3B3C"/>
                <w:sz w:val="16"/>
                <w:szCs w:val="16"/>
              </w:rPr>
              <w:t xml:space="preserve"> COVID-19-related disruption </w:t>
            </w:r>
          </w:p>
        </w:tc>
      </w:tr>
      <w:tr w:rsidR="20C304C7" w:rsidRPr="005D413A" w14:paraId="69893102" w14:textId="77777777" w:rsidTr="002E78FA">
        <w:trPr>
          <w:trHeight w:val="1377"/>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CB5A89C" w14:textId="6B5C172B" w:rsidR="20C304C7" w:rsidRPr="005D413A" w:rsidRDefault="20C304C7">
            <w:pPr>
              <w:rPr>
                <w:sz w:val="16"/>
                <w:szCs w:val="16"/>
              </w:rPr>
            </w:pPr>
            <w:r w:rsidRPr="005D413A">
              <w:rPr>
                <w:rFonts w:eastAsia="Calibri"/>
                <w:color w:val="3B3B3C"/>
                <w:sz w:val="16"/>
                <w:szCs w:val="16"/>
              </w:rPr>
              <w:t xml:space="preserve">FGDs cause health risks due to COVID-19  </w:t>
            </w:r>
          </w:p>
        </w:tc>
        <w:tc>
          <w:tcPr>
            <w:tcW w:w="992" w:type="dxa"/>
            <w:tcBorders>
              <w:top w:val="single" w:sz="8" w:space="0" w:color="auto"/>
              <w:left w:val="single" w:sz="8" w:space="0" w:color="auto"/>
              <w:bottom w:val="single" w:sz="8" w:space="0" w:color="auto"/>
              <w:right w:val="single" w:sz="8" w:space="0" w:color="auto"/>
            </w:tcBorders>
          </w:tcPr>
          <w:p w14:paraId="44E648A5" w14:textId="3C951A73" w:rsidR="20C304C7" w:rsidRPr="005D413A" w:rsidRDefault="20C304C7" w:rsidP="20C304C7">
            <w:pPr>
              <w:jc w:val="center"/>
              <w:rPr>
                <w:sz w:val="16"/>
                <w:szCs w:val="16"/>
              </w:rPr>
            </w:pPr>
            <w:r w:rsidRPr="005D413A">
              <w:rPr>
                <w:rFonts w:eastAsia="Calibri"/>
                <w:color w:val="3B3B3C"/>
                <w:sz w:val="16"/>
                <w:szCs w:val="16"/>
              </w:rPr>
              <w:t xml:space="preserve">H </w:t>
            </w:r>
          </w:p>
        </w:tc>
        <w:tc>
          <w:tcPr>
            <w:tcW w:w="6804" w:type="dxa"/>
            <w:tcBorders>
              <w:top w:val="single" w:sz="8" w:space="0" w:color="auto"/>
              <w:left w:val="single" w:sz="8" w:space="0" w:color="auto"/>
              <w:bottom w:val="single" w:sz="8" w:space="0" w:color="auto"/>
              <w:right w:val="single" w:sz="8" w:space="0" w:color="auto"/>
            </w:tcBorders>
          </w:tcPr>
          <w:p w14:paraId="56B25B25" w14:textId="2298A191" w:rsidR="00C13B48" w:rsidRPr="005D413A" w:rsidRDefault="00C13B48" w:rsidP="00C13B48">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Conduct KIIs by telephone/ on-line if in person data collection not possible</w:t>
            </w:r>
          </w:p>
          <w:p w14:paraId="74E3036E" w14:textId="38314F0C" w:rsidR="20C304C7" w:rsidRPr="005D413A" w:rsidRDefault="20C304C7" w:rsidP="00DA41CC">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 xml:space="preserve">Hold all FGDS and KIIs outdoors </w:t>
            </w:r>
          </w:p>
          <w:p w14:paraId="3B02F3F0" w14:textId="592D2A5A" w:rsidR="20C304C7" w:rsidRPr="005D413A" w:rsidRDefault="20C304C7" w:rsidP="00DA41CC">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Follow Covid protocols regarding social distancing, mask, limited number of participants in the FGDs</w:t>
            </w:r>
          </w:p>
          <w:p w14:paraId="5316A335" w14:textId="2A78956D" w:rsidR="20C304C7" w:rsidRPr="005D413A" w:rsidRDefault="20C304C7" w:rsidP="005D413A">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 xml:space="preserve">Request participants do not attend if they have symptoms of C-19; checking this at invitation and on arrival at FGD </w:t>
            </w:r>
          </w:p>
        </w:tc>
      </w:tr>
      <w:tr w:rsidR="20C304C7" w:rsidRPr="005D413A" w14:paraId="6E8D43ED" w14:textId="77777777" w:rsidTr="002E78FA">
        <w:trPr>
          <w:trHeight w:val="975"/>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06EDDD9D" w14:textId="4B102696" w:rsidR="20C304C7" w:rsidRPr="005D413A" w:rsidRDefault="20C304C7">
            <w:pPr>
              <w:rPr>
                <w:sz w:val="16"/>
                <w:szCs w:val="16"/>
              </w:rPr>
            </w:pPr>
            <w:r w:rsidRPr="005D413A">
              <w:rPr>
                <w:rFonts w:eastAsia="Calibri"/>
                <w:color w:val="3B3B3C"/>
                <w:sz w:val="16"/>
                <w:szCs w:val="16"/>
              </w:rPr>
              <w:t xml:space="preserve">Unavailability of key stakeholders </w:t>
            </w:r>
          </w:p>
        </w:tc>
        <w:tc>
          <w:tcPr>
            <w:tcW w:w="992" w:type="dxa"/>
            <w:tcBorders>
              <w:top w:val="single" w:sz="8" w:space="0" w:color="auto"/>
              <w:left w:val="single" w:sz="8" w:space="0" w:color="auto"/>
              <w:bottom w:val="single" w:sz="8" w:space="0" w:color="auto"/>
              <w:right w:val="single" w:sz="8" w:space="0" w:color="auto"/>
            </w:tcBorders>
          </w:tcPr>
          <w:p w14:paraId="60398D04" w14:textId="5BE96011" w:rsidR="20C304C7" w:rsidRPr="005D413A" w:rsidRDefault="20C304C7" w:rsidP="20C304C7">
            <w:pPr>
              <w:jc w:val="center"/>
              <w:rPr>
                <w:sz w:val="16"/>
                <w:szCs w:val="16"/>
              </w:rPr>
            </w:pPr>
            <w:r w:rsidRPr="005D413A">
              <w:rPr>
                <w:rFonts w:eastAsia="Calibri"/>
                <w:color w:val="3B3B3C"/>
                <w:sz w:val="16"/>
                <w:szCs w:val="16"/>
              </w:rPr>
              <w:t>M</w:t>
            </w:r>
          </w:p>
        </w:tc>
        <w:tc>
          <w:tcPr>
            <w:tcW w:w="6804" w:type="dxa"/>
            <w:tcBorders>
              <w:top w:val="single" w:sz="8" w:space="0" w:color="auto"/>
              <w:left w:val="single" w:sz="8" w:space="0" w:color="auto"/>
              <w:bottom w:val="single" w:sz="8" w:space="0" w:color="auto"/>
              <w:right w:val="single" w:sz="8" w:space="0" w:color="auto"/>
            </w:tcBorders>
          </w:tcPr>
          <w:p w14:paraId="0FB0BC72" w14:textId="3B2D2EC0" w:rsidR="20C304C7" w:rsidRPr="005D413A" w:rsidRDefault="20C304C7" w:rsidP="00DA41CC">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Ensure that introductory letters are sent to stakeholders as early as possible</w:t>
            </w:r>
          </w:p>
          <w:p w14:paraId="25F7C27F" w14:textId="77777777" w:rsidR="20C304C7" w:rsidRPr="005D413A" w:rsidRDefault="20C304C7" w:rsidP="00DA41CC">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 xml:space="preserve">Constant communication with the EMG and ERG for planning/scheduling interviews of key stakeholders at a convenient time </w:t>
            </w:r>
          </w:p>
          <w:p w14:paraId="6A61A00B" w14:textId="2CED58C1" w:rsidR="00C13B48" w:rsidRPr="005D413A" w:rsidRDefault="00C13B48" w:rsidP="00DA41CC">
            <w:pPr>
              <w:pStyle w:val="ListParagraph"/>
              <w:numPr>
                <w:ilvl w:val="0"/>
                <w:numId w:val="20"/>
              </w:numPr>
              <w:rPr>
                <w:rFonts w:ascii="Times New Roman" w:eastAsiaTheme="minorEastAsia" w:hAnsi="Times New Roman" w:cs="Times New Roman"/>
                <w:color w:val="3B3B3C"/>
                <w:sz w:val="16"/>
                <w:szCs w:val="16"/>
              </w:rPr>
            </w:pPr>
            <w:r w:rsidRPr="005D413A">
              <w:rPr>
                <w:rFonts w:ascii="Times New Roman" w:eastAsia="Calibri" w:hAnsi="Times New Roman" w:cs="Times New Roman"/>
                <w:color w:val="3B3B3C"/>
                <w:sz w:val="16"/>
                <w:szCs w:val="16"/>
              </w:rPr>
              <w:t>Follow up with stakeholders to ensure high response rate</w:t>
            </w:r>
          </w:p>
        </w:tc>
      </w:tr>
      <w:tr w:rsidR="20C304C7" w:rsidRPr="005D413A" w14:paraId="699C8097" w14:textId="77777777" w:rsidTr="002E78FA">
        <w:trPr>
          <w:trHeight w:val="675"/>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18C48906" w14:textId="46BC24F8" w:rsidR="20C304C7" w:rsidRPr="005D413A" w:rsidRDefault="20C304C7">
            <w:pPr>
              <w:rPr>
                <w:sz w:val="16"/>
                <w:szCs w:val="16"/>
              </w:rPr>
            </w:pPr>
            <w:r w:rsidRPr="005D413A">
              <w:rPr>
                <w:rFonts w:eastAsia="Calibri"/>
                <w:color w:val="3B3B3C"/>
                <w:sz w:val="16"/>
                <w:szCs w:val="16"/>
              </w:rPr>
              <w:t>Poor quality FGD data due to remote facilitation</w:t>
            </w:r>
          </w:p>
        </w:tc>
        <w:tc>
          <w:tcPr>
            <w:tcW w:w="992" w:type="dxa"/>
            <w:tcBorders>
              <w:top w:val="single" w:sz="8" w:space="0" w:color="auto"/>
              <w:left w:val="single" w:sz="8" w:space="0" w:color="auto"/>
              <w:bottom w:val="single" w:sz="8" w:space="0" w:color="auto"/>
              <w:right w:val="single" w:sz="8" w:space="0" w:color="auto"/>
            </w:tcBorders>
          </w:tcPr>
          <w:p w14:paraId="506565F7" w14:textId="361B1358" w:rsidR="20C304C7" w:rsidRPr="005D413A" w:rsidRDefault="20C304C7" w:rsidP="20C304C7">
            <w:pPr>
              <w:jc w:val="center"/>
              <w:rPr>
                <w:sz w:val="16"/>
                <w:szCs w:val="16"/>
              </w:rPr>
            </w:pPr>
            <w:r w:rsidRPr="005D413A">
              <w:rPr>
                <w:rFonts w:eastAsia="Calibri"/>
                <w:color w:val="3B3B3C"/>
                <w:sz w:val="16"/>
                <w:szCs w:val="16"/>
              </w:rPr>
              <w:t xml:space="preserve">M </w:t>
            </w:r>
          </w:p>
        </w:tc>
        <w:tc>
          <w:tcPr>
            <w:tcW w:w="6804" w:type="dxa"/>
            <w:tcBorders>
              <w:top w:val="single" w:sz="8" w:space="0" w:color="auto"/>
              <w:left w:val="single" w:sz="8" w:space="0" w:color="auto"/>
              <w:bottom w:val="single" w:sz="8" w:space="0" w:color="auto"/>
              <w:right w:val="single" w:sz="8" w:space="0" w:color="auto"/>
            </w:tcBorders>
          </w:tcPr>
          <w:p w14:paraId="5C172DE2" w14:textId="58553471"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 xml:space="preserve">Keep the question list very simple </w:t>
            </w:r>
          </w:p>
          <w:p w14:paraId="04439756" w14:textId="5C5297F2"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Plan to implement FGDs in person where Covid situation permits</w:t>
            </w:r>
          </w:p>
        </w:tc>
      </w:tr>
      <w:tr w:rsidR="20C304C7" w:rsidRPr="005D413A" w14:paraId="15DAB061" w14:textId="77777777" w:rsidTr="002E78FA">
        <w:trPr>
          <w:trHeight w:val="752"/>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4F26B5E0" w14:textId="146B1C90" w:rsidR="20C304C7" w:rsidRPr="005D413A" w:rsidRDefault="20C304C7">
            <w:pPr>
              <w:rPr>
                <w:sz w:val="16"/>
                <w:szCs w:val="16"/>
              </w:rPr>
            </w:pPr>
            <w:r w:rsidRPr="005D413A">
              <w:rPr>
                <w:rFonts w:eastAsia="Calibri"/>
                <w:color w:val="3B3B3C"/>
                <w:sz w:val="16"/>
                <w:szCs w:val="16"/>
              </w:rPr>
              <w:t>Declining interest and ownership of the stakeholders in the evaluation</w:t>
            </w:r>
          </w:p>
        </w:tc>
        <w:tc>
          <w:tcPr>
            <w:tcW w:w="992" w:type="dxa"/>
            <w:tcBorders>
              <w:top w:val="single" w:sz="8" w:space="0" w:color="auto"/>
              <w:left w:val="single" w:sz="8" w:space="0" w:color="auto"/>
              <w:bottom w:val="single" w:sz="8" w:space="0" w:color="auto"/>
              <w:right w:val="single" w:sz="8" w:space="0" w:color="auto"/>
            </w:tcBorders>
          </w:tcPr>
          <w:p w14:paraId="1F775B2F" w14:textId="6AB671A8" w:rsidR="20C304C7" w:rsidRPr="005D413A" w:rsidRDefault="20C304C7" w:rsidP="20C304C7">
            <w:pPr>
              <w:jc w:val="center"/>
              <w:rPr>
                <w:sz w:val="16"/>
                <w:szCs w:val="16"/>
              </w:rPr>
            </w:pPr>
            <w:r w:rsidRPr="005D413A">
              <w:rPr>
                <w:rFonts w:eastAsia="Calibri"/>
                <w:color w:val="3B3B3C"/>
                <w:sz w:val="16"/>
                <w:szCs w:val="16"/>
              </w:rPr>
              <w:t xml:space="preserve">M </w:t>
            </w:r>
          </w:p>
        </w:tc>
        <w:tc>
          <w:tcPr>
            <w:tcW w:w="6804" w:type="dxa"/>
            <w:tcBorders>
              <w:top w:val="single" w:sz="8" w:space="0" w:color="auto"/>
              <w:left w:val="single" w:sz="8" w:space="0" w:color="auto"/>
              <w:bottom w:val="single" w:sz="8" w:space="0" w:color="auto"/>
              <w:right w:val="single" w:sz="8" w:space="0" w:color="auto"/>
            </w:tcBorders>
          </w:tcPr>
          <w:p w14:paraId="21DDC9D5" w14:textId="1E388318"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 xml:space="preserve">Build in sufficient time for stakeholders to comment on draft reports </w:t>
            </w:r>
          </w:p>
          <w:p w14:paraId="65755CCC" w14:textId="3428D339"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 xml:space="preserve">Conduct early consultations around draft findings and recommendations to support with the delivery of a </w:t>
            </w:r>
            <w:r w:rsidR="00C13B48" w:rsidRPr="005D413A">
              <w:rPr>
                <w:rFonts w:eastAsia="Calibri"/>
                <w:color w:val="3B3B3C"/>
                <w:sz w:val="16"/>
                <w:szCs w:val="16"/>
              </w:rPr>
              <w:t>robust</w:t>
            </w:r>
            <w:r w:rsidRPr="005D413A">
              <w:rPr>
                <w:rFonts w:eastAsia="Calibri"/>
                <w:color w:val="3B3B3C"/>
                <w:sz w:val="16"/>
                <w:szCs w:val="16"/>
              </w:rPr>
              <w:t xml:space="preserve"> first draft of all deliverables </w:t>
            </w:r>
          </w:p>
        </w:tc>
      </w:tr>
      <w:tr w:rsidR="20C304C7" w:rsidRPr="005D413A" w14:paraId="0F1E3CE7" w14:textId="77777777" w:rsidTr="002E78FA">
        <w:trPr>
          <w:trHeight w:val="480"/>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ED910B3" w14:textId="096B72EB" w:rsidR="20C304C7" w:rsidRPr="005D413A" w:rsidRDefault="20C304C7">
            <w:pPr>
              <w:rPr>
                <w:sz w:val="16"/>
                <w:szCs w:val="16"/>
              </w:rPr>
            </w:pPr>
            <w:r w:rsidRPr="005D413A">
              <w:rPr>
                <w:rFonts w:eastAsia="Calibri"/>
                <w:color w:val="3B3B3C"/>
                <w:sz w:val="16"/>
                <w:szCs w:val="16"/>
              </w:rPr>
              <w:t xml:space="preserve">Data access and security challenges  </w:t>
            </w:r>
          </w:p>
        </w:tc>
        <w:tc>
          <w:tcPr>
            <w:tcW w:w="992" w:type="dxa"/>
            <w:tcBorders>
              <w:top w:val="single" w:sz="8" w:space="0" w:color="auto"/>
              <w:left w:val="single" w:sz="8" w:space="0" w:color="auto"/>
              <w:bottom w:val="single" w:sz="8" w:space="0" w:color="auto"/>
              <w:right w:val="single" w:sz="8" w:space="0" w:color="auto"/>
            </w:tcBorders>
          </w:tcPr>
          <w:p w14:paraId="0F34C338" w14:textId="0EC86382" w:rsidR="20C304C7" w:rsidRPr="005D413A" w:rsidRDefault="20C304C7" w:rsidP="20C304C7">
            <w:pPr>
              <w:jc w:val="center"/>
              <w:rPr>
                <w:sz w:val="16"/>
                <w:szCs w:val="16"/>
              </w:rPr>
            </w:pPr>
            <w:r w:rsidRPr="005D413A">
              <w:rPr>
                <w:rFonts w:eastAsia="Calibri"/>
                <w:color w:val="3B3B3C"/>
                <w:sz w:val="16"/>
                <w:szCs w:val="16"/>
              </w:rPr>
              <w:t xml:space="preserve">H </w:t>
            </w:r>
          </w:p>
        </w:tc>
        <w:tc>
          <w:tcPr>
            <w:tcW w:w="6804" w:type="dxa"/>
            <w:tcBorders>
              <w:top w:val="single" w:sz="8" w:space="0" w:color="auto"/>
              <w:left w:val="single" w:sz="8" w:space="0" w:color="auto"/>
              <w:bottom w:val="single" w:sz="8" w:space="0" w:color="auto"/>
              <w:right w:val="single" w:sz="8" w:space="0" w:color="auto"/>
            </w:tcBorders>
          </w:tcPr>
          <w:p w14:paraId="00392FCE" w14:textId="387949A3"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 xml:space="preserve">UN Women IES has established policies to ensure data protection and privacy </w:t>
            </w:r>
          </w:p>
        </w:tc>
      </w:tr>
      <w:tr w:rsidR="20C304C7" w:rsidRPr="005D413A" w14:paraId="116A1318" w14:textId="77777777" w:rsidTr="002E78FA">
        <w:trPr>
          <w:trHeight w:val="504"/>
        </w:trPr>
        <w:tc>
          <w:tcPr>
            <w:tcW w:w="268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83ED2BE" w14:textId="377849F5" w:rsidR="20C304C7" w:rsidRPr="005D413A" w:rsidRDefault="20C304C7">
            <w:pPr>
              <w:rPr>
                <w:sz w:val="16"/>
                <w:szCs w:val="16"/>
              </w:rPr>
            </w:pPr>
            <w:r w:rsidRPr="005D413A">
              <w:rPr>
                <w:rFonts w:eastAsia="Calibri"/>
                <w:color w:val="3B3B3C"/>
                <w:sz w:val="16"/>
                <w:szCs w:val="16"/>
              </w:rPr>
              <w:t xml:space="preserve">Potential for safeguarding risks and harm to evaluation participants  </w:t>
            </w:r>
          </w:p>
        </w:tc>
        <w:tc>
          <w:tcPr>
            <w:tcW w:w="992" w:type="dxa"/>
            <w:tcBorders>
              <w:top w:val="single" w:sz="8" w:space="0" w:color="auto"/>
              <w:left w:val="single" w:sz="8" w:space="0" w:color="auto"/>
              <w:bottom w:val="single" w:sz="8" w:space="0" w:color="auto"/>
              <w:right w:val="single" w:sz="8" w:space="0" w:color="auto"/>
            </w:tcBorders>
          </w:tcPr>
          <w:p w14:paraId="726559FB" w14:textId="14B6EEF8" w:rsidR="20C304C7" w:rsidRPr="005D413A" w:rsidRDefault="20C304C7" w:rsidP="20C304C7">
            <w:pPr>
              <w:jc w:val="center"/>
              <w:rPr>
                <w:sz w:val="16"/>
                <w:szCs w:val="16"/>
              </w:rPr>
            </w:pPr>
            <w:r w:rsidRPr="005D413A">
              <w:rPr>
                <w:rFonts w:eastAsia="Calibri"/>
                <w:color w:val="3B3B3C"/>
                <w:sz w:val="16"/>
                <w:szCs w:val="16"/>
              </w:rPr>
              <w:t>H</w:t>
            </w:r>
          </w:p>
        </w:tc>
        <w:tc>
          <w:tcPr>
            <w:tcW w:w="6804" w:type="dxa"/>
            <w:tcBorders>
              <w:top w:val="single" w:sz="8" w:space="0" w:color="auto"/>
              <w:left w:val="single" w:sz="8" w:space="0" w:color="auto"/>
              <w:bottom w:val="single" w:sz="8" w:space="0" w:color="auto"/>
              <w:right w:val="single" w:sz="8" w:space="0" w:color="auto"/>
            </w:tcBorders>
          </w:tcPr>
          <w:p w14:paraId="38CEE83B" w14:textId="12941315" w:rsidR="20C304C7" w:rsidRPr="005D413A" w:rsidRDefault="20C304C7">
            <w:pPr>
              <w:rPr>
                <w:sz w:val="16"/>
                <w:szCs w:val="16"/>
              </w:rPr>
            </w:pPr>
            <w:r w:rsidRPr="005D413A">
              <w:rPr>
                <w:rFonts w:eastAsia="Symbol"/>
                <w:color w:val="3B3B3C"/>
                <w:sz w:val="16"/>
                <w:szCs w:val="16"/>
              </w:rPr>
              <w:t>·</w:t>
            </w:r>
            <w:r w:rsidRPr="005D413A">
              <w:rPr>
                <w:color w:val="3B3B3C"/>
                <w:sz w:val="16"/>
                <w:szCs w:val="16"/>
              </w:rPr>
              <w:t xml:space="preserve">                </w:t>
            </w:r>
            <w:r w:rsidRPr="005D413A">
              <w:rPr>
                <w:rFonts w:eastAsia="Calibri"/>
                <w:color w:val="3B3B3C"/>
                <w:sz w:val="16"/>
                <w:szCs w:val="16"/>
              </w:rPr>
              <w:t xml:space="preserve">All UN Women staff are trained to report any and all allegations of abuse, harassment, exploitation or bullying </w:t>
            </w:r>
          </w:p>
        </w:tc>
      </w:tr>
    </w:tbl>
    <w:p w14:paraId="54D1F8CA" w14:textId="67FDEE71" w:rsidR="579C34A4" w:rsidRPr="000C5D54" w:rsidRDefault="3F46226D" w:rsidP="000C5D54">
      <w:r w:rsidRPr="006B44CD">
        <w:rPr>
          <w:rFonts w:eastAsia="Arial"/>
        </w:rPr>
        <w:t xml:space="preserve"> </w:t>
      </w:r>
    </w:p>
    <w:p w14:paraId="6BBE22D0" w14:textId="7079E613" w:rsidR="7D5DEFD9" w:rsidRPr="00851013" w:rsidRDefault="0A68E825" w:rsidP="00354F87">
      <w:pPr>
        <w:pStyle w:val="Heading1"/>
        <w:numPr>
          <w:ilvl w:val="0"/>
          <w:numId w:val="34"/>
        </w:numPr>
        <w:rPr>
          <w:rFonts w:ascii="Times New Roman" w:eastAsia="Times New Roman" w:hAnsi="Times New Roman" w:cs="Times New Roman"/>
          <w:b/>
          <w:bCs/>
          <w:color w:val="4472C4" w:themeColor="accent1"/>
          <w:sz w:val="24"/>
          <w:szCs w:val="24"/>
        </w:rPr>
      </w:pPr>
      <w:bookmarkStart w:id="54" w:name="_Toc97453941"/>
      <w:r w:rsidRPr="5DC39AF9">
        <w:rPr>
          <w:rFonts w:ascii="Times New Roman" w:eastAsia="Times New Roman" w:hAnsi="Times New Roman" w:cs="Times New Roman"/>
          <w:b/>
          <w:bCs/>
          <w:sz w:val="24"/>
          <w:szCs w:val="24"/>
        </w:rPr>
        <w:t xml:space="preserve">Ethical </w:t>
      </w:r>
      <w:r w:rsidR="21D58704" w:rsidRPr="5DC39AF9">
        <w:rPr>
          <w:rFonts w:ascii="Times New Roman" w:eastAsia="Times New Roman" w:hAnsi="Times New Roman" w:cs="Times New Roman"/>
          <w:b/>
          <w:bCs/>
          <w:sz w:val="24"/>
          <w:szCs w:val="24"/>
        </w:rPr>
        <w:t>Considerations</w:t>
      </w:r>
      <w:bookmarkEnd w:id="54"/>
      <w:r w:rsidRPr="5DC39AF9">
        <w:rPr>
          <w:rFonts w:ascii="Times New Roman" w:eastAsia="Times New Roman" w:hAnsi="Times New Roman" w:cs="Times New Roman"/>
          <w:b/>
          <w:bCs/>
          <w:sz w:val="24"/>
          <w:szCs w:val="24"/>
        </w:rPr>
        <w:t xml:space="preserve"> </w:t>
      </w:r>
    </w:p>
    <w:p w14:paraId="1293C61F" w14:textId="3853A17B" w:rsidR="76BCC05E" w:rsidRPr="006B44CD" w:rsidRDefault="58C25C5C" w:rsidP="050676BD">
      <w:pPr>
        <w:rPr>
          <w:color w:val="000000" w:themeColor="text1"/>
        </w:rPr>
      </w:pPr>
      <w:r w:rsidRPr="006B44CD">
        <w:rPr>
          <w:color w:val="000000" w:themeColor="text1"/>
        </w:rPr>
        <w:t xml:space="preserve">The evaluation will apply core UN Women evaluation principles to ensure it is conducted in a way that is responsive to gender equality and women’s rights and is in alignment with the United Nations Evaluation Group (UNEG) norms and standards, UNEG ethical guidelines and the handbook </w:t>
      </w:r>
      <w:r w:rsidRPr="006B44CD">
        <w:rPr>
          <w:i/>
          <w:iCs/>
          <w:color w:val="000000" w:themeColor="text1"/>
        </w:rPr>
        <w:t xml:space="preserve">Integrating Human Rights and Gender Equality in Evaluation: Towards UNEG Guidance. </w:t>
      </w:r>
    </w:p>
    <w:p w14:paraId="668F6798" w14:textId="05E41731" w:rsidR="76BCC05E" w:rsidRPr="006B44CD" w:rsidRDefault="58C25C5C" w:rsidP="050676BD">
      <w:pPr>
        <w:rPr>
          <w:color w:val="000000" w:themeColor="text1"/>
        </w:rPr>
      </w:pPr>
      <w:r w:rsidRPr="006B44CD">
        <w:rPr>
          <w:color w:val="000000" w:themeColor="text1"/>
        </w:rPr>
        <w:t xml:space="preserve"> </w:t>
      </w:r>
    </w:p>
    <w:p w14:paraId="167BF023" w14:textId="00641778" w:rsidR="76BCC05E" w:rsidRPr="006B44CD" w:rsidRDefault="58C25C5C" w:rsidP="050676BD">
      <w:pPr>
        <w:spacing w:after="120"/>
        <w:rPr>
          <w:color w:val="000000" w:themeColor="text1"/>
        </w:rPr>
      </w:pPr>
      <w:r w:rsidRPr="006B44CD">
        <w:rPr>
          <w:color w:val="000000" w:themeColor="text1"/>
        </w:rPr>
        <w:t xml:space="preserve">These core evaluation principles include: </w:t>
      </w:r>
    </w:p>
    <w:p w14:paraId="6EEC45BA" w14:textId="6A34F978"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fair power relations and empowerment;</w:t>
      </w:r>
    </w:p>
    <w:p w14:paraId="689CF77D" w14:textId="7B5FBC08"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independence and impartiality;</w:t>
      </w:r>
    </w:p>
    <w:p w14:paraId="555087A4" w14:textId="2287651D"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transparency;</w:t>
      </w:r>
    </w:p>
    <w:p w14:paraId="682AC88E" w14:textId="3D30F360"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quality and credibility;</w:t>
      </w:r>
    </w:p>
    <w:p w14:paraId="1ADB8DE1" w14:textId="7A9182DD"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 xml:space="preserve">intentionality and use of evaluation;  </w:t>
      </w:r>
    </w:p>
    <w:p w14:paraId="459AA887" w14:textId="5C88B967"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lastRenderedPageBreak/>
        <w:t>application of ethics practices to ensure confidentiality for and the safety of evaluation respondents and participants;</w:t>
      </w:r>
    </w:p>
    <w:p w14:paraId="44EF3836" w14:textId="5E7B10FF" w:rsidR="76BCC05E" w:rsidRPr="006B44CD" w:rsidRDefault="58C25C5C" w:rsidP="00DA41CC">
      <w:pPr>
        <w:pStyle w:val="ListParagraph"/>
        <w:numPr>
          <w:ilvl w:val="0"/>
          <w:numId w:val="11"/>
        </w:numPr>
        <w:spacing w:line="276" w:lineRule="auto"/>
        <w:rPr>
          <w:rFonts w:ascii="Times New Roman" w:eastAsia="Calibri" w:hAnsi="Times New Roman" w:cs="Times New Roman"/>
          <w:color w:val="000000" w:themeColor="text1"/>
        </w:rPr>
      </w:pPr>
      <w:r w:rsidRPr="006B44CD">
        <w:rPr>
          <w:rFonts w:ascii="Times New Roman" w:eastAsia="Times New Roman" w:hAnsi="Times New Roman" w:cs="Times New Roman"/>
          <w:color w:val="000000" w:themeColor="text1"/>
          <w:lang w:val="en-GB"/>
        </w:rPr>
        <w:t xml:space="preserve">development of a data management plan for transparency of data storage principles; and </w:t>
      </w:r>
    </w:p>
    <w:p w14:paraId="1EB8F8B5" w14:textId="67451067" w:rsidR="76BCC05E" w:rsidRPr="006B44CD" w:rsidRDefault="0AD455A4" w:rsidP="4D27054C">
      <w:pPr>
        <w:pStyle w:val="ListParagraph"/>
        <w:numPr>
          <w:ilvl w:val="0"/>
          <w:numId w:val="11"/>
        </w:numPr>
        <w:spacing w:line="276" w:lineRule="auto"/>
        <w:rPr>
          <w:rFonts w:eastAsiaTheme="minorEastAsia"/>
          <w:b/>
          <w:bCs/>
          <w:color w:val="000000" w:themeColor="text1"/>
        </w:rPr>
      </w:pPr>
      <w:r w:rsidRPr="4D27054C">
        <w:rPr>
          <w:rFonts w:ascii="Times New Roman" w:eastAsia="Times New Roman" w:hAnsi="Times New Roman" w:cs="Times New Roman"/>
          <w:color w:val="000000" w:themeColor="text1"/>
          <w:lang w:val="en-GB"/>
        </w:rPr>
        <w:t>feedback and consultation processes and evaluation methodologies designed to foster ownership of the evaluation results and recommendations</w:t>
      </w:r>
    </w:p>
    <w:sectPr w:rsidR="76BCC05E" w:rsidRPr="006B44C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49E7" w14:textId="77777777" w:rsidR="00E2329D" w:rsidRDefault="00E2329D" w:rsidP="004A62B4">
      <w:r>
        <w:separator/>
      </w:r>
    </w:p>
  </w:endnote>
  <w:endnote w:type="continuationSeparator" w:id="0">
    <w:p w14:paraId="641FE95D" w14:textId="77777777" w:rsidR="00E2329D" w:rsidRDefault="00E2329D" w:rsidP="004A62B4">
      <w:r>
        <w:continuationSeparator/>
      </w:r>
    </w:p>
  </w:endnote>
  <w:endnote w:type="continuationNotice" w:id="1">
    <w:p w14:paraId="7629A3D9" w14:textId="77777777" w:rsidR="00E2329D" w:rsidRDefault="00E2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SansSemiLight-Plain">
    <w:panose1 w:val="020B0604020202020204"/>
    <w:charset w:val="00"/>
    <w:family w:val="roman"/>
    <w:notTrueType/>
    <w:pitch w:val="default"/>
  </w:font>
  <w:font w:name="MinionPro-Regular">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268" w14:textId="3CA3AE6D" w:rsidR="0088471F" w:rsidRDefault="0088471F" w:rsidP="7B019E13">
    <w:pPr>
      <w:pStyle w:val="Footer"/>
      <w:jc w:val="right"/>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sdt>
    <w:sdtPr>
      <w:rPr>
        <w:color w:val="2B579A"/>
        <w:shd w:val="clear" w:color="auto" w:fill="E6E6E6"/>
      </w:rPr>
      <w:id w:val="-233938134"/>
      <w:docPartObj>
        <w:docPartGallery w:val="Page Numbers (Bottom of Page)"/>
        <w:docPartUnique/>
      </w:docPartObj>
    </w:sdtPr>
    <w:sdtEndPr>
      <w:rPr>
        <w:noProof/>
        <w:color w:val="auto"/>
        <w:shd w:val="clear" w:color="auto" w:fill="auto"/>
      </w:rPr>
    </w:sdtEndPr>
    <w:sdtContent>
      <w:p w14:paraId="56ADA396" w14:textId="12B12671" w:rsidR="0088471F" w:rsidRDefault="0088471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76857F" w14:textId="77777777" w:rsidR="0088471F" w:rsidRDefault="0088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09F5" w14:textId="77777777" w:rsidR="00E2329D" w:rsidRDefault="00E2329D" w:rsidP="004A62B4">
      <w:r>
        <w:separator/>
      </w:r>
    </w:p>
  </w:footnote>
  <w:footnote w:type="continuationSeparator" w:id="0">
    <w:p w14:paraId="2A1D785E" w14:textId="77777777" w:rsidR="00E2329D" w:rsidRDefault="00E2329D" w:rsidP="004A62B4">
      <w:r>
        <w:continuationSeparator/>
      </w:r>
    </w:p>
  </w:footnote>
  <w:footnote w:type="continuationNotice" w:id="1">
    <w:p w14:paraId="4D36B1D5" w14:textId="77777777" w:rsidR="00E2329D" w:rsidRDefault="00E2329D"/>
  </w:footnote>
  <w:footnote w:id="2">
    <w:p w14:paraId="4F0C3765" w14:textId="78FE01DD" w:rsidR="2932B43C" w:rsidRDefault="2932B43C" w:rsidP="4D27054C">
      <w:pPr>
        <w:pStyle w:val="FootnoteText"/>
        <w:rPr>
          <w:rFonts w:ascii="Times New Roman" w:eastAsia="Times New Roman" w:hAnsi="Times New Roman" w:cs="Times New Roman"/>
          <w:sz w:val="18"/>
          <w:szCs w:val="18"/>
        </w:rPr>
      </w:pPr>
      <w:r w:rsidRPr="4D27054C">
        <w:rPr>
          <w:rStyle w:val="FootnoteReference"/>
          <w:rFonts w:ascii="Times New Roman" w:eastAsia="Times New Roman" w:hAnsi="Times New Roman" w:cs="Times New Roman"/>
          <w:sz w:val="18"/>
          <w:szCs w:val="18"/>
        </w:rPr>
        <w:footnoteRef/>
      </w:r>
      <w:r w:rsidR="4D27054C" w:rsidRPr="4D27054C">
        <w:rPr>
          <w:rFonts w:ascii="Times New Roman" w:eastAsia="Times New Roman" w:hAnsi="Times New Roman" w:cs="Times New Roman"/>
          <w:sz w:val="18"/>
          <w:szCs w:val="18"/>
        </w:rPr>
        <w:t xml:space="preserve"> Karshenas, Massoud and others (2016), Introduction and Overview, in Nadereh Chamlou and Massoud Karshenas  (eds.), Women, work and welfare in the Middle East and North Africa AND </w:t>
      </w:r>
    </w:p>
    <w:p w14:paraId="31390D3E" w14:textId="36CE36ED" w:rsidR="1CC386D0" w:rsidRDefault="4D27054C" w:rsidP="4D27054C">
      <w:pPr>
        <w:pStyle w:val="FootnoteText"/>
        <w:rPr>
          <w:rFonts w:ascii="Times New Roman" w:eastAsia="Times New Roman" w:hAnsi="Times New Roman" w:cs="Times New Roman"/>
          <w:sz w:val="18"/>
          <w:szCs w:val="18"/>
        </w:rPr>
      </w:pPr>
      <w:r w:rsidRPr="4D27054C">
        <w:rPr>
          <w:rFonts w:ascii="Times New Roman" w:eastAsia="Times New Roman" w:hAnsi="Times New Roman" w:cs="Times New Roman"/>
          <w:sz w:val="18"/>
          <w:szCs w:val="18"/>
        </w:rPr>
        <w:t>World Bank (2009) MENA Development. Report 2009: From privilege to competition: Unlocking private-led growth in the Middle East and North Africa.</w:t>
      </w:r>
    </w:p>
  </w:footnote>
  <w:footnote w:id="3">
    <w:p w14:paraId="0F7727E9" w14:textId="01997CC0" w:rsidR="0088471F" w:rsidRPr="00B613EB" w:rsidRDefault="0088471F">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https://www.weforum.org/reports/global-gender-gap-report-2021/in-full/gggr2-benchmarking-gender-gaps-findings-from-the-global-gender-gap-index-2021</w:t>
      </w:r>
    </w:p>
  </w:footnote>
  <w:footnote w:id="4">
    <w:p w14:paraId="17905897" w14:textId="613B2727"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5">
    <w:p w14:paraId="78DB17DD" w14:textId="17B24E88"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6">
    <w:p w14:paraId="78E5C927" w14:textId="3A0E07DD" w:rsidR="0088471F" w:rsidRPr="00B613EB" w:rsidRDefault="0088471F" w:rsidP="516AEA60">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According to the ILO, “vulnerable employment” comprises own-account workers and contributing family workers, two employment groups characterized by higher poverty rates and limited social protections.</w:t>
      </w:r>
    </w:p>
  </w:footnote>
  <w:footnote w:id="7">
    <w:p w14:paraId="05FD625B" w14:textId="1439CCF4" w:rsidR="51AE5A5A" w:rsidRPr="00B613EB" w:rsidRDefault="51AE5A5A" w:rsidP="4D27054C">
      <w:pPr>
        <w:pStyle w:val="FootnoteText"/>
        <w:rPr>
          <w:rFonts w:asciiTheme="minorHAnsi" w:eastAsia="Times New Roman" w:hAnsiTheme="minorHAnsi" w:cstheme="minorHAnsi"/>
          <w:sz w:val="16"/>
          <w:szCs w:val="16"/>
        </w:rPr>
      </w:pPr>
      <w:r w:rsidRPr="00B613EB">
        <w:rPr>
          <w:rStyle w:val="FootnoteReference"/>
          <w:rFonts w:asciiTheme="minorHAnsi" w:eastAsia="Times New Roman" w:hAnsiTheme="minorHAnsi" w:cstheme="minorHAnsi"/>
          <w:sz w:val="16"/>
          <w:szCs w:val="16"/>
        </w:rPr>
        <w:footnoteRef/>
      </w:r>
      <w:r w:rsidR="4D27054C" w:rsidRPr="00B613EB">
        <w:rPr>
          <w:rFonts w:asciiTheme="minorHAnsi" w:eastAsia="Times New Roman" w:hAnsiTheme="minorHAnsi" w:cstheme="minorHAnsi"/>
          <w:sz w:val="16"/>
          <w:szCs w:val="16"/>
        </w:rPr>
        <w:t xml:space="preserve"> Ahmed El Ashmawi, The Skills Mismatch in the Arab World: A Critical View, British Council-Egypt, Cairo Symposium 2015.</w:t>
      </w:r>
    </w:p>
  </w:footnote>
  <w:footnote w:id="8">
    <w:p w14:paraId="2460256E" w14:textId="5E4491C6" w:rsidR="51AE5A5A" w:rsidRPr="00B613EB" w:rsidRDefault="51AE5A5A" w:rsidP="4D27054C">
      <w:pPr>
        <w:pStyle w:val="FootnoteText"/>
        <w:rPr>
          <w:rFonts w:asciiTheme="minorHAnsi" w:eastAsia="Times New Roman" w:hAnsiTheme="minorHAnsi" w:cstheme="minorHAnsi"/>
          <w:sz w:val="16"/>
          <w:szCs w:val="16"/>
        </w:rPr>
      </w:pPr>
      <w:r w:rsidRPr="00B613EB">
        <w:rPr>
          <w:rStyle w:val="FootnoteReference"/>
          <w:rFonts w:asciiTheme="minorHAnsi" w:eastAsia="Times New Roman" w:hAnsiTheme="minorHAnsi" w:cstheme="minorHAnsi"/>
          <w:sz w:val="16"/>
          <w:szCs w:val="16"/>
        </w:rPr>
        <w:footnoteRef/>
      </w:r>
      <w:r w:rsidR="4D27054C" w:rsidRPr="00B613EB">
        <w:rPr>
          <w:rFonts w:asciiTheme="minorHAnsi" w:eastAsia="Times New Roman" w:hAnsiTheme="minorHAnsi" w:cstheme="minorHAnsi"/>
          <w:sz w:val="16"/>
          <w:szCs w:val="16"/>
        </w:rPr>
        <w:t xml:space="preserve"> ibid</w:t>
      </w:r>
    </w:p>
  </w:footnote>
  <w:footnote w:id="9">
    <w:p w14:paraId="660C2759" w14:textId="7939B9FF" w:rsidR="51AE5A5A" w:rsidRDefault="51AE5A5A" w:rsidP="51AE5A5A">
      <w:pPr>
        <w:pStyle w:val="FootnoteText"/>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10">
    <w:p w14:paraId="1EFD371C"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Enhancing Women’s Voice, Agency and Participation, EBRD 2015</w:t>
      </w:r>
    </w:p>
  </w:footnote>
  <w:footnote w:id="11">
    <w:p w14:paraId="7337EEBB"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r w:rsidRPr="00B613EB">
        <w:rPr>
          <w:rFonts w:asciiTheme="minorHAnsi" w:hAnsiTheme="minorHAnsi" w:cstheme="minorHAnsi"/>
          <w:sz w:val="16"/>
          <w:szCs w:val="16"/>
          <w:lang w:val="en-GB"/>
        </w:rPr>
        <w:t>UN Women, ILO (2018), ‘’Promoting Productive Employment and Decent Work for Women in Egypt, Jordan and Palestine’’ Programme Document.</w:t>
      </w:r>
    </w:p>
  </w:footnote>
  <w:footnote w:id="12">
    <w:p w14:paraId="47770989" w14:textId="4D7673C7" w:rsidR="2932B43C" w:rsidRDefault="2932B43C" w:rsidP="4D27054C">
      <w:pPr>
        <w:pStyle w:val="FootnoteText"/>
        <w:rPr>
          <w:rFonts w:ascii="Times New Roman" w:eastAsia="Times New Roman" w:hAnsi="Times New Roman" w:cs="Times New Roman"/>
        </w:rPr>
      </w:pPr>
      <w:r w:rsidRPr="00B613EB">
        <w:rPr>
          <w:rStyle w:val="FootnoteReference"/>
          <w:rFonts w:asciiTheme="minorHAnsi" w:eastAsia="Times New Roman" w:hAnsiTheme="minorHAnsi" w:cstheme="minorHAnsi"/>
          <w:sz w:val="16"/>
          <w:szCs w:val="16"/>
        </w:rPr>
        <w:footnoteRef/>
      </w:r>
      <w:r w:rsidR="4D27054C" w:rsidRPr="00B613EB">
        <w:rPr>
          <w:rFonts w:asciiTheme="minorHAnsi" w:eastAsia="Times New Roman" w:hAnsiTheme="minorHAnsi" w:cstheme="minorHAnsi"/>
          <w:sz w:val="16"/>
          <w:szCs w:val="16"/>
        </w:rPr>
        <w:t xml:space="preserve"> National Strategy for the Empowerment of Egyptian Women 2030, pp. 42</w:t>
      </w:r>
    </w:p>
  </w:footnote>
  <w:footnote w:id="13">
    <w:p w14:paraId="69F63D36" w14:textId="17F97040"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14">
    <w:p w14:paraId="43CE79AA"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hyperlink r:id="rId1" w:history="1">
        <w:r w:rsidRPr="00B613EB">
          <w:rPr>
            <w:rStyle w:val="Hyperlink"/>
            <w:rFonts w:asciiTheme="minorHAnsi" w:hAnsiTheme="minorHAnsi" w:cstheme="minorHAnsi"/>
            <w:sz w:val="16"/>
            <w:szCs w:val="16"/>
          </w:rPr>
          <w:t>https://ilostat.ilo.org</w:t>
        </w:r>
      </w:hyperlink>
    </w:p>
  </w:footnote>
  <w:footnote w:id="15">
    <w:p w14:paraId="631E40CD"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 Women, ILO (2018), ‘’Promoting Productive Employment and Decent Work for Women in Egypt, Jordan and Palestine’’ Programme Document.</w:t>
      </w:r>
    </w:p>
  </w:footnote>
  <w:footnote w:id="16">
    <w:p w14:paraId="1AA8F4B5"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hyperlink r:id="rId2" w:history="1">
        <w:r w:rsidRPr="00B613EB">
          <w:rPr>
            <w:rStyle w:val="Hyperlink"/>
            <w:rFonts w:asciiTheme="minorHAnsi" w:hAnsiTheme="minorHAnsi" w:cstheme="minorHAnsi"/>
            <w:sz w:val="16"/>
            <w:szCs w:val="16"/>
          </w:rPr>
          <w:t>https://ilostat.ilo.org</w:t>
        </w:r>
      </w:hyperlink>
    </w:p>
  </w:footnote>
  <w:footnote w:id="17">
    <w:p w14:paraId="5EC07D5F"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r w:rsidRPr="00B613EB">
        <w:rPr>
          <w:rFonts w:asciiTheme="minorHAnsi" w:hAnsiTheme="minorHAnsi" w:cstheme="minorHAnsi"/>
          <w:sz w:val="16"/>
          <w:szCs w:val="16"/>
          <w:lang w:val="en-GB"/>
        </w:rPr>
        <w:t>Ibid</w:t>
      </w:r>
    </w:p>
  </w:footnote>
  <w:footnote w:id="18">
    <w:p w14:paraId="19969981"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 Women, ILO (2018), ‘’Promoting Productive Employment and Decent Work for Women in Egypt, Jordan and Palestine’’ Programme Document.</w:t>
      </w:r>
    </w:p>
  </w:footnote>
  <w:footnote w:id="19">
    <w:p w14:paraId="6706A226" w14:textId="48158569"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https://ilostat.ilo.org</w:t>
      </w:r>
    </w:p>
  </w:footnote>
  <w:footnote w:id="20">
    <w:p w14:paraId="056EF199" w14:textId="02BDB628"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21">
    <w:p w14:paraId="418BA43C"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4D27054C" w:rsidRPr="00B613EB">
        <w:rPr>
          <w:rFonts w:asciiTheme="minorHAnsi" w:hAnsiTheme="minorHAnsi" w:cstheme="minorHAnsi"/>
          <w:sz w:val="16"/>
          <w:szCs w:val="16"/>
        </w:rPr>
        <w:t xml:space="preserve"> ibid</w:t>
      </w:r>
    </w:p>
  </w:footnote>
  <w:footnote w:id="22">
    <w:p w14:paraId="612EDF88" w14:textId="35F1E64A" w:rsidR="4D27054C" w:rsidRDefault="4D27054C" w:rsidP="4D27054C">
      <w:pPr>
        <w:pStyle w:val="FootnoteText"/>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 Women, ILO (2018), ‘’Promoting Productive Employment and Decent Work for Women in Egypt, Jordan and Palestine’’ Programme Document.</w:t>
      </w:r>
    </w:p>
  </w:footnote>
  <w:footnote w:id="23">
    <w:p w14:paraId="17D35F20"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r w:rsidRPr="00B613EB">
        <w:rPr>
          <w:rFonts w:asciiTheme="minorHAnsi" w:hAnsiTheme="minorHAnsi" w:cstheme="minorHAnsi"/>
          <w:sz w:val="16"/>
          <w:szCs w:val="16"/>
          <w:lang w:val="en-GB"/>
        </w:rPr>
        <w:t>Ibid</w:t>
      </w:r>
    </w:p>
  </w:footnote>
  <w:footnote w:id="24">
    <w:p w14:paraId="2C29EC4C" w14:textId="3D564EE0" w:rsidR="2932B43C" w:rsidRPr="00B613EB" w:rsidRDefault="2932B43C" w:rsidP="00B613EB">
      <w:pPr>
        <w:spacing w:line="257" w:lineRule="auto"/>
        <w:jc w:val="both"/>
        <w:rPr>
          <w:rFonts w:asciiTheme="minorHAnsi" w:hAnsiTheme="minorHAnsi" w:cstheme="minorHAnsi"/>
          <w:sz w:val="16"/>
          <w:szCs w:val="16"/>
        </w:rPr>
      </w:pPr>
      <w:r w:rsidRPr="00B613EB">
        <w:rPr>
          <w:rStyle w:val="FootnoteReference"/>
          <w:rFonts w:asciiTheme="minorHAnsi" w:eastAsia="Calibri" w:hAnsiTheme="minorHAnsi" w:cstheme="minorHAnsi"/>
          <w:sz w:val="16"/>
          <w:szCs w:val="16"/>
        </w:rPr>
        <w:footnoteRef/>
      </w:r>
      <w:r w:rsidRPr="00B613EB">
        <w:rPr>
          <w:rFonts w:asciiTheme="minorHAnsi" w:eastAsia="Calibri" w:hAnsiTheme="minorHAnsi" w:cstheme="minorHAnsi"/>
          <w:sz w:val="16"/>
          <w:szCs w:val="16"/>
        </w:rPr>
        <w:t xml:space="preserve"> </w:t>
      </w:r>
      <w:r w:rsidR="3276A1E6" w:rsidRPr="00B613EB">
        <w:rPr>
          <w:rFonts w:asciiTheme="minorHAnsi" w:eastAsia="Calibri" w:hAnsiTheme="minorHAnsi" w:cstheme="minorHAnsi"/>
          <w:sz w:val="16"/>
          <w:szCs w:val="16"/>
        </w:rPr>
        <w:t>Egyptian National Competitiveness Council (ENCC) (2017), LABOR SKILLS, PRODUCTIVITY, AND HUMAN RESOURCES MANAGEMENT STUDY; SUMMARY OF FINDINGS; EGYPT, OCTOBER 2017.</w:t>
      </w:r>
    </w:p>
  </w:footnote>
  <w:footnote w:id="25">
    <w:p w14:paraId="617CD4B5" w14:textId="7F52F885" w:rsidR="2932B43C" w:rsidRPr="00B613EB" w:rsidRDefault="2932B43C" w:rsidP="2932B43C">
      <w:pPr>
        <w:pStyle w:val="FootnoteText"/>
        <w:rPr>
          <w:rStyle w:val="Hyperlink"/>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hyperlink r:id="rId3">
        <w:r w:rsidR="3276A1E6" w:rsidRPr="00B613EB">
          <w:rPr>
            <w:rStyle w:val="Hyperlink"/>
            <w:rFonts w:asciiTheme="minorHAnsi" w:hAnsiTheme="minorHAnsi" w:cstheme="minorHAnsi"/>
            <w:sz w:val="16"/>
            <w:szCs w:val="16"/>
          </w:rPr>
          <w:t>https://enterprise.press/stories/2021/12/06/upskilling-white-collar-labor-in-egypt-to-get-ahead-60042/</w:t>
        </w:r>
      </w:hyperlink>
    </w:p>
  </w:footnote>
  <w:footnote w:id="26">
    <w:p w14:paraId="0F7A321F" w14:textId="1DFFD94D" w:rsidR="2932B43C" w:rsidRPr="00B613EB" w:rsidRDefault="2932B43C" w:rsidP="2932B43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27">
    <w:p w14:paraId="3A205785" w14:textId="69B7E8DE" w:rsidR="2932B43C" w:rsidRPr="00B613EB" w:rsidRDefault="2932B43C" w:rsidP="2932B43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28">
    <w:p w14:paraId="22F518F5"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African Development Bank, 2016. ‘African Economic Outlook 2016’</w:t>
      </w:r>
    </w:p>
  </w:footnote>
  <w:footnote w:id="29">
    <w:p w14:paraId="2FCB29AD"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African Development Bank, 2016. ‘African Economic Outlook 2016’</w:t>
      </w:r>
    </w:p>
  </w:footnote>
  <w:footnote w:id="30">
    <w:p w14:paraId="200A8DF1"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https://www.egypttoday.com/Article/1/90501/Dads-in-quarantine-An-opportunity-for-change</w:t>
      </w:r>
    </w:p>
  </w:footnote>
  <w:footnote w:id="31">
    <w:p w14:paraId="4FF423F3"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http://ncw.gov.eg/Pdf/476/Fifth-Edition-Women-policy-Tracker-on-Responsive-Policies-and-Programs</w:t>
      </w:r>
    </w:p>
  </w:footnote>
  <w:footnote w:id="32">
    <w:p w14:paraId="64141377" w14:textId="77777777" w:rsidR="0088471F" w:rsidRPr="000C5D54" w:rsidRDefault="0088471F" w:rsidP="006C5BCE">
      <w:pPr>
        <w:pStyle w:val="FootnoteText"/>
        <w:rPr>
          <w:rFonts w:ascii="Times New Roman" w:hAnsi="Times New Roman" w:cs="Times New Roman"/>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 Women, ILO (20</w:t>
      </w:r>
      <w:r w:rsidRPr="00B613EB">
        <w:rPr>
          <w:rFonts w:asciiTheme="minorHAnsi" w:hAnsiTheme="minorHAnsi" w:cstheme="minorHAnsi"/>
          <w:sz w:val="16"/>
          <w:szCs w:val="16"/>
          <w:lang w:val="en-GB"/>
        </w:rPr>
        <w:t>21</w:t>
      </w:r>
      <w:r w:rsidRPr="00B613EB">
        <w:rPr>
          <w:rFonts w:asciiTheme="minorHAnsi" w:hAnsiTheme="minorHAnsi" w:cstheme="minorHAnsi"/>
          <w:sz w:val="16"/>
          <w:szCs w:val="16"/>
        </w:rPr>
        <w:t>), ‘’Promoting Productive Employment and Decent Work for Women in Egypt, Jordan and Palestine’’</w:t>
      </w:r>
      <w:r w:rsidRPr="00B613EB">
        <w:rPr>
          <w:rFonts w:asciiTheme="minorHAnsi" w:hAnsiTheme="minorHAnsi" w:cstheme="minorHAnsi"/>
          <w:sz w:val="16"/>
          <w:szCs w:val="16"/>
          <w:lang w:val="en-GB"/>
        </w:rPr>
        <w:t xml:space="preserve"> Joint Programme Annual Report, Reporting</w:t>
      </w:r>
      <w:r w:rsidRPr="000C5D54">
        <w:rPr>
          <w:rFonts w:ascii="Times New Roman" w:hAnsi="Times New Roman" w:cs="Times New Roman"/>
          <w:sz w:val="16"/>
          <w:szCs w:val="16"/>
          <w:lang w:val="en-GB"/>
        </w:rPr>
        <w:t xml:space="preserve"> Period: January-December 2020</w:t>
      </w:r>
      <w:r w:rsidRPr="000C5D54">
        <w:rPr>
          <w:rFonts w:ascii="Times New Roman" w:hAnsi="Times New Roman" w:cs="Times New Roman"/>
          <w:sz w:val="16"/>
          <w:szCs w:val="16"/>
        </w:rPr>
        <w:t>.</w:t>
      </w:r>
    </w:p>
  </w:footnote>
  <w:footnote w:id="33">
    <w:p w14:paraId="6ADC78C6" w14:textId="14698B39" w:rsidR="62648D7F" w:rsidRPr="00B613EB" w:rsidRDefault="62648D7F" w:rsidP="00B613EB">
      <w:pPr>
        <w:rPr>
          <w:rFonts w:asciiTheme="minorHAnsi" w:hAnsiTheme="minorHAnsi" w:cstheme="minorHAnsi"/>
          <w:sz w:val="16"/>
          <w:szCs w:val="16"/>
        </w:rPr>
      </w:pPr>
      <w:r w:rsidRPr="00B613EB">
        <w:rPr>
          <w:rStyle w:val="FootnoteReference"/>
          <w:rFonts w:asciiTheme="minorHAnsi" w:eastAsia="Calibri" w:hAnsiTheme="minorHAnsi" w:cstheme="minorHAnsi"/>
          <w:sz w:val="16"/>
          <w:szCs w:val="16"/>
        </w:rPr>
        <w:footnoteRef/>
      </w:r>
      <w:r w:rsidRPr="00B613EB">
        <w:rPr>
          <w:rFonts w:asciiTheme="minorHAnsi" w:eastAsia="Calibri" w:hAnsiTheme="minorHAnsi" w:cstheme="minorHAnsi"/>
          <w:sz w:val="16"/>
          <w:szCs w:val="16"/>
        </w:rPr>
        <w:t xml:space="preserve"> </w:t>
      </w:r>
      <w:hyperlink r:id="rId4">
        <w:r w:rsidRPr="00B613EB">
          <w:rPr>
            <w:rStyle w:val="Hyperlink"/>
            <w:rFonts w:asciiTheme="minorHAnsi" w:hAnsiTheme="minorHAnsi" w:cstheme="minorHAnsi"/>
            <w:sz w:val="16"/>
            <w:szCs w:val="16"/>
            <w:lang w:val="en-US"/>
          </w:rPr>
          <w:t>https://www.jordantimes.com/opinion/lena-aloul/today-history-was-made</w:t>
        </w:r>
      </w:hyperlink>
      <w:r w:rsidRPr="00B613EB">
        <w:rPr>
          <w:rFonts w:asciiTheme="minorHAnsi" w:hAnsiTheme="minorHAnsi" w:cstheme="minorHAnsi"/>
          <w:sz w:val="16"/>
          <w:szCs w:val="16"/>
          <w:lang w:val="en-US"/>
        </w:rPr>
        <w:t>, January 2022</w:t>
      </w:r>
    </w:p>
  </w:footnote>
  <w:footnote w:id="34">
    <w:p w14:paraId="08990BF0" w14:textId="6AE55D60" w:rsidR="5CF61BAE" w:rsidRPr="00B613EB" w:rsidRDefault="5CF61BAE" w:rsidP="5CF61BA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https://www.worldbank.org/en/programs/mashreq-gender-facility</w:t>
      </w:r>
    </w:p>
  </w:footnote>
  <w:footnote w:id="35">
    <w:p w14:paraId="36854BF2" w14:textId="1F9CB527"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World Bank (2021) GDP Growth (Annual %) - Jordan</w:t>
      </w:r>
    </w:p>
  </w:footnote>
  <w:footnote w:id="36">
    <w:p w14:paraId="1849813D" w14:textId="77777777" w:rsidR="08E1794F" w:rsidRPr="000C5D54" w:rsidRDefault="08E1794F" w:rsidP="08E1794F">
      <w:pPr>
        <w:pStyle w:val="FootnoteText"/>
        <w:rPr>
          <w:rFonts w:ascii="Times New Roman" w:hAnsi="Times New Roman" w:cs="Times New Roman"/>
          <w:sz w:val="16"/>
          <w:szCs w:val="16"/>
        </w:rPr>
      </w:pPr>
      <w:r w:rsidRPr="00B613EB">
        <w:rPr>
          <w:rStyle w:val="FootnoteReference"/>
          <w:rFonts w:asciiTheme="minorHAnsi" w:hAnsiTheme="minorHAnsi" w:cstheme="minorHAnsi"/>
          <w:sz w:val="16"/>
          <w:szCs w:val="16"/>
        </w:rPr>
        <w:footnoteRef/>
      </w:r>
      <w:r w:rsidR="4D27054C" w:rsidRPr="00B613EB">
        <w:rPr>
          <w:rFonts w:asciiTheme="minorHAnsi" w:hAnsiTheme="minorHAnsi" w:cstheme="minorHAnsi"/>
          <w:sz w:val="16"/>
          <w:szCs w:val="16"/>
        </w:rPr>
        <w:t xml:space="preserve"> ibid</w:t>
      </w:r>
    </w:p>
  </w:footnote>
  <w:footnote w:id="37">
    <w:p w14:paraId="72816DBC" w14:textId="26F9B255" w:rsidR="2F25A3C9" w:rsidRPr="00B613EB" w:rsidRDefault="2F25A3C9" w:rsidP="2F25A3C9">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UNHCR (2021) Jordan. Population Trends.</w:t>
      </w:r>
    </w:p>
  </w:footnote>
  <w:footnote w:id="38">
    <w:p w14:paraId="68B9F8A2" w14:textId="25EA7924" w:rsidR="51AE5A5A" w:rsidRPr="00B613EB" w:rsidRDefault="51AE5A5A" w:rsidP="51AE5A5A">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39">
    <w:p w14:paraId="5CAD503F" w14:textId="2325148B" w:rsidR="51AE5A5A" w:rsidRPr="00B613EB" w:rsidRDefault="51AE5A5A" w:rsidP="51AE5A5A">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hyperlink r:id="rId5">
        <w:r w:rsidRPr="00B613EB">
          <w:rPr>
            <w:rStyle w:val="Hyperlink"/>
            <w:rFonts w:asciiTheme="minorHAnsi" w:hAnsiTheme="minorHAnsi" w:cstheme="minorHAnsi"/>
            <w:sz w:val="16"/>
            <w:szCs w:val="16"/>
            <w:lang w:val="en-GB"/>
          </w:rPr>
          <w:t>https://www.acaps.org/country/jordan/crisis/syrian-refugees</w:t>
        </w:r>
      </w:hyperlink>
    </w:p>
  </w:footnote>
  <w:footnote w:id="40">
    <w:p w14:paraId="6C06A373" w14:textId="3245521F"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World Economic Forum (2021) Global Gender Gap Report 2021</w:t>
      </w:r>
    </w:p>
  </w:footnote>
  <w:footnote w:id="41">
    <w:p w14:paraId="05756006" w14:textId="21D03EC4" w:rsidR="0268ABBD" w:rsidRPr="00B613EB" w:rsidRDefault="0268ABBD" w:rsidP="0268ABBD">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4D27054C" w:rsidRPr="00B613EB">
        <w:rPr>
          <w:rFonts w:asciiTheme="minorHAnsi" w:hAnsiTheme="minorHAnsi" w:cstheme="minorHAnsi"/>
          <w:sz w:val="16"/>
          <w:szCs w:val="16"/>
        </w:rPr>
        <w:t xml:space="preserve"> ibid</w:t>
      </w:r>
    </w:p>
  </w:footnote>
  <w:footnote w:id="42">
    <w:p w14:paraId="2AC9FB5C" w14:textId="7131CB2B" w:rsidR="4D27054C" w:rsidRPr="00B613EB" w:rsidRDefault="4D27054C" w:rsidP="4D27054C">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ILO (2020) Promoting Decent Work in Jordan</w:t>
      </w:r>
    </w:p>
  </w:footnote>
  <w:footnote w:id="43">
    <w:p w14:paraId="391FB880" w14:textId="4E208C9C" w:rsidR="0088471F" w:rsidRPr="00B613EB" w:rsidRDefault="0088471F" w:rsidP="08E1794F">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4D27054C" w:rsidRPr="00B613EB">
        <w:rPr>
          <w:rFonts w:asciiTheme="minorHAnsi" w:hAnsiTheme="minorHAnsi" w:cstheme="minorHAnsi"/>
          <w:sz w:val="16"/>
          <w:szCs w:val="16"/>
        </w:rPr>
        <w:t xml:space="preserve"> ibid</w:t>
      </w:r>
    </w:p>
  </w:footnote>
  <w:footnote w:id="44">
    <w:p w14:paraId="53B30E40" w14:textId="336DE918" w:rsidR="0088471F" w:rsidRPr="00B613EB" w:rsidRDefault="0088471F" w:rsidP="08E1794F">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World Population Review (2021) Jordan Population Density Map</w:t>
      </w:r>
    </w:p>
  </w:footnote>
  <w:footnote w:id="45">
    <w:p w14:paraId="5A9BA004" w14:textId="616F89ED" w:rsidR="0088471F" w:rsidRPr="00B613EB" w:rsidRDefault="0088471F" w:rsidP="08E1794F">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O’Neill, A. (2021) MENA Countries: Urbanization 2020. Statistica.</w:t>
      </w:r>
    </w:p>
  </w:footnote>
  <w:footnote w:id="46">
    <w:p w14:paraId="727FE237" w14:textId="43E8203C" w:rsidR="0088471F" w:rsidRPr="006B44CD" w:rsidRDefault="0088471F" w:rsidP="001567B2">
      <w:pPr>
        <w:rPr>
          <w:sz w:val="16"/>
          <w:szCs w:val="16"/>
        </w:rPr>
      </w:pPr>
      <w:r w:rsidRPr="00B613EB">
        <w:rPr>
          <w:rStyle w:val="FootnoteReference"/>
          <w:rFonts w:asciiTheme="minorHAnsi" w:eastAsia="Calibri" w:hAnsiTheme="minorHAnsi" w:cstheme="minorHAnsi"/>
          <w:sz w:val="16"/>
          <w:szCs w:val="16"/>
        </w:rPr>
        <w:footnoteRef/>
      </w:r>
      <w:r w:rsidRPr="00B613EB">
        <w:rPr>
          <w:rFonts w:asciiTheme="minorHAnsi" w:eastAsia="Calibri" w:hAnsiTheme="minorHAnsi" w:cstheme="minorHAnsi"/>
          <w:sz w:val="16"/>
          <w:szCs w:val="16"/>
        </w:rPr>
        <w:t xml:space="preserve"> Central Bank of Jordan (2021) Financial Inclusion Report 2018-2020</w:t>
      </w:r>
    </w:p>
  </w:footnote>
  <w:footnote w:id="47">
    <w:p w14:paraId="3A63ADF8" w14:textId="1A56D320"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UN Women, ILO (2021), ‘’Promoting Productive Employment and Decent Work for Women in Egypt, Jordan and Palestine’’ Joint Programme Annual Report, Reporting Period: January-December 2020.</w:t>
      </w:r>
    </w:p>
  </w:footnote>
  <w:footnote w:id="48">
    <w:p w14:paraId="5149EB85" w14:textId="0DD32A74"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5CF61BAE" w:rsidRPr="00B613EB">
        <w:rPr>
          <w:rFonts w:asciiTheme="minorHAnsi" w:hAnsiTheme="minorHAnsi" w:cstheme="minorHAnsi"/>
          <w:sz w:val="16"/>
          <w:szCs w:val="16"/>
        </w:rPr>
        <w:t xml:space="preserve"> https://www.oecd.org/mena/governance/womens-political-participation-in-jordan.pdf</w:t>
      </w:r>
    </w:p>
  </w:footnote>
  <w:footnote w:id="49">
    <w:p w14:paraId="404A0548" w14:textId="681E9295"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50">
    <w:p w14:paraId="140AF8AA" w14:textId="5F75B7B7"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Department of Statistics Directorate of Household Surveys (2020) Unemployment Average Quarter 3</w:t>
      </w:r>
    </w:p>
  </w:footnote>
  <w:footnote w:id="51">
    <w:p w14:paraId="62D9B076" w14:textId="24FF7C07"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52">
    <w:p w14:paraId="7C3E05D6" w14:textId="11BA0389" w:rsidR="0088471F" w:rsidRPr="00B613EB" w:rsidRDefault="0088471F" w:rsidP="001567B2">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53">
    <w:p w14:paraId="3FECEEA0" w14:textId="17AE2CFB" w:rsidR="2F25A3C9" w:rsidRPr="00B613EB" w:rsidRDefault="2F25A3C9" w:rsidP="62648D7F">
      <w:pPr>
        <w:pStyle w:val="FootnoteText"/>
        <w:rPr>
          <w:rFonts w:asciiTheme="minorHAnsi" w:hAnsiTheme="minorHAnsi" w:cstheme="minorHAnsi"/>
          <w:sz w:val="16"/>
          <w:szCs w:val="16"/>
          <w:lang w:val="en-GB"/>
        </w:rPr>
      </w:pPr>
      <w:r w:rsidRPr="00B613EB">
        <w:rPr>
          <w:rStyle w:val="FootnoteReference"/>
          <w:rFonts w:asciiTheme="minorHAnsi" w:hAnsiTheme="minorHAnsi" w:cstheme="minorHAnsi"/>
          <w:sz w:val="16"/>
          <w:szCs w:val="16"/>
        </w:rPr>
        <w:footnoteRef/>
      </w:r>
      <w:r w:rsidR="62648D7F" w:rsidRPr="00B613EB">
        <w:rPr>
          <w:rFonts w:asciiTheme="minorHAnsi" w:hAnsiTheme="minorHAnsi" w:cstheme="minorHAnsi"/>
          <w:sz w:val="16"/>
          <w:szCs w:val="16"/>
        </w:rPr>
        <w:t xml:space="preserve"> </w:t>
      </w:r>
      <w:hyperlink r:id="rId6">
        <w:r w:rsidR="62648D7F" w:rsidRPr="00B613EB">
          <w:rPr>
            <w:rStyle w:val="Hyperlink"/>
            <w:rFonts w:asciiTheme="minorHAnsi" w:hAnsiTheme="minorHAnsi" w:cstheme="minorHAnsi"/>
            <w:sz w:val="16"/>
            <w:szCs w:val="16"/>
            <w:lang w:val="en-GB"/>
          </w:rPr>
          <w:t>https://jordan.unwomen.org/en/digital-library/publications/covid-19-and-wee-policy-recommendations</w:t>
        </w:r>
      </w:hyperlink>
    </w:p>
  </w:footnote>
  <w:footnote w:id="54">
    <w:p w14:paraId="4B3D1BF6" w14:textId="044F83D1" w:rsidR="2F25A3C9" w:rsidRPr="000B3B41" w:rsidRDefault="2F25A3C9" w:rsidP="000B3B41">
      <w:pPr>
        <w:spacing w:line="257" w:lineRule="auto"/>
        <w:rPr>
          <w:rFonts w:asciiTheme="minorHAnsi" w:eastAsia="Calibri" w:hAnsiTheme="minorHAnsi" w:cstheme="minorHAnsi"/>
          <w:color w:val="FF0000"/>
          <w:sz w:val="16"/>
          <w:szCs w:val="16"/>
        </w:rPr>
      </w:pPr>
      <w:r w:rsidRPr="00B613EB">
        <w:rPr>
          <w:rStyle w:val="FootnoteReference"/>
          <w:rFonts w:asciiTheme="minorHAnsi" w:eastAsia="Calibri" w:hAnsiTheme="minorHAnsi" w:cstheme="minorHAnsi"/>
          <w:sz w:val="16"/>
          <w:szCs w:val="16"/>
        </w:rPr>
        <w:footnoteRef/>
      </w:r>
      <w:r w:rsidR="33A8402B" w:rsidRPr="00B613EB">
        <w:rPr>
          <w:rFonts w:asciiTheme="minorHAnsi" w:eastAsia="Calibri" w:hAnsiTheme="minorHAnsi" w:cstheme="minorHAnsi"/>
          <w:sz w:val="16"/>
          <w:szCs w:val="16"/>
        </w:rPr>
        <w:t xml:space="preserve"> State of Palestine (2016). National Policy Agenda. Retrieved from </w:t>
      </w:r>
      <w:hyperlink r:id="rId7">
        <w:r w:rsidR="33A8402B" w:rsidRPr="00B613EB">
          <w:rPr>
            <w:rStyle w:val="Hyperlink"/>
            <w:rFonts w:asciiTheme="minorHAnsi" w:eastAsia="Calibri" w:hAnsiTheme="minorHAnsi" w:cstheme="minorHAnsi"/>
            <w:color w:val="000000" w:themeColor="text1"/>
            <w:sz w:val="16"/>
            <w:szCs w:val="16"/>
          </w:rPr>
          <w:t>https://eeas.europa.eu/sites/eeas/files/npa_english_final_approved_20_2_2017_printed.pdf</w:t>
        </w:r>
      </w:hyperlink>
    </w:p>
  </w:footnote>
  <w:footnote w:id="55">
    <w:p w14:paraId="0DB5FEC6" w14:textId="5ECA84F5" w:rsidR="4D27054C" w:rsidRPr="00B613EB" w:rsidRDefault="4D27054C" w:rsidP="4D27054C">
      <w:pPr>
        <w:pStyle w:val="FootnoteText"/>
        <w:rPr>
          <w:rFonts w:asciiTheme="minorHAnsi" w:hAnsiTheme="minorHAnsi" w:cstheme="minorHAnsi"/>
          <w:color w:val="0563C1"/>
          <w:sz w:val="16"/>
          <w:szCs w:val="16"/>
          <w:u w:val="single"/>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w:t>
      </w:r>
      <w:r w:rsidRPr="00B613EB">
        <w:rPr>
          <w:rFonts w:asciiTheme="minorHAnsi" w:eastAsia="Times New Roman" w:hAnsiTheme="minorHAnsi" w:cstheme="minorHAnsi"/>
          <w:color w:val="0563C1"/>
          <w:sz w:val="16"/>
          <w:szCs w:val="16"/>
          <w:u w:val="single"/>
        </w:rPr>
        <w:t>Palestinian Central Bureau of Statistics (PCBS), Labour Force Survey, 2021</w:t>
      </w:r>
    </w:p>
  </w:footnote>
  <w:footnote w:id="56">
    <w:p w14:paraId="4122240B" w14:textId="36D7DD29" w:rsidR="1F56324F" w:rsidRPr="00B613EB" w:rsidRDefault="1F56324F" w:rsidP="00B613EB">
      <w:pPr>
        <w:rPr>
          <w:rFonts w:asciiTheme="minorHAnsi" w:hAnsiTheme="minorHAnsi" w:cstheme="minorHAnsi"/>
          <w:color w:val="0563C1"/>
          <w:sz w:val="16"/>
          <w:szCs w:val="16"/>
          <w:u w:val="single"/>
          <w:lang w:val="en-US"/>
        </w:rPr>
      </w:pPr>
      <w:r w:rsidRPr="00B613EB">
        <w:rPr>
          <w:rStyle w:val="FootnoteReference"/>
          <w:rFonts w:asciiTheme="minorHAnsi" w:hAnsiTheme="minorHAnsi" w:cstheme="minorHAnsi"/>
          <w:sz w:val="16"/>
          <w:szCs w:val="16"/>
        </w:rPr>
        <w:footnoteRef/>
      </w:r>
      <w:r w:rsidR="4D27054C" w:rsidRPr="00B613EB">
        <w:rPr>
          <w:rFonts w:asciiTheme="minorHAnsi" w:hAnsiTheme="minorHAnsi" w:cstheme="minorHAnsi"/>
          <w:sz w:val="16"/>
          <w:szCs w:val="16"/>
        </w:rPr>
        <w:t xml:space="preserve"> </w:t>
      </w:r>
      <w:r w:rsidR="4D27054C" w:rsidRPr="00B613EB">
        <w:rPr>
          <w:rFonts w:asciiTheme="minorHAnsi" w:hAnsiTheme="minorHAnsi" w:cstheme="minorHAnsi"/>
          <w:color w:val="0563C1"/>
          <w:sz w:val="16"/>
          <w:szCs w:val="16"/>
          <w:u w:val="single"/>
          <w:lang w:val="en-US"/>
        </w:rPr>
        <w:t>ibid</w:t>
      </w:r>
    </w:p>
  </w:footnote>
  <w:footnote w:id="57">
    <w:p w14:paraId="143AAE7F" w14:textId="44639090" w:rsidR="0088471F" w:rsidRPr="00B613EB" w:rsidRDefault="0088471F" w:rsidP="33A8402B">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33A8402B" w:rsidRPr="00B613EB">
        <w:rPr>
          <w:rFonts w:asciiTheme="minorHAnsi" w:hAnsiTheme="minorHAnsi" w:cstheme="minorHAnsi"/>
          <w:sz w:val="16"/>
          <w:szCs w:val="16"/>
        </w:rPr>
        <w:t xml:space="preserve"> PBCS, (2016) ‘Women and Men in Palestine: Cases and Statistics’ (original in Arabic)</w:t>
      </w:r>
    </w:p>
  </w:footnote>
  <w:footnote w:id="58">
    <w:p w14:paraId="2A45029F"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33A8402B" w:rsidRPr="00B613EB">
        <w:rPr>
          <w:rFonts w:asciiTheme="minorHAnsi" w:hAnsiTheme="minorHAnsi" w:cstheme="minorHAnsi"/>
          <w:sz w:val="16"/>
          <w:szCs w:val="16"/>
          <w:lang w:val="en-GB"/>
        </w:rPr>
        <w:t xml:space="preserve"> </w:t>
      </w:r>
      <w:r w:rsidR="33A8402B" w:rsidRPr="00B613EB">
        <w:rPr>
          <w:rFonts w:asciiTheme="minorHAnsi" w:hAnsiTheme="minorHAnsi" w:cstheme="minorHAnsi"/>
          <w:sz w:val="16"/>
          <w:szCs w:val="16"/>
        </w:rPr>
        <w:t>ibid</w:t>
      </w:r>
    </w:p>
  </w:footnote>
  <w:footnote w:id="59">
    <w:p w14:paraId="3482685A"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5CF61BAE" w:rsidRPr="00B613EB">
        <w:rPr>
          <w:rFonts w:asciiTheme="minorHAnsi" w:hAnsiTheme="minorHAnsi" w:cstheme="minorHAnsi"/>
          <w:sz w:val="16"/>
          <w:szCs w:val="16"/>
          <w:lang w:val="en-GB"/>
        </w:rPr>
        <w:t>Ibid</w:t>
      </w:r>
    </w:p>
  </w:footnote>
  <w:footnote w:id="60">
    <w:p w14:paraId="735AB9B1" w14:textId="77777777" w:rsidR="0088471F" w:rsidRPr="006B44CD" w:rsidRDefault="0088471F" w:rsidP="006C5BCE">
      <w:pPr>
        <w:pStyle w:val="FootnoteText"/>
        <w:rPr>
          <w:rFonts w:ascii="Times New Roman" w:hAnsi="Times New Roman" w:cs="Times New Roman"/>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PCBS, 2020</w:t>
      </w:r>
    </w:p>
  </w:footnote>
  <w:footnote w:id="61">
    <w:p w14:paraId="7A92B3A2" w14:textId="77777777" w:rsidR="0088471F" w:rsidRPr="00B613EB" w:rsidRDefault="0088471F" w:rsidP="006C5BCE">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PCBS, 2020</w:t>
      </w:r>
    </w:p>
  </w:footnote>
  <w:footnote w:id="62">
    <w:p w14:paraId="7374F67F" w14:textId="504AB472" w:rsidR="33A8402B" w:rsidRPr="00B613EB" w:rsidRDefault="33A8402B" w:rsidP="00B613EB">
      <w:pPr>
        <w:rPr>
          <w:rFonts w:asciiTheme="minorHAnsi" w:eastAsia="Calibri" w:hAnsiTheme="minorHAnsi" w:cstheme="minorHAnsi"/>
          <w:sz w:val="16"/>
          <w:szCs w:val="16"/>
        </w:rPr>
      </w:pPr>
      <w:r w:rsidRPr="00B613EB">
        <w:rPr>
          <w:rStyle w:val="FootnoteReference"/>
          <w:rFonts w:asciiTheme="minorHAnsi" w:eastAsia="Calibri" w:hAnsiTheme="minorHAnsi" w:cstheme="minorHAnsi"/>
          <w:sz w:val="16"/>
          <w:szCs w:val="16"/>
        </w:rPr>
        <w:footnoteRef/>
      </w:r>
      <w:r w:rsidR="1F56324F" w:rsidRPr="00B613EB">
        <w:rPr>
          <w:rFonts w:asciiTheme="minorHAnsi" w:eastAsia="Calibri" w:hAnsiTheme="minorHAnsi" w:cstheme="minorHAnsi"/>
          <w:sz w:val="16"/>
          <w:szCs w:val="16"/>
        </w:rPr>
        <w:t xml:space="preserve"> </w:t>
      </w:r>
      <w:r w:rsidR="1F56324F" w:rsidRPr="00B613EB">
        <w:rPr>
          <w:rFonts w:asciiTheme="minorHAnsi" w:eastAsia="Calibri" w:hAnsiTheme="minorHAnsi" w:cstheme="minorHAnsi"/>
          <w:color w:val="0563C1"/>
          <w:sz w:val="16"/>
          <w:szCs w:val="16"/>
          <w:u w:val="single"/>
          <w:lang w:val="en-US"/>
        </w:rPr>
        <w:t xml:space="preserve">Findings of a Rapid Gender Analysis of COVID-19 in Palestine April 2020, UN Women </w:t>
      </w:r>
    </w:p>
  </w:footnote>
  <w:footnote w:id="63">
    <w:p w14:paraId="4B31191E" w14:textId="1E893391" w:rsidR="33A8402B" w:rsidRPr="00B613EB" w:rsidRDefault="33A8402B" w:rsidP="33A8402B">
      <w:pPr>
        <w:pStyle w:val="FootnoteText"/>
        <w:rPr>
          <w:rFonts w:asciiTheme="minorHAnsi" w:hAnsiTheme="minorHAnsi" w:cstheme="minorHAnsi"/>
          <w:sz w:val="16"/>
          <w:szCs w:val="16"/>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ibid</w:t>
      </w:r>
    </w:p>
  </w:footnote>
  <w:footnote w:id="64">
    <w:p w14:paraId="2F975460" w14:textId="53642601" w:rsidR="33A8402B" w:rsidRPr="00B613EB" w:rsidRDefault="33A8402B" w:rsidP="1F56324F">
      <w:pPr>
        <w:spacing w:line="300" w:lineRule="exact"/>
        <w:rPr>
          <w:rFonts w:asciiTheme="minorHAnsi" w:hAnsiTheme="minorHAnsi" w:cstheme="minorHAnsi"/>
          <w:sz w:val="16"/>
          <w:szCs w:val="16"/>
          <w:lang w:val="en-US"/>
        </w:rPr>
      </w:pPr>
      <w:r w:rsidRPr="00B613EB">
        <w:rPr>
          <w:rStyle w:val="FootnoteReference"/>
          <w:rFonts w:asciiTheme="minorHAnsi" w:eastAsia="Calibri" w:hAnsiTheme="minorHAnsi" w:cstheme="minorHAnsi"/>
          <w:sz w:val="16"/>
          <w:szCs w:val="16"/>
        </w:rPr>
        <w:footnoteRef/>
      </w:r>
      <w:r w:rsidR="1F56324F" w:rsidRPr="00B613EB">
        <w:rPr>
          <w:rFonts w:asciiTheme="minorHAnsi" w:eastAsia="Calibri" w:hAnsiTheme="minorHAnsi" w:cstheme="minorHAnsi"/>
          <w:sz w:val="16"/>
          <w:szCs w:val="16"/>
        </w:rPr>
        <w:t xml:space="preserve"> </w:t>
      </w:r>
      <w:r w:rsidR="1F56324F" w:rsidRPr="00B613EB">
        <w:rPr>
          <w:rFonts w:asciiTheme="minorHAnsi" w:hAnsiTheme="minorHAnsi" w:cstheme="minorHAnsi"/>
          <w:sz w:val="16"/>
          <w:szCs w:val="16"/>
          <w:lang w:val="en-US"/>
        </w:rPr>
        <w:t>ibid</w:t>
      </w:r>
    </w:p>
    <w:p w14:paraId="01594E21" w14:textId="755E9D82" w:rsidR="33A8402B" w:rsidRDefault="33A8402B" w:rsidP="33A8402B">
      <w:pPr>
        <w:pStyle w:val="FootnoteText"/>
      </w:pPr>
    </w:p>
  </w:footnote>
  <w:footnote w:id="65">
    <w:p w14:paraId="770AADF1" w14:textId="006F7C6D" w:rsidR="0088471F" w:rsidRPr="00B613EB" w:rsidRDefault="0088471F" w:rsidP="08E1794F">
      <w:pPr>
        <w:pStyle w:val="FootnoteText"/>
        <w:rPr>
          <w:rFonts w:asciiTheme="minorHAnsi" w:hAnsiTheme="minorHAnsi" w:cstheme="minorHAnsi"/>
        </w:rPr>
      </w:pPr>
      <w:r w:rsidRPr="00B613EB">
        <w:rPr>
          <w:rStyle w:val="FootnoteReference"/>
          <w:rFonts w:asciiTheme="minorHAnsi" w:hAnsiTheme="minorHAnsi" w:cstheme="minorHAnsi"/>
          <w:sz w:val="16"/>
          <w:szCs w:val="16"/>
        </w:rPr>
        <w:footnoteRef/>
      </w:r>
      <w:r w:rsidRPr="00B613EB">
        <w:rPr>
          <w:rFonts w:asciiTheme="minorHAnsi" w:hAnsiTheme="minorHAnsi" w:cstheme="minorHAnsi"/>
          <w:sz w:val="16"/>
          <w:szCs w:val="16"/>
        </w:rPr>
        <w:t xml:space="preserve"> https://www.weps.org/about</w:t>
      </w:r>
    </w:p>
  </w:footnote>
  <w:footnote w:id="66">
    <w:p w14:paraId="00021E5B" w14:textId="06BE6555" w:rsidR="000B3B41" w:rsidRPr="000B3B41" w:rsidRDefault="000B3B41">
      <w:pPr>
        <w:pStyle w:val="FootnoteText"/>
        <w:rPr>
          <w:rFonts w:asciiTheme="minorHAnsi" w:hAnsiTheme="minorHAnsi" w:cstheme="minorHAnsi"/>
          <w:sz w:val="16"/>
          <w:szCs w:val="16"/>
        </w:rPr>
      </w:pPr>
      <w:r w:rsidRPr="000B3B41">
        <w:rPr>
          <w:rStyle w:val="FootnoteReference"/>
          <w:rFonts w:asciiTheme="minorHAnsi" w:hAnsiTheme="minorHAnsi" w:cstheme="minorHAnsi"/>
          <w:sz w:val="16"/>
          <w:szCs w:val="16"/>
        </w:rPr>
        <w:footnoteRef/>
      </w:r>
      <w:r w:rsidRPr="000B3B41">
        <w:rPr>
          <w:rFonts w:asciiTheme="minorHAnsi" w:hAnsiTheme="minorHAnsi" w:cstheme="minorHAnsi"/>
          <w:sz w:val="16"/>
          <w:szCs w:val="16"/>
        </w:rPr>
        <w:t xml:space="preserve"> All targeted countries do not </w:t>
      </w:r>
      <w:r>
        <w:rPr>
          <w:rFonts w:asciiTheme="minorHAnsi" w:hAnsiTheme="minorHAnsi" w:cstheme="minorHAnsi"/>
          <w:sz w:val="16"/>
          <w:szCs w:val="16"/>
        </w:rPr>
        <w:t>implement</w:t>
      </w:r>
      <w:r w:rsidRPr="000B3B41">
        <w:rPr>
          <w:rFonts w:asciiTheme="minorHAnsi" w:hAnsiTheme="minorHAnsi" w:cstheme="minorHAnsi"/>
          <w:sz w:val="16"/>
          <w:szCs w:val="16"/>
        </w:rPr>
        <w:t xml:space="preserve"> all the interventions. </w:t>
      </w:r>
      <w:r>
        <w:rPr>
          <w:rFonts w:asciiTheme="minorHAnsi" w:hAnsiTheme="minorHAnsi" w:cstheme="minorHAnsi"/>
          <w:sz w:val="16"/>
          <w:szCs w:val="16"/>
        </w:rPr>
        <w:t xml:space="preserve">Country specific interventions details to be included in the evaluation report. </w:t>
      </w:r>
    </w:p>
  </w:footnote>
  <w:footnote w:id="67">
    <w:p w14:paraId="67C34553" w14:textId="1217F6BF" w:rsidR="5DC39AF9" w:rsidRDefault="5DC39AF9" w:rsidP="5DC39AF9">
      <w:pPr>
        <w:pStyle w:val="FootnoteText"/>
      </w:pPr>
      <w:r w:rsidRPr="5DC39AF9">
        <w:rPr>
          <w:rStyle w:val="FootnoteReference"/>
        </w:rPr>
        <w:footnoteRef/>
      </w:r>
      <w:r w:rsidRPr="5DC39AF9">
        <w:t xml:space="preserve"> </w:t>
      </w:r>
      <w:r w:rsidRPr="5DC39AF9">
        <w:rPr>
          <w:rFonts w:ascii="Times New Roman" w:hAnsi="Times New Roman" w:cs="Times New Roman"/>
          <w:color w:val="000000" w:themeColor="text1"/>
          <w:sz w:val="16"/>
          <w:szCs w:val="16"/>
        </w:rPr>
        <w:t>http://www.uneval.org/document/download/2111</w:t>
      </w:r>
    </w:p>
  </w:footnote>
  <w:footnote w:id="68">
    <w:p w14:paraId="391CCA9F" w14:textId="446A3172" w:rsidR="5D01B36E" w:rsidRPr="002D6FF3" w:rsidRDefault="5D01B36E" w:rsidP="002D6FF3">
      <w:pPr>
        <w:rPr>
          <w:rFonts w:asciiTheme="minorHAnsi" w:hAnsiTheme="minorHAnsi" w:cstheme="minorHAnsi"/>
          <w:color w:val="000000" w:themeColor="text1"/>
          <w:sz w:val="16"/>
          <w:szCs w:val="16"/>
        </w:rPr>
      </w:pPr>
      <w:r w:rsidRPr="002E78FA">
        <w:rPr>
          <w:rStyle w:val="FootnoteReference"/>
          <w:rFonts w:asciiTheme="minorHAnsi" w:eastAsia="Calibri" w:hAnsiTheme="minorHAnsi" w:cstheme="minorHAnsi"/>
          <w:color w:val="000000" w:themeColor="text1"/>
          <w:sz w:val="16"/>
          <w:szCs w:val="16"/>
        </w:rPr>
        <w:footnoteRef/>
      </w:r>
      <w:r w:rsidRPr="002E78FA">
        <w:rPr>
          <w:rFonts w:asciiTheme="minorHAnsi" w:eastAsia="Calibri" w:hAnsiTheme="minorHAnsi" w:cstheme="minorHAnsi"/>
          <w:color w:val="000000" w:themeColor="text1"/>
          <w:sz w:val="16"/>
          <w:szCs w:val="16"/>
        </w:rPr>
        <w:t xml:space="preserve"> </w:t>
      </w:r>
      <w:hyperlink r:id="rId8" w:history="1">
        <w:r w:rsidRPr="002E78FA">
          <w:rPr>
            <w:rStyle w:val="Hyperlink"/>
            <w:rFonts w:asciiTheme="minorHAnsi" w:eastAsia="Calibri" w:hAnsiTheme="minorHAnsi" w:cstheme="minorHAnsi"/>
            <w:color w:val="000000" w:themeColor="text1"/>
            <w:sz w:val="16"/>
            <w:szCs w:val="16"/>
            <w:lang w:val="en-US"/>
          </w:rPr>
          <w:t>Sida’s evaluation handbook_April 2020</w:t>
        </w:r>
      </w:hyperlink>
    </w:p>
  </w:footnote>
  <w:footnote w:id="69">
    <w:p w14:paraId="76058085" w14:textId="24DF0875" w:rsidR="0088471F" w:rsidRPr="002E78FA" w:rsidRDefault="0088471F" w:rsidP="002E78FA">
      <w:pPr>
        <w:jc w:val="both"/>
        <w:rPr>
          <w:rFonts w:asciiTheme="minorHAnsi" w:hAnsiTheme="minorHAnsi" w:cstheme="minorHAnsi"/>
          <w:sz w:val="16"/>
          <w:szCs w:val="16"/>
        </w:rPr>
      </w:pPr>
      <w:r w:rsidRPr="002E78FA">
        <w:rPr>
          <w:rStyle w:val="FootnoteReference"/>
          <w:rFonts w:asciiTheme="minorHAnsi" w:hAnsiTheme="minorHAnsi" w:cstheme="minorHAnsi"/>
          <w:sz w:val="16"/>
          <w:szCs w:val="16"/>
        </w:rPr>
        <w:footnoteRef/>
      </w:r>
      <w:r w:rsidRPr="002E78FA">
        <w:rPr>
          <w:rFonts w:asciiTheme="minorHAnsi" w:hAnsiTheme="minorHAnsi" w:cstheme="minorHAnsi"/>
          <w:sz w:val="16"/>
          <w:szCs w:val="16"/>
        </w:rPr>
        <w:t xml:space="preserve"> </w:t>
      </w:r>
      <w:r w:rsidRPr="002E78FA">
        <w:rPr>
          <w:rStyle w:val="normaltextrun"/>
          <w:rFonts w:asciiTheme="minorHAnsi" w:hAnsiTheme="minorHAnsi" w:cstheme="minorHAnsi"/>
          <w:color w:val="000000"/>
          <w:sz w:val="16"/>
          <w:szCs w:val="16"/>
          <w:shd w:val="clear" w:color="auto" w:fill="FFFFFF"/>
        </w:rPr>
        <w:t>Theory-based approaches to evaluation use an explicit theory of change to draw conclusions about whether and how an intervention contributed to observed results. For more information, refer to </w:t>
      </w:r>
      <w:hyperlink r:id="rId9" w:tgtFrame="_blank" w:history="1">
        <w:r w:rsidRPr="002E78FA">
          <w:rPr>
            <w:rStyle w:val="normaltextrun"/>
            <w:rFonts w:asciiTheme="minorHAnsi" w:hAnsiTheme="minorHAnsi" w:cstheme="minorHAnsi"/>
            <w:color w:val="000000"/>
            <w:sz w:val="16"/>
            <w:szCs w:val="16"/>
            <w:u w:val="single"/>
            <w:shd w:val="clear" w:color="auto" w:fill="E1E3E6"/>
          </w:rPr>
          <w:t>Government of Canada: Theory-based Approaches to Evaluation: Concepts and Practices</w:t>
        </w:r>
      </w:hyperlink>
      <w:r w:rsidRPr="002E78FA">
        <w:rPr>
          <w:rStyle w:val="normaltextrun"/>
          <w:rFonts w:asciiTheme="minorHAnsi" w:hAnsiTheme="minorHAnsi" w:cstheme="minorHAnsi"/>
          <w:color w:val="000000"/>
          <w:sz w:val="16"/>
          <w:szCs w:val="16"/>
          <w:shd w:val="clear" w:color="auto" w:fill="FFFFFF"/>
        </w:rPr>
        <w:t>, 2012</w:t>
      </w:r>
      <w:r w:rsidRPr="002E78FA">
        <w:rPr>
          <w:rStyle w:val="eop"/>
          <w:rFonts w:asciiTheme="minorHAnsi" w:hAnsiTheme="minorHAnsi" w:cstheme="minorHAnsi"/>
          <w:color w:val="000000"/>
          <w:sz w:val="16"/>
          <w:szCs w:val="16"/>
          <w:shd w:val="clear" w:color="auto" w:fill="FFFFFF"/>
        </w:rPr>
        <w:t> </w:t>
      </w:r>
    </w:p>
  </w:footnote>
  <w:footnote w:id="70">
    <w:p w14:paraId="35E98A96" w14:textId="092EFA9D" w:rsidR="0088471F" w:rsidRPr="00B56B9A" w:rsidRDefault="0088471F" w:rsidP="00B56B9A">
      <w:pPr>
        <w:jc w:val="both"/>
        <w:rPr>
          <w:rFonts w:asciiTheme="minorHAnsi" w:hAnsiTheme="minorHAnsi" w:cstheme="minorHAnsi"/>
          <w:sz w:val="16"/>
          <w:szCs w:val="16"/>
        </w:rPr>
      </w:pPr>
      <w:r w:rsidRPr="002E78FA">
        <w:rPr>
          <w:rStyle w:val="FootnoteReference"/>
          <w:rFonts w:asciiTheme="minorHAnsi" w:hAnsiTheme="minorHAnsi" w:cstheme="minorHAnsi"/>
          <w:sz w:val="16"/>
          <w:szCs w:val="16"/>
        </w:rPr>
        <w:footnoteRef/>
      </w:r>
      <w:r w:rsidRPr="002E78FA">
        <w:rPr>
          <w:rFonts w:asciiTheme="minorHAnsi" w:hAnsiTheme="minorHAnsi" w:cstheme="minorHAnsi"/>
          <w:sz w:val="16"/>
          <w:szCs w:val="16"/>
        </w:rPr>
        <w:t xml:space="preserve"> </w:t>
      </w:r>
      <w:r w:rsidRPr="002E78FA">
        <w:rPr>
          <w:rStyle w:val="normaltextrun"/>
          <w:rFonts w:asciiTheme="minorHAnsi" w:hAnsiTheme="minorHAnsi" w:cstheme="minorHAnsi"/>
          <w:color w:val="000000"/>
          <w:sz w:val="16"/>
          <w:szCs w:val="16"/>
          <w:shd w:val="clear" w:color="auto" w:fill="FFFFFF"/>
        </w:rPr>
        <w:t>Utilization-focused evaluation has a strong focus on participation of intended users of the evaluation throughout the evaluation process to promote the use by intended users. For more information, refer to </w:t>
      </w:r>
      <w:hyperlink r:id="rId10" w:tgtFrame="_blank" w:history="1">
        <w:r w:rsidRPr="002E78FA">
          <w:rPr>
            <w:rStyle w:val="normaltextrun"/>
            <w:rFonts w:asciiTheme="minorHAnsi" w:hAnsiTheme="minorHAnsi" w:cstheme="minorHAnsi"/>
            <w:color w:val="000000"/>
            <w:sz w:val="16"/>
            <w:szCs w:val="16"/>
            <w:shd w:val="clear" w:color="auto" w:fill="E1E3E6"/>
          </w:rPr>
          <w:t>Good practices in gender-responsive evaluations - UN Women</w:t>
        </w:r>
      </w:hyperlink>
      <w:r w:rsidRPr="002E78FA">
        <w:rPr>
          <w:rStyle w:val="normaltextrun"/>
          <w:rFonts w:asciiTheme="minorHAnsi" w:hAnsiTheme="minorHAnsi" w:cstheme="minorHAnsi"/>
          <w:color w:val="000000"/>
          <w:sz w:val="16"/>
          <w:szCs w:val="16"/>
          <w:shd w:val="clear" w:color="auto" w:fill="FFFFFF"/>
        </w:rPr>
        <w:t>, 2020</w:t>
      </w:r>
    </w:p>
  </w:footnote>
  <w:footnote w:id="71">
    <w:p w14:paraId="5517895C" w14:textId="67C0C93A" w:rsidR="0088471F" w:rsidRPr="002E78FA" w:rsidRDefault="0088471F">
      <w:pPr>
        <w:pStyle w:val="FootnoteText"/>
        <w:rPr>
          <w:rFonts w:asciiTheme="minorHAnsi" w:hAnsiTheme="minorHAnsi" w:cstheme="minorHAnsi"/>
          <w:sz w:val="16"/>
          <w:szCs w:val="16"/>
        </w:rPr>
      </w:pPr>
      <w:r w:rsidRPr="002E78FA">
        <w:rPr>
          <w:rStyle w:val="FootnoteReference"/>
          <w:rFonts w:asciiTheme="minorHAnsi" w:hAnsiTheme="minorHAnsi" w:cstheme="minorHAnsi"/>
          <w:sz w:val="16"/>
          <w:szCs w:val="16"/>
        </w:rPr>
        <w:footnoteRef/>
      </w:r>
      <w:r w:rsidRPr="002E78FA">
        <w:rPr>
          <w:rFonts w:asciiTheme="minorHAnsi" w:hAnsiTheme="minorHAnsi" w:cstheme="minorHAnsi"/>
          <w:sz w:val="16"/>
          <w:szCs w:val="16"/>
        </w:rPr>
        <w:t xml:space="preserve"> </w:t>
      </w:r>
      <w:hyperlink r:id="rId11">
        <w:r w:rsidRPr="002E78FA">
          <w:rPr>
            <w:rStyle w:val="Hyperlink"/>
            <w:rFonts w:asciiTheme="minorHAnsi" w:eastAsia="Times New Roman" w:hAnsiTheme="minorHAnsi" w:cstheme="minorHAnsi"/>
            <w:sz w:val="16"/>
            <w:szCs w:val="16"/>
          </w:rPr>
          <w:t>Social and Behaviour Change and Gender: Models and Frameworks</w:t>
        </w:r>
      </w:hyperlink>
    </w:p>
  </w:footnote>
  <w:footnote w:id="72">
    <w:p w14:paraId="29C0A366" w14:textId="68995E39" w:rsidR="0088471F" w:rsidRPr="00B56B9A" w:rsidRDefault="0088471F" w:rsidP="00F36853">
      <w:pPr>
        <w:rPr>
          <w:rFonts w:asciiTheme="minorHAnsi" w:hAnsiTheme="minorHAnsi" w:cstheme="minorHAnsi"/>
          <w:sz w:val="16"/>
          <w:szCs w:val="16"/>
        </w:rPr>
      </w:pPr>
      <w:r w:rsidRPr="00B56B9A">
        <w:rPr>
          <w:rStyle w:val="FootnoteReference"/>
          <w:rFonts w:asciiTheme="minorHAnsi" w:hAnsiTheme="minorHAnsi" w:cstheme="minorHAnsi"/>
          <w:sz w:val="16"/>
          <w:szCs w:val="16"/>
        </w:rPr>
        <w:footnoteRef/>
      </w:r>
      <w:r w:rsidRPr="00B56B9A">
        <w:rPr>
          <w:rFonts w:asciiTheme="minorHAnsi" w:hAnsiTheme="minorHAnsi" w:cstheme="minorHAnsi"/>
          <w:sz w:val="16"/>
          <w:szCs w:val="16"/>
        </w:rPr>
        <w:t xml:space="preserve"> </w:t>
      </w:r>
      <w:hyperlink r:id="rId12" w:history="1">
        <w:r w:rsidRPr="00B56B9A">
          <w:rPr>
            <w:rStyle w:val="Hyperlink"/>
            <w:rFonts w:asciiTheme="minorHAnsi" w:hAnsiTheme="minorHAnsi" w:cstheme="minorHAnsi"/>
            <w:sz w:val="16"/>
            <w:szCs w:val="16"/>
          </w:rPr>
          <w:t>Training for Gender Equality (TfGE) analytical Framework</w:t>
        </w:r>
      </w:hyperlink>
    </w:p>
  </w:footnote>
  <w:footnote w:id="73">
    <w:p w14:paraId="700CE646" w14:textId="75A29708" w:rsidR="0088471F" w:rsidRPr="00B56B9A" w:rsidRDefault="0088471F" w:rsidP="00F36853">
      <w:pPr>
        <w:rPr>
          <w:rFonts w:asciiTheme="minorHAnsi" w:hAnsiTheme="minorHAnsi" w:cstheme="minorHAnsi"/>
          <w:sz w:val="16"/>
          <w:szCs w:val="16"/>
        </w:rPr>
      </w:pPr>
      <w:r w:rsidRPr="00B56B9A">
        <w:rPr>
          <w:rStyle w:val="FootnoteReference"/>
          <w:rFonts w:asciiTheme="minorHAnsi" w:hAnsiTheme="minorHAnsi" w:cstheme="minorHAnsi"/>
          <w:sz w:val="16"/>
          <w:szCs w:val="16"/>
        </w:rPr>
        <w:footnoteRef/>
      </w:r>
      <w:r w:rsidRPr="00B56B9A">
        <w:rPr>
          <w:rFonts w:asciiTheme="minorHAnsi" w:hAnsiTheme="minorHAnsi" w:cstheme="minorHAnsi"/>
          <w:sz w:val="16"/>
          <w:szCs w:val="16"/>
        </w:rPr>
        <w:t xml:space="preserve"> </w:t>
      </w:r>
      <w:hyperlink r:id="rId13" w:history="1">
        <w:r w:rsidRPr="00B56B9A">
          <w:rPr>
            <w:rStyle w:val="Hyperlink"/>
            <w:rFonts w:asciiTheme="minorHAnsi" w:hAnsiTheme="minorHAnsi" w:cstheme="minorHAnsi"/>
            <w:sz w:val="16"/>
            <w:szCs w:val="16"/>
          </w:rPr>
          <w:t>https://www.kirkpatrickpartners.com/the-kirkpatrick-model/</w:t>
        </w:r>
      </w:hyperlink>
    </w:p>
  </w:footnote>
  <w:footnote w:id="74">
    <w:p w14:paraId="22B99C4B" w14:textId="77777777" w:rsidR="002E78FA" w:rsidRPr="00B56B9A" w:rsidRDefault="002E78FA" w:rsidP="002E78FA">
      <w:pPr>
        <w:pStyle w:val="NormalWeb"/>
        <w:spacing w:before="0" w:beforeAutospacing="0" w:after="0" w:afterAutospacing="0"/>
        <w:rPr>
          <w:rFonts w:asciiTheme="minorHAnsi" w:hAnsiTheme="minorHAnsi" w:cstheme="minorHAnsi"/>
          <w:color w:val="000000"/>
          <w:sz w:val="16"/>
          <w:szCs w:val="16"/>
        </w:rPr>
      </w:pPr>
      <w:r w:rsidRPr="00B56B9A">
        <w:rPr>
          <w:rStyle w:val="FootnoteReference"/>
          <w:rFonts w:asciiTheme="minorHAnsi" w:hAnsiTheme="minorHAnsi" w:cstheme="minorHAnsi"/>
          <w:sz w:val="16"/>
          <w:szCs w:val="16"/>
        </w:rPr>
        <w:footnoteRef/>
      </w:r>
      <w:r w:rsidRPr="00B56B9A">
        <w:rPr>
          <w:rFonts w:asciiTheme="minorHAnsi" w:hAnsiTheme="minorHAnsi" w:cstheme="minorHAnsi"/>
          <w:sz w:val="16"/>
          <w:szCs w:val="16"/>
        </w:rPr>
        <w:t xml:space="preserve"> </w:t>
      </w:r>
      <w:r w:rsidRPr="00B56B9A">
        <w:rPr>
          <w:rFonts w:asciiTheme="minorHAnsi" w:hAnsiTheme="minorHAnsi" w:cstheme="minorHAnsi"/>
          <w:color w:val="000000"/>
          <w:sz w:val="16"/>
          <w:szCs w:val="16"/>
        </w:rPr>
        <w:t>Coffman J, Reed E (n.d.), </w:t>
      </w:r>
      <w:r w:rsidRPr="00B56B9A">
        <w:rPr>
          <w:rStyle w:val="Emphasis"/>
          <w:rFonts w:asciiTheme="minorHAnsi" w:eastAsiaTheme="majorEastAsia" w:hAnsiTheme="minorHAnsi" w:cstheme="minorHAnsi"/>
          <w:color w:val="000000"/>
          <w:sz w:val="16"/>
          <w:szCs w:val="16"/>
        </w:rPr>
        <w:t>Unique Methods in Advocacy Evaluation. </w:t>
      </w:r>
      <w:r w:rsidRPr="00B56B9A">
        <w:rPr>
          <w:rFonts w:asciiTheme="minorHAnsi" w:hAnsiTheme="minorHAnsi" w:cstheme="minorHAnsi"/>
          <w:color w:val="000000"/>
          <w:sz w:val="16"/>
          <w:szCs w:val="16"/>
        </w:rPr>
        <w:t>Harvard Family Research Project, Innovation Network. Retrieved from </w:t>
      </w:r>
      <w:hyperlink r:id="rId14" w:tgtFrame="_blank" w:history="1">
        <w:r w:rsidRPr="00B56B9A">
          <w:rPr>
            <w:rStyle w:val="Hyperlink"/>
            <w:rFonts w:asciiTheme="minorHAnsi" w:hAnsiTheme="minorHAnsi" w:cstheme="minorHAnsi"/>
            <w:color w:val="1C88DD"/>
            <w:sz w:val="16"/>
            <w:szCs w:val="16"/>
          </w:rPr>
          <w:t>http://www.innonet.org/resources/files/Unique_Methods_Brief.pdf</w:t>
        </w:r>
      </w:hyperlink>
    </w:p>
    <w:p w14:paraId="45ADBCF1" w14:textId="77777777" w:rsidR="002E78FA" w:rsidRDefault="002E78FA" w:rsidP="002E78FA"/>
    <w:p w14:paraId="35363F45" w14:textId="77777777" w:rsidR="002E78FA" w:rsidRPr="00577802" w:rsidRDefault="002E78FA" w:rsidP="002E78FA">
      <w:pPr>
        <w:pStyle w:val="FootnoteText"/>
      </w:pPr>
    </w:p>
  </w:footnote>
  <w:footnote w:id="75">
    <w:p w14:paraId="34845BDF" w14:textId="2E539A1F" w:rsidR="0088471F" w:rsidRPr="003235F3" w:rsidRDefault="0088471F">
      <w:pPr>
        <w:pStyle w:val="FootnoteText"/>
        <w:rPr>
          <w:rFonts w:ascii="Times New Roman" w:hAnsi="Times New Roman" w:cs="Times New Roman"/>
          <w:sz w:val="16"/>
          <w:szCs w:val="16"/>
          <w:lang w:val="en-GB"/>
        </w:rPr>
      </w:pPr>
      <w:r w:rsidRPr="003235F3">
        <w:rPr>
          <w:rStyle w:val="FootnoteReference"/>
          <w:rFonts w:ascii="Times New Roman" w:hAnsi="Times New Roman" w:cs="Times New Roman"/>
          <w:sz w:val="16"/>
          <w:szCs w:val="16"/>
        </w:rPr>
        <w:footnoteRef/>
      </w:r>
      <w:r w:rsidRPr="003235F3">
        <w:rPr>
          <w:rFonts w:ascii="Times New Roman" w:hAnsi="Times New Roman" w:cs="Times New Roman"/>
          <w:sz w:val="16"/>
          <w:szCs w:val="16"/>
        </w:rPr>
        <w:t xml:space="preserve"> </w:t>
      </w:r>
      <w:r w:rsidRPr="003235F3">
        <w:rPr>
          <w:rFonts w:ascii="Times New Roman" w:hAnsi="Times New Roman" w:cs="Times New Roman"/>
          <w:sz w:val="16"/>
          <w:szCs w:val="16"/>
          <w:lang w:val="en-GB"/>
        </w:rPr>
        <w:t>ibid</w:t>
      </w:r>
    </w:p>
  </w:footnote>
  <w:footnote w:id="76">
    <w:p w14:paraId="48E994F1" w14:textId="4E8E8084" w:rsidR="0088471F" w:rsidRPr="001A6A36" w:rsidRDefault="0088471F" w:rsidP="20C304C7">
      <w:pPr>
        <w:pStyle w:val="FootnoteText"/>
        <w:rPr>
          <w:rFonts w:ascii="Times New Roman" w:hAnsi="Times New Roman" w:cs="Times New Roman"/>
          <w:color w:val="D13438"/>
          <w:sz w:val="16"/>
          <w:szCs w:val="16"/>
          <w:u w:val="single"/>
        </w:rPr>
      </w:pPr>
      <w:r w:rsidRPr="003235F3">
        <w:rPr>
          <w:rStyle w:val="FootnoteReference"/>
          <w:rFonts w:ascii="Times New Roman" w:hAnsi="Times New Roman" w:cs="Times New Roman"/>
          <w:color w:val="000000" w:themeColor="text1"/>
          <w:sz w:val="16"/>
          <w:szCs w:val="16"/>
        </w:rPr>
        <w:footnoteRef/>
      </w:r>
      <w:r w:rsidRPr="003235F3">
        <w:rPr>
          <w:rFonts w:ascii="Times New Roman" w:hAnsi="Times New Roman" w:cs="Times New Roman"/>
          <w:color w:val="000000" w:themeColor="text1"/>
          <w:sz w:val="16"/>
          <w:szCs w:val="16"/>
        </w:rPr>
        <w:t xml:space="preserve"> </w:t>
      </w:r>
      <w:r w:rsidRPr="003235F3">
        <w:rPr>
          <w:rFonts w:ascii="Times New Roman" w:hAnsi="Times New Roman" w:cs="Times New Roman"/>
          <w:color w:val="000000" w:themeColor="text1"/>
          <w:sz w:val="16"/>
          <w:szCs w:val="16"/>
          <w:u w:val="single"/>
        </w:rPr>
        <w:t>http://web.undp.org/evaluation/documents/guidance/gender/GRES_English.pdf</w:t>
      </w:r>
    </w:p>
  </w:footnote>
  <w:footnote w:id="77">
    <w:p w14:paraId="54A1EFE8" w14:textId="2D064F5A" w:rsidR="0088471F" w:rsidRPr="005D413A" w:rsidRDefault="0088471F">
      <w:pPr>
        <w:pStyle w:val="FootnoteText"/>
        <w:rPr>
          <w:rFonts w:ascii="Times New Roman" w:hAnsi="Times New Roman" w:cs="Times New Roman"/>
          <w:sz w:val="16"/>
          <w:szCs w:val="16"/>
          <w:lang w:val="en-GB"/>
        </w:rPr>
      </w:pPr>
      <w:r w:rsidRPr="005D413A">
        <w:rPr>
          <w:rStyle w:val="FootnoteReference"/>
          <w:rFonts w:ascii="Times New Roman" w:hAnsi="Times New Roman" w:cs="Times New Roman"/>
          <w:sz w:val="16"/>
          <w:szCs w:val="16"/>
        </w:rPr>
        <w:footnoteRef/>
      </w:r>
      <w:r w:rsidRPr="005D413A">
        <w:rPr>
          <w:rFonts w:ascii="Times New Roman" w:hAnsi="Times New Roman" w:cs="Times New Roman"/>
          <w:sz w:val="16"/>
          <w:szCs w:val="16"/>
        </w:rPr>
        <w:t xml:space="preserve"> </w:t>
      </w:r>
      <w:r w:rsidRPr="005D413A">
        <w:rPr>
          <w:rFonts w:ascii="Times New Roman" w:hAnsi="Times New Roman" w:cs="Times New Roman"/>
          <w:sz w:val="16"/>
          <w:szCs w:val="16"/>
          <w:lang w:val="en-GB"/>
        </w:rPr>
        <w:t xml:space="preserve">This may not be feasible in all the countries. Timings and the composition of roundtable stakeholders may vary from country to country.  </w:t>
      </w:r>
    </w:p>
  </w:footnote>
  <w:footnote w:id="78">
    <w:p w14:paraId="277A150F" w14:textId="384A7453" w:rsidR="0088471F" w:rsidRPr="002E78FA" w:rsidRDefault="0088471F">
      <w:pPr>
        <w:pStyle w:val="FootnoteText"/>
        <w:rPr>
          <w:rFonts w:asciiTheme="minorHAnsi" w:hAnsiTheme="minorHAnsi" w:cstheme="minorHAnsi"/>
          <w:sz w:val="16"/>
          <w:szCs w:val="16"/>
          <w:lang w:val="en-GB"/>
        </w:rPr>
      </w:pPr>
      <w:r w:rsidRPr="002E78FA">
        <w:rPr>
          <w:rStyle w:val="FootnoteReference"/>
          <w:rFonts w:asciiTheme="minorHAnsi" w:hAnsiTheme="minorHAnsi" w:cstheme="minorHAnsi"/>
          <w:sz w:val="16"/>
          <w:szCs w:val="16"/>
        </w:rPr>
        <w:footnoteRef/>
      </w:r>
      <w:r w:rsidRPr="002E78FA">
        <w:rPr>
          <w:rFonts w:asciiTheme="minorHAnsi" w:hAnsiTheme="minorHAnsi" w:cstheme="minorHAnsi"/>
          <w:sz w:val="16"/>
          <w:szCs w:val="16"/>
        </w:rPr>
        <w:t xml:space="preserve"> </w:t>
      </w:r>
      <w:hyperlink r:id="rId15" w:tgtFrame="_blank" w:history="1">
        <w:r w:rsidRPr="002E78FA">
          <w:rPr>
            <w:rFonts w:asciiTheme="minorHAnsi" w:eastAsia="Times New Roman" w:hAnsiTheme="minorHAnsi" w:cstheme="minorHAnsi"/>
            <w:sz w:val="16"/>
            <w:szCs w:val="16"/>
            <w:u w:val="single"/>
            <w:shd w:val="clear" w:color="auto" w:fill="FFFFFF"/>
            <w:lang w:val="en-GB" w:eastAsia="en-GB"/>
          </w:rPr>
          <w:t>GERRAS Guidance as of July 2021</w:t>
        </w:r>
      </w:hyperlink>
      <w:r w:rsidRPr="002E78FA">
        <w:rPr>
          <w:rFonts w:asciiTheme="minorHAnsi" w:eastAsia="Times New Roman" w:hAnsiTheme="minorHAnsi" w:cstheme="minorHAnsi"/>
          <w:sz w:val="16"/>
          <w:szCs w:val="16"/>
          <w:shd w:val="clear" w:color="auto" w:fill="FFFFFF"/>
          <w:lang w:val="en-GB" w:eastAsia="en-GB"/>
        </w:rPr>
        <w:t> and </w:t>
      </w:r>
      <w:hyperlink r:id="rId16" w:tgtFrame="_blank" w:history="1">
        <w:r w:rsidRPr="002E78FA">
          <w:rPr>
            <w:rFonts w:asciiTheme="minorHAnsi" w:eastAsia="Times New Roman" w:hAnsiTheme="minorHAnsi" w:cstheme="minorHAnsi"/>
            <w:sz w:val="16"/>
            <w:szCs w:val="16"/>
            <w:u w:val="single"/>
            <w:shd w:val="clear" w:color="auto" w:fill="FFFFFF"/>
            <w:lang w:val="en-GB" w:eastAsia="en-GB"/>
          </w:rPr>
          <w:t>EQA matrix</w:t>
        </w:r>
      </w:hyperlink>
    </w:p>
  </w:footnote>
  <w:footnote w:id="79">
    <w:p w14:paraId="39C5B06E" w14:textId="77777777" w:rsidR="0088471F" w:rsidRPr="002E78FA" w:rsidRDefault="0088471F" w:rsidP="00851013">
      <w:pPr>
        <w:pStyle w:val="Itadtablestyle"/>
        <w:numPr>
          <w:ilvl w:val="0"/>
          <w:numId w:val="0"/>
        </w:numPr>
        <w:rPr>
          <w:rFonts w:asciiTheme="minorHAnsi" w:hAnsiTheme="minorHAnsi" w:cstheme="minorHAnsi"/>
          <w:color w:val="000000" w:themeColor="text1"/>
          <w:sz w:val="16"/>
          <w:szCs w:val="16"/>
        </w:rPr>
      </w:pPr>
      <w:r w:rsidRPr="002E78FA">
        <w:rPr>
          <w:rStyle w:val="FootnoteReference"/>
          <w:rFonts w:asciiTheme="minorHAnsi" w:hAnsiTheme="minorHAnsi" w:cstheme="minorHAnsi"/>
          <w:sz w:val="16"/>
          <w:szCs w:val="16"/>
        </w:rPr>
        <w:footnoteRef/>
      </w:r>
      <w:r w:rsidRPr="002E78FA">
        <w:rPr>
          <w:rFonts w:asciiTheme="minorHAnsi" w:hAnsiTheme="minorHAnsi" w:cstheme="minorHAnsi"/>
          <w:sz w:val="16"/>
          <w:szCs w:val="16"/>
        </w:rPr>
        <w:t xml:space="preserve"> </w:t>
      </w:r>
      <w:r w:rsidRPr="002E78FA">
        <w:rPr>
          <w:rStyle w:val="Strong"/>
          <w:rFonts w:asciiTheme="minorHAnsi" w:hAnsiTheme="minorHAnsi" w:cstheme="minorHAnsi"/>
          <w:color w:val="000000" w:themeColor="text1"/>
          <w:sz w:val="16"/>
          <w:szCs w:val="16"/>
          <w:bdr w:val="none" w:sz="0" w:space="0" w:color="auto" w:frame="1"/>
        </w:rPr>
        <w:t>UN Women Global Evaluation Report Assessment and Analysis</w:t>
      </w:r>
      <w:r w:rsidRPr="002E78FA">
        <w:rPr>
          <w:rFonts w:asciiTheme="minorHAnsi" w:hAnsiTheme="minorHAnsi" w:cstheme="minorHAnsi"/>
          <w:color w:val="000000" w:themeColor="text1"/>
          <w:sz w:val="16"/>
          <w:szCs w:val="16"/>
          <w:bdr w:val="none" w:sz="0" w:space="0" w:color="auto" w:frame="1"/>
        </w:rPr>
        <w:t xml:space="preserve"> </w:t>
      </w:r>
      <w:r w:rsidRPr="002E78FA">
        <w:rPr>
          <w:rStyle w:val="Strong"/>
          <w:rFonts w:asciiTheme="minorHAnsi" w:hAnsiTheme="minorHAnsi" w:cstheme="minorHAnsi"/>
          <w:color w:val="000000" w:themeColor="text1"/>
          <w:sz w:val="16"/>
          <w:szCs w:val="16"/>
          <w:bdr w:val="none" w:sz="0" w:space="0" w:color="auto" w:frame="1"/>
        </w:rPr>
        <w:t>System (</w:t>
      </w:r>
      <w:r w:rsidRPr="002E78FA">
        <w:rPr>
          <w:rStyle w:val="mark71xdbx74e"/>
          <w:rFonts w:asciiTheme="minorHAnsi" w:hAnsiTheme="minorHAnsi" w:cstheme="minorHAnsi"/>
          <w:b w:val="0"/>
          <w:bCs w:val="0"/>
          <w:color w:val="000000" w:themeColor="text1"/>
          <w:sz w:val="16"/>
          <w:szCs w:val="16"/>
          <w:bdr w:val="none" w:sz="0" w:space="0" w:color="auto" w:frame="1"/>
        </w:rPr>
        <w:t>GERAAS</w:t>
      </w:r>
      <w:r w:rsidRPr="002E78FA">
        <w:rPr>
          <w:rStyle w:val="Strong"/>
          <w:rFonts w:asciiTheme="minorHAnsi" w:hAnsiTheme="minorHAnsi" w:cstheme="minorHAnsi"/>
          <w:color w:val="000000" w:themeColor="text1"/>
          <w:sz w:val="16"/>
          <w:szCs w:val="16"/>
          <w:bdr w:val="none" w:sz="0" w:space="0" w:color="auto" w:frame="1"/>
        </w:rPr>
        <w:t>)  </w:t>
      </w:r>
      <w:r w:rsidRPr="002E78FA">
        <w:rPr>
          <w:rFonts w:asciiTheme="minorHAnsi" w:hAnsiTheme="minorHAnsi" w:cstheme="minorHAnsi"/>
          <w:color w:val="000000" w:themeColor="text1"/>
          <w:sz w:val="16"/>
          <w:szCs w:val="16"/>
          <w:bdr w:val="none" w:sz="0" w:space="0" w:color="auto" w:frame="1"/>
        </w:rPr>
        <w:t>(</w:t>
      </w:r>
      <w:hyperlink r:id="rId17" w:tgtFrame="_blank" w:history="1">
        <w:r w:rsidRPr="002E78FA">
          <w:rPr>
            <w:rStyle w:val="Hyperlink"/>
            <w:rFonts w:asciiTheme="minorHAnsi" w:hAnsiTheme="minorHAnsi" w:cstheme="minorHAnsi"/>
            <w:color w:val="000000" w:themeColor="text1"/>
            <w:sz w:val="16"/>
            <w:szCs w:val="16"/>
            <w:bdr w:val="none" w:sz="0" w:space="0" w:color="auto" w:frame="1"/>
          </w:rPr>
          <w:t>GERRAS Guidance as of July 2021</w:t>
        </w:r>
      </w:hyperlink>
      <w:r w:rsidRPr="002E78FA">
        <w:rPr>
          <w:rFonts w:asciiTheme="minorHAnsi" w:hAnsiTheme="minorHAnsi" w:cstheme="minorHAnsi"/>
          <w:color w:val="000000" w:themeColor="text1"/>
          <w:sz w:val="16"/>
          <w:szCs w:val="16"/>
          <w:bdr w:val="none" w:sz="0" w:space="0" w:color="auto" w:frame="1"/>
        </w:rPr>
        <w:t> and </w:t>
      </w:r>
      <w:hyperlink r:id="rId18" w:tgtFrame="_blank" w:history="1">
        <w:r w:rsidRPr="002E78FA">
          <w:rPr>
            <w:rStyle w:val="Hyperlink"/>
            <w:rFonts w:asciiTheme="minorHAnsi" w:hAnsiTheme="minorHAnsi" w:cstheme="minorHAnsi"/>
            <w:color w:val="000000" w:themeColor="text1"/>
            <w:sz w:val="16"/>
            <w:szCs w:val="16"/>
            <w:bdr w:val="none" w:sz="0" w:space="0" w:color="auto" w:frame="1"/>
          </w:rPr>
          <w:t>EQA matrix</w:t>
        </w:r>
      </w:hyperlink>
      <w:r w:rsidRPr="002E78FA">
        <w:rPr>
          <w:rFonts w:asciiTheme="minorHAnsi" w:hAnsiTheme="minorHAnsi" w:cstheme="minorHAnsi"/>
          <w:color w:val="000000" w:themeColor="text1"/>
          <w:sz w:val="16"/>
          <w:szCs w:val="16"/>
          <w:bdr w:val="none" w:sz="0" w:space="0" w:color="auto" w:frame="1"/>
        </w:rPr>
        <w:t>) </w:t>
      </w:r>
    </w:p>
    <w:p w14:paraId="7B0D3AA7" w14:textId="700E3E4E" w:rsidR="0088471F" w:rsidRPr="00851013" w:rsidRDefault="008847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CF61" w14:textId="77777777" w:rsidR="00516BD4" w:rsidRDefault="00516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C9"/>
    <w:multiLevelType w:val="hybridMultilevel"/>
    <w:tmpl w:val="4CB2D394"/>
    <w:lvl w:ilvl="0" w:tplc="743CA1BA">
      <w:start w:val="1"/>
      <w:numFmt w:val="lowerLetter"/>
      <w:lvlText w:val="%1."/>
      <w:lvlJc w:val="left"/>
      <w:pPr>
        <w:ind w:left="720" w:hanging="360"/>
      </w:pPr>
      <w:rPr>
        <w:b/>
        <w:bCs/>
        <w:color w:val="000000" w:themeColor="text1"/>
      </w:rPr>
    </w:lvl>
    <w:lvl w:ilvl="1" w:tplc="0234C396">
      <w:start w:val="1"/>
      <w:numFmt w:val="lowerLetter"/>
      <w:lvlText w:val="%2."/>
      <w:lvlJc w:val="left"/>
      <w:pPr>
        <w:ind w:left="1440" w:hanging="360"/>
      </w:pPr>
    </w:lvl>
    <w:lvl w:ilvl="2" w:tplc="CCEAC968">
      <w:start w:val="1"/>
      <w:numFmt w:val="lowerRoman"/>
      <w:lvlText w:val="%3."/>
      <w:lvlJc w:val="right"/>
      <w:pPr>
        <w:ind w:left="2160" w:hanging="180"/>
      </w:pPr>
    </w:lvl>
    <w:lvl w:ilvl="3" w:tplc="4B9E7C30">
      <w:start w:val="1"/>
      <w:numFmt w:val="decimal"/>
      <w:lvlText w:val="%4."/>
      <w:lvlJc w:val="left"/>
      <w:pPr>
        <w:ind w:left="2880" w:hanging="360"/>
      </w:pPr>
    </w:lvl>
    <w:lvl w:ilvl="4" w:tplc="D9DC5A14">
      <w:start w:val="1"/>
      <w:numFmt w:val="lowerLetter"/>
      <w:lvlText w:val="%5."/>
      <w:lvlJc w:val="left"/>
      <w:pPr>
        <w:ind w:left="3600" w:hanging="360"/>
      </w:pPr>
    </w:lvl>
    <w:lvl w:ilvl="5" w:tplc="410845B4">
      <w:start w:val="1"/>
      <w:numFmt w:val="lowerRoman"/>
      <w:lvlText w:val="%6."/>
      <w:lvlJc w:val="right"/>
      <w:pPr>
        <w:ind w:left="4320" w:hanging="180"/>
      </w:pPr>
    </w:lvl>
    <w:lvl w:ilvl="6" w:tplc="619C1CE2">
      <w:start w:val="1"/>
      <w:numFmt w:val="decimal"/>
      <w:lvlText w:val="%7."/>
      <w:lvlJc w:val="left"/>
      <w:pPr>
        <w:ind w:left="5040" w:hanging="360"/>
      </w:pPr>
    </w:lvl>
    <w:lvl w:ilvl="7" w:tplc="77BE538C">
      <w:start w:val="1"/>
      <w:numFmt w:val="lowerLetter"/>
      <w:lvlText w:val="%8."/>
      <w:lvlJc w:val="left"/>
      <w:pPr>
        <w:ind w:left="5760" w:hanging="360"/>
      </w:pPr>
    </w:lvl>
    <w:lvl w:ilvl="8" w:tplc="AF76ACCC">
      <w:start w:val="1"/>
      <w:numFmt w:val="lowerRoman"/>
      <w:lvlText w:val="%9."/>
      <w:lvlJc w:val="right"/>
      <w:pPr>
        <w:ind w:left="6480" w:hanging="180"/>
      </w:pPr>
    </w:lvl>
  </w:abstractNum>
  <w:abstractNum w:abstractNumId="1" w15:restartNumberingAfterBreak="0">
    <w:nsid w:val="03B02690"/>
    <w:multiLevelType w:val="multilevel"/>
    <w:tmpl w:val="16C87C7E"/>
    <w:styleLink w:val="WWNum7"/>
    <w:lvl w:ilvl="0">
      <w:start w:val="1"/>
      <w:numFmt w:val="decimal"/>
      <w:lvlText w:val="%1"/>
      <w:lvlJc w:val="left"/>
      <w:pPr>
        <w:ind w:left="720" w:hanging="360"/>
      </w:pPr>
      <w:rPr>
        <w:rFonts w:eastAsia="Calibri"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566492"/>
    <w:multiLevelType w:val="multilevel"/>
    <w:tmpl w:val="1B90E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A3877"/>
    <w:multiLevelType w:val="multilevel"/>
    <w:tmpl w:val="FED00CE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8DB7784"/>
    <w:multiLevelType w:val="hybridMultilevel"/>
    <w:tmpl w:val="9B1AD274"/>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0742C7"/>
    <w:multiLevelType w:val="hybridMultilevel"/>
    <w:tmpl w:val="18E2E30E"/>
    <w:lvl w:ilvl="0" w:tplc="48508CF8">
      <w:start w:val="1"/>
      <w:numFmt w:val="decimal"/>
      <w:lvlText w:val="%1."/>
      <w:lvlJc w:val="left"/>
      <w:pPr>
        <w:ind w:left="720" w:hanging="360"/>
      </w:pPr>
    </w:lvl>
    <w:lvl w:ilvl="1" w:tplc="AAAAB77C">
      <w:start w:val="1"/>
      <w:numFmt w:val="lowerLetter"/>
      <w:lvlText w:val="%2."/>
      <w:lvlJc w:val="left"/>
      <w:pPr>
        <w:ind w:left="1440" w:hanging="360"/>
      </w:pPr>
    </w:lvl>
    <w:lvl w:ilvl="2" w:tplc="9A5C5CC8">
      <w:start w:val="1"/>
      <w:numFmt w:val="lowerRoman"/>
      <w:lvlText w:val="%3."/>
      <w:lvlJc w:val="right"/>
      <w:pPr>
        <w:ind w:left="2160" w:hanging="180"/>
      </w:pPr>
    </w:lvl>
    <w:lvl w:ilvl="3" w:tplc="ECF4D522">
      <w:start w:val="1"/>
      <w:numFmt w:val="decimal"/>
      <w:lvlText w:val="%4."/>
      <w:lvlJc w:val="left"/>
      <w:pPr>
        <w:ind w:left="2880" w:hanging="360"/>
      </w:pPr>
    </w:lvl>
    <w:lvl w:ilvl="4" w:tplc="30EC322C">
      <w:start w:val="1"/>
      <w:numFmt w:val="lowerLetter"/>
      <w:lvlText w:val="%5."/>
      <w:lvlJc w:val="left"/>
      <w:pPr>
        <w:ind w:left="3600" w:hanging="360"/>
      </w:pPr>
    </w:lvl>
    <w:lvl w:ilvl="5" w:tplc="4E78E12A">
      <w:start w:val="1"/>
      <w:numFmt w:val="lowerRoman"/>
      <w:lvlText w:val="%6."/>
      <w:lvlJc w:val="right"/>
      <w:pPr>
        <w:ind w:left="4320" w:hanging="180"/>
      </w:pPr>
    </w:lvl>
    <w:lvl w:ilvl="6" w:tplc="C622B60E">
      <w:start w:val="1"/>
      <w:numFmt w:val="decimal"/>
      <w:lvlText w:val="%7."/>
      <w:lvlJc w:val="left"/>
      <w:pPr>
        <w:ind w:left="5040" w:hanging="360"/>
      </w:pPr>
    </w:lvl>
    <w:lvl w:ilvl="7" w:tplc="BE1E2854">
      <w:start w:val="1"/>
      <w:numFmt w:val="lowerLetter"/>
      <w:lvlText w:val="%8."/>
      <w:lvlJc w:val="left"/>
      <w:pPr>
        <w:ind w:left="5760" w:hanging="360"/>
      </w:pPr>
    </w:lvl>
    <w:lvl w:ilvl="8" w:tplc="9CF4B854">
      <w:start w:val="1"/>
      <w:numFmt w:val="lowerRoman"/>
      <w:lvlText w:val="%9."/>
      <w:lvlJc w:val="right"/>
      <w:pPr>
        <w:ind w:left="6480" w:hanging="180"/>
      </w:pPr>
    </w:lvl>
  </w:abstractNum>
  <w:abstractNum w:abstractNumId="6" w15:restartNumberingAfterBreak="0">
    <w:nsid w:val="10AC44EE"/>
    <w:multiLevelType w:val="hybridMultilevel"/>
    <w:tmpl w:val="50F414BC"/>
    <w:lvl w:ilvl="0" w:tplc="D2A0EB00">
      <w:start w:val="1"/>
      <w:numFmt w:val="bullet"/>
      <w:lvlText w:val=""/>
      <w:lvlJc w:val="left"/>
      <w:pPr>
        <w:ind w:left="720" w:hanging="360"/>
      </w:pPr>
      <w:rPr>
        <w:rFonts w:ascii="Symbol" w:hAnsi="Symbol" w:hint="default"/>
      </w:rPr>
    </w:lvl>
    <w:lvl w:ilvl="1" w:tplc="DF3CAFEE">
      <w:start w:val="1"/>
      <w:numFmt w:val="bullet"/>
      <w:lvlText w:val="o"/>
      <w:lvlJc w:val="left"/>
      <w:pPr>
        <w:ind w:left="1440" w:hanging="360"/>
      </w:pPr>
      <w:rPr>
        <w:rFonts w:ascii="Courier New" w:hAnsi="Courier New" w:hint="default"/>
      </w:rPr>
    </w:lvl>
    <w:lvl w:ilvl="2" w:tplc="E0907A52">
      <w:start w:val="1"/>
      <w:numFmt w:val="bullet"/>
      <w:lvlText w:val=""/>
      <w:lvlJc w:val="left"/>
      <w:pPr>
        <w:ind w:left="2160" w:hanging="360"/>
      </w:pPr>
      <w:rPr>
        <w:rFonts w:ascii="Wingdings" w:hAnsi="Wingdings" w:hint="default"/>
      </w:rPr>
    </w:lvl>
    <w:lvl w:ilvl="3" w:tplc="3024627C">
      <w:start w:val="1"/>
      <w:numFmt w:val="bullet"/>
      <w:lvlText w:val=""/>
      <w:lvlJc w:val="left"/>
      <w:pPr>
        <w:ind w:left="2880" w:hanging="360"/>
      </w:pPr>
      <w:rPr>
        <w:rFonts w:ascii="Symbol" w:hAnsi="Symbol" w:hint="default"/>
      </w:rPr>
    </w:lvl>
    <w:lvl w:ilvl="4" w:tplc="C4602136">
      <w:start w:val="1"/>
      <w:numFmt w:val="bullet"/>
      <w:lvlText w:val="o"/>
      <w:lvlJc w:val="left"/>
      <w:pPr>
        <w:ind w:left="3600" w:hanging="360"/>
      </w:pPr>
      <w:rPr>
        <w:rFonts w:ascii="Courier New" w:hAnsi="Courier New" w:hint="default"/>
      </w:rPr>
    </w:lvl>
    <w:lvl w:ilvl="5" w:tplc="629438E8">
      <w:start w:val="1"/>
      <w:numFmt w:val="bullet"/>
      <w:lvlText w:val=""/>
      <w:lvlJc w:val="left"/>
      <w:pPr>
        <w:ind w:left="4320" w:hanging="360"/>
      </w:pPr>
      <w:rPr>
        <w:rFonts w:ascii="Wingdings" w:hAnsi="Wingdings" w:hint="default"/>
      </w:rPr>
    </w:lvl>
    <w:lvl w:ilvl="6" w:tplc="800604F6">
      <w:start w:val="1"/>
      <w:numFmt w:val="bullet"/>
      <w:lvlText w:val=""/>
      <w:lvlJc w:val="left"/>
      <w:pPr>
        <w:ind w:left="5040" w:hanging="360"/>
      </w:pPr>
      <w:rPr>
        <w:rFonts w:ascii="Symbol" w:hAnsi="Symbol" w:hint="default"/>
      </w:rPr>
    </w:lvl>
    <w:lvl w:ilvl="7" w:tplc="9A22B034">
      <w:start w:val="1"/>
      <w:numFmt w:val="bullet"/>
      <w:lvlText w:val="o"/>
      <w:lvlJc w:val="left"/>
      <w:pPr>
        <w:ind w:left="5760" w:hanging="360"/>
      </w:pPr>
      <w:rPr>
        <w:rFonts w:ascii="Courier New" w:hAnsi="Courier New" w:hint="default"/>
      </w:rPr>
    </w:lvl>
    <w:lvl w:ilvl="8" w:tplc="266672B0">
      <w:start w:val="1"/>
      <w:numFmt w:val="bullet"/>
      <w:lvlText w:val=""/>
      <w:lvlJc w:val="left"/>
      <w:pPr>
        <w:ind w:left="6480" w:hanging="360"/>
      </w:pPr>
      <w:rPr>
        <w:rFonts w:ascii="Wingdings" w:hAnsi="Wingdings" w:hint="default"/>
      </w:rPr>
    </w:lvl>
  </w:abstractNum>
  <w:abstractNum w:abstractNumId="7" w15:restartNumberingAfterBreak="0">
    <w:nsid w:val="13E73276"/>
    <w:multiLevelType w:val="hybridMultilevel"/>
    <w:tmpl w:val="15747A6E"/>
    <w:lvl w:ilvl="0" w:tplc="688AD452">
      <w:start w:val="1"/>
      <w:numFmt w:val="lowerLetter"/>
      <w:lvlText w:val="%1."/>
      <w:lvlJc w:val="left"/>
      <w:pPr>
        <w:ind w:left="720" w:hanging="360"/>
      </w:pPr>
    </w:lvl>
    <w:lvl w:ilvl="1" w:tplc="052EFECA">
      <w:start w:val="1"/>
      <w:numFmt w:val="lowerLetter"/>
      <w:lvlText w:val="%2."/>
      <w:lvlJc w:val="left"/>
      <w:pPr>
        <w:ind w:left="1440" w:hanging="360"/>
      </w:pPr>
    </w:lvl>
    <w:lvl w:ilvl="2" w:tplc="2FE85ECA">
      <w:start w:val="1"/>
      <w:numFmt w:val="lowerRoman"/>
      <w:lvlText w:val="%3."/>
      <w:lvlJc w:val="right"/>
      <w:pPr>
        <w:ind w:left="2160" w:hanging="180"/>
      </w:pPr>
    </w:lvl>
    <w:lvl w:ilvl="3" w:tplc="F9FA9510">
      <w:start w:val="1"/>
      <w:numFmt w:val="decimal"/>
      <w:lvlText w:val="%4."/>
      <w:lvlJc w:val="left"/>
      <w:pPr>
        <w:ind w:left="2880" w:hanging="360"/>
      </w:pPr>
    </w:lvl>
    <w:lvl w:ilvl="4" w:tplc="0D5E3214">
      <w:start w:val="1"/>
      <w:numFmt w:val="lowerLetter"/>
      <w:lvlText w:val="%5."/>
      <w:lvlJc w:val="left"/>
      <w:pPr>
        <w:ind w:left="3600" w:hanging="360"/>
      </w:pPr>
    </w:lvl>
    <w:lvl w:ilvl="5" w:tplc="76BC895A">
      <w:start w:val="1"/>
      <w:numFmt w:val="lowerRoman"/>
      <w:lvlText w:val="%6."/>
      <w:lvlJc w:val="right"/>
      <w:pPr>
        <w:ind w:left="4320" w:hanging="180"/>
      </w:pPr>
    </w:lvl>
    <w:lvl w:ilvl="6" w:tplc="D932F8B0">
      <w:start w:val="1"/>
      <w:numFmt w:val="decimal"/>
      <w:lvlText w:val="%7."/>
      <w:lvlJc w:val="left"/>
      <w:pPr>
        <w:ind w:left="5040" w:hanging="360"/>
      </w:pPr>
    </w:lvl>
    <w:lvl w:ilvl="7" w:tplc="2A86C99A">
      <w:start w:val="1"/>
      <w:numFmt w:val="lowerLetter"/>
      <w:lvlText w:val="%8."/>
      <w:lvlJc w:val="left"/>
      <w:pPr>
        <w:ind w:left="5760" w:hanging="360"/>
      </w:pPr>
    </w:lvl>
    <w:lvl w:ilvl="8" w:tplc="ADD4290C">
      <w:start w:val="1"/>
      <w:numFmt w:val="lowerRoman"/>
      <w:lvlText w:val="%9."/>
      <w:lvlJc w:val="right"/>
      <w:pPr>
        <w:ind w:left="6480" w:hanging="180"/>
      </w:pPr>
    </w:lvl>
  </w:abstractNum>
  <w:abstractNum w:abstractNumId="8" w15:restartNumberingAfterBreak="0">
    <w:nsid w:val="14B50EF8"/>
    <w:multiLevelType w:val="hybridMultilevel"/>
    <w:tmpl w:val="D0AC1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9C10C4"/>
    <w:multiLevelType w:val="multilevel"/>
    <w:tmpl w:val="B750F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A1BF9"/>
    <w:multiLevelType w:val="hybridMultilevel"/>
    <w:tmpl w:val="AC64F2A2"/>
    <w:lvl w:ilvl="0" w:tplc="B1A6CC60">
      <w:start w:val="1"/>
      <w:numFmt w:val="lowerLetter"/>
      <w:lvlText w:val="%1)"/>
      <w:lvlJc w:val="left"/>
      <w:pPr>
        <w:ind w:left="360" w:hanging="360"/>
      </w:pPr>
    </w:lvl>
    <w:lvl w:ilvl="1" w:tplc="28DCDEE6">
      <w:start w:val="1"/>
      <w:numFmt w:val="lowerLetter"/>
      <w:lvlText w:val="%2."/>
      <w:lvlJc w:val="left"/>
      <w:pPr>
        <w:ind w:left="1080" w:hanging="360"/>
      </w:pPr>
    </w:lvl>
    <w:lvl w:ilvl="2" w:tplc="D0AE30FC">
      <w:start w:val="1"/>
      <w:numFmt w:val="lowerRoman"/>
      <w:lvlText w:val="%3."/>
      <w:lvlJc w:val="right"/>
      <w:pPr>
        <w:ind w:left="1800" w:hanging="180"/>
      </w:pPr>
    </w:lvl>
    <w:lvl w:ilvl="3" w:tplc="AFA6163E">
      <w:start w:val="1"/>
      <w:numFmt w:val="decimal"/>
      <w:lvlText w:val="%4."/>
      <w:lvlJc w:val="left"/>
      <w:pPr>
        <w:ind w:left="2520" w:hanging="360"/>
      </w:pPr>
    </w:lvl>
    <w:lvl w:ilvl="4" w:tplc="9B1E6DF2">
      <w:start w:val="1"/>
      <w:numFmt w:val="lowerLetter"/>
      <w:lvlText w:val="%5."/>
      <w:lvlJc w:val="left"/>
      <w:pPr>
        <w:ind w:left="3240" w:hanging="360"/>
      </w:pPr>
    </w:lvl>
    <w:lvl w:ilvl="5" w:tplc="7E62F680">
      <w:start w:val="1"/>
      <w:numFmt w:val="lowerRoman"/>
      <w:lvlText w:val="%6."/>
      <w:lvlJc w:val="right"/>
      <w:pPr>
        <w:ind w:left="3960" w:hanging="180"/>
      </w:pPr>
    </w:lvl>
    <w:lvl w:ilvl="6" w:tplc="1EC8438E">
      <w:start w:val="1"/>
      <w:numFmt w:val="decimal"/>
      <w:lvlText w:val="%7."/>
      <w:lvlJc w:val="left"/>
      <w:pPr>
        <w:ind w:left="4680" w:hanging="360"/>
      </w:pPr>
    </w:lvl>
    <w:lvl w:ilvl="7" w:tplc="1AFCAA84">
      <w:start w:val="1"/>
      <w:numFmt w:val="lowerLetter"/>
      <w:lvlText w:val="%8."/>
      <w:lvlJc w:val="left"/>
      <w:pPr>
        <w:ind w:left="5400" w:hanging="360"/>
      </w:pPr>
    </w:lvl>
    <w:lvl w:ilvl="8" w:tplc="FEC8DDA8">
      <w:start w:val="1"/>
      <w:numFmt w:val="lowerRoman"/>
      <w:lvlText w:val="%9."/>
      <w:lvlJc w:val="right"/>
      <w:pPr>
        <w:ind w:left="6120" w:hanging="180"/>
      </w:pPr>
    </w:lvl>
  </w:abstractNum>
  <w:abstractNum w:abstractNumId="11" w15:restartNumberingAfterBreak="0">
    <w:nsid w:val="19632040"/>
    <w:multiLevelType w:val="hybridMultilevel"/>
    <w:tmpl w:val="575021B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62FE4"/>
    <w:multiLevelType w:val="hybridMultilevel"/>
    <w:tmpl w:val="F9469DCC"/>
    <w:lvl w:ilvl="0" w:tplc="118EE260">
      <w:start w:val="1"/>
      <w:numFmt w:val="decimal"/>
      <w:lvlText w:val="%1."/>
      <w:lvlJc w:val="left"/>
      <w:pPr>
        <w:ind w:left="720" w:hanging="360"/>
      </w:pPr>
    </w:lvl>
    <w:lvl w:ilvl="1" w:tplc="17AEBD76">
      <w:start w:val="1"/>
      <w:numFmt w:val="lowerLetter"/>
      <w:lvlText w:val="%2."/>
      <w:lvlJc w:val="left"/>
      <w:pPr>
        <w:ind w:left="1440" w:hanging="360"/>
      </w:pPr>
    </w:lvl>
    <w:lvl w:ilvl="2" w:tplc="D834E94A">
      <w:start w:val="1"/>
      <w:numFmt w:val="lowerRoman"/>
      <w:lvlText w:val="%3."/>
      <w:lvlJc w:val="right"/>
      <w:pPr>
        <w:ind w:left="2160" w:hanging="180"/>
      </w:pPr>
    </w:lvl>
    <w:lvl w:ilvl="3" w:tplc="7C6254E6">
      <w:start w:val="1"/>
      <w:numFmt w:val="decimal"/>
      <w:lvlText w:val="%4."/>
      <w:lvlJc w:val="left"/>
      <w:pPr>
        <w:ind w:left="2880" w:hanging="360"/>
      </w:pPr>
    </w:lvl>
    <w:lvl w:ilvl="4" w:tplc="87EE352C">
      <w:start w:val="1"/>
      <w:numFmt w:val="lowerLetter"/>
      <w:lvlText w:val="%5."/>
      <w:lvlJc w:val="left"/>
      <w:pPr>
        <w:ind w:left="3600" w:hanging="360"/>
      </w:pPr>
    </w:lvl>
    <w:lvl w:ilvl="5" w:tplc="42263912">
      <w:start w:val="1"/>
      <w:numFmt w:val="lowerRoman"/>
      <w:lvlText w:val="%6."/>
      <w:lvlJc w:val="right"/>
      <w:pPr>
        <w:ind w:left="4320" w:hanging="180"/>
      </w:pPr>
    </w:lvl>
    <w:lvl w:ilvl="6" w:tplc="F7842552">
      <w:start w:val="1"/>
      <w:numFmt w:val="decimal"/>
      <w:lvlText w:val="%7."/>
      <w:lvlJc w:val="left"/>
      <w:pPr>
        <w:ind w:left="5040" w:hanging="360"/>
      </w:pPr>
    </w:lvl>
    <w:lvl w:ilvl="7" w:tplc="26C267C2">
      <w:start w:val="1"/>
      <w:numFmt w:val="lowerLetter"/>
      <w:lvlText w:val="%8."/>
      <w:lvlJc w:val="left"/>
      <w:pPr>
        <w:ind w:left="5760" w:hanging="360"/>
      </w:pPr>
    </w:lvl>
    <w:lvl w:ilvl="8" w:tplc="040CA546">
      <w:start w:val="1"/>
      <w:numFmt w:val="lowerRoman"/>
      <w:lvlText w:val="%9."/>
      <w:lvlJc w:val="right"/>
      <w:pPr>
        <w:ind w:left="6480" w:hanging="180"/>
      </w:pPr>
    </w:lvl>
  </w:abstractNum>
  <w:abstractNum w:abstractNumId="13" w15:restartNumberingAfterBreak="0">
    <w:nsid w:val="1FC036D1"/>
    <w:multiLevelType w:val="multilevel"/>
    <w:tmpl w:val="5E321150"/>
    <w:styleLink w:val="WWNum5"/>
    <w:lvl w:ilvl="0">
      <w:start w:val="1"/>
      <w:numFmt w:val="decimal"/>
      <w:lvlText w:val="%1"/>
      <w:lvlJc w:val="left"/>
      <w:pPr>
        <w:ind w:left="720" w:hanging="360"/>
      </w:pPr>
      <w:rPr>
        <w:rFonts w:eastAsia="Calibri"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FB0125"/>
    <w:multiLevelType w:val="multilevel"/>
    <w:tmpl w:val="36D6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062B9"/>
    <w:multiLevelType w:val="hybridMultilevel"/>
    <w:tmpl w:val="3B8CDF3E"/>
    <w:lvl w:ilvl="0" w:tplc="FFFFFFFF">
      <w:start w:val="1"/>
      <w:numFmt w:val="decimal"/>
      <w:lvlText w:val="%1."/>
      <w:lvlJc w:val="left"/>
      <w:pPr>
        <w:ind w:left="360" w:hanging="360"/>
      </w:pPr>
      <w:rPr>
        <w:b/>
        <w:bCs/>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05BBC"/>
    <w:multiLevelType w:val="hybridMultilevel"/>
    <w:tmpl w:val="F3C45752"/>
    <w:lvl w:ilvl="0" w:tplc="81C6FA98">
      <w:start w:val="1"/>
      <w:numFmt w:val="lowerLetter"/>
      <w:lvlText w:val="%1."/>
      <w:lvlJc w:val="left"/>
      <w:pPr>
        <w:ind w:left="360" w:hanging="360"/>
      </w:pPr>
    </w:lvl>
    <w:lvl w:ilvl="1" w:tplc="26D2B850">
      <w:start w:val="1"/>
      <w:numFmt w:val="lowerLetter"/>
      <w:lvlText w:val="%2."/>
      <w:lvlJc w:val="left"/>
      <w:pPr>
        <w:ind w:left="1080" w:hanging="360"/>
      </w:pPr>
    </w:lvl>
    <w:lvl w:ilvl="2" w:tplc="741488D2">
      <w:start w:val="1"/>
      <w:numFmt w:val="lowerRoman"/>
      <w:lvlText w:val="%3."/>
      <w:lvlJc w:val="right"/>
      <w:pPr>
        <w:ind w:left="1800" w:hanging="180"/>
      </w:pPr>
    </w:lvl>
    <w:lvl w:ilvl="3" w:tplc="8BB4EA30">
      <w:start w:val="1"/>
      <w:numFmt w:val="decimal"/>
      <w:lvlText w:val="%4."/>
      <w:lvlJc w:val="left"/>
      <w:pPr>
        <w:ind w:left="2520" w:hanging="360"/>
      </w:pPr>
    </w:lvl>
    <w:lvl w:ilvl="4" w:tplc="F766A10E">
      <w:start w:val="1"/>
      <w:numFmt w:val="lowerLetter"/>
      <w:lvlText w:val="%5."/>
      <w:lvlJc w:val="left"/>
      <w:pPr>
        <w:ind w:left="3240" w:hanging="360"/>
      </w:pPr>
    </w:lvl>
    <w:lvl w:ilvl="5" w:tplc="431AB40A">
      <w:start w:val="1"/>
      <w:numFmt w:val="lowerRoman"/>
      <w:lvlText w:val="%6."/>
      <w:lvlJc w:val="right"/>
      <w:pPr>
        <w:ind w:left="3960" w:hanging="180"/>
      </w:pPr>
    </w:lvl>
    <w:lvl w:ilvl="6" w:tplc="7AC41074">
      <w:start w:val="1"/>
      <w:numFmt w:val="decimal"/>
      <w:lvlText w:val="%7."/>
      <w:lvlJc w:val="left"/>
      <w:pPr>
        <w:ind w:left="4680" w:hanging="360"/>
      </w:pPr>
    </w:lvl>
    <w:lvl w:ilvl="7" w:tplc="6E063BBE">
      <w:start w:val="1"/>
      <w:numFmt w:val="lowerLetter"/>
      <w:lvlText w:val="%8."/>
      <w:lvlJc w:val="left"/>
      <w:pPr>
        <w:ind w:left="5400" w:hanging="360"/>
      </w:pPr>
    </w:lvl>
    <w:lvl w:ilvl="8" w:tplc="4028A3D2">
      <w:start w:val="1"/>
      <w:numFmt w:val="lowerRoman"/>
      <w:lvlText w:val="%9."/>
      <w:lvlJc w:val="right"/>
      <w:pPr>
        <w:ind w:left="6120" w:hanging="180"/>
      </w:pPr>
    </w:lvl>
  </w:abstractNum>
  <w:abstractNum w:abstractNumId="17" w15:restartNumberingAfterBreak="0">
    <w:nsid w:val="269D0B53"/>
    <w:multiLevelType w:val="hybridMultilevel"/>
    <w:tmpl w:val="21E259A4"/>
    <w:lvl w:ilvl="0" w:tplc="7FD45790">
      <w:start w:val="1"/>
      <w:numFmt w:val="bullet"/>
      <w:lvlText w:val=""/>
      <w:lvlJc w:val="left"/>
      <w:pPr>
        <w:ind w:left="720" w:hanging="360"/>
      </w:pPr>
      <w:rPr>
        <w:rFonts w:ascii="Wingdings" w:hAnsi="Wingdings" w:hint="default"/>
      </w:rPr>
    </w:lvl>
    <w:lvl w:ilvl="1" w:tplc="ADD099D6">
      <w:start w:val="1"/>
      <w:numFmt w:val="bullet"/>
      <w:lvlText w:val="o"/>
      <w:lvlJc w:val="left"/>
      <w:pPr>
        <w:ind w:left="1440" w:hanging="360"/>
      </w:pPr>
      <w:rPr>
        <w:rFonts w:ascii="Courier New" w:hAnsi="Courier New" w:hint="default"/>
      </w:rPr>
    </w:lvl>
    <w:lvl w:ilvl="2" w:tplc="1A161390">
      <w:start w:val="1"/>
      <w:numFmt w:val="bullet"/>
      <w:lvlText w:val=""/>
      <w:lvlJc w:val="left"/>
      <w:pPr>
        <w:ind w:left="2160" w:hanging="360"/>
      </w:pPr>
      <w:rPr>
        <w:rFonts w:ascii="Wingdings" w:hAnsi="Wingdings" w:hint="default"/>
      </w:rPr>
    </w:lvl>
    <w:lvl w:ilvl="3" w:tplc="E75071E0">
      <w:start w:val="1"/>
      <w:numFmt w:val="bullet"/>
      <w:lvlText w:val=""/>
      <w:lvlJc w:val="left"/>
      <w:pPr>
        <w:ind w:left="2880" w:hanging="360"/>
      </w:pPr>
      <w:rPr>
        <w:rFonts w:ascii="Symbol" w:hAnsi="Symbol" w:hint="default"/>
      </w:rPr>
    </w:lvl>
    <w:lvl w:ilvl="4" w:tplc="0B2E20EE">
      <w:start w:val="1"/>
      <w:numFmt w:val="bullet"/>
      <w:lvlText w:val="o"/>
      <w:lvlJc w:val="left"/>
      <w:pPr>
        <w:ind w:left="3600" w:hanging="360"/>
      </w:pPr>
      <w:rPr>
        <w:rFonts w:ascii="Courier New" w:hAnsi="Courier New" w:hint="default"/>
      </w:rPr>
    </w:lvl>
    <w:lvl w:ilvl="5" w:tplc="9650E07A">
      <w:start w:val="1"/>
      <w:numFmt w:val="bullet"/>
      <w:lvlText w:val=""/>
      <w:lvlJc w:val="left"/>
      <w:pPr>
        <w:ind w:left="4320" w:hanging="360"/>
      </w:pPr>
      <w:rPr>
        <w:rFonts w:ascii="Wingdings" w:hAnsi="Wingdings" w:hint="default"/>
      </w:rPr>
    </w:lvl>
    <w:lvl w:ilvl="6" w:tplc="4818556A">
      <w:start w:val="1"/>
      <w:numFmt w:val="bullet"/>
      <w:lvlText w:val=""/>
      <w:lvlJc w:val="left"/>
      <w:pPr>
        <w:ind w:left="5040" w:hanging="360"/>
      </w:pPr>
      <w:rPr>
        <w:rFonts w:ascii="Symbol" w:hAnsi="Symbol" w:hint="default"/>
      </w:rPr>
    </w:lvl>
    <w:lvl w:ilvl="7" w:tplc="1A06CA4C">
      <w:start w:val="1"/>
      <w:numFmt w:val="bullet"/>
      <w:lvlText w:val="o"/>
      <w:lvlJc w:val="left"/>
      <w:pPr>
        <w:ind w:left="5760" w:hanging="360"/>
      </w:pPr>
      <w:rPr>
        <w:rFonts w:ascii="Courier New" w:hAnsi="Courier New" w:hint="default"/>
      </w:rPr>
    </w:lvl>
    <w:lvl w:ilvl="8" w:tplc="4722585E">
      <w:start w:val="1"/>
      <w:numFmt w:val="bullet"/>
      <w:lvlText w:val=""/>
      <w:lvlJc w:val="left"/>
      <w:pPr>
        <w:ind w:left="6480" w:hanging="360"/>
      </w:pPr>
      <w:rPr>
        <w:rFonts w:ascii="Wingdings" w:hAnsi="Wingdings" w:hint="default"/>
      </w:rPr>
    </w:lvl>
  </w:abstractNum>
  <w:abstractNum w:abstractNumId="18" w15:restartNumberingAfterBreak="0">
    <w:nsid w:val="2C44672F"/>
    <w:multiLevelType w:val="hybridMultilevel"/>
    <w:tmpl w:val="A91AD49E"/>
    <w:lvl w:ilvl="0" w:tplc="FFFFFFFF">
      <w:start w:val="1"/>
      <w:numFmt w:val="lowerRoman"/>
      <w:lvlText w:val="%1."/>
      <w:lvlJc w:val="right"/>
      <w:pPr>
        <w:ind w:left="720" w:hanging="360"/>
      </w:pPr>
    </w:lvl>
    <w:lvl w:ilvl="1" w:tplc="DD3CD3A6">
      <w:start w:val="1"/>
      <w:numFmt w:val="lowerLetter"/>
      <w:lvlText w:val="%2."/>
      <w:lvlJc w:val="left"/>
      <w:pPr>
        <w:ind w:left="1440" w:hanging="360"/>
      </w:pPr>
    </w:lvl>
    <w:lvl w:ilvl="2" w:tplc="3F1EF75E">
      <w:start w:val="1"/>
      <w:numFmt w:val="lowerRoman"/>
      <w:lvlText w:val="%3."/>
      <w:lvlJc w:val="right"/>
      <w:pPr>
        <w:ind w:left="2160" w:hanging="180"/>
      </w:pPr>
    </w:lvl>
    <w:lvl w:ilvl="3" w:tplc="687612B4">
      <w:start w:val="1"/>
      <w:numFmt w:val="decimal"/>
      <w:lvlText w:val="%4."/>
      <w:lvlJc w:val="left"/>
      <w:pPr>
        <w:ind w:left="2880" w:hanging="360"/>
      </w:pPr>
    </w:lvl>
    <w:lvl w:ilvl="4" w:tplc="075826D0">
      <w:start w:val="1"/>
      <w:numFmt w:val="lowerLetter"/>
      <w:lvlText w:val="%5."/>
      <w:lvlJc w:val="left"/>
      <w:pPr>
        <w:ind w:left="3600" w:hanging="360"/>
      </w:pPr>
    </w:lvl>
    <w:lvl w:ilvl="5" w:tplc="41BC2C3E">
      <w:start w:val="1"/>
      <w:numFmt w:val="lowerRoman"/>
      <w:lvlText w:val="%6."/>
      <w:lvlJc w:val="right"/>
      <w:pPr>
        <w:ind w:left="4320" w:hanging="180"/>
      </w:pPr>
    </w:lvl>
    <w:lvl w:ilvl="6" w:tplc="A32074D6">
      <w:start w:val="1"/>
      <w:numFmt w:val="decimal"/>
      <w:lvlText w:val="%7."/>
      <w:lvlJc w:val="left"/>
      <w:pPr>
        <w:ind w:left="5040" w:hanging="360"/>
      </w:pPr>
    </w:lvl>
    <w:lvl w:ilvl="7" w:tplc="D99838CE">
      <w:start w:val="1"/>
      <w:numFmt w:val="lowerLetter"/>
      <w:lvlText w:val="%8."/>
      <w:lvlJc w:val="left"/>
      <w:pPr>
        <w:ind w:left="5760" w:hanging="360"/>
      </w:pPr>
    </w:lvl>
    <w:lvl w:ilvl="8" w:tplc="C52C9A48">
      <w:start w:val="1"/>
      <w:numFmt w:val="lowerRoman"/>
      <w:lvlText w:val="%9."/>
      <w:lvlJc w:val="right"/>
      <w:pPr>
        <w:ind w:left="6480" w:hanging="180"/>
      </w:pPr>
    </w:lvl>
  </w:abstractNum>
  <w:abstractNum w:abstractNumId="19" w15:restartNumberingAfterBreak="0">
    <w:nsid w:val="33C24FBD"/>
    <w:multiLevelType w:val="multilevel"/>
    <w:tmpl w:val="8C5E7662"/>
    <w:styleLink w:val="WWNum6"/>
    <w:lvl w:ilvl="0">
      <w:start w:val="1"/>
      <w:numFmt w:val="decimal"/>
      <w:lvlText w:val="%1"/>
      <w:lvlJc w:val="left"/>
      <w:pPr>
        <w:ind w:left="720" w:hanging="360"/>
      </w:pPr>
      <w:rPr>
        <w:rFonts w:eastAsia="Calibri"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432272A"/>
    <w:multiLevelType w:val="hybridMultilevel"/>
    <w:tmpl w:val="6E2ADCF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23691E"/>
    <w:multiLevelType w:val="hybridMultilevel"/>
    <w:tmpl w:val="E63E81C2"/>
    <w:lvl w:ilvl="0" w:tplc="FFFFFFFF">
      <w:start w:val="1"/>
      <w:numFmt w:val="lowerLetter"/>
      <w:lvlText w:val="%1)"/>
      <w:lvlJc w:val="left"/>
      <w:pPr>
        <w:ind w:left="720" w:hanging="360"/>
      </w:pPr>
    </w:lvl>
    <w:lvl w:ilvl="1" w:tplc="143EE6F0">
      <w:start w:val="1"/>
      <w:numFmt w:val="lowerLetter"/>
      <w:lvlText w:val="%2."/>
      <w:lvlJc w:val="left"/>
      <w:pPr>
        <w:ind w:left="1440" w:hanging="360"/>
      </w:pPr>
    </w:lvl>
    <w:lvl w:ilvl="2" w:tplc="09463E80">
      <w:start w:val="1"/>
      <w:numFmt w:val="lowerRoman"/>
      <w:lvlText w:val="%3."/>
      <w:lvlJc w:val="right"/>
      <w:pPr>
        <w:ind w:left="2160" w:hanging="180"/>
      </w:pPr>
    </w:lvl>
    <w:lvl w:ilvl="3" w:tplc="2FF2A32C">
      <w:start w:val="1"/>
      <w:numFmt w:val="decimal"/>
      <w:lvlText w:val="%4."/>
      <w:lvlJc w:val="left"/>
      <w:pPr>
        <w:ind w:left="2880" w:hanging="360"/>
      </w:pPr>
    </w:lvl>
    <w:lvl w:ilvl="4" w:tplc="56045042">
      <w:start w:val="1"/>
      <w:numFmt w:val="lowerLetter"/>
      <w:lvlText w:val="%5."/>
      <w:lvlJc w:val="left"/>
      <w:pPr>
        <w:ind w:left="3600" w:hanging="360"/>
      </w:pPr>
    </w:lvl>
    <w:lvl w:ilvl="5" w:tplc="8270783E">
      <w:start w:val="1"/>
      <w:numFmt w:val="lowerRoman"/>
      <w:lvlText w:val="%6."/>
      <w:lvlJc w:val="right"/>
      <w:pPr>
        <w:ind w:left="4320" w:hanging="180"/>
      </w:pPr>
    </w:lvl>
    <w:lvl w:ilvl="6" w:tplc="4314BC38">
      <w:start w:val="1"/>
      <w:numFmt w:val="decimal"/>
      <w:lvlText w:val="%7."/>
      <w:lvlJc w:val="left"/>
      <w:pPr>
        <w:ind w:left="5040" w:hanging="360"/>
      </w:pPr>
    </w:lvl>
    <w:lvl w:ilvl="7" w:tplc="616625B0">
      <w:start w:val="1"/>
      <w:numFmt w:val="lowerLetter"/>
      <w:lvlText w:val="%8."/>
      <w:lvlJc w:val="left"/>
      <w:pPr>
        <w:ind w:left="5760" w:hanging="360"/>
      </w:pPr>
    </w:lvl>
    <w:lvl w:ilvl="8" w:tplc="25B26174">
      <w:start w:val="1"/>
      <w:numFmt w:val="lowerRoman"/>
      <w:lvlText w:val="%9."/>
      <w:lvlJc w:val="right"/>
      <w:pPr>
        <w:ind w:left="6480" w:hanging="180"/>
      </w:pPr>
    </w:lvl>
  </w:abstractNum>
  <w:abstractNum w:abstractNumId="22" w15:restartNumberingAfterBreak="0">
    <w:nsid w:val="37601EE9"/>
    <w:multiLevelType w:val="hybridMultilevel"/>
    <w:tmpl w:val="1CDA191A"/>
    <w:lvl w:ilvl="0" w:tplc="B1A6CC60">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936B61"/>
    <w:multiLevelType w:val="hybridMultilevel"/>
    <w:tmpl w:val="8AB011DC"/>
    <w:lvl w:ilvl="0" w:tplc="F394FC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62A70"/>
    <w:multiLevelType w:val="hybridMultilevel"/>
    <w:tmpl w:val="6C9C2E28"/>
    <w:lvl w:ilvl="0" w:tplc="36467398">
      <w:start w:val="1"/>
      <w:numFmt w:val="bullet"/>
      <w:lvlText w:val=""/>
      <w:lvlJc w:val="left"/>
      <w:pPr>
        <w:ind w:left="720" w:hanging="360"/>
      </w:pPr>
      <w:rPr>
        <w:rFonts w:ascii="Symbol" w:hAnsi="Symbol" w:hint="default"/>
      </w:rPr>
    </w:lvl>
    <w:lvl w:ilvl="1" w:tplc="0834356A">
      <w:start w:val="1"/>
      <w:numFmt w:val="bullet"/>
      <w:lvlText w:val="o"/>
      <w:lvlJc w:val="left"/>
      <w:pPr>
        <w:ind w:left="1440" w:hanging="360"/>
      </w:pPr>
      <w:rPr>
        <w:rFonts w:ascii="Courier New" w:hAnsi="Courier New" w:hint="default"/>
      </w:rPr>
    </w:lvl>
    <w:lvl w:ilvl="2" w:tplc="8748503E">
      <w:start w:val="1"/>
      <w:numFmt w:val="bullet"/>
      <w:lvlText w:val=""/>
      <w:lvlJc w:val="left"/>
      <w:pPr>
        <w:ind w:left="2160" w:hanging="360"/>
      </w:pPr>
      <w:rPr>
        <w:rFonts w:ascii="Wingdings" w:hAnsi="Wingdings" w:hint="default"/>
      </w:rPr>
    </w:lvl>
    <w:lvl w:ilvl="3" w:tplc="B850529E">
      <w:start w:val="1"/>
      <w:numFmt w:val="bullet"/>
      <w:lvlText w:val=""/>
      <w:lvlJc w:val="left"/>
      <w:pPr>
        <w:ind w:left="2880" w:hanging="360"/>
      </w:pPr>
      <w:rPr>
        <w:rFonts w:ascii="Symbol" w:hAnsi="Symbol" w:hint="default"/>
      </w:rPr>
    </w:lvl>
    <w:lvl w:ilvl="4" w:tplc="C65EB502">
      <w:start w:val="1"/>
      <w:numFmt w:val="bullet"/>
      <w:lvlText w:val="o"/>
      <w:lvlJc w:val="left"/>
      <w:pPr>
        <w:ind w:left="3600" w:hanging="360"/>
      </w:pPr>
      <w:rPr>
        <w:rFonts w:ascii="Courier New" w:hAnsi="Courier New" w:hint="default"/>
      </w:rPr>
    </w:lvl>
    <w:lvl w:ilvl="5" w:tplc="9AC2A198">
      <w:start w:val="1"/>
      <w:numFmt w:val="bullet"/>
      <w:lvlText w:val=""/>
      <w:lvlJc w:val="left"/>
      <w:pPr>
        <w:ind w:left="4320" w:hanging="360"/>
      </w:pPr>
      <w:rPr>
        <w:rFonts w:ascii="Wingdings" w:hAnsi="Wingdings" w:hint="default"/>
      </w:rPr>
    </w:lvl>
    <w:lvl w:ilvl="6" w:tplc="C89C8216">
      <w:start w:val="1"/>
      <w:numFmt w:val="bullet"/>
      <w:lvlText w:val=""/>
      <w:lvlJc w:val="left"/>
      <w:pPr>
        <w:ind w:left="5040" w:hanging="360"/>
      </w:pPr>
      <w:rPr>
        <w:rFonts w:ascii="Symbol" w:hAnsi="Symbol" w:hint="default"/>
      </w:rPr>
    </w:lvl>
    <w:lvl w:ilvl="7" w:tplc="E45402F8">
      <w:start w:val="1"/>
      <w:numFmt w:val="bullet"/>
      <w:lvlText w:val="o"/>
      <w:lvlJc w:val="left"/>
      <w:pPr>
        <w:ind w:left="5760" w:hanging="360"/>
      </w:pPr>
      <w:rPr>
        <w:rFonts w:ascii="Courier New" w:hAnsi="Courier New" w:hint="default"/>
      </w:rPr>
    </w:lvl>
    <w:lvl w:ilvl="8" w:tplc="5F32846E">
      <w:start w:val="1"/>
      <w:numFmt w:val="bullet"/>
      <w:lvlText w:val=""/>
      <w:lvlJc w:val="left"/>
      <w:pPr>
        <w:ind w:left="6480" w:hanging="360"/>
      </w:pPr>
      <w:rPr>
        <w:rFonts w:ascii="Wingdings" w:hAnsi="Wingdings" w:hint="default"/>
      </w:rPr>
    </w:lvl>
  </w:abstractNum>
  <w:abstractNum w:abstractNumId="25" w15:restartNumberingAfterBreak="0">
    <w:nsid w:val="457612A1"/>
    <w:multiLevelType w:val="hybridMultilevel"/>
    <w:tmpl w:val="5DECC1F2"/>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E298A"/>
    <w:multiLevelType w:val="hybridMultilevel"/>
    <w:tmpl w:val="B1EA1050"/>
    <w:lvl w:ilvl="0" w:tplc="23642DA8">
      <w:start w:val="1"/>
      <w:numFmt w:val="lowerRoman"/>
      <w:lvlText w:val="%1)"/>
      <w:lvlJc w:val="right"/>
      <w:pPr>
        <w:ind w:left="720" w:hanging="360"/>
      </w:pPr>
    </w:lvl>
    <w:lvl w:ilvl="1" w:tplc="D6C614C0">
      <w:start w:val="1"/>
      <w:numFmt w:val="lowerLetter"/>
      <w:lvlText w:val="%2."/>
      <w:lvlJc w:val="left"/>
      <w:pPr>
        <w:ind w:left="1440" w:hanging="360"/>
      </w:pPr>
    </w:lvl>
    <w:lvl w:ilvl="2" w:tplc="47002428">
      <w:start w:val="1"/>
      <w:numFmt w:val="lowerRoman"/>
      <w:lvlText w:val="%3."/>
      <w:lvlJc w:val="right"/>
      <w:pPr>
        <w:ind w:left="2160" w:hanging="180"/>
      </w:pPr>
    </w:lvl>
    <w:lvl w:ilvl="3" w:tplc="984C3D7A">
      <w:start w:val="1"/>
      <w:numFmt w:val="decimal"/>
      <w:lvlText w:val="%4."/>
      <w:lvlJc w:val="left"/>
      <w:pPr>
        <w:ind w:left="2880" w:hanging="360"/>
      </w:pPr>
    </w:lvl>
    <w:lvl w:ilvl="4" w:tplc="CB0AD902">
      <w:start w:val="1"/>
      <w:numFmt w:val="lowerLetter"/>
      <w:lvlText w:val="%5."/>
      <w:lvlJc w:val="left"/>
      <w:pPr>
        <w:ind w:left="3600" w:hanging="360"/>
      </w:pPr>
    </w:lvl>
    <w:lvl w:ilvl="5" w:tplc="CE4E2996">
      <w:start w:val="1"/>
      <w:numFmt w:val="lowerRoman"/>
      <w:lvlText w:val="%6."/>
      <w:lvlJc w:val="right"/>
      <w:pPr>
        <w:ind w:left="4320" w:hanging="180"/>
      </w:pPr>
    </w:lvl>
    <w:lvl w:ilvl="6" w:tplc="A414FBB8">
      <w:start w:val="1"/>
      <w:numFmt w:val="decimal"/>
      <w:lvlText w:val="%7."/>
      <w:lvlJc w:val="left"/>
      <w:pPr>
        <w:ind w:left="5040" w:hanging="360"/>
      </w:pPr>
    </w:lvl>
    <w:lvl w:ilvl="7" w:tplc="6042582A">
      <w:start w:val="1"/>
      <w:numFmt w:val="lowerLetter"/>
      <w:lvlText w:val="%8."/>
      <w:lvlJc w:val="left"/>
      <w:pPr>
        <w:ind w:left="5760" w:hanging="360"/>
      </w:pPr>
    </w:lvl>
    <w:lvl w:ilvl="8" w:tplc="A9E06E70">
      <w:start w:val="1"/>
      <w:numFmt w:val="lowerRoman"/>
      <w:lvlText w:val="%9."/>
      <w:lvlJc w:val="right"/>
      <w:pPr>
        <w:ind w:left="6480" w:hanging="180"/>
      </w:pPr>
    </w:lvl>
  </w:abstractNum>
  <w:abstractNum w:abstractNumId="27" w15:restartNumberingAfterBreak="0">
    <w:nsid w:val="4AED2AD6"/>
    <w:multiLevelType w:val="hybridMultilevel"/>
    <w:tmpl w:val="314C85FC"/>
    <w:lvl w:ilvl="0" w:tplc="96F0F708">
      <w:start w:val="1"/>
      <w:numFmt w:val="decimal"/>
      <w:pStyle w:val="Itadtablestyle"/>
      <w:lvlText w:val="%1."/>
      <w:lvlJc w:val="left"/>
      <w:pPr>
        <w:ind w:left="360" w:hanging="360"/>
      </w:pPr>
    </w:lvl>
    <w:lvl w:ilvl="1" w:tplc="9274D08C">
      <w:start w:val="1"/>
      <w:numFmt w:val="lowerLetter"/>
      <w:lvlText w:val="%2."/>
      <w:lvlJc w:val="left"/>
      <w:pPr>
        <w:ind w:left="1080" w:hanging="360"/>
      </w:pPr>
    </w:lvl>
    <w:lvl w:ilvl="2" w:tplc="4B1E4312">
      <w:start w:val="1"/>
      <w:numFmt w:val="lowerRoman"/>
      <w:lvlText w:val="%3."/>
      <w:lvlJc w:val="right"/>
      <w:pPr>
        <w:ind w:left="1800" w:hanging="180"/>
      </w:pPr>
    </w:lvl>
    <w:lvl w:ilvl="3" w:tplc="62C4910A">
      <w:start w:val="1"/>
      <w:numFmt w:val="decimal"/>
      <w:lvlText w:val="%4."/>
      <w:lvlJc w:val="left"/>
      <w:pPr>
        <w:ind w:left="2520" w:hanging="360"/>
      </w:pPr>
    </w:lvl>
    <w:lvl w:ilvl="4" w:tplc="BFE2DC28">
      <w:start w:val="1"/>
      <w:numFmt w:val="lowerLetter"/>
      <w:lvlText w:val="%5."/>
      <w:lvlJc w:val="left"/>
      <w:pPr>
        <w:ind w:left="3240" w:hanging="360"/>
      </w:pPr>
    </w:lvl>
    <w:lvl w:ilvl="5" w:tplc="6792A516">
      <w:start w:val="1"/>
      <w:numFmt w:val="lowerRoman"/>
      <w:lvlText w:val="%6."/>
      <w:lvlJc w:val="right"/>
      <w:pPr>
        <w:ind w:left="3960" w:hanging="180"/>
      </w:pPr>
    </w:lvl>
    <w:lvl w:ilvl="6" w:tplc="CC661FA0">
      <w:start w:val="1"/>
      <w:numFmt w:val="decimal"/>
      <w:lvlText w:val="%7."/>
      <w:lvlJc w:val="left"/>
      <w:pPr>
        <w:ind w:left="4680" w:hanging="360"/>
      </w:pPr>
    </w:lvl>
    <w:lvl w:ilvl="7" w:tplc="B8AE86DE">
      <w:start w:val="1"/>
      <w:numFmt w:val="lowerLetter"/>
      <w:lvlText w:val="%8."/>
      <w:lvlJc w:val="left"/>
      <w:pPr>
        <w:ind w:left="5400" w:hanging="360"/>
      </w:pPr>
    </w:lvl>
    <w:lvl w:ilvl="8" w:tplc="7D848CDC">
      <w:start w:val="1"/>
      <w:numFmt w:val="lowerRoman"/>
      <w:lvlText w:val="%9."/>
      <w:lvlJc w:val="right"/>
      <w:pPr>
        <w:ind w:left="6120" w:hanging="180"/>
      </w:pPr>
    </w:lvl>
  </w:abstractNum>
  <w:abstractNum w:abstractNumId="28" w15:restartNumberingAfterBreak="0">
    <w:nsid w:val="4BAA7282"/>
    <w:multiLevelType w:val="hybridMultilevel"/>
    <w:tmpl w:val="B1DA7E00"/>
    <w:lvl w:ilvl="0" w:tplc="6668093C">
      <w:start w:val="1"/>
      <w:numFmt w:val="lowerRoman"/>
      <w:lvlText w:val="%1."/>
      <w:lvlJc w:val="righ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7F0B83"/>
    <w:multiLevelType w:val="hybridMultilevel"/>
    <w:tmpl w:val="83B8A76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F2AC0"/>
    <w:multiLevelType w:val="hybridMultilevel"/>
    <w:tmpl w:val="3F446AE8"/>
    <w:lvl w:ilvl="0" w:tplc="00CAA8E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B3117E"/>
    <w:multiLevelType w:val="hybridMultilevel"/>
    <w:tmpl w:val="1EF8640E"/>
    <w:lvl w:ilvl="0" w:tplc="46245040">
      <w:start w:val="1"/>
      <w:numFmt w:val="decimal"/>
      <w:lvlText w:val="%1."/>
      <w:lvlJc w:val="left"/>
      <w:pPr>
        <w:ind w:left="360" w:hanging="360"/>
      </w:pPr>
      <w:rPr>
        <w:b/>
        <w:bCs/>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3D69F3"/>
    <w:multiLevelType w:val="hybridMultilevel"/>
    <w:tmpl w:val="B8285E7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D075DB"/>
    <w:multiLevelType w:val="multilevel"/>
    <w:tmpl w:val="6048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DF7182"/>
    <w:multiLevelType w:val="hybridMultilevel"/>
    <w:tmpl w:val="A2A2AAF4"/>
    <w:lvl w:ilvl="0" w:tplc="F394FC04">
      <w:start w:val="1"/>
      <w:numFmt w:val="decimal"/>
      <w:lvlText w:val="%1."/>
      <w:lvlJc w:val="left"/>
      <w:pPr>
        <w:ind w:left="360" w:hanging="360"/>
      </w:pPr>
    </w:lvl>
    <w:lvl w:ilvl="1" w:tplc="B5CCE2F0">
      <w:start w:val="1"/>
      <w:numFmt w:val="lowerLetter"/>
      <w:lvlText w:val="%2."/>
      <w:lvlJc w:val="left"/>
      <w:pPr>
        <w:ind w:left="1080" w:hanging="360"/>
      </w:pPr>
    </w:lvl>
    <w:lvl w:ilvl="2" w:tplc="C3C61968">
      <w:start w:val="1"/>
      <w:numFmt w:val="lowerRoman"/>
      <w:lvlText w:val="%3."/>
      <w:lvlJc w:val="right"/>
      <w:pPr>
        <w:ind w:left="1800" w:hanging="180"/>
      </w:pPr>
    </w:lvl>
    <w:lvl w:ilvl="3" w:tplc="0BECCDA0">
      <w:start w:val="1"/>
      <w:numFmt w:val="decimal"/>
      <w:lvlText w:val="%4."/>
      <w:lvlJc w:val="left"/>
      <w:pPr>
        <w:ind w:left="2520" w:hanging="360"/>
      </w:pPr>
    </w:lvl>
    <w:lvl w:ilvl="4" w:tplc="152CADF8">
      <w:start w:val="1"/>
      <w:numFmt w:val="lowerLetter"/>
      <w:lvlText w:val="%5."/>
      <w:lvlJc w:val="left"/>
      <w:pPr>
        <w:ind w:left="3240" w:hanging="360"/>
      </w:pPr>
    </w:lvl>
    <w:lvl w:ilvl="5" w:tplc="ABF43212">
      <w:start w:val="1"/>
      <w:numFmt w:val="lowerRoman"/>
      <w:lvlText w:val="%6."/>
      <w:lvlJc w:val="right"/>
      <w:pPr>
        <w:ind w:left="3960" w:hanging="180"/>
      </w:pPr>
    </w:lvl>
    <w:lvl w:ilvl="6" w:tplc="55D05FA0">
      <w:start w:val="1"/>
      <w:numFmt w:val="decimal"/>
      <w:lvlText w:val="%7."/>
      <w:lvlJc w:val="left"/>
      <w:pPr>
        <w:ind w:left="4680" w:hanging="360"/>
      </w:pPr>
    </w:lvl>
    <w:lvl w:ilvl="7" w:tplc="EB1E67B0">
      <w:start w:val="1"/>
      <w:numFmt w:val="lowerLetter"/>
      <w:lvlText w:val="%8."/>
      <w:lvlJc w:val="left"/>
      <w:pPr>
        <w:ind w:left="5400" w:hanging="360"/>
      </w:pPr>
    </w:lvl>
    <w:lvl w:ilvl="8" w:tplc="2DE62C6A">
      <w:start w:val="1"/>
      <w:numFmt w:val="lowerRoman"/>
      <w:lvlText w:val="%9."/>
      <w:lvlJc w:val="right"/>
      <w:pPr>
        <w:ind w:left="6120" w:hanging="180"/>
      </w:pPr>
    </w:lvl>
  </w:abstractNum>
  <w:abstractNum w:abstractNumId="35" w15:restartNumberingAfterBreak="0">
    <w:nsid w:val="729E7975"/>
    <w:multiLevelType w:val="hybridMultilevel"/>
    <w:tmpl w:val="81CE2430"/>
    <w:lvl w:ilvl="0" w:tplc="8920FCD4">
      <w:start w:val="1"/>
      <w:numFmt w:val="bullet"/>
      <w:lvlText w:val=""/>
      <w:lvlJc w:val="left"/>
      <w:pPr>
        <w:ind w:left="720" w:hanging="360"/>
      </w:pPr>
      <w:rPr>
        <w:rFonts w:ascii="Symbol" w:hAnsi="Symbol" w:hint="default"/>
      </w:rPr>
    </w:lvl>
    <w:lvl w:ilvl="1" w:tplc="FB545A0E">
      <w:start w:val="1"/>
      <w:numFmt w:val="bullet"/>
      <w:lvlText w:val="o"/>
      <w:lvlJc w:val="left"/>
      <w:pPr>
        <w:ind w:left="1440" w:hanging="360"/>
      </w:pPr>
      <w:rPr>
        <w:rFonts w:ascii="Courier New" w:hAnsi="Courier New" w:hint="default"/>
      </w:rPr>
    </w:lvl>
    <w:lvl w:ilvl="2" w:tplc="35964636">
      <w:start w:val="1"/>
      <w:numFmt w:val="bullet"/>
      <w:lvlText w:val=""/>
      <w:lvlJc w:val="left"/>
      <w:pPr>
        <w:ind w:left="2160" w:hanging="360"/>
      </w:pPr>
      <w:rPr>
        <w:rFonts w:ascii="Wingdings" w:hAnsi="Wingdings" w:hint="default"/>
      </w:rPr>
    </w:lvl>
    <w:lvl w:ilvl="3" w:tplc="DEE8FBBE">
      <w:start w:val="1"/>
      <w:numFmt w:val="bullet"/>
      <w:lvlText w:val=""/>
      <w:lvlJc w:val="left"/>
      <w:pPr>
        <w:ind w:left="2880" w:hanging="360"/>
      </w:pPr>
      <w:rPr>
        <w:rFonts w:ascii="Symbol" w:hAnsi="Symbol" w:hint="default"/>
      </w:rPr>
    </w:lvl>
    <w:lvl w:ilvl="4" w:tplc="4B6CDD18">
      <w:start w:val="1"/>
      <w:numFmt w:val="bullet"/>
      <w:lvlText w:val="o"/>
      <w:lvlJc w:val="left"/>
      <w:pPr>
        <w:ind w:left="3600" w:hanging="360"/>
      </w:pPr>
      <w:rPr>
        <w:rFonts w:ascii="Courier New" w:hAnsi="Courier New" w:hint="default"/>
      </w:rPr>
    </w:lvl>
    <w:lvl w:ilvl="5" w:tplc="70F28A0E">
      <w:start w:val="1"/>
      <w:numFmt w:val="bullet"/>
      <w:lvlText w:val=""/>
      <w:lvlJc w:val="left"/>
      <w:pPr>
        <w:ind w:left="4320" w:hanging="360"/>
      </w:pPr>
      <w:rPr>
        <w:rFonts w:ascii="Wingdings" w:hAnsi="Wingdings" w:hint="default"/>
      </w:rPr>
    </w:lvl>
    <w:lvl w:ilvl="6" w:tplc="B806362C">
      <w:start w:val="1"/>
      <w:numFmt w:val="bullet"/>
      <w:lvlText w:val=""/>
      <w:lvlJc w:val="left"/>
      <w:pPr>
        <w:ind w:left="5040" w:hanging="360"/>
      </w:pPr>
      <w:rPr>
        <w:rFonts w:ascii="Symbol" w:hAnsi="Symbol" w:hint="default"/>
      </w:rPr>
    </w:lvl>
    <w:lvl w:ilvl="7" w:tplc="9E6AB33E">
      <w:start w:val="1"/>
      <w:numFmt w:val="bullet"/>
      <w:lvlText w:val="o"/>
      <w:lvlJc w:val="left"/>
      <w:pPr>
        <w:ind w:left="5760" w:hanging="360"/>
      </w:pPr>
      <w:rPr>
        <w:rFonts w:ascii="Courier New" w:hAnsi="Courier New" w:hint="default"/>
      </w:rPr>
    </w:lvl>
    <w:lvl w:ilvl="8" w:tplc="F63E328C">
      <w:start w:val="1"/>
      <w:numFmt w:val="bullet"/>
      <w:lvlText w:val=""/>
      <w:lvlJc w:val="left"/>
      <w:pPr>
        <w:ind w:left="6480" w:hanging="360"/>
      </w:pPr>
      <w:rPr>
        <w:rFonts w:ascii="Wingdings" w:hAnsi="Wingdings" w:hint="default"/>
      </w:rPr>
    </w:lvl>
  </w:abstractNum>
  <w:abstractNum w:abstractNumId="36" w15:restartNumberingAfterBreak="0">
    <w:nsid w:val="72DB0818"/>
    <w:multiLevelType w:val="hybridMultilevel"/>
    <w:tmpl w:val="784A0B2E"/>
    <w:lvl w:ilvl="0" w:tplc="3CAC06EC">
      <w:start w:val="1"/>
      <w:numFmt w:val="lowerRoman"/>
      <w:lvlText w:val="%1)"/>
      <w:lvlJc w:val="right"/>
      <w:pPr>
        <w:ind w:left="720" w:hanging="360"/>
      </w:pPr>
    </w:lvl>
    <w:lvl w:ilvl="1" w:tplc="DA56BC1C">
      <w:start w:val="1"/>
      <w:numFmt w:val="lowerLetter"/>
      <w:lvlText w:val="%2."/>
      <w:lvlJc w:val="left"/>
      <w:pPr>
        <w:ind w:left="1440" w:hanging="360"/>
      </w:pPr>
    </w:lvl>
    <w:lvl w:ilvl="2" w:tplc="2F622E8E">
      <w:start w:val="1"/>
      <w:numFmt w:val="lowerRoman"/>
      <w:lvlText w:val="%3."/>
      <w:lvlJc w:val="right"/>
      <w:pPr>
        <w:ind w:left="2160" w:hanging="180"/>
      </w:pPr>
    </w:lvl>
    <w:lvl w:ilvl="3" w:tplc="8D3A681E">
      <w:start w:val="1"/>
      <w:numFmt w:val="decimal"/>
      <w:lvlText w:val="%4."/>
      <w:lvlJc w:val="left"/>
      <w:pPr>
        <w:ind w:left="2880" w:hanging="360"/>
      </w:pPr>
    </w:lvl>
    <w:lvl w:ilvl="4" w:tplc="D24E9A24">
      <w:start w:val="1"/>
      <w:numFmt w:val="lowerLetter"/>
      <w:lvlText w:val="%5."/>
      <w:lvlJc w:val="left"/>
      <w:pPr>
        <w:ind w:left="3600" w:hanging="360"/>
      </w:pPr>
    </w:lvl>
    <w:lvl w:ilvl="5" w:tplc="07521FE2">
      <w:start w:val="1"/>
      <w:numFmt w:val="lowerRoman"/>
      <w:lvlText w:val="%6."/>
      <w:lvlJc w:val="right"/>
      <w:pPr>
        <w:ind w:left="4320" w:hanging="180"/>
      </w:pPr>
    </w:lvl>
    <w:lvl w:ilvl="6" w:tplc="650007F0">
      <w:start w:val="1"/>
      <w:numFmt w:val="decimal"/>
      <w:lvlText w:val="%7."/>
      <w:lvlJc w:val="left"/>
      <w:pPr>
        <w:ind w:left="5040" w:hanging="360"/>
      </w:pPr>
    </w:lvl>
    <w:lvl w:ilvl="7" w:tplc="F314F3CE">
      <w:start w:val="1"/>
      <w:numFmt w:val="lowerLetter"/>
      <w:lvlText w:val="%8."/>
      <w:lvlJc w:val="left"/>
      <w:pPr>
        <w:ind w:left="5760" w:hanging="360"/>
      </w:pPr>
    </w:lvl>
    <w:lvl w:ilvl="8" w:tplc="D3B4387A">
      <w:start w:val="1"/>
      <w:numFmt w:val="lowerRoman"/>
      <w:lvlText w:val="%9."/>
      <w:lvlJc w:val="right"/>
      <w:pPr>
        <w:ind w:left="6480" w:hanging="180"/>
      </w:pPr>
    </w:lvl>
  </w:abstractNum>
  <w:abstractNum w:abstractNumId="37" w15:restartNumberingAfterBreak="0">
    <w:nsid w:val="73D61A66"/>
    <w:multiLevelType w:val="hybridMultilevel"/>
    <w:tmpl w:val="DFA8E816"/>
    <w:lvl w:ilvl="0" w:tplc="5122F486">
      <w:start w:val="1"/>
      <w:numFmt w:val="lowerLetter"/>
      <w:lvlText w:val="%1."/>
      <w:lvlJc w:val="left"/>
      <w:pPr>
        <w:ind w:left="1080" w:hanging="360"/>
      </w:pPr>
    </w:lvl>
    <w:lvl w:ilvl="1" w:tplc="3B8492B6">
      <w:start w:val="1"/>
      <w:numFmt w:val="lowerLetter"/>
      <w:lvlText w:val="%2."/>
      <w:lvlJc w:val="left"/>
      <w:pPr>
        <w:ind w:left="1800" w:hanging="360"/>
      </w:pPr>
    </w:lvl>
    <w:lvl w:ilvl="2" w:tplc="B9408244">
      <w:start w:val="1"/>
      <w:numFmt w:val="lowerRoman"/>
      <w:lvlText w:val="%3."/>
      <w:lvlJc w:val="right"/>
      <w:pPr>
        <w:ind w:left="2520" w:hanging="180"/>
      </w:pPr>
    </w:lvl>
    <w:lvl w:ilvl="3" w:tplc="D35AA6D8">
      <w:start w:val="1"/>
      <w:numFmt w:val="decimal"/>
      <w:lvlText w:val="%4."/>
      <w:lvlJc w:val="left"/>
      <w:pPr>
        <w:ind w:left="3240" w:hanging="360"/>
      </w:pPr>
    </w:lvl>
    <w:lvl w:ilvl="4" w:tplc="5A9EED72">
      <w:start w:val="1"/>
      <w:numFmt w:val="lowerLetter"/>
      <w:lvlText w:val="%5."/>
      <w:lvlJc w:val="left"/>
      <w:pPr>
        <w:ind w:left="3960" w:hanging="360"/>
      </w:pPr>
    </w:lvl>
    <w:lvl w:ilvl="5" w:tplc="E070AF04">
      <w:start w:val="1"/>
      <w:numFmt w:val="lowerRoman"/>
      <w:lvlText w:val="%6."/>
      <w:lvlJc w:val="right"/>
      <w:pPr>
        <w:ind w:left="4680" w:hanging="180"/>
      </w:pPr>
    </w:lvl>
    <w:lvl w:ilvl="6" w:tplc="D16E0864">
      <w:start w:val="1"/>
      <w:numFmt w:val="decimal"/>
      <w:lvlText w:val="%7."/>
      <w:lvlJc w:val="left"/>
      <w:pPr>
        <w:ind w:left="5400" w:hanging="360"/>
      </w:pPr>
    </w:lvl>
    <w:lvl w:ilvl="7" w:tplc="60D8B0C8">
      <w:start w:val="1"/>
      <w:numFmt w:val="lowerLetter"/>
      <w:lvlText w:val="%8."/>
      <w:lvlJc w:val="left"/>
      <w:pPr>
        <w:ind w:left="6120" w:hanging="360"/>
      </w:pPr>
    </w:lvl>
    <w:lvl w:ilvl="8" w:tplc="9A76208C">
      <w:start w:val="1"/>
      <w:numFmt w:val="lowerRoman"/>
      <w:lvlText w:val="%9."/>
      <w:lvlJc w:val="right"/>
      <w:pPr>
        <w:ind w:left="6840" w:hanging="180"/>
      </w:pPr>
    </w:lvl>
  </w:abstractNum>
  <w:abstractNum w:abstractNumId="38" w15:restartNumberingAfterBreak="0">
    <w:nsid w:val="75A03AB8"/>
    <w:multiLevelType w:val="hybridMultilevel"/>
    <w:tmpl w:val="CB922F18"/>
    <w:lvl w:ilvl="0" w:tplc="1812F3DA">
      <w:start w:val="1"/>
      <w:numFmt w:val="lowerRoman"/>
      <w:lvlText w:val="%1)"/>
      <w:lvlJc w:val="right"/>
      <w:pPr>
        <w:ind w:left="360" w:hanging="360"/>
      </w:pPr>
    </w:lvl>
    <w:lvl w:ilvl="1" w:tplc="95F44368">
      <w:start w:val="1"/>
      <w:numFmt w:val="lowerLetter"/>
      <w:lvlText w:val="%2."/>
      <w:lvlJc w:val="left"/>
      <w:pPr>
        <w:ind w:left="1080" w:hanging="360"/>
      </w:pPr>
    </w:lvl>
    <w:lvl w:ilvl="2" w:tplc="814EF434">
      <w:start w:val="1"/>
      <w:numFmt w:val="lowerRoman"/>
      <w:lvlText w:val="%3."/>
      <w:lvlJc w:val="right"/>
      <w:pPr>
        <w:ind w:left="1800" w:hanging="180"/>
      </w:pPr>
    </w:lvl>
    <w:lvl w:ilvl="3" w:tplc="F294AA48">
      <w:start w:val="1"/>
      <w:numFmt w:val="decimal"/>
      <w:lvlText w:val="%4."/>
      <w:lvlJc w:val="left"/>
      <w:pPr>
        <w:ind w:left="2520" w:hanging="360"/>
      </w:pPr>
    </w:lvl>
    <w:lvl w:ilvl="4" w:tplc="25FCBCD0">
      <w:start w:val="1"/>
      <w:numFmt w:val="lowerLetter"/>
      <w:lvlText w:val="%5."/>
      <w:lvlJc w:val="left"/>
      <w:pPr>
        <w:ind w:left="3240" w:hanging="360"/>
      </w:pPr>
    </w:lvl>
    <w:lvl w:ilvl="5" w:tplc="1BB2D5CE">
      <w:start w:val="1"/>
      <w:numFmt w:val="lowerRoman"/>
      <w:lvlText w:val="%6."/>
      <w:lvlJc w:val="right"/>
      <w:pPr>
        <w:ind w:left="3960" w:hanging="180"/>
      </w:pPr>
    </w:lvl>
    <w:lvl w:ilvl="6" w:tplc="F34AEC52">
      <w:start w:val="1"/>
      <w:numFmt w:val="decimal"/>
      <w:lvlText w:val="%7."/>
      <w:lvlJc w:val="left"/>
      <w:pPr>
        <w:ind w:left="4680" w:hanging="360"/>
      </w:pPr>
    </w:lvl>
    <w:lvl w:ilvl="7" w:tplc="B1580AAC">
      <w:start w:val="1"/>
      <w:numFmt w:val="lowerLetter"/>
      <w:lvlText w:val="%8."/>
      <w:lvlJc w:val="left"/>
      <w:pPr>
        <w:ind w:left="5400" w:hanging="360"/>
      </w:pPr>
    </w:lvl>
    <w:lvl w:ilvl="8" w:tplc="C728D524">
      <w:start w:val="1"/>
      <w:numFmt w:val="lowerRoman"/>
      <w:lvlText w:val="%9."/>
      <w:lvlJc w:val="right"/>
      <w:pPr>
        <w:ind w:left="6120" w:hanging="180"/>
      </w:pPr>
    </w:lvl>
  </w:abstractNum>
  <w:abstractNum w:abstractNumId="39" w15:restartNumberingAfterBreak="0">
    <w:nsid w:val="77EE2DC1"/>
    <w:multiLevelType w:val="hybridMultilevel"/>
    <w:tmpl w:val="22BE1FDA"/>
    <w:lvl w:ilvl="0" w:tplc="369A072C">
      <w:start w:val="1"/>
      <w:numFmt w:val="lowerLetter"/>
      <w:lvlText w:val="%1."/>
      <w:lvlJc w:val="left"/>
      <w:pPr>
        <w:ind w:left="360" w:hanging="360"/>
      </w:pPr>
    </w:lvl>
    <w:lvl w:ilvl="1" w:tplc="65060ECA">
      <w:start w:val="1"/>
      <w:numFmt w:val="lowerLetter"/>
      <w:lvlText w:val="%2."/>
      <w:lvlJc w:val="left"/>
      <w:pPr>
        <w:ind w:left="1080" w:hanging="360"/>
      </w:pPr>
    </w:lvl>
    <w:lvl w:ilvl="2" w:tplc="D0421206">
      <w:start w:val="1"/>
      <w:numFmt w:val="lowerRoman"/>
      <w:lvlText w:val="%3."/>
      <w:lvlJc w:val="right"/>
      <w:pPr>
        <w:ind w:left="1800" w:hanging="180"/>
      </w:pPr>
    </w:lvl>
    <w:lvl w:ilvl="3" w:tplc="D84ED11C">
      <w:start w:val="1"/>
      <w:numFmt w:val="decimal"/>
      <w:lvlText w:val="%4."/>
      <w:lvlJc w:val="left"/>
      <w:pPr>
        <w:ind w:left="2520" w:hanging="360"/>
      </w:pPr>
    </w:lvl>
    <w:lvl w:ilvl="4" w:tplc="A0DA44BA">
      <w:start w:val="1"/>
      <w:numFmt w:val="lowerLetter"/>
      <w:lvlText w:val="%5."/>
      <w:lvlJc w:val="left"/>
      <w:pPr>
        <w:ind w:left="3240" w:hanging="360"/>
      </w:pPr>
    </w:lvl>
    <w:lvl w:ilvl="5" w:tplc="085E6EB2">
      <w:start w:val="1"/>
      <w:numFmt w:val="lowerRoman"/>
      <w:lvlText w:val="%6."/>
      <w:lvlJc w:val="right"/>
      <w:pPr>
        <w:ind w:left="3960" w:hanging="180"/>
      </w:pPr>
    </w:lvl>
    <w:lvl w:ilvl="6" w:tplc="208CE076">
      <w:start w:val="1"/>
      <w:numFmt w:val="decimal"/>
      <w:lvlText w:val="%7."/>
      <w:lvlJc w:val="left"/>
      <w:pPr>
        <w:ind w:left="4680" w:hanging="360"/>
      </w:pPr>
    </w:lvl>
    <w:lvl w:ilvl="7" w:tplc="AA2A96B8">
      <w:start w:val="1"/>
      <w:numFmt w:val="lowerLetter"/>
      <w:lvlText w:val="%8."/>
      <w:lvlJc w:val="left"/>
      <w:pPr>
        <w:ind w:left="5400" w:hanging="360"/>
      </w:pPr>
    </w:lvl>
    <w:lvl w:ilvl="8" w:tplc="A0BE19C0">
      <w:start w:val="1"/>
      <w:numFmt w:val="lowerRoman"/>
      <w:lvlText w:val="%9."/>
      <w:lvlJc w:val="right"/>
      <w:pPr>
        <w:ind w:left="6120" w:hanging="180"/>
      </w:pPr>
    </w:lvl>
  </w:abstractNum>
  <w:abstractNum w:abstractNumId="40" w15:restartNumberingAfterBreak="0">
    <w:nsid w:val="7AF26799"/>
    <w:multiLevelType w:val="hybridMultilevel"/>
    <w:tmpl w:val="95205430"/>
    <w:lvl w:ilvl="0" w:tplc="46245040">
      <w:start w:val="1"/>
      <w:numFmt w:val="decimal"/>
      <w:lvlText w:val="%1."/>
      <w:lvlJc w:val="left"/>
      <w:pPr>
        <w:ind w:left="360" w:hanging="360"/>
      </w:pPr>
      <w:rPr>
        <w:b/>
        <w:bCs/>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B81B0A"/>
    <w:multiLevelType w:val="hybridMultilevel"/>
    <w:tmpl w:val="FF5E50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36051"/>
    <w:multiLevelType w:val="hybridMultilevel"/>
    <w:tmpl w:val="BBA2BA46"/>
    <w:lvl w:ilvl="0" w:tplc="AC1663F4">
      <w:start w:val="1"/>
      <w:numFmt w:val="lowerLetter"/>
      <w:lvlText w:val="%1."/>
      <w:lvlJc w:val="left"/>
      <w:pPr>
        <w:ind w:left="360" w:hanging="360"/>
      </w:pPr>
    </w:lvl>
    <w:lvl w:ilvl="1" w:tplc="DECCCB98">
      <w:start w:val="1"/>
      <w:numFmt w:val="lowerLetter"/>
      <w:lvlText w:val="%2."/>
      <w:lvlJc w:val="left"/>
      <w:pPr>
        <w:ind w:left="1080" w:hanging="360"/>
      </w:pPr>
    </w:lvl>
    <w:lvl w:ilvl="2" w:tplc="FBAEC456">
      <w:start w:val="1"/>
      <w:numFmt w:val="lowerRoman"/>
      <w:lvlText w:val="%3."/>
      <w:lvlJc w:val="right"/>
      <w:pPr>
        <w:ind w:left="1800" w:hanging="180"/>
      </w:pPr>
    </w:lvl>
    <w:lvl w:ilvl="3" w:tplc="C69852EA">
      <w:start w:val="1"/>
      <w:numFmt w:val="decimal"/>
      <w:lvlText w:val="%4."/>
      <w:lvlJc w:val="left"/>
      <w:pPr>
        <w:ind w:left="2520" w:hanging="360"/>
      </w:pPr>
    </w:lvl>
    <w:lvl w:ilvl="4" w:tplc="512C8F60">
      <w:start w:val="1"/>
      <w:numFmt w:val="lowerLetter"/>
      <w:lvlText w:val="%5."/>
      <w:lvlJc w:val="left"/>
      <w:pPr>
        <w:ind w:left="3240" w:hanging="360"/>
      </w:pPr>
    </w:lvl>
    <w:lvl w:ilvl="5" w:tplc="F0184966">
      <w:start w:val="1"/>
      <w:numFmt w:val="lowerRoman"/>
      <w:lvlText w:val="%6."/>
      <w:lvlJc w:val="right"/>
      <w:pPr>
        <w:ind w:left="3960" w:hanging="180"/>
      </w:pPr>
    </w:lvl>
    <w:lvl w:ilvl="6" w:tplc="41EC7D5E">
      <w:start w:val="1"/>
      <w:numFmt w:val="decimal"/>
      <w:lvlText w:val="%7."/>
      <w:lvlJc w:val="left"/>
      <w:pPr>
        <w:ind w:left="4680" w:hanging="360"/>
      </w:pPr>
    </w:lvl>
    <w:lvl w:ilvl="7" w:tplc="0F2EA9CA">
      <w:start w:val="1"/>
      <w:numFmt w:val="lowerLetter"/>
      <w:lvlText w:val="%8."/>
      <w:lvlJc w:val="left"/>
      <w:pPr>
        <w:ind w:left="5400" w:hanging="360"/>
      </w:pPr>
    </w:lvl>
    <w:lvl w:ilvl="8" w:tplc="1DF6DB08">
      <w:start w:val="1"/>
      <w:numFmt w:val="lowerRoman"/>
      <w:lvlText w:val="%9."/>
      <w:lvlJc w:val="right"/>
      <w:pPr>
        <w:ind w:left="6120" w:hanging="180"/>
      </w:pPr>
    </w:lvl>
  </w:abstractNum>
  <w:num w:numId="1" w16cid:durableId="678973546">
    <w:abstractNumId w:val="37"/>
  </w:num>
  <w:num w:numId="2" w16cid:durableId="100152772">
    <w:abstractNumId w:val="6"/>
  </w:num>
  <w:num w:numId="3" w16cid:durableId="1299728914">
    <w:abstractNumId w:val="35"/>
  </w:num>
  <w:num w:numId="4" w16cid:durableId="775633509">
    <w:abstractNumId w:val="38"/>
  </w:num>
  <w:num w:numId="5" w16cid:durableId="620187826">
    <w:abstractNumId w:val="34"/>
  </w:num>
  <w:num w:numId="6" w16cid:durableId="986588967">
    <w:abstractNumId w:val="10"/>
  </w:num>
  <w:num w:numId="7" w16cid:durableId="721290436">
    <w:abstractNumId w:val="0"/>
  </w:num>
  <w:num w:numId="8" w16cid:durableId="198906709">
    <w:abstractNumId w:val="26"/>
  </w:num>
  <w:num w:numId="9" w16cid:durableId="1406413885">
    <w:abstractNumId w:val="18"/>
  </w:num>
  <w:num w:numId="10" w16cid:durableId="2103985931">
    <w:abstractNumId w:val="21"/>
  </w:num>
  <w:num w:numId="11" w16cid:durableId="1840077585">
    <w:abstractNumId w:val="17"/>
  </w:num>
  <w:num w:numId="12" w16cid:durableId="282736706">
    <w:abstractNumId w:val="27"/>
  </w:num>
  <w:num w:numId="13" w16cid:durableId="1961762960">
    <w:abstractNumId w:val="36"/>
  </w:num>
  <w:num w:numId="14" w16cid:durableId="846868352">
    <w:abstractNumId w:val="39"/>
  </w:num>
  <w:num w:numId="15" w16cid:durableId="1557009747">
    <w:abstractNumId w:val="16"/>
  </w:num>
  <w:num w:numId="16" w16cid:durableId="1814984634">
    <w:abstractNumId w:val="7"/>
  </w:num>
  <w:num w:numId="17" w16cid:durableId="1561016736">
    <w:abstractNumId w:val="12"/>
  </w:num>
  <w:num w:numId="18" w16cid:durableId="1651900968">
    <w:abstractNumId w:val="5"/>
  </w:num>
  <w:num w:numId="19" w16cid:durableId="1887985159">
    <w:abstractNumId w:val="42"/>
  </w:num>
  <w:num w:numId="20" w16cid:durableId="1438789432">
    <w:abstractNumId w:val="24"/>
  </w:num>
  <w:num w:numId="21" w16cid:durableId="44914821">
    <w:abstractNumId w:val="3"/>
  </w:num>
  <w:num w:numId="22" w16cid:durableId="1585337783">
    <w:abstractNumId w:val="13"/>
  </w:num>
  <w:num w:numId="23" w16cid:durableId="1212810814">
    <w:abstractNumId w:val="19"/>
  </w:num>
  <w:num w:numId="24" w16cid:durableId="340401478">
    <w:abstractNumId w:val="1"/>
  </w:num>
  <w:num w:numId="25" w16cid:durableId="841121043">
    <w:abstractNumId w:val="25"/>
  </w:num>
  <w:num w:numId="26" w16cid:durableId="1716344256">
    <w:abstractNumId w:val="30"/>
  </w:num>
  <w:num w:numId="27" w16cid:durableId="834804989">
    <w:abstractNumId w:val="28"/>
  </w:num>
  <w:num w:numId="28" w16cid:durableId="818692908">
    <w:abstractNumId w:val="4"/>
  </w:num>
  <w:num w:numId="29" w16cid:durableId="761995653">
    <w:abstractNumId w:val="33"/>
  </w:num>
  <w:num w:numId="30" w16cid:durableId="1471171501">
    <w:abstractNumId w:val="2"/>
  </w:num>
  <w:num w:numId="31" w16cid:durableId="1581602444">
    <w:abstractNumId w:val="9"/>
  </w:num>
  <w:num w:numId="32" w16cid:durableId="1703363726">
    <w:abstractNumId w:val="31"/>
  </w:num>
  <w:num w:numId="33" w16cid:durableId="1190412837">
    <w:abstractNumId w:val="40"/>
  </w:num>
  <w:num w:numId="34" w16cid:durableId="2125539548">
    <w:abstractNumId w:val="15"/>
  </w:num>
  <w:num w:numId="35" w16cid:durableId="61563822">
    <w:abstractNumId w:val="23"/>
  </w:num>
  <w:num w:numId="36" w16cid:durableId="1821458455">
    <w:abstractNumId w:val="8"/>
  </w:num>
  <w:num w:numId="37" w16cid:durableId="1322195617">
    <w:abstractNumId w:val="41"/>
  </w:num>
  <w:num w:numId="38" w16cid:durableId="2019426477">
    <w:abstractNumId w:val="22"/>
  </w:num>
  <w:num w:numId="39" w16cid:durableId="747967838">
    <w:abstractNumId w:val="14"/>
  </w:num>
  <w:num w:numId="40" w16cid:durableId="1590888380">
    <w:abstractNumId w:val="29"/>
  </w:num>
  <w:num w:numId="41" w16cid:durableId="411316723">
    <w:abstractNumId w:val="32"/>
  </w:num>
  <w:num w:numId="42" w16cid:durableId="837574222">
    <w:abstractNumId w:val="20"/>
  </w:num>
  <w:num w:numId="43" w16cid:durableId="644940813">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tali Chattopadhyay">
    <w15:presenceInfo w15:providerId="AD" w15:userId="S::c.chattopadhyay@unwomen.org::1f634029-8e72-46cb-8a81-7bcd327d2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35A8E9"/>
    <w:rsid w:val="00000448"/>
    <w:rsid w:val="00003503"/>
    <w:rsid w:val="0000519C"/>
    <w:rsid w:val="0000756D"/>
    <w:rsid w:val="000305BD"/>
    <w:rsid w:val="00035410"/>
    <w:rsid w:val="000445E4"/>
    <w:rsid w:val="00044EC6"/>
    <w:rsid w:val="000533BF"/>
    <w:rsid w:val="0006070B"/>
    <w:rsid w:val="00063866"/>
    <w:rsid w:val="00090EDE"/>
    <w:rsid w:val="00093930"/>
    <w:rsid w:val="000959B8"/>
    <w:rsid w:val="000A229C"/>
    <w:rsid w:val="000A58EA"/>
    <w:rsid w:val="000B32EF"/>
    <w:rsid w:val="000B3B41"/>
    <w:rsid w:val="000C0691"/>
    <w:rsid w:val="000C2746"/>
    <w:rsid w:val="000C2979"/>
    <w:rsid w:val="000C29E6"/>
    <w:rsid w:val="000C5D54"/>
    <w:rsid w:val="000D4AC0"/>
    <w:rsid w:val="000D5C5C"/>
    <w:rsid w:val="000D64E1"/>
    <w:rsid w:val="000F301B"/>
    <w:rsid w:val="00106677"/>
    <w:rsid w:val="0011141D"/>
    <w:rsid w:val="00111EA9"/>
    <w:rsid w:val="00121594"/>
    <w:rsid w:val="00142E03"/>
    <w:rsid w:val="00155FB7"/>
    <w:rsid w:val="001567B2"/>
    <w:rsid w:val="001661AC"/>
    <w:rsid w:val="00166777"/>
    <w:rsid w:val="00167D26"/>
    <w:rsid w:val="00171C2A"/>
    <w:rsid w:val="00172E5D"/>
    <w:rsid w:val="00175D8C"/>
    <w:rsid w:val="00182E23"/>
    <w:rsid w:val="00193893"/>
    <w:rsid w:val="001A6A36"/>
    <w:rsid w:val="001C2C3A"/>
    <w:rsid w:val="001C67FF"/>
    <w:rsid w:val="001D37B9"/>
    <w:rsid w:val="001D624A"/>
    <w:rsid w:val="001E5702"/>
    <w:rsid w:val="001E5A16"/>
    <w:rsid w:val="00210806"/>
    <w:rsid w:val="00213E94"/>
    <w:rsid w:val="002156E3"/>
    <w:rsid w:val="00217072"/>
    <w:rsid w:val="002201EF"/>
    <w:rsid w:val="00223F85"/>
    <w:rsid w:val="0022435B"/>
    <w:rsid w:val="002516FB"/>
    <w:rsid w:val="00263599"/>
    <w:rsid w:val="00270733"/>
    <w:rsid w:val="00290F17"/>
    <w:rsid w:val="00296021"/>
    <w:rsid w:val="002A3BCC"/>
    <w:rsid w:val="002C205D"/>
    <w:rsid w:val="002D6C2F"/>
    <w:rsid w:val="002D6D02"/>
    <w:rsid w:val="002D6FF3"/>
    <w:rsid w:val="002E78FA"/>
    <w:rsid w:val="002F036F"/>
    <w:rsid w:val="002F18B3"/>
    <w:rsid w:val="00310745"/>
    <w:rsid w:val="00312628"/>
    <w:rsid w:val="003235F3"/>
    <w:rsid w:val="0032CFB8"/>
    <w:rsid w:val="003325C4"/>
    <w:rsid w:val="00333C57"/>
    <w:rsid w:val="00334F7E"/>
    <w:rsid w:val="0035185D"/>
    <w:rsid w:val="00354F87"/>
    <w:rsid w:val="0035C726"/>
    <w:rsid w:val="003635E3"/>
    <w:rsid w:val="003668FD"/>
    <w:rsid w:val="00380328"/>
    <w:rsid w:val="00383C09"/>
    <w:rsid w:val="003856CC"/>
    <w:rsid w:val="003A74ED"/>
    <w:rsid w:val="003B4F97"/>
    <w:rsid w:val="003B7963"/>
    <w:rsid w:val="003C5D43"/>
    <w:rsid w:val="003C67DD"/>
    <w:rsid w:val="003D4D7E"/>
    <w:rsid w:val="003E04A7"/>
    <w:rsid w:val="003E0608"/>
    <w:rsid w:val="003E4A97"/>
    <w:rsid w:val="003E5ED7"/>
    <w:rsid w:val="003E6DBE"/>
    <w:rsid w:val="003F5D66"/>
    <w:rsid w:val="004034C6"/>
    <w:rsid w:val="00403526"/>
    <w:rsid w:val="0040375F"/>
    <w:rsid w:val="004128FA"/>
    <w:rsid w:val="004158CF"/>
    <w:rsid w:val="0043036F"/>
    <w:rsid w:val="00431F47"/>
    <w:rsid w:val="004452B7"/>
    <w:rsid w:val="00452AB8"/>
    <w:rsid w:val="00455EC5"/>
    <w:rsid w:val="0045D015"/>
    <w:rsid w:val="00462A70"/>
    <w:rsid w:val="004640B6"/>
    <w:rsid w:val="0046563B"/>
    <w:rsid w:val="004666F8"/>
    <w:rsid w:val="004939A1"/>
    <w:rsid w:val="004A3636"/>
    <w:rsid w:val="004A62B4"/>
    <w:rsid w:val="004C0B01"/>
    <w:rsid w:val="004C10B2"/>
    <w:rsid w:val="004D04E5"/>
    <w:rsid w:val="004E394C"/>
    <w:rsid w:val="004FF996"/>
    <w:rsid w:val="005042CE"/>
    <w:rsid w:val="00507D3A"/>
    <w:rsid w:val="005136FF"/>
    <w:rsid w:val="00516BD4"/>
    <w:rsid w:val="00516F0B"/>
    <w:rsid w:val="0052497A"/>
    <w:rsid w:val="0053577C"/>
    <w:rsid w:val="005455A1"/>
    <w:rsid w:val="005527E4"/>
    <w:rsid w:val="00566926"/>
    <w:rsid w:val="005706FF"/>
    <w:rsid w:val="00577802"/>
    <w:rsid w:val="00580A77"/>
    <w:rsid w:val="00593913"/>
    <w:rsid w:val="00593F6A"/>
    <w:rsid w:val="005952C6"/>
    <w:rsid w:val="0059557A"/>
    <w:rsid w:val="005A204E"/>
    <w:rsid w:val="005A2936"/>
    <w:rsid w:val="005A299D"/>
    <w:rsid w:val="005A586C"/>
    <w:rsid w:val="005A75F0"/>
    <w:rsid w:val="005C53E2"/>
    <w:rsid w:val="005C6748"/>
    <w:rsid w:val="005D2410"/>
    <w:rsid w:val="005D413A"/>
    <w:rsid w:val="005D4828"/>
    <w:rsid w:val="005D5CC5"/>
    <w:rsid w:val="005E2DEE"/>
    <w:rsid w:val="005E3FC8"/>
    <w:rsid w:val="005E5FBC"/>
    <w:rsid w:val="005F5673"/>
    <w:rsid w:val="00600BD3"/>
    <w:rsid w:val="006038AA"/>
    <w:rsid w:val="0060604B"/>
    <w:rsid w:val="00610885"/>
    <w:rsid w:val="00615982"/>
    <w:rsid w:val="00616079"/>
    <w:rsid w:val="00617267"/>
    <w:rsid w:val="00620C8A"/>
    <w:rsid w:val="00626F39"/>
    <w:rsid w:val="00643B5A"/>
    <w:rsid w:val="00644E83"/>
    <w:rsid w:val="00660257"/>
    <w:rsid w:val="00661DE9"/>
    <w:rsid w:val="006A2ADC"/>
    <w:rsid w:val="006B4473"/>
    <w:rsid w:val="006B44CD"/>
    <w:rsid w:val="006C1AFC"/>
    <w:rsid w:val="006C26CA"/>
    <w:rsid w:val="006C4A31"/>
    <w:rsid w:val="006C5BCE"/>
    <w:rsid w:val="006E2AC3"/>
    <w:rsid w:val="006E5002"/>
    <w:rsid w:val="006E6F47"/>
    <w:rsid w:val="006F3552"/>
    <w:rsid w:val="006F3F63"/>
    <w:rsid w:val="00707959"/>
    <w:rsid w:val="007163E5"/>
    <w:rsid w:val="0071787A"/>
    <w:rsid w:val="00722CFA"/>
    <w:rsid w:val="0072589B"/>
    <w:rsid w:val="00738FFD"/>
    <w:rsid w:val="00753965"/>
    <w:rsid w:val="0075449D"/>
    <w:rsid w:val="0075623C"/>
    <w:rsid w:val="0076057C"/>
    <w:rsid w:val="00765337"/>
    <w:rsid w:val="007670E0"/>
    <w:rsid w:val="00770574"/>
    <w:rsid w:val="007923D2"/>
    <w:rsid w:val="007C17D7"/>
    <w:rsid w:val="007C3287"/>
    <w:rsid w:val="007D076A"/>
    <w:rsid w:val="007D4A8F"/>
    <w:rsid w:val="007DEFDF"/>
    <w:rsid w:val="007E3E2A"/>
    <w:rsid w:val="007F1E0B"/>
    <w:rsid w:val="007F2E94"/>
    <w:rsid w:val="007F666A"/>
    <w:rsid w:val="00805246"/>
    <w:rsid w:val="008072E6"/>
    <w:rsid w:val="00817B34"/>
    <w:rsid w:val="00827D1A"/>
    <w:rsid w:val="00834CB1"/>
    <w:rsid w:val="008376B1"/>
    <w:rsid w:val="0084020B"/>
    <w:rsid w:val="0084759B"/>
    <w:rsid w:val="00851013"/>
    <w:rsid w:val="00856D04"/>
    <w:rsid w:val="008576B7"/>
    <w:rsid w:val="0085EDDB"/>
    <w:rsid w:val="00870ABC"/>
    <w:rsid w:val="00871EB8"/>
    <w:rsid w:val="00876588"/>
    <w:rsid w:val="00880676"/>
    <w:rsid w:val="00881AAA"/>
    <w:rsid w:val="00883A74"/>
    <w:rsid w:val="00883EAD"/>
    <w:rsid w:val="0088471F"/>
    <w:rsid w:val="0089481A"/>
    <w:rsid w:val="008A09CE"/>
    <w:rsid w:val="008A4C0C"/>
    <w:rsid w:val="008B17AD"/>
    <w:rsid w:val="008B1FBA"/>
    <w:rsid w:val="008C6EBC"/>
    <w:rsid w:val="008D63F5"/>
    <w:rsid w:val="008D7668"/>
    <w:rsid w:val="008E1096"/>
    <w:rsid w:val="008E2900"/>
    <w:rsid w:val="0090337C"/>
    <w:rsid w:val="0090687F"/>
    <w:rsid w:val="0090704C"/>
    <w:rsid w:val="00914324"/>
    <w:rsid w:val="009147CE"/>
    <w:rsid w:val="00917619"/>
    <w:rsid w:val="00922790"/>
    <w:rsid w:val="009364E1"/>
    <w:rsid w:val="00945DCF"/>
    <w:rsid w:val="00947068"/>
    <w:rsid w:val="00962E72"/>
    <w:rsid w:val="009707C4"/>
    <w:rsid w:val="00975EBD"/>
    <w:rsid w:val="00985354"/>
    <w:rsid w:val="00991FD9"/>
    <w:rsid w:val="009A047D"/>
    <w:rsid w:val="009A0FC2"/>
    <w:rsid w:val="009C0559"/>
    <w:rsid w:val="009C5177"/>
    <w:rsid w:val="009C5636"/>
    <w:rsid w:val="009F11CE"/>
    <w:rsid w:val="00A02FBC"/>
    <w:rsid w:val="00A1777C"/>
    <w:rsid w:val="00A337F8"/>
    <w:rsid w:val="00A36DCE"/>
    <w:rsid w:val="00A375EF"/>
    <w:rsid w:val="00A4233B"/>
    <w:rsid w:val="00A43471"/>
    <w:rsid w:val="00A5377A"/>
    <w:rsid w:val="00A6261C"/>
    <w:rsid w:val="00A71421"/>
    <w:rsid w:val="00A82914"/>
    <w:rsid w:val="00A87BF9"/>
    <w:rsid w:val="00A9070A"/>
    <w:rsid w:val="00AA5291"/>
    <w:rsid w:val="00AB9726"/>
    <w:rsid w:val="00AC38DF"/>
    <w:rsid w:val="00AC52FF"/>
    <w:rsid w:val="00AD03E7"/>
    <w:rsid w:val="00AD5375"/>
    <w:rsid w:val="00AE2D8F"/>
    <w:rsid w:val="00AE42F2"/>
    <w:rsid w:val="00AE5498"/>
    <w:rsid w:val="00AF19B4"/>
    <w:rsid w:val="00AF2C7E"/>
    <w:rsid w:val="00AF497C"/>
    <w:rsid w:val="00AF4A5D"/>
    <w:rsid w:val="00B05165"/>
    <w:rsid w:val="00B06324"/>
    <w:rsid w:val="00B2CBD2"/>
    <w:rsid w:val="00B3128E"/>
    <w:rsid w:val="00B32F7E"/>
    <w:rsid w:val="00B56B9A"/>
    <w:rsid w:val="00B60A9D"/>
    <w:rsid w:val="00B613EB"/>
    <w:rsid w:val="00B6312C"/>
    <w:rsid w:val="00B74731"/>
    <w:rsid w:val="00B75296"/>
    <w:rsid w:val="00B8396C"/>
    <w:rsid w:val="00BA15F7"/>
    <w:rsid w:val="00BA4511"/>
    <w:rsid w:val="00BA4B75"/>
    <w:rsid w:val="00BB2CA8"/>
    <w:rsid w:val="00BB612F"/>
    <w:rsid w:val="00BB6CB8"/>
    <w:rsid w:val="00BC02C0"/>
    <w:rsid w:val="00BC108B"/>
    <w:rsid w:val="00BCC8DE"/>
    <w:rsid w:val="00BD5A46"/>
    <w:rsid w:val="00BD5B00"/>
    <w:rsid w:val="00BD5D95"/>
    <w:rsid w:val="00BE15D7"/>
    <w:rsid w:val="00BE188B"/>
    <w:rsid w:val="00C07D25"/>
    <w:rsid w:val="00C13B48"/>
    <w:rsid w:val="00C154BD"/>
    <w:rsid w:val="00C16150"/>
    <w:rsid w:val="00C211A5"/>
    <w:rsid w:val="00C2670D"/>
    <w:rsid w:val="00C4034A"/>
    <w:rsid w:val="00C42285"/>
    <w:rsid w:val="00C600A5"/>
    <w:rsid w:val="00C60607"/>
    <w:rsid w:val="00C63F18"/>
    <w:rsid w:val="00C93DE1"/>
    <w:rsid w:val="00C93FCC"/>
    <w:rsid w:val="00C97D57"/>
    <w:rsid w:val="00CA0287"/>
    <w:rsid w:val="00CA4EF8"/>
    <w:rsid w:val="00CB7574"/>
    <w:rsid w:val="00CC0077"/>
    <w:rsid w:val="00CC189B"/>
    <w:rsid w:val="00CC345B"/>
    <w:rsid w:val="00CD1270"/>
    <w:rsid w:val="00D01BDB"/>
    <w:rsid w:val="00D067D6"/>
    <w:rsid w:val="00D2329B"/>
    <w:rsid w:val="00D234D8"/>
    <w:rsid w:val="00D2391C"/>
    <w:rsid w:val="00D40AC8"/>
    <w:rsid w:val="00D6304F"/>
    <w:rsid w:val="00D66FF5"/>
    <w:rsid w:val="00D673D4"/>
    <w:rsid w:val="00D757B3"/>
    <w:rsid w:val="00D8089A"/>
    <w:rsid w:val="00D8261B"/>
    <w:rsid w:val="00D87FA2"/>
    <w:rsid w:val="00D92B1D"/>
    <w:rsid w:val="00D9A1B2"/>
    <w:rsid w:val="00DA41CC"/>
    <w:rsid w:val="00DC0909"/>
    <w:rsid w:val="00DD6C7A"/>
    <w:rsid w:val="00DE4CA3"/>
    <w:rsid w:val="00DE7EC4"/>
    <w:rsid w:val="00DE890E"/>
    <w:rsid w:val="00DF4044"/>
    <w:rsid w:val="00E0559F"/>
    <w:rsid w:val="00E0742A"/>
    <w:rsid w:val="00E1211B"/>
    <w:rsid w:val="00E2329D"/>
    <w:rsid w:val="00E25869"/>
    <w:rsid w:val="00E42377"/>
    <w:rsid w:val="00E43E7C"/>
    <w:rsid w:val="00E55A8F"/>
    <w:rsid w:val="00E55EC7"/>
    <w:rsid w:val="00E66FCD"/>
    <w:rsid w:val="00E673C7"/>
    <w:rsid w:val="00E74501"/>
    <w:rsid w:val="00E76189"/>
    <w:rsid w:val="00E9719C"/>
    <w:rsid w:val="00ED4831"/>
    <w:rsid w:val="00EE610E"/>
    <w:rsid w:val="00EF4AB4"/>
    <w:rsid w:val="00EF5DA4"/>
    <w:rsid w:val="00F013F9"/>
    <w:rsid w:val="00F04328"/>
    <w:rsid w:val="00F05A82"/>
    <w:rsid w:val="00F1721F"/>
    <w:rsid w:val="00F23CC8"/>
    <w:rsid w:val="00F324B1"/>
    <w:rsid w:val="00F359BD"/>
    <w:rsid w:val="00F36853"/>
    <w:rsid w:val="00F4415D"/>
    <w:rsid w:val="00F503CB"/>
    <w:rsid w:val="00F67CA2"/>
    <w:rsid w:val="00F71676"/>
    <w:rsid w:val="00F754A1"/>
    <w:rsid w:val="00F8387F"/>
    <w:rsid w:val="00F8CCE2"/>
    <w:rsid w:val="00FA06A6"/>
    <w:rsid w:val="00FA657C"/>
    <w:rsid w:val="00FA6D5A"/>
    <w:rsid w:val="00FA7975"/>
    <w:rsid w:val="00FB1CA7"/>
    <w:rsid w:val="00FC036A"/>
    <w:rsid w:val="00FC22E4"/>
    <w:rsid w:val="00FC6860"/>
    <w:rsid w:val="00FD12A8"/>
    <w:rsid w:val="00FF0F8F"/>
    <w:rsid w:val="00FF18B3"/>
    <w:rsid w:val="00FF5D38"/>
    <w:rsid w:val="0103DCDA"/>
    <w:rsid w:val="0106F602"/>
    <w:rsid w:val="010B1384"/>
    <w:rsid w:val="0114909C"/>
    <w:rsid w:val="01158223"/>
    <w:rsid w:val="0117E4B6"/>
    <w:rsid w:val="011D8B11"/>
    <w:rsid w:val="0121D896"/>
    <w:rsid w:val="012489F1"/>
    <w:rsid w:val="0127E000"/>
    <w:rsid w:val="012AC91C"/>
    <w:rsid w:val="01417948"/>
    <w:rsid w:val="014516E2"/>
    <w:rsid w:val="01562135"/>
    <w:rsid w:val="01594B5B"/>
    <w:rsid w:val="016F5F1B"/>
    <w:rsid w:val="017609F5"/>
    <w:rsid w:val="017BC2CD"/>
    <w:rsid w:val="01855DB5"/>
    <w:rsid w:val="018DB44F"/>
    <w:rsid w:val="0194850A"/>
    <w:rsid w:val="01A9FE07"/>
    <w:rsid w:val="01AE44C2"/>
    <w:rsid w:val="01AF9AEC"/>
    <w:rsid w:val="01B8DE6B"/>
    <w:rsid w:val="01C3C362"/>
    <w:rsid w:val="01CB2E46"/>
    <w:rsid w:val="01CB492B"/>
    <w:rsid w:val="01CEDFD0"/>
    <w:rsid w:val="01D3BABF"/>
    <w:rsid w:val="01D3F6CC"/>
    <w:rsid w:val="01D91490"/>
    <w:rsid w:val="01DB7B8C"/>
    <w:rsid w:val="01DEFFBE"/>
    <w:rsid w:val="01E0A43E"/>
    <w:rsid w:val="01E35A48"/>
    <w:rsid w:val="01E929EF"/>
    <w:rsid w:val="01EC2E58"/>
    <w:rsid w:val="01ECB372"/>
    <w:rsid w:val="01F8DF36"/>
    <w:rsid w:val="01FA719D"/>
    <w:rsid w:val="01FA8D10"/>
    <w:rsid w:val="02039742"/>
    <w:rsid w:val="02073203"/>
    <w:rsid w:val="0209A35B"/>
    <w:rsid w:val="020A2B23"/>
    <w:rsid w:val="020D54EF"/>
    <w:rsid w:val="020ECBB3"/>
    <w:rsid w:val="0213A829"/>
    <w:rsid w:val="02159BF6"/>
    <w:rsid w:val="022BB7F6"/>
    <w:rsid w:val="024A23F8"/>
    <w:rsid w:val="025B019F"/>
    <w:rsid w:val="025E61FE"/>
    <w:rsid w:val="02611FD2"/>
    <w:rsid w:val="0268ABBD"/>
    <w:rsid w:val="0269304E"/>
    <w:rsid w:val="02767EC2"/>
    <w:rsid w:val="028FEAC2"/>
    <w:rsid w:val="029DFFCC"/>
    <w:rsid w:val="02A3EB90"/>
    <w:rsid w:val="02A5F616"/>
    <w:rsid w:val="02A92890"/>
    <w:rsid w:val="02AE8413"/>
    <w:rsid w:val="02AF8B50"/>
    <w:rsid w:val="02B48747"/>
    <w:rsid w:val="02C945BD"/>
    <w:rsid w:val="02CC47D5"/>
    <w:rsid w:val="02D28EAA"/>
    <w:rsid w:val="02D748C4"/>
    <w:rsid w:val="02EB5877"/>
    <w:rsid w:val="02EEE5E6"/>
    <w:rsid w:val="02F564B1"/>
    <w:rsid w:val="02FA5C8A"/>
    <w:rsid w:val="0302979B"/>
    <w:rsid w:val="03065E04"/>
    <w:rsid w:val="03084019"/>
    <w:rsid w:val="030C52D9"/>
    <w:rsid w:val="031802CF"/>
    <w:rsid w:val="03195C61"/>
    <w:rsid w:val="033E2489"/>
    <w:rsid w:val="034BCFE2"/>
    <w:rsid w:val="03510D99"/>
    <w:rsid w:val="0359FC4B"/>
    <w:rsid w:val="035F93C3"/>
    <w:rsid w:val="03622704"/>
    <w:rsid w:val="03646EC5"/>
    <w:rsid w:val="03713F57"/>
    <w:rsid w:val="03785DAD"/>
    <w:rsid w:val="037968B1"/>
    <w:rsid w:val="037A94A7"/>
    <w:rsid w:val="037BD5A0"/>
    <w:rsid w:val="038C3ED6"/>
    <w:rsid w:val="03903801"/>
    <w:rsid w:val="03920EA8"/>
    <w:rsid w:val="0395932D"/>
    <w:rsid w:val="0396F354"/>
    <w:rsid w:val="0397CB9A"/>
    <w:rsid w:val="03997FAF"/>
    <w:rsid w:val="039A5980"/>
    <w:rsid w:val="03A65C35"/>
    <w:rsid w:val="03A7EFD9"/>
    <w:rsid w:val="03A9EE83"/>
    <w:rsid w:val="03AA1704"/>
    <w:rsid w:val="03AAEB1C"/>
    <w:rsid w:val="03ADF79D"/>
    <w:rsid w:val="03B1EEF9"/>
    <w:rsid w:val="03B3AC6F"/>
    <w:rsid w:val="03CF0D80"/>
    <w:rsid w:val="03E22CEA"/>
    <w:rsid w:val="03E9CD5F"/>
    <w:rsid w:val="03F337DF"/>
    <w:rsid w:val="03F76760"/>
    <w:rsid w:val="03F8147E"/>
    <w:rsid w:val="03FD2C07"/>
    <w:rsid w:val="04141F6C"/>
    <w:rsid w:val="042184D7"/>
    <w:rsid w:val="042ACB13"/>
    <w:rsid w:val="04322102"/>
    <w:rsid w:val="04438825"/>
    <w:rsid w:val="04470507"/>
    <w:rsid w:val="0448C010"/>
    <w:rsid w:val="0452D414"/>
    <w:rsid w:val="04621CDD"/>
    <w:rsid w:val="0463B71D"/>
    <w:rsid w:val="046528DE"/>
    <w:rsid w:val="0465CA83"/>
    <w:rsid w:val="0466FC97"/>
    <w:rsid w:val="046E66D6"/>
    <w:rsid w:val="047775E3"/>
    <w:rsid w:val="047C0E0D"/>
    <w:rsid w:val="047EC286"/>
    <w:rsid w:val="04817708"/>
    <w:rsid w:val="04822A94"/>
    <w:rsid w:val="0482A1F1"/>
    <w:rsid w:val="0484EACD"/>
    <w:rsid w:val="048AADF7"/>
    <w:rsid w:val="0491CBA0"/>
    <w:rsid w:val="0493DF9D"/>
    <w:rsid w:val="049C5908"/>
    <w:rsid w:val="04A30534"/>
    <w:rsid w:val="04A6FFDD"/>
    <w:rsid w:val="04A983ED"/>
    <w:rsid w:val="04AEEB05"/>
    <w:rsid w:val="04C03257"/>
    <w:rsid w:val="04C3F654"/>
    <w:rsid w:val="04D52E54"/>
    <w:rsid w:val="04D83751"/>
    <w:rsid w:val="04E2BBF4"/>
    <w:rsid w:val="04F348CB"/>
    <w:rsid w:val="04F3D8EC"/>
    <w:rsid w:val="04F5D560"/>
    <w:rsid w:val="04F84CE9"/>
    <w:rsid w:val="04F8B9C9"/>
    <w:rsid w:val="04FC6BD9"/>
    <w:rsid w:val="05003F26"/>
    <w:rsid w:val="05005850"/>
    <w:rsid w:val="0500DD7D"/>
    <w:rsid w:val="0502B817"/>
    <w:rsid w:val="0502CF08"/>
    <w:rsid w:val="05045DDD"/>
    <w:rsid w:val="050676BD"/>
    <w:rsid w:val="05080D5B"/>
    <w:rsid w:val="050B978E"/>
    <w:rsid w:val="050EC404"/>
    <w:rsid w:val="0523B661"/>
    <w:rsid w:val="05290BC7"/>
    <w:rsid w:val="05332107"/>
    <w:rsid w:val="05530028"/>
    <w:rsid w:val="055A01D6"/>
    <w:rsid w:val="055C2D14"/>
    <w:rsid w:val="0567AB4A"/>
    <w:rsid w:val="057B2480"/>
    <w:rsid w:val="057FF514"/>
    <w:rsid w:val="0583AF5A"/>
    <w:rsid w:val="058C87E1"/>
    <w:rsid w:val="058ECFB2"/>
    <w:rsid w:val="059330EE"/>
    <w:rsid w:val="0593EAAE"/>
    <w:rsid w:val="059ED101"/>
    <w:rsid w:val="05A0731A"/>
    <w:rsid w:val="05A0BF6D"/>
    <w:rsid w:val="05A66352"/>
    <w:rsid w:val="05A83F71"/>
    <w:rsid w:val="05A8A62E"/>
    <w:rsid w:val="05B3B80D"/>
    <w:rsid w:val="05C90F50"/>
    <w:rsid w:val="05D4664B"/>
    <w:rsid w:val="05D5EE14"/>
    <w:rsid w:val="05D649CE"/>
    <w:rsid w:val="05D9CB00"/>
    <w:rsid w:val="05DF3235"/>
    <w:rsid w:val="05E01890"/>
    <w:rsid w:val="05E1EB5D"/>
    <w:rsid w:val="05E97F2B"/>
    <w:rsid w:val="05F26B1A"/>
    <w:rsid w:val="05F50BF7"/>
    <w:rsid w:val="05F5EDA4"/>
    <w:rsid w:val="05F96215"/>
    <w:rsid w:val="05FF022A"/>
    <w:rsid w:val="06012A64"/>
    <w:rsid w:val="06022505"/>
    <w:rsid w:val="0604FC8C"/>
    <w:rsid w:val="060B1274"/>
    <w:rsid w:val="0613C4CB"/>
    <w:rsid w:val="06159F61"/>
    <w:rsid w:val="06186C6E"/>
    <w:rsid w:val="061C79A9"/>
    <w:rsid w:val="0620E1D4"/>
    <w:rsid w:val="06232FE7"/>
    <w:rsid w:val="0630436B"/>
    <w:rsid w:val="063AF65B"/>
    <w:rsid w:val="0648F4E8"/>
    <w:rsid w:val="0652B815"/>
    <w:rsid w:val="0654F296"/>
    <w:rsid w:val="066856F2"/>
    <w:rsid w:val="0670D2FE"/>
    <w:rsid w:val="067675EC"/>
    <w:rsid w:val="0676A7A9"/>
    <w:rsid w:val="06856D86"/>
    <w:rsid w:val="0692D63A"/>
    <w:rsid w:val="0695AE61"/>
    <w:rsid w:val="069E9F69"/>
    <w:rsid w:val="06A7BD4E"/>
    <w:rsid w:val="06A95A8C"/>
    <w:rsid w:val="06B27C49"/>
    <w:rsid w:val="06B77271"/>
    <w:rsid w:val="06C0F3DF"/>
    <w:rsid w:val="06CCCC1E"/>
    <w:rsid w:val="06CEAC89"/>
    <w:rsid w:val="06E01CFC"/>
    <w:rsid w:val="06E7CFBA"/>
    <w:rsid w:val="06E7D4E6"/>
    <w:rsid w:val="06E95F18"/>
    <w:rsid w:val="06EB3EDA"/>
    <w:rsid w:val="06ED1F60"/>
    <w:rsid w:val="06F23E9A"/>
    <w:rsid w:val="06F84769"/>
    <w:rsid w:val="06FFE3C6"/>
    <w:rsid w:val="07103C9C"/>
    <w:rsid w:val="07139026"/>
    <w:rsid w:val="071F7534"/>
    <w:rsid w:val="07364D00"/>
    <w:rsid w:val="073667A7"/>
    <w:rsid w:val="0739A3AE"/>
    <w:rsid w:val="073B0B55"/>
    <w:rsid w:val="073C4A82"/>
    <w:rsid w:val="073C87AB"/>
    <w:rsid w:val="073D1369"/>
    <w:rsid w:val="074C081A"/>
    <w:rsid w:val="07524214"/>
    <w:rsid w:val="07535956"/>
    <w:rsid w:val="075BF4D3"/>
    <w:rsid w:val="0761809F"/>
    <w:rsid w:val="07644F3E"/>
    <w:rsid w:val="0765DC23"/>
    <w:rsid w:val="0765EBFD"/>
    <w:rsid w:val="0769BFD6"/>
    <w:rsid w:val="07717EE0"/>
    <w:rsid w:val="077C99B3"/>
    <w:rsid w:val="077E7FE3"/>
    <w:rsid w:val="07829DBE"/>
    <w:rsid w:val="07842BA7"/>
    <w:rsid w:val="07854F8C"/>
    <w:rsid w:val="078C0450"/>
    <w:rsid w:val="0792FC46"/>
    <w:rsid w:val="07997EEC"/>
    <w:rsid w:val="07A048A6"/>
    <w:rsid w:val="07ABCDA5"/>
    <w:rsid w:val="07BB9105"/>
    <w:rsid w:val="07BC5A16"/>
    <w:rsid w:val="07BDC682"/>
    <w:rsid w:val="07D32E0F"/>
    <w:rsid w:val="07DDCBEB"/>
    <w:rsid w:val="07E9A08E"/>
    <w:rsid w:val="07EB33C7"/>
    <w:rsid w:val="080D0442"/>
    <w:rsid w:val="081932BC"/>
    <w:rsid w:val="08223762"/>
    <w:rsid w:val="08223AD3"/>
    <w:rsid w:val="082ABE09"/>
    <w:rsid w:val="082D5EA8"/>
    <w:rsid w:val="082E90BF"/>
    <w:rsid w:val="0830D9D7"/>
    <w:rsid w:val="0832DBE9"/>
    <w:rsid w:val="084DD397"/>
    <w:rsid w:val="084EA4D1"/>
    <w:rsid w:val="084F323F"/>
    <w:rsid w:val="08596CE9"/>
    <w:rsid w:val="085AD7AC"/>
    <w:rsid w:val="085AE938"/>
    <w:rsid w:val="085D264E"/>
    <w:rsid w:val="085EC29E"/>
    <w:rsid w:val="08659995"/>
    <w:rsid w:val="086C4CCD"/>
    <w:rsid w:val="0879AFBF"/>
    <w:rsid w:val="087B7DC2"/>
    <w:rsid w:val="087F6912"/>
    <w:rsid w:val="08844E67"/>
    <w:rsid w:val="0885FD96"/>
    <w:rsid w:val="08874F97"/>
    <w:rsid w:val="088BE47A"/>
    <w:rsid w:val="089C4649"/>
    <w:rsid w:val="08A827C9"/>
    <w:rsid w:val="08AEE6CC"/>
    <w:rsid w:val="08B2C542"/>
    <w:rsid w:val="08C190A0"/>
    <w:rsid w:val="08C6EDE2"/>
    <w:rsid w:val="08DF484A"/>
    <w:rsid w:val="08E1794F"/>
    <w:rsid w:val="08E61E5D"/>
    <w:rsid w:val="08EA7A6C"/>
    <w:rsid w:val="08F77805"/>
    <w:rsid w:val="09033DC6"/>
    <w:rsid w:val="09173856"/>
    <w:rsid w:val="09198C1F"/>
    <w:rsid w:val="091B954A"/>
    <w:rsid w:val="0924223B"/>
    <w:rsid w:val="092C52C6"/>
    <w:rsid w:val="092C648B"/>
    <w:rsid w:val="092E1CEC"/>
    <w:rsid w:val="093DA87B"/>
    <w:rsid w:val="094C7755"/>
    <w:rsid w:val="094FA99F"/>
    <w:rsid w:val="09513251"/>
    <w:rsid w:val="09541A6B"/>
    <w:rsid w:val="0956660D"/>
    <w:rsid w:val="095A1AFB"/>
    <w:rsid w:val="09662DD0"/>
    <w:rsid w:val="097F43FC"/>
    <w:rsid w:val="0982C413"/>
    <w:rsid w:val="098BB66F"/>
    <w:rsid w:val="0993EA82"/>
    <w:rsid w:val="09A873C0"/>
    <w:rsid w:val="09A8D7E1"/>
    <w:rsid w:val="09A9E1A1"/>
    <w:rsid w:val="09BBDEC8"/>
    <w:rsid w:val="09C33874"/>
    <w:rsid w:val="09C8AAA8"/>
    <w:rsid w:val="09C9B843"/>
    <w:rsid w:val="09CA6120"/>
    <w:rsid w:val="09CFA869"/>
    <w:rsid w:val="09D11AE1"/>
    <w:rsid w:val="09D32892"/>
    <w:rsid w:val="09D6402B"/>
    <w:rsid w:val="09D8F58D"/>
    <w:rsid w:val="09DD55D6"/>
    <w:rsid w:val="09DDD8CE"/>
    <w:rsid w:val="09EE95CE"/>
    <w:rsid w:val="0A075148"/>
    <w:rsid w:val="0A12D017"/>
    <w:rsid w:val="0A13BC2F"/>
    <w:rsid w:val="0A1839F8"/>
    <w:rsid w:val="0A19634B"/>
    <w:rsid w:val="0A1E1093"/>
    <w:rsid w:val="0A231FF8"/>
    <w:rsid w:val="0A237C22"/>
    <w:rsid w:val="0A2875E8"/>
    <w:rsid w:val="0A30687E"/>
    <w:rsid w:val="0A323EE1"/>
    <w:rsid w:val="0A347A5C"/>
    <w:rsid w:val="0A39FC11"/>
    <w:rsid w:val="0A3ADC85"/>
    <w:rsid w:val="0A3B549D"/>
    <w:rsid w:val="0A3EC590"/>
    <w:rsid w:val="0A5149F6"/>
    <w:rsid w:val="0A578309"/>
    <w:rsid w:val="0A5D0AAE"/>
    <w:rsid w:val="0A605AB9"/>
    <w:rsid w:val="0A661BA9"/>
    <w:rsid w:val="0A68E825"/>
    <w:rsid w:val="0A6A394A"/>
    <w:rsid w:val="0A72F454"/>
    <w:rsid w:val="0A73E222"/>
    <w:rsid w:val="0A7AB5D0"/>
    <w:rsid w:val="0A7C5565"/>
    <w:rsid w:val="0A7FE7EE"/>
    <w:rsid w:val="0A86B337"/>
    <w:rsid w:val="0A874071"/>
    <w:rsid w:val="0A8B290F"/>
    <w:rsid w:val="0A8B2EFE"/>
    <w:rsid w:val="0A8B6446"/>
    <w:rsid w:val="0A99A4F4"/>
    <w:rsid w:val="0AA326E9"/>
    <w:rsid w:val="0AA5057F"/>
    <w:rsid w:val="0AB1ED9D"/>
    <w:rsid w:val="0AB6483F"/>
    <w:rsid w:val="0AD0254D"/>
    <w:rsid w:val="0AD455A4"/>
    <w:rsid w:val="0ADB2488"/>
    <w:rsid w:val="0ADEEEA9"/>
    <w:rsid w:val="0AE2431C"/>
    <w:rsid w:val="0AE3BED1"/>
    <w:rsid w:val="0AE64367"/>
    <w:rsid w:val="0AE75186"/>
    <w:rsid w:val="0AECD5D6"/>
    <w:rsid w:val="0AF160E5"/>
    <w:rsid w:val="0AFA9726"/>
    <w:rsid w:val="0B063F8C"/>
    <w:rsid w:val="0B0A5E63"/>
    <w:rsid w:val="0B0F4408"/>
    <w:rsid w:val="0B13389B"/>
    <w:rsid w:val="0B1517EB"/>
    <w:rsid w:val="0B238A83"/>
    <w:rsid w:val="0B2B52CB"/>
    <w:rsid w:val="0B3D7A8D"/>
    <w:rsid w:val="0B3EDEC7"/>
    <w:rsid w:val="0B43EC2B"/>
    <w:rsid w:val="0B44B741"/>
    <w:rsid w:val="0B44EF34"/>
    <w:rsid w:val="0B4D3EF6"/>
    <w:rsid w:val="0B4E6610"/>
    <w:rsid w:val="0B50AF93"/>
    <w:rsid w:val="0B53385A"/>
    <w:rsid w:val="0B5FC0B1"/>
    <w:rsid w:val="0B6372D4"/>
    <w:rsid w:val="0B699486"/>
    <w:rsid w:val="0B6F14BC"/>
    <w:rsid w:val="0B85DF43"/>
    <w:rsid w:val="0B99F1F9"/>
    <w:rsid w:val="0BB16445"/>
    <w:rsid w:val="0BB488FD"/>
    <w:rsid w:val="0BB9E0F4"/>
    <w:rsid w:val="0BBE251D"/>
    <w:rsid w:val="0BC3A2A1"/>
    <w:rsid w:val="0BC5C398"/>
    <w:rsid w:val="0BC687F9"/>
    <w:rsid w:val="0BC6C9A9"/>
    <w:rsid w:val="0BCAEBD7"/>
    <w:rsid w:val="0BCCE763"/>
    <w:rsid w:val="0BCF998A"/>
    <w:rsid w:val="0BD30951"/>
    <w:rsid w:val="0BEEBC92"/>
    <w:rsid w:val="0BFFDAAA"/>
    <w:rsid w:val="0C03F348"/>
    <w:rsid w:val="0C0D694F"/>
    <w:rsid w:val="0C110D17"/>
    <w:rsid w:val="0C148416"/>
    <w:rsid w:val="0C16C94B"/>
    <w:rsid w:val="0C183665"/>
    <w:rsid w:val="0C184E1B"/>
    <w:rsid w:val="0C2002DE"/>
    <w:rsid w:val="0C2F8B08"/>
    <w:rsid w:val="0C3382C5"/>
    <w:rsid w:val="0C3ADE88"/>
    <w:rsid w:val="0C47B964"/>
    <w:rsid w:val="0C5698E5"/>
    <w:rsid w:val="0C5A62C9"/>
    <w:rsid w:val="0C6197B6"/>
    <w:rsid w:val="0C66C530"/>
    <w:rsid w:val="0C69EF18"/>
    <w:rsid w:val="0C6DAFF5"/>
    <w:rsid w:val="0C73B9C9"/>
    <w:rsid w:val="0C75D9CB"/>
    <w:rsid w:val="0C7900AD"/>
    <w:rsid w:val="0C7EA57C"/>
    <w:rsid w:val="0C7F13F9"/>
    <w:rsid w:val="0CAA19A4"/>
    <w:rsid w:val="0CBC4E20"/>
    <w:rsid w:val="0CBCBABB"/>
    <w:rsid w:val="0CC86504"/>
    <w:rsid w:val="0CD136A9"/>
    <w:rsid w:val="0CD52DC8"/>
    <w:rsid w:val="0CDDA767"/>
    <w:rsid w:val="0CDE0E68"/>
    <w:rsid w:val="0CE37DB9"/>
    <w:rsid w:val="0CF15185"/>
    <w:rsid w:val="0CF51832"/>
    <w:rsid w:val="0CF686A7"/>
    <w:rsid w:val="0D06CD31"/>
    <w:rsid w:val="0D08EE74"/>
    <w:rsid w:val="0D14FEA8"/>
    <w:rsid w:val="0D16A973"/>
    <w:rsid w:val="0D1955EE"/>
    <w:rsid w:val="0D283941"/>
    <w:rsid w:val="0D34F18B"/>
    <w:rsid w:val="0D38A505"/>
    <w:rsid w:val="0D3C7D83"/>
    <w:rsid w:val="0D3D1DD4"/>
    <w:rsid w:val="0D3DA6DB"/>
    <w:rsid w:val="0D42BD3E"/>
    <w:rsid w:val="0D444C47"/>
    <w:rsid w:val="0D4B1A70"/>
    <w:rsid w:val="0D4E6790"/>
    <w:rsid w:val="0D52A642"/>
    <w:rsid w:val="0D560B1E"/>
    <w:rsid w:val="0D665970"/>
    <w:rsid w:val="0D6C3781"/>
    <w:rsid w:val="0D7948F5"/>
    <w:rsid w:val="0D869E21"/>
    <w:rsid w:val="0D8761A1"/>
    <w:rsid w:val="0D882E76"/>
    <w:rsid w:val="0D8C60D2"/>
    <w:rsid w:val="0D90FFDD"/>
    <w:rsid w:val="0D992BB7"/>
    <w:rsid w:val="0D999921"/>
    <w:rsid w:val="0D99D03C"/>
    <w:rsid w:val="0D9E8FFF"/>
    <w:rsid w:val="0DA0108C"/>
    <w:rsid w:val="0DBD0C16"/>
    <w:rsid w:val="0DBDDC7A"/>
    <w:rsid w:val="0DC0267C"/>
    <w:rsid w:val="0DC38EA6"/>
    <w:rsid w:val="0DC5D93D"/>
    <w:rsid w:val="0DCB23DC"/>
    <w:rsid w:val="0DD386CC"/>
    <w:rsid w:val="0DD6D864"/>
    <w:rsid w:val="0DD9D54B"/>
    <w:rsid w:val="0DDD8259"/>
    <w:rsid w:val="0DE7153B"/>
    <w:rsid w:val="0DECD24C"/>
    <w:rsid w:val="0DF63B2E"/>
    <w:rsid w:val="0DF721F1"/>
    <w:rsid w:val="0DF9BD1A"/>
    <w:rsid w:val="0DFFD5AE"/>
    <w:rsid w:val="0E00FF9F"/>
    <w:rsid w:val="0E092CC5"/>
    <w:rsid w:val="0E13B1C1"/>
    <w:rsid w:val="0E2B93E0"/>
    <w:rsid w:val="0E2E7178"/>
    <w:rsid w:val="0E2E9436"/>
    <w:rsid w:val="0E2E9DB5"/>
    <w:rsid w:val="0E30C541"/>
    <w:rsid w:val="0E353497"/>
    <w:rsid w:val="0E3B28B8"/>
    <w:rsid w:val="0E3E2B77"/>
    <w:rsid w:val="0E423C29"/>
    <w:rsid w:val="0E500400"/>
    <w:rsid w:val="0E50AB6F"/>
    <w:rsid w:val="0E53D267"/>
    <w:rsid w:val="0E586F9D"/>
    <w:rsid w:val="0E5FAFF6"/>
    <w:rsid w:val="0E634C4A"/>
    <w:rsid w:val="0E6A4F77"/>
    <w:rsid w:val="0E6B4982"/>
    <w:rsid w:val="0E6D71EB"/>
    <w:rsid w:val="0E7209A9"/>
    <w:rsid w:val="0E822143"/>
    <w:rsid w:val="0E86DE51"/>
    <w:rsid w:val="0E8850A1"/>
    <w:rsid w:val="0E95F66F"/>
    <w:rsid w:val="0E99B173"/>
    <w:rsid w:val="0E9FEA9A"/>
    <w:rsid w:val="0EA2D40D"/>
    <w:rsid w:val="0EA4BED5"/>
    <w:rsid w:val="0EA9B14E"/>
    <w:rsid w:val="0EB00E30"/>
    <w:rsid w:val="0EBD362F"/>
    <w:rsid w:val="0ECB6DE2"/>
    <w:rsid w:val="0ED97212"/>
    <w:rsid w:val="0EDA6755"/>
    <w:rsid w:val="0EF641D3"/>
    <w:rsid w:val="0EF9A421"/>
    <w:rsid w:val="0F025EE2"/>
    <w:rsid w:val="0F06430A"/>
    <w:rsid w:val="0F0A3AFE"/>
    <w:rsid w:val="0F10F9BA"/>
    <w:rsid w:val="0F1A7B15"/>
    <w:rsid w:val="0F1B4156"/>
    <w:rsid w:val="0F1DB511"/>
    <w:rsid w:val="0F28EA7A"/>
    <w:rsid w:val="0F298D55"/>
    <w:rsid w:val="0F30D224"/>
    <w:rsid w:val="0F3A6A78"/>
    <w:rsid w:val="0F3AB544"/>
    <w:rsid w:val="0F3AFBE7"/>
    <w:rsid w:val="0F3F7290"/>
    <w:rsid w:val="0F432444"/>
    <w:rsid w:val="0F43C455"/>
    <w:rsid w:val="0F4CA2A7"/>
    <w:rsid w:val="0F54B0F8"/>
    <w:rsid w:val="0F58DC77"/>
    <w:rsid w:val="0F5E6B3B"/>
    <w:rsid w:val="0F6013C4"/>
    <w:rsid w:val="0F721697"/>
    <w:rsid w:val="0F746C97"/>
    <w:rsid w:val="0F7AB76E"/>
    <w:rsid w:val="0F856F7E"/>
    <w:rsid w:val="0F8741A0"/>
    <w:rsid w:val="0F928167"/>
    <w:rsid w:val="0F9D32B9"/>
    <w:rsid w:val="0FA1FAA5"/>
    <w:rsid w:val="0FAA5BAB"/>
    <w:rsid w:val="0FAAFAF4"/>
    <w:rsid w:val="0FB1B270"/>
    <w:rsid w:val="0FB3B995"/>
    <w:rsid w:val="0FB67733"/>
    <w:rsid w:val="0FBB2C73"/>
    <w:rsid w:val="0FBC2545"/>
    <w:rsid w:val="0FCFAEB0"/>
    <w:rsid w:val="0FD24EB1"/>
    <w:rsid w:val="0FD5B6E8"/>
    <w:rsid w:val="0FDA82C0"/>
    <w:rsid w:val="0FDBD54B"/>
    <w:rsid w:val="0FDBF9D8"/>
    <w:rsid w:val="0FE50670"/>
    <w:rsid w:val="0FE7210A"/>
    <w:rsid w:val="1013D2A0"/>
    <w:rsid w:val="101535DE"/>
    <w:rsid w:val="10237C95"/>
    <w:rsid w:val="102C32D7"/>
    <w:rsid w:val="10332F5A"/>
    <w:rsid w:val="10336EFD"/>
    <w:rsid w:val="10365AD3"/>
    <w:rsid w:val="103713D1"/>
    <w:rsid w:val="10469C1C"/>
    <w:rsid w:val="10482FA5"/>
    <w:rsid w:val="104BE931"/>
    <w:rsid w:val="105A5F72"/>
    <w:rsid w:val="106140AD"/>
    <w:rsid w:val="1070934D"/>
    <w:rsid w:val="1073FD56"/>
    <w:rsid w:val="10741E45"/>
    <w:rsid w:val="10749B57"/>
    <w:rsid w:val="1081B5CD"/>
    <w:rsid w:val="10880D45"/>
    <w:rsid w:val="1092617C"/>
    <w:rsid w:val="1097500A"/>
    <w:rsid w:val="109DF685"/>
    <w:rsid w:val="10A08F40"/>
    <w:rsid w:val="10A64115"/>
    <w:rsid w:val="10A7CEAB"/>
    <w:rsid w:val="10ABA501"/>
    <w:rsid w:val="10ADEB7D"/>
    <w:rsid w:val="10AEB51C"/>
    <w:rsid w:val="10B07BF9"/>
    <w:rsid w:val="10BCDA09"/>
    <w:rsid w:val="10C2F40A"/>
    <w:rsid w:val="10C75D97"/>
    <w:rsid w:val="10D3D074"/>
    <w:rsid w:val="10DF4EB4"/>
    <w:rsid w:val="10E14C34"/>
    <w:rsid w:val="10E2698F"/>
    <w:rsid w:val="10E776A0"/>
    <w:rsid w:val="10E86688"/>
    <w:rsid w:val="10E954D4"/>
    <w:rsid w:val="10ED928A"/>
    <w:rsid w:val="10EE07A2"/>
    <w:rsid w:val="10EEDCD9"/>
    <w:rsid w:val="10F85A5C"/>
    <w:rsid w:val="10FBE425"/>
    <w:rsid w:val="110040FC"/>
    <w:rsid w:val="110BB1A4"/>
    <w:rsid w:val="110D603F"/>
    <w:rsid w:val="1113AF7D"/>
    <w:rsid w:val="1119C3D9"/>
    <w:rsid w:val="1122B39D"/>
    <w:rsid w:val="11256861"/>
    <w:rsid w:val="1126E8CA"/>
    <w:rsid w:val="112CA352"/>
    <w:rsid w:val="113230E6"/>
    <w:rsid w:val="1136CA97"/>
    <w:rsid w:val="1136FE96"/>
    <w:rsid w:val="11398058"/>
    <w:rsid w:val="113988F4"/>
    <w:rsid w:val="11439423"/>
    <w:rsid w:val="1146900C"/>
    <w:rsid w:val="11511EC5"/>
    <w:rsid w:val="115E2EB5"/>
    <w:rsid w:val="116455C9"/>
    <w:rsid w:val="11654D5D"/>
    <w:rsid w:val="116AB529"/>
    <w:rsid w:val="116FC8F6"/>
    <w:rsid w:val="117D76BA"/>
    <w:rsid w:val="1191E0CC"/>
    <w:rsid w:val="11A2C7A2"/>
    <w:rsid w:val="11BC4AA8"/>
    <w:rsid w:val="11C97596"/>
    <w:rsid w:val="11CF24FE"/>
    <w:rsid w:val="11D415A0"/>
    <w:rsid w:val="11D6C8D7"/>
    <w:rsid w:val="11D76D1B"/>
    <w:rsid w:val="11E4A254"/>
    <w:rsid w:val="11E726D6"/>
    <w:rsid w:val="11EE2F27"/>
    <w:rsid w:val="11F2DA9D"/>
    <w:rsid w:val="11F72CE8"/>
    <w:rsid w:val="1207FB15"/>
    <w:rsid w:val="12099E04"/>
    <w:rsid w:val="120F7E84"/>
    <w:rsid w:val="121703C8"/>
    <w:rsid w:val="121D862E"/>
    <w:rsid w:val="121DBAC8"/>
    <w:rsid w:val="121E7759"/>
    <w:rsid w:val="122BC360"/>
    <w:rsid w:val="122BE9FB"/>
    <w:rsid w:val="1233094B"/>
    <w:rsid w:val="123883E7"/>
    <w:rsid w:val="123C5FA1"/>
    <w:rsid w:val="123D5C5C"/>
    <w:rsid w:val="125D5CB6"/>
    <w:rsid w:val="12616A77"/>
    <w:rsid w:val="12681080"/>
    <w:rsid w:val="126AFD99"/>
    <w:rsid w:val="126C349A"/>
    <w:rsid w:val="12719DB5"/>
    <w:rsid w:val="127AB712"/>
    <w:rsid w:val="1289D294"/>
    <w:rsid w:val="1289F443"/>
    <w:rsid w:val="128D9BBF"/>
    <w:rsid w:val="129163B7"/>
    <w:rsid w:val="12998FE6"/>
    <w:rsid w:val="12AB7F80"/>
    <w:rsid w:val="12AF85E1"/>
    <w:rsid w:val="12BB9012"/>
    <w:rsid w:val="12BFE95F"/>
    <w:rsid w:val="12C4D26F"/>
    <w:rsid w:val="12DFD2A3"/>
    <w:rsid w:val="12EE3D4B"/>
    <w:rsid w:val="12FE4E01"/>
    <w:rsid w:val="130678B2"/>
    <w:rsid w:val="130B105A"/>
    <w:rsid w:val="13338856"/>
    <w:rsid w:val="133CEF22"/>
    <w:rsid w:val="133E64EF"/>
    <w:rsid w:val="133F5A93"/>
    <w:rsid w:val="13479618"/>
    <w:rsid w:val="1353FCD0"/>
    <w:rsid w:val="1359B24D"/>
    <w:rsid w:val="13658A49"/>
    <w:rsid w:val="13658F4F"/>
    <w:rsid w:val="13670A51"/>
    <w:rsid w:val="136BE79A"/>
    <w:rsid w:val="136ED06F"/>
    <w:rsid w:val="136FD535"/>
    <w:rsid w:val="137863FF"/>
    <w:rsid w:val="137A2CAF"/>
    <w:rsid w:val="137C8DC7"/>
    <w:rsid w:val="1386E740"/>
    <w:rsid w:val="1387FFD4"/>
    <w:rsid w:val="138B7938"/>
    <w:rsid w:val="13971D74"/>
    <w:rsid w:val="13A5F455"/>
    <w:rsid w:val="13A7FBF0"/>
    <w:rsid w:val="13AAE4E2"/>
    <w:rsid w:val="13B47C9C"/>
    <w:rsid w:val="13B6E0C7"/>
    <w:rsid w:val="13B96A7D"/>
    <w:rsid w:val="13B96C91"/>
    <w:rsid w:val="13BB2DC7"/>
    <w:rsid w:val="13BBEC0D"/>
    <w:rsid w:val="13BBF5D4"/>
    <w:rsid w:val="13D3A7A6"/>
    <w:rsid w:val="13E4A509"/>
    <w:rsid w:val="13E58C3F"/>
    <w:rsid w:val="13EBE0AE"/>
    <w:rsid w:val="13ECD37E"/>
    <w:rsid w:val="140A9CE5"/>
    <w:rsid w:val="140D706C"/>
    <w:rsid w:val="140F19D5"/>
    <w:rsid w:val="14167B03"/>
    <w:rsid w:val="14188B8A"/>
    <w:rsid w:val="141ACD8A"/>
    <w:rsid w:val="141E35B8"/>
    <w:rsid w:val="141E9FC0"/>
    <w:rsid w:val="142E3534"/>
    <w:rsid w:val="14363E6A"/>
    <w:rsid w:val="143D5262"/>
    <w:rsid w:val="143D6EC8"/>
    <w:rsid w:val="143E9665"/>
    <w:rsid w:val="14458597"/>
    <w:rsid w:val="1449B01C"/>
    <w:rsid w:val="144F8832"/>
    <w:rsid w:val="1451D2BB"/>
    <w:rsid w:val="1453E96E"/>
    <w:rsid w:val="1455BF9F"/>
    <w:rsid w:val="146407AE"/>
    <w:rsid w:val="14712850"/>
    <w:rsid w:val="14746FD4"/>
    <w:rsid w:val="147584E8"/>
    <w:rsid w:val="1483EA9D"/>
    <w:rsid w:val="148D13FA"/>
    <w:rsid w:val="14959938"/>
    <w:rsid w:val="149733D1"/>
    <w:rsid w:val="149D2608"/>
    <w:rsid w:val="14A093E5"/>
    <w:rsid w:val="14A2AD59"/>
    <w:rsid w:val="14B618C1"/>
    <w:rsid w:val="14B90F58"/>
    <w:rsid w:val="14B9F117"/>
    <w:rsid w:val="14C8F417"/>
    <w:rsid w:val="14C9818E"/>
    <w:rsid w:val="14CB3FA6"/>
    <w:rsid w:val="14CB40A8"/>
    <w:rsid w:val="14CD3C98"/>
    <w:rsid w:val="14D63673"/>
    <w:rsid w:val="14D66392"/>
    <w:rsid w:val="14E69892"/>
    <w:rsid w:val="14E72A58"/>
    <w:rsid w:val="14F048B7"/>
    <w:rsid w:val="14F6E844"/>
    <w:rsid w:val="14FAB0BE"/>
    <w:rsid w:val="1505CBFE"/>
    <w:rsid w:val="1506B873"/>
    <w:rsid w:val="150886DF"/>
    <w:rsid w:val="15123115"/>
    <w:rsid w:val="15182EF9"/>
    <w:rsid w:val="151ABEF0"/>
    <w:rsid w:val="151C2A24"/>
    <w:rsid w:val="151D6FEB"/>
    <w:rsid w:val="1533C6D2"/>
    <w:rsid w:val="1535AA47"/>
    <w:rsid w:val="153B1EAA"/>
    <w:rsid w:val="154293D0"/>
    <w:rsid w:val="154388EE"/>
    <w:rsid w:val="1544B93A"/>
    <w:rsid w:val="1547D306"/>
    <w:rsid w:val="1548C4BD"/>
    <w:rsid w:val="15525E54"/>
    <w:rsid w:val="15584CB8"/>
    <w:rsid w:val="1559A662"/>
    <w:rsid w:val="156CC444"/>
    <w:rsid w:val="157E8057"/>
    <w:rsid w:val="1580072A"/>
    <w:rsid w:val="15839CDF"/>
    <w:rsid w:val="1583ED1C"/>
    <w:rsid w:val="1585B91D"/>
    <w:rsid w:val="1587E3D3"/>
    <w:rsid w:val="15904AD6"/>
    <w:rsid w:val="15926C89"/>
    <w:rsid w:val="159A3015"/>
    <w:rsid w:val="159DBAC7"/>
    <w:rsid w:val="15A0E70D"/>
    <w:rsid w:val="15BD44F1"/>
    <w:rsid w:val="15C4A9E7"/>
    <w:rsid w:val="15CDACBF"/>
    <w:rsid w:val="15D21186"/>
    <w:rsid w:val="15D56EB6"/>
    <w:rsid w:val="15D930F5"/>
    <w:rsid w:val="15DEE1FF"/>
    <w:rsid w:val="15E11CF1"/>
    <w:rsid w:val="15E88AF2"/>
    <w:rsid w:val="15ECA2B1"/>
    <w:rsid w:val="15ED388F"/>
    <w:rsid w:val="15F24710"/>
    <w:rsid w:val="15F38D68"/>
    <w:rsid w:val="15F88239"/>
    <w:rsid w:val="15FA4EDA"/>
    <w:rsid w:val="16074E2C"/>
    <w:rsid w:val="160D052F"/>
    <w:rsid w:val="1616B35D"/>
    <w:rsid w:val="16176220"/>
    <w:rsid w:val="1618DF79"/>
    <w:rsid w:val="161A17DA"/>
    <w:rsid w:val="161DF010"/>
    <w:rsid w:val="161EA8F2"/>
    <w:rsid w:val="1625B8B7"/>
    <w:rsid w:val="16403061"/>
    <w:rsid w:val="1646E385"/>
    <w:rsid w:val="164D4D91"/>
    <w:rsid w:val="165309FA"/>
    <w:rsid w:val="166045CA"/>
    <w:rsid w:val="166504FA"/>
    <w:rsid w:val="1665525F"/>
    <w:rsid w:val="1673347B"/>
    <w:rsid w:val="1681FD05"/>
    <w:rsid w:val="1684AB6E"/>
    <w:rsid w:val="16851615"/>
    <w:rsid w:val="168AB0A9"/>
    <w:rsid w:val="168B640D"/>
    <w:rsid w:val="16949A50"/>
    <w:rsid w:val="169B6E16"/>
    <w:rsid w:val="16AA2E10"/>
    <w:rsid w:val="16AA54E1"/>
    <w:rsid w:val="16AE21F6"/>
    <w:rsid w:val="16B096E0"/>
    <w:rsid w:val="16B41DB0"/>
    <w:rsid w:val="16BB424A"/>
    <w:rsid w:val="16C59FEF"/>
    <w:rsid w:val="16C70AD2"/>
    <w:rsid w:val="16CE87C2"/>
    <w:rsid w:val="16D5D976"/>
    <w:rsid w:val="16D62659"/>
    <w:rsid w:val="16DCE669"/>
    <w:rsid w:val="16ECA566"/>
    <w:rsid w:val="16F1E87C"/>
    <w:rsid w:val="16FB0D56"/>
    <w:rsid w:val="17021959"/>
    <w:rsid w:val="170287BA"/>
    <w:rsid w:val="1703EE65"/>
    <w:rsid w:val="1706F0A3"/>
    <w:rsid w:val="1708A2AC"/>
    <w:rsid w:val="170A88D7"/>
    <w:rsid w:val="17154CE3"/>
    <w:rsid w:val="171A83B1"/>
    <w:rsid w:val="1721C52B"/>
    <w:rsid w:val="1727C036"/>
    <w:rsid w:val="1727CAC1"/>
    <w:rsid w:val="172DD87E"/>
    <w:rsid w:val="173897E2"/>
    <w:rsid w:val="1741EB2A"/>
    <w:rsid w:val="174A5987"/>
    <w:rsid w:val="175B63C9"/>
    <w:rsid w:val="17622200"/>
    <w:rsid w:val="1764714F"/>
    <w:rsid w:val="176BB82E"/>
    <w:rsid w:val="178D6422"/>
    <w:rsid w:val="17984392"/>
    <w:rsid w:val="179B7EE9"/>
    <w:rsid w:val="17A8BBA3"/>
    <w:rsid w:val="17DE2DA3"/>
    <w:rsid w:val="17E1E433"/>
    <w:rsid w:val="17EE37AF"/>
    <w:rsid w:val="17EFA0B1"/>
    <w:rsid w:val="17F0582E"/>
    <w:rsid w:val="17F7C400"/>
    <w:rsid w:val="1801D164"/>
    <w:rsid w:val="180998E5"/>
    <w:rsid w:val="18306AB1"/>
    <w:rsid w:val="18343E5A"/>
    <w:rsid w:val="183F58BD"/>
    <w:rsid w:val="184C75FC"/>
    <w:rsid w:val="184F2B2F"/>
    <w:rsid w:val="185471ED"/>
    <w:rsid w:val="185CA73F"/>
    <w:rsid w:val="186726C3"/>
    <w:rsid w:val="186D5559"/>
    <w:rsid w:val="18742D87"/>
    <w:rsid w:val="187640BD"/>
    <w:rsid w:val="187E16FD"/>
    <w:rsid w:val="187F302A"/>
    <w:rsid w:val="18808014"/>
    <w:rsid w:val="1881833F"/>
    <w:rsid w:val="1881D87A"/>
    <w:rsid w:val="189C0791"/>
    <w:rsid w:val="189FBEC6"/>
    <w:rsid w:val="18AB3515"/>
    <w:rsid w:val="18B25474"/>
    <w:rsid w:val="18B30D19"/>
    <w:rsid w:val="18B4538A"/>
    <w:rsid w:val="18C3477F"/>
    <w:rsid w:val="18CC67A5"/>
    <w:rsid w:val="18CD5CC3"/>
    <w:rsid w:val="18CF0239"/>
    <w:rsid w:val="18D5A726"/>
    <w:rsid w:val="18D608D0"/>
    <w:rsid w:val="18D716FA"/>
    <w:rsid w:val="18E3C514"/>
    <w:rsid w:val="18EA1657"/>
    <w:rsid w:val="18F37AEC"/>
    <w:rsid w:val="18F665FE"/>
    <w:rsid w:val="1919B19F"/>
    <w:rsid w:val="191FE4AB"/>
    <w:rsid w:val="1929F01D"/>
    <w:rsid w:val="193CDE24"/>
    <w:rsid w:val="193FB4A7"/>
    <w:rsid w:val="19479A41"/>
    <w:rsid w:val="1951D60F"/>
    <w:rsid w:val="195B341B"/>
    <w:rsid w:val="195B8029"/>
    <w:rsid w:val="1960CE48"/>
    <w:rsid w:val="196C71F0"/>
    <w:rsid w:val="197BA771"/>
    <w:rsid w:val="1984BE52"/>
    <w:rsid w:val="198A349F"/>
    <w:rsid w:val="1991339F"/>
    <w:rsid w:val="19983C5B"/>
    <w:rsid w:val="19A1D0CC"/>
    <w:rsid w:val="19AAF9E2"/>
    <w:rsid w:val="19AD6549"/>
    <w:rsid w:val="19AE0634"/>
    <w:rsid w:val="19C26BB9"/>
    <w:rsid w:val="19C96151"/>
    <w:rsid w:val="19C9D0FB"/>
    <w:rsid w:val="19D9898A"/>
    <w:rsid w:val="19DB5CF8"/>
    <w:rsid w:val="19E48880"/>
    <w:rsid w:val="19EA9C5F"/>
    <w:rsid w:val="19EB28DB"/>
    <w:rsid w:val="19EC6308"/>
    <w:rsid w:val="19ED28A3"/>
    <w:rsid w:val="19F09F16"/>
    <w:rsid w:val="19FA0440"/>
    <w:rsid w:val="19FF3EEB"/>
    <w:rsid w:val="1A021BCC"/>
    <w:rsid w:val="1A0C58E1"/>
    <w:rsid w:val="1A165D34"/>
    <w:rsid w:val="1A1A32AB"/>
    <w:rsid w:val="1A1ADA1F"/>
    <w:rsid w:val="1A22473E"/>
    <w:rsid w:val="1A245E9B"/>
    <w:rsid w:val="1A29893E"/>
    <w:rsid w:val="1A3175C9"/>
    <w:rsid w:val="1A32210B"/>
    <w:rsid w:val="1A3607E3"/>
    <w:rsid w:val="1A38AFF7"/>
    <w:rsid w:val="1A3BA07A"/>
    <w:rsid w:val="1A49334D"/>
    <w:rsid w:val="1A4D727C"/>
    <w:rsid w:val="1A53EEDB"/>
    <w:rsid w:val="1A59FCBF"/>
    <w:rsid w:val="1A686E9B"/>
    <w:rsid w:val="1A762F4F"/>
    <w:rsid w:val="1A806078"/>
    <w:rsid w:val="1A8B5B39"/>
    <w:rsid w:val="1A8FDBB2"/>
    <w:rsid w:val="1AA2EFC4"/>
    <w:rsid w:val="1AA48E92"/>
    <w:rsid w:val="1AACF06E"/>
    <w:rsid w:val="1ABF7776"/>
    <w:rsid w:val="1AD045D3"/>
    <w:rsid w:val="1AD18930"/>
    <w:rsid w:val="1AD32D40"/>
    <w:rsid w:val="1AE6FDE5"/>
    <w:rsid w:val="1AEE06F0"/>
    <w:rsid w:val="1AEF9DF4"/>
    <w:rsid w:val="1AF59E1C"/>
    <w:rsid w:val="1AFD8415"/>
    <w:rsid w:val="1AFDFF4A"/>
    <w:rsid w:val="1AFE75C9"/>
    <w:rsid w:val="1B075933"/>
    <w:rsid w:val="1B20B403"/>
    <w:rsid w:val="1B2F83F0"/>
    <w:rsid w:val="1B3265B8"/>
    <w:rsid w:val="1B3933C9"/>
    <w:rsid w:val="1B3CE0F3"/>
    <w:rsid w:val="1B40660A"/>
    <w:rsid w:val="1B41B0BB"/>
    <w:rsid w:val="1B45D2BE"/>
    <w:rsid w:val="1B51B7C9"/>
    <w:rsid w:val="1B52581A"/>
    <w:rsid w:val="1B552B05"/>
    <w:rsid w:val="1B5EC6C9"/>
    <w:rsid w:val="1B63A4EF"/>
    <w:rsid w:val="1B69ACD1"/>
    <w:rsid w:val="1B6A9E19"/>
    <w:rsid w:val="1B7D53CF"/>
    <w:rsid w:val="1B7E0F2A"/>
    <w:rsid w:val="1B7EDA91"/>
    <w:rsid w:val="1B81B71F"/>
    <w:rsid w:val="1B831841"/>
    <w:rsid w:val="1B8E07B7"/>
    <w:rsid w:val="1B915CBF"/>
    <w:rsid w:val="1B91E7AB"/>
    <w:rsid w:val="1B9A7452"/>
    <w:rsid w:val="1B9B9531"/>
    <w:rsid w:val="1B9DDDB5"/>
    <w:rsid w:val="1BA1EE69"/>
    <w:rsid w:val="1BA350B1"/>
    <w:rsid w:val="1BACCF02"/>
    <w:rsid w:val="1BB45205"/>
    <w:rsid w:val="1BC46E50"/>
    <w:rsid w:val="1BC9E182"/>
    <w:rsid w:val="1BCB1BC9"/>
    <w:rsid w:val="1BCFE73C"/>
    <w:rsid w:val="1BDB8420"/>
    <w:rsid w:val="1BE0732B"/>
    <w:rsid w:val="1BE0A92C"/>
    <w:rsid w:val="1BE8116E"/>
    <w:rsid w:val="1BF07E27"/>
    <w:rsid w:val="1BF8E4E8"/>
    <w:rsid w:val="1BFC5494"/>
    <w:rsid w:val="1BFC96F4"/>
    <w:rsid w:val="1BFEFD03"/>
    <w:rsid w:val="1C0DA992"/>
    <w:rsid w:val="1C0FD56A"/>
    <w:rsid w:val="1C12EBFA"/>
    <w:rsid w:val="1C1388A4"/>
    <w:rsid w:val="1C25239D"/>
    <w:rsid w:val="1C286C5D"/>
    <w:rsid w:val="1C2912F4"/>
    <w:rsid w:val="1C3EA913"/>
    <w:rsid w:val="1C4D52F1"/>
    <w:rsid w:val="1C69A76E"/>
    <w:rsid w:val="1C6A1BC5"/>
    <w:rsid w:val="1C6AF8E0"/>
    <w:rsid w:val="1C70B536"/>
    <w:rsid w:val="1C751C5A"/>
    <w:rsid w:val="1C9554B6"/>
    <w:rsid w:val="1C9FEA66"/>
    <w:rsid w:val="1CAA1AD6"/>
    <w:rsid w:val="1CB6FE4D"/>
    <w:rsid w:val="1CB8CD24"/>
    <w:rsid w:val="1CBCE41F"/>
    <w:rsid w:val="1CC386D0"/>
    <w:rsid w:val="1CCF4E32"/>
    <w:rsid w:val="1CD41ACD"/>
    <w:rsid w:val="1CD4D0B6"/>
    <w:rsid w:val="1CDB9D77"/>
    <w:rsid w:val="1CDBC116"/>
    <w:rsid w:val="1CE3AF3E"/>
    <w:rsid w:val="1CE5060B"/>
    <w:rsid w:val="1CE83791"/>
    <w:rsid w:val="1CECED19"/>
    <w:rsid w:val="1CED2171"/>
    <w:rsid w:val="1CF4D31D"/>
    <w:rsid w:val="1CF65B2B"/>
    <w:rsid w:val="1D009467"/>
    <w:rsid w:val="1D00C9D6"/>
    <w:rsid w:val="1D02240B"/>
    <w:rsid w:val="1D045F23"/>
    <w:rsid w:val="1D078B9D"/>
    <w:rsid w:val="1D08EF99"/>
    <w:rsid w:val="1D0A017A"/>
    <w:rsid w:val="1D11FA15"/>
    <w:rsid w:val="1D14D262"/>
    <w:rsid w:val="1D15E445"/>
    <w:rsid w:val="1D19CEFC"/>
    <w:rsid w:val="1D24DE81"/>
    <w:rsid w:val="1D2862DF"/>
    <w:rsid w:val="1D290F34"/>
    <w:rsid w:val="1D2DDB46"/>
    <w:rsid w:val="1D32E814"/>
    <w:rsid w:val="1D3CCEA9"/>
    <w:rsid w:val="1D40966E"/>
    <w:rsid w:val="1D47D8A6"/>
    <w:rsid w:val="1D4D67F0"/>
    <w:rsid w:val="1D539F5A"/>
    <w:rsid w:val="1D6550FA"/>
    <w:rsid w:val="1D661FAC"/>
    <w:rsid w:val="1D69168B"/>
    <w:rsid w:val="1D71174A"/>
    <w:rsid w:val="1D7FC681"/>
    <w:rsid w:val="1D8BBFD3"/>
    <w:rsid w:val="1D91A3EC"/>
    <w:rsid w:val="1D921FE5"/>
    <w:rsid w:val="1D988779"/>
    <w:rsid w:val="1D9DF21D"/>
    <w:rsid w:val="1DAD48BD"/>
    <w:rsid w:val="1DB1A8A2"/>
    <w:rsid w:val="1DB2D202"/>
    <w:rsid w:val="1DB5BD97"/>
    <w:rsid w:val="1DB607E8"/>
    <w:rsid w:val="1DB616C4"/>
    <w:rsid w:val="1DBC55A1"/>
    <w:rsid w:val="1DBFF36E"/>
    <w:rsid w:val="1DC82500"/>
    <w:rsid w:val="1DD43C19"/>
    <w:rsid w:val="1DD55DE7"/>
    <w:rsid w:val="1DDA623B"/>
    <w:rsid w:val="1DDBF14C"/>
    <w:rsid w:val="1DDC4ED0"/>
    <w:rsid w:val="1DDEAF87"/>
    <w:rsid w:val="1DE36E98"/>
    <w:rsid w:val="1DE5FFAC"/>
    <w:rsid w:val="1DFAA8B0"/>
    <w:rsid w:val="1DFF24BA"/>
    <w:rsid w:val="1DFFA3DB"/>
    <w:rsid w:val="1E1ABEBE"/>
    <w:rsid w:val="1E1DE2D3"/>
    <w:rsid w:val="1E204BAD"/>
    <w:rsid w:val="1E2288DD"/>
    <w:rsid w:val="1E260D2F"/>
    <w:rsid w:val="1E3B8636"/>
    <w:rsid w:val="1E41B7AA"/>
    <w:rsid w:val="1E42C710"/>
    <w:rsid w:val="1E45DCF9"/>
    <w:rsid w:val="1E47BC57"/>
    <w:rsid w:val="1E49DE63"/>
    <w:rsid w:val="1E59170A"/>
    <w:rsid w:val="1E6234ED"/>
    <w:rsid w:val="1E6560A1"/>
    <w:rsid w:val="1E6D55A7"/>
    <w:rsid w:val="1E71EFA1"/>
    <w:rsid w:val="1E723937"/>
    <w:rsid w:val="1E79AB9F"/>
    <w:rsid w:val="1E83AB12"/>
    <w:rsid w:val="1E85789E"/>
    <w:rsid w:val="1E9A5D82"/>
    <w:rsid w:val="1E9C878F"/>
    <w:rsid w:val="1EA7A328"/>
    <w:rsid w:val="1EACFAAD"/>
    <w:rsid w:val="1EB330C3"/>
    <w:rsid w:val="1EC43D40"/>
    <w:rsid w:val="1ED50A99"/>
    <w:rsid w:val="1ED69058"/>
    <w:rsid w:val="1ED69DB8"/>
    <w:rsid w:val="1EDAB73B"/>
    <w:rsid w:val="1EDC1E51"/>
    <w:rsid w:val="1EE58E9A"/>
    <w:rsid w:val="1EF78393"/>
    <w:rsid w:val="1EFF99BD"/>
    <w:rsid w:val="1F077940"/>
    <w:rsid w:val="1F0E85B8"/>
    <w:rsid w:val="1F10F731"/>
    <w:rsid w:val="1F1B90E9"/>
    <w:rsid w:val="1F22E5C0"/>
    <w:rsid w:val="1F272488"/>
    <w:rsid w:val="1F2D29AE"/>
    <w:rsid w:val="1F3191D5"/>
    <w:rsid w:val="1F33F9AE"/>
    <w:rsid w:val="1F3BE703"/>
    <w:rsid w:val="1F3F5EEE"/>
    <w:rsid w:val="1F47C953"/>
    <w:rsid w:val="1F49A072"/>
    <w:rsid w:val="1F502A78"/>
    <w:rsid w:val="1F518DF8"/>
    <w:rsid w:val="1F56324F"/>
    <w:rsid w:val="1F64EB8F"/>
    <w:rsid w:val="1F7168C5"/>
    <w:rsid w:val="1F74BBB8"/>
    <w:rsid w:val="1F814751"/>
    <w:rsid w:val="1F85CD6C"/>
    <w:rsid w:val="1F85F29B"/>
    <w:rsid w:val="1F882CC5"/>
    <w:rsid w:val="1F8934D7"/>
    <w:rsid w:val="1F8A21B7"/>
    <w:rsid w:val="1F8D6871"/>
    <w:rsid w:val="1F91F00E"/>
    <w:rsid w:val="1F928193"/>
    <w:rsid w:val="1F9665E3"/>
    <w:rsid w:val="1F970047"/>
    <w:rsid w:val="1F9A727C"/>
    <w:rsid w:val="1FA54191"/>
    <w:rsid w:val="1FB3845F"/>
    <w:rsid w:val="1FB56EE6"/>
    <w:rsid w:val="1FB7A074"/>
    <w:rsid w:val="1FB9D1A4"/>
    <w:rsid w:val="1FC55CC8"/>
    <w:rsid w:val="1FCB7BA7"/>
    <w:rsid w:val="1FD63A0D"/>
    <w:rsid w:val="1FE11DA4"/>
    <w:rsid w:val="20049E55"/>
    <w:rsid w:val="2006C059"/>
    <w:rsid w:val="20093768"/>
    <w:rsid w:val="2011803D"/>
    <w:rsid w:val="2011E3E1"/>
    <w:rsid w:val="20169467"/>
    <w:rsid w:val="201962EB"/>
    <w:rsid w:val="201ACB8C"/>
    <w:rsid w:val="201C9067"/>
    <w:rsid w:val="2027D642"/>
    <w:rsid w:val="202DEF2C"/>
    <w:rsid w:val="203111CC"/>
    <w:rsid w:val="2033BA42"/>
    <w:rsid w:val="2034C43F"/>
    <w:rsid w:val="203AE93B"/>
    <w:rsid w:val="203FB25B"/>
    <w:rsid w:val="2040B07E"/>
    <w:rsid w:val="2056757F"/>
    <w:rsid w:val="2059A525"/>
    <w:rsid w:val="205C7F43"/>
    <w:rsid w:val="205F1C76"/>
    <w:rsid w:val="20616448"/>
    <w:rsid w:val="2066102D"/>
    <w:rsid w:val="2085C916"/>
    <w:rsid w:val="208D3070"/>
    <w:rsid w:val="20969F4C"/>
    <w:rsid w:val="209A4762"/>
    <w:rsid w:val="209BAA63"/>
    <w:rsid w:val="20A41EF8"/>
    <w:rsid w:val="20B41A4F"/>
    <w:rsid w:val="20BCE620"/>
    <w:rsid w:val="20C304C7"/>
    <w:rsid w:val="20C452E2"/>
    <w:rsid w:val="20CE4211"/>
    <w:rsid w:val="20D60EC7"/>
    <w:rsid w:val="20D7AF79"/>
    <w:rsid w:val="20D9DB01"/>
    <w:rsid w:val="20DF9DA5"/>
    <w:rsid w:val="20F9B9B0"/>
    <w:rsid w:val="20FB4096"/>
    <w:rsid w:val="20FCD7FC"/>
    <w:rsid w:val="20FEFC18"/>
    <w:rsid w:val="2108EA87"/>
    <w:rsid w:val="210BDCDB"/>
    <w:rsid w:val="210BE8F4"/>
    <w:rsid w:val="210E7914"/>
    <w:rsid w:val="210E7BE0"/>
    <w:rsid w:val="211147E7"/>
    <w:rsid w:val="2113E282"/>
    <w:rsid w:val="21149345"/>
    <w:rsid w:val="2118F62C"/>
    <w:rsid w:val="211D9FF2"/>
    <w:rsid w:val="212C1A54"/>
    <w:rsid w:val="212FE13C"/>
    <w:rsid w:val="2150C854"/>
    <w:rsid w:val="21515415"/>
    <w:rsid w:val="2151CB06"/>
    <w:rsid w:val="215364D4"/>
    <w:rsid w:val="21676F0F"/>
    <w:rsid w:val="21708635"/>
    <w:rsid w:val="21748BF5"/>
    <w:rsid w:val="217F5734"/>
    <w:rsid w:val="2180D543"/>
    <w:rsid w:val="21843C51"/>
    <w:rsid w:val="2196C9BF"/>
    <w:rsid w:val="2199A690"/>
    <w:rsid w:val="21AC6556"/>
    <w:rsid w:val="21AF0840"/>
    <w:rsid w:val="21BF1013"/>
    <w:rsid w:val="21C059C6"/>
    <w:rsid w:val="21CA724B"/>
    <w:rsid w:val="21CB0A4E"/>
    <w:rsid w:val="21D3E3AE"/>
    <w:rsid w:val="21D58704"/>
    <w:rsid w:val="21D7D046"/>
    <w:rsid w:val="21DF4260"/>
    <w:rsid w:val="21E2A00C"/>
    <w:rsid w:val="21E49B6F"/>
    <w:rsid w:val="21E570F5"/>
    <w:rsid w:val="21FD66D1"/>
    <w:rsid w:val="220604C5"/>
    <w:rsid w:val="2207068E"/>
    <w:rsid w:val="22143A59"/>
    <w:rsid w:val="2225BC74"/>
    <w:rsid w:val="222C4387"/>
    <w:rsid w:val="22331AD0"/>
    <w:rsid w:val="22384739"/>
    <w:rsid w:val="223A02BF"/>
    <w:rsid w:val="223BCDFD"/>
    <w:rsid w:val="224AEF5F"/>
    <w:rsid w:val="2256269F"/>
    <w:rsid w:val="2256FCD7"/>
    <w:rsid w:val="22583B48"/>
    <w:rsid w:val="225C80A8"/>
    <w:rsid w:val="22788768"/>
    <w:rsid w:val="227AE807"/>
    <w:rsid w:val="22814134"/>
    <w:rsid w:val="2295662C"/>
    <w:rsid w:val="22AD1848"/>
    <w:rsid w:val="22AE9E20"/>
    <w:rsid w:val="22B8729F"/>
    <w:rsid w:val="22BBF0F8"/>
    <w:rsid w:val="22C11AD7"/>
    <w:rsid w:val="22C92C29"/>
    <w:rsid w:val="22CD1DF7"/>
    <w:rsid w:val="22D355B6"/>
    <w:rsid w:val="22D6159F"/>
    <w:rsid w:val="22D92E2B"/>
    <w:rsid w:val="22D9826C"/>
    <w:rsid w:val="22DE2A21"/>
    <w:rsid w:val="22E13FEB"/>
    <w:rsid w:val="22E67A5B"/>
    <w:rsid w:val="22E93A12"/>
    <w:rsid w:val="22F34B04"/>
    <w:rsid w:val="22F4D3CB"/>
    <w:rsid w:val="22F75733"/>
    <w:rsid w:val="22F94402"/>
    <w:rsid w:val="22FF8BF1"/>
    <w:rsid w:val="2302D356"/>
    <w:rsid w:val="230CFE53"/>
    <w:rsid w:val="231180CA"/>
    <w:rsid w:val="23148AF4"/>
    <w:rsid w:val="231971C3"/>
    <w:rsid w:val="23272B19"/>
    <w:rsid w:val="2341A696"/>
    <w:rsid w:val="234B4927"/>
    <w:rsid w:val="2350E75B"/>
    <w:rsid w:val="23530DD7"/>
    <w:rsid w:val="235952D5"/>
    <w:rsid w:val="2359D3C4"/>
    <w:rsid w:val="236F0D7C"/>
    <w:rsid w:val="237158F2"/>
    <w:rsid w:val="23738D65"/>
    <w:rsid w:val="23741B59"/>
    <w:rsid w:val="237511BC"/>
    <w:rsid w:val="237E8406"/>
    <w:rsid w:val="23806BD0"/>
    <w:rsid w:val="238C73DB"/>
    <w:rsid w:val="2397EE8F"/>
    <w:rsid w:val="23A59C38"/>
    <w:rsid w:val="23A5C4F4"/>
    <w:rsid w:val="23A7A9C9"/>
    <w:rsid w:val="23A87BBC"/>
    <w:rsid w:val="23AC391B"/>
    <w:rsid w:val="23AD5569"/>
    <w:rsid w:val="23B0B6B0"/>
    <w:rsid w:val="23BCDFF5"/>
    <w:rsid w:val="23CEEFA0"/>
    <w:rsid w:val="23CF32C5"/>
    <w:rsid w:val="23D329FF"/>
    <w:rsid w:val="23D416D7"/>
    <w:rsid w:val="23E3D8C8"/>
    <w:rsid w:val="23F1E68C"/>
    <w:rsid w:val="23F45974"/>
    <w:rsid w:val="23FDAAC5"/>
    <w:rsid w:val="2405A46C"/>
    <w:rsid w:val="2419F898"/>
    <w:rsid w:val="241F88DB"/>
    <w:rsid w:val="2424FF1B"/>
    <w:rsid w:val="242DAAB8"/>
    <w:rsid w:val="242E0DC4"/>
    <w:rsid w:val="242E7EFA"/>
    <w:rsid w:val="242F9348"/>
    <w:rsid w:val="243DEEA5"/>
    <w:rsid w:val="2440EB66"/>
    <w:rsid w:val="2443B65B"/>
    <w:rsid w:val="244DCDBD"/>
    <w:rsid w:val="2453E464"/>
    <w:rsid w:val="24568A59"/>
    <w:rsid w:val="245BCFB4"/>
    <w:rsid w:val="2460E729"/>
    <w:rsid w:val="2468BB87"/>
    <w:rsid w:val="2468CF51"/>
    <w:rsid w:val="2468E26E"/>
    <w:rsid w:val="246CFFC3"/>
    <w:rsid w:val="246D312F"/>
    <w:rsid w:val="248324F3"/>
    <w:rsid w:val="24AA64BA"/>
    <w:rsid w:val="24AB85D9"/>
    <w:rsid w:val="24AEC625"/>
    <w:rsid w:val="24AED933"/>
    <w:rsid w:val="24BABC34"/>
    <w:rsid w:val="24C0673B"/>
    <w:rsid w:val="24C0CAE9"/>
    <w:rsid w:val="24C5B2F1"/>
    <w:rsid w:val="24C80924"/>
    <w:rsid w:val="24CC35E9"/>
    <w:rsid w:val="24DBC4AC"/>
    <w:rsid w:val="24DC322F"/>
    <w:rsid w:val="24DC926A"/>
    <w:rsid w:val="24E41A24"/>
    <w:rsid w:val="24E71988"/>
    <w:rsid w:val="24EB4847"/>
    <w:rsid w:val="24EE8B8E"/>
    <w:rsid w:val="24EF23AF"/>
    <w:rsid w:val="24EF4176"/>
    <w:rsid w:val="24F501A7"/>
    <w:rsid w:val="24FA4AF2"/>
    <w:rsid w:val="24FB27D0"/>
    <w:rsid w:val="250008F0"/>
    <w:rsid w:val="2502D20C"/>
    <w:rsid w:val="250A53FA"/>
    <w:rsid w:val="250F7108"/>
    <w:rsid w:val="251EABD1"/>
    <w:rsid w:val="2521969F"/>
    <w:rsid w:val="2521F239"/>
    <w:rsid w:val="2528443C"/>
    <w:rsid w:val="252A6264"/>
    <w:rsid w:val="252A7A41"/>
    <w:rsid w:val="252A9D39"/>
    <w:rsid w:val="252B2A84"/>
    <w:rsid w:val="252EF474"/>
    <w:rsid w:val="25472E61"/>
    <w:rsid w:val="25479F5E"/>
    <w:rsid w:val="254FA724"/>
    <w:rsid w:val="2553AA34"/>
    <w:rsid w:val="255A6424"/>
    <w:rsid w:val="255F16EB"/>
    <w:rsid w:val="256D5EFF"/>
    <w:rsid w:val="25791C63"/>
    <w:rsid w:val="2584ECAD"/>
    <w:rsid w:val="258586F8"/>
    <w:rsid w:val="2587218E"/>
    <w:rsid w:val="258F2AE9"/>
    <w:rsid w:val="25965700"/>
    <w:rsid w:val="25967C5B"/>
    <w:rsid w:val="25A3AA67"/>
    <w:rsid w:val="25A46BF7"/>
    <w:rsid w:val="25B1DF78"/>
    <w:rsid w:val="25B3DE91"/>
    <w:rsid w:val="25BCE802"/>
    <w:rsid w:val="25C1F94B"/>
    <w:rsid w:val="25D71744"/>
    <w:rsid w:val="25E34CB1"/>
    <w:rsid w:val="25E48E98"/>
    <w:rsid w:val="25E50262"/>
    <w:rsid w:val="25EBCBEC"/>
    <w:rsid w:val="25EE0C69"/>
    <w:rsid w:val="25F5F8E6"/>
    <w:rsid w:val="26009862"/>
    <w:rsid w:val="2604EF78"/>
    <w:rsid w:val="26099EF1"/>
    <w:rsid w:val="2617BECB"/>
    <w:rsid w:val="26184998"/>
    <w:rsid w:val="2619EA38"/>
    <w:rsid w:val="261DB379"/>
    <w:rsid w:val="2623AB30"/>
    <w:rsid w:val="262635B5"/>
    <w:rsid w:val="262B52B4"/>
    <w:rsid w:val="262C5C43"/>
    <w:rsid w:val="263823E6"/>
    <w:rsid w:val="263E0195"/>
    <w:rsid w:val="263F423A"/>
    <w:rsid w:val="26491132"/>
    <w:rsid w:val="264CC98F"/>
    <w:rsid w:val="26579C43"/>
    <w:rsid w:val="2668A24F"/>
    <w:rsid w:val="266D5CDA"/>
    <w:rsid w:val="2681EFD6"/>
    <w:rsid w:val="268951AB"/>
    <w:rsid w:val="268B9788"/>
    <w:rsid w:val="269476C2"/>
    <w:rsid w:val="269EE435"/>
    <w:rsid w:val="26A7A184"/>
    <w:rsid w:val="26A9FA65"/>
    <w:rsid w:val="26ACECEA"/>
    <w:rsid w:val="26AF7C83"/>
    <w:rsid w:val="26BB5268"/>
    <w:rsid w:val="26BDD673"/>
    <w:rsid w:val="26BFB332"/>
    <w:rsid w:val="26C8B86E"/>
    <w:rsid w:val="26CC12C6"/>
    <w:rsid w:val="26D183D8"/>
    <w:rsid w:val="26D55DBC"/>
    <w:rsid w:val="26D77629"/>
    <w:rsid w:val="26DEC6B8"/>
    <w:rsid w:val="26E05B36"/>
    <w:rsid w:val="26F1546A"/>
    <w:rsid w:val="26F480B7"/>
    <w:rsid w:val="26F50BA6"/>
    <w:rsid w:val="26F6F3F2"/>
    <w:rsid w:val="26F79AA0"/>
    <w:rsid w:val="26FB6D30"/>
    <w:rsid w:val="26FFBD16"/>
    <w:rsid w:val="270207C9"/>
    <w:rsid w:val="27039C0D"/>
    <w:rsid w:val="270AC029"/>
    <w:rsid w:val="27125470"/>
    <w:rsid w:val="2716AA32"/>
    <w:rsid w:val="27214E62"/>
    <w:rsid w:val="272729B9"/>
    <w:rsid w:val="27276EE7"/>
    <w:rsid w:val="27308A0B"/>
    <w:rsid w:val="274D7681"/>
    <w:rsid w:val="274FFA8F"/>
    <w:rsid w:val="2756104F"/>
    <w:rsid w:val="2759ABB1"/>
    <w:rsid w:val="275DF06D"/>
    <w:rsid w:val="275FBFC4"/>
    <w:rsid w:val="27687662"/>
    <w:rsid w:val="2768F244"/>
    <w:rsid w:val="276CF53B"/>
    <w:rsid w:val="276D727F"/>
    <w:rsid w:val="27705598"/>
    <w:rsid w:val="2778771E"/>
    <w:rsid w:val="277E42EF"/>
    <w:rsid w:val="2780896B"/>
    <w:rsid w:val="278CCB32"/>
    <w:rsid w:val="279B7F6F"/>
    <w:rsid w:val="27A1B86C"/>
    <w:rsid w:val="27A67800"/>
    <w:rsid w:val="27AEE703"/>
    <w:rsid w:val="27B58F0F"/>
    <w:rsid w:val="27B686E7"/>
    <w:rsid w:val="27B98CF6"/>
    <w:rsid w:val="27DB6E6F"/>
    <w:rsid w:val="27DE6D64"/>
    <w:rsid w:val="27E638C3"/>
    <w:rsid w:val="27E6CD26"/>
    <w:rsid w:val="27EE9182"/>
    <w:rsid w:val="27F26160"/>
    <w:rsid w:val="27F589F2"/>
    <w:rsid w:val="27F7DCCC"/>
    <w:rsid w:val="2803A5F5"/>
    <w:rsid w:val="2810EC53"/>
    <w:rsid w:val="28141FCE"/>
    <w:rsid w:val="2818EF71"/>
    <w:rsid w:val="281B74E1"/>
    <w:rsid w:val="282F5A82"/>
    <w:rsid w:val="2830C221"/>
    <w:rsid w:val="283E21EB"/>
    <w:rsid w:val="284B7A63"/>
    <w:rsid w:val="284C0FE3"/>
    <w:rsid w:val="2853598B"/>
    <w:rsid w:val="2853F949"/>
    <w:rsid w:val="2856B09D"/>
    <w:rsid w:val="285C51E9"/>
    <w:rsid w:val="28603A27"/>
    <w:rsid w:val="286544DE"/>
    <w:rsid w:val="286BBF0B"/>
    <w:rsid w:val="28721A32"/>
    <w:rsid w:val="287CD583"/>
    <w:rsid w:val="2883B506"/>
    <w:rsid w:val="288BD50E"/>
    <w:rsid w:val="2895801B"/>
    <w:rsid w:val="289B1F35"/>
    <w:rsid w:val="28A7C3C8"/>
    <w:rsid w:val="28A880BB"/>
    <w:rsid w:val="28AEDE81"/>
    <w:rsid w:val="28B4F090"/>
    <w:rsid w:val="28B6C0E4"/>
    <w:rsid w:val="28B9FB25"/>
    <w:rsid w:val="28BCC4B4"/>
    <w:rsid w:val="28BE6D51"/>
    <w:rsid w:val="28C2C1F3"/>
    <w:rsid w:val="28EB4F52"/>
    <w:rsid w:val="28EE2AB6"/>
    <w:rsid w:val="29014D03"/>
    <w:rsid w:val="29108404"/>
    <w:rsid w:val="2911802E"/>
    <w:rsid w:val="29149604"/>
    <w:rsid w:val="29194B3B"/>
    <w:rsid w:val="291A1350"/>
    <w:rsid w:val="29212911"/>
    <w:rsid w:val="2932B43C"/>
    <w:rsid w:val="2937C48C"/>
    <w:rsid w:val="293C8917"/>
    <w:rsid w:val="294DF051"/>
    <w:rsid w:val="29542679"/>
    <w:rsid w:val="295725C4"/>
    <w:rsid w:val="2959BBF2"/>
    <w:rsid w:val="2968843F"/>
    <w:rsid w:val="29762D4D"/>
    <w:rsid w:val="297F68C4"/>
    <w:rsid w:val="2983FD2E"/>
    <w:rsid w:val="298D01E9"/>
    <w:rsid w:val="298E7092"/>
    <w:rsid w:val="298F47FE"/>
    <w:rsid w:val="299B6E01"/>
    <w:rsid w:val="29AFE783"/>
    <w:rsid w:val="29B1D41B"/>
    <w:rsid w:val="29CC0D89"/>
    <w:rsid w:val="29E02289"/>
    <w:rsid w:val="29EAAB64"/>
    <w:rsid w:val="29EE5118"/>
    <w:rsid w:val="29F0E9EC"/>
    <w:rsid w:val="29F21BEB"/>
    <w:rsid w:val="2A054F2F"/>
    <w:rsid w:val="2A11CEA7"/>
    <w:rsid w:val="2A1B8FF6"/>
    <w:rsid w:val="2A1C1100"/>
    <w:rsid w:val="2A2004B2"/>
    <w:rsid w:val="2A23E214"/>
    <w:rsid w:val="2A34773D"/>
    <w:rsid w:val="2A390AD5"/>
    <w:rsid w:val="2A510624"/>
    <w:rsid w:val="2A54867E"/>
    <w:rsid w:val="2A568B95"/>
    <w:rsid w:val="2A58B52E"/>
    <w:rsid w:val="2A5A18E6"/>
    <w:rsid w:val="2A5AE3A9"/>
    <w:rsid w:val="2A5C0795"/>
    <w:rsid w:val="2A71FF44"/>
    <w:rsid w:val="2A768A2C"/>
    <w:rsid w:val="2A83CEE5"/>
    <w:rsid w:val="2A8EAE50"/>
    <w:rsid w:val="2A93B49E"/>
    <w:rsid w:val="2A93C072"/>
    <w:rsid w:val="2A93F21A"/>
    <w:rsid w:val="2A94409F"/>
    <w:rsid w:val="2A9B5EE9"/>
    <w:rsid w:val="2AAB5D56"/>
    <w:rsid w:val="2AAD7537"/>
    <w:rsid w:val="2AAE017C"/>
    <w:rsid w:val="2AB019A2"/>
    <w:rsid w:val="2ABB758B"/>
    <w:rsid w:val="2AC5FB84"/>
    <w:rsid w:val="2ACFD519"/>
    <w:rsid w:val="2AD213AB"/>
    <w:rsid w:val="2AD950B7"/>
    <w:rsid w:val="2AEF44AA"/>
    <w:rsid w:val="2AF08C9E"/>
    <w:rsid w:val="2AF3F3F5"/>
    <w:rsid w:val="2AF612FE"/>
    <w:rsid w:val="2AF8165A"/>
    <w:rsid w:val="2B03ECBC"/>
    <w:rsid w:val="2B168062"/>
    <w:rsid w:val="2B1CD85D"/>
    <w:rsid w:val="2B266941"/>
    <w:rsid w:val="2B2A0222"/>
    <w:rsid w:val="2B2B09F7"/>
    <w:rsid w:val="2B3AE452"/>
    <w:rsid w:val="2B3CF279"/>
    <w:rsid w:val="2B3E03C1"/>
    <w:rsid w:val="2B3E6204"/>
    <w:rsid w:val="2B45B392"/>
    <w:rsid w:val="2B46D867"/>
    <w:rsid w:val="2B4E4C7D"/>
    <w:rsid w:val="2B4FC221"/>
    <w:rsid w:val="2B508DFA"/>
    <w:rsid w:val="2B5BD6FE"/>
    <w:rsid w:val="2B69AD25"/>
    <w:rsid w:val="2B6B182F"/>
    <w:rsid w:val="2B725558"/>
    <w:rsid w:val="2B7B0A97"/>
    <w:rsid w:val="2B7DBB38"/>
    <w:rsid w:val="2B8F7565"/>
    <w:rsid w:val="2B997D78"/>
    <w:rsid w:val="2B9EA5D6"/>
    <w:rsid w:val="2BA11F90"/>
    <w:rsid w:val="2BB05657"/>
    <w:rsid w:val="2BB49C09"/>
    <w:rsid w:val="2BB7B365"/>
    <w:rsid w:val="2BB947FC"/>
    <w:rsid w:val="2BBDD350"/>
    <w:rsid w:val="2BC8BA81"/>
    <w:rsid w:val="2BC9352B"/>
    <w:rsid w:val="2BD57BCA"/>
    <w:rsid w:val="2BD6B433"/>
    <w:rsid w:val="2BD8AC93"/>
    <w:rsid w:val="2BE13166"/>
    <w:rsid w:val="2BF7B3F1"/>
    <w:rsid w:val="2C00D9F5"/>
    <w:rsid w:val="2C076AD2"/>
    <w:rsid w:val="2C0801E2"/>
    <w:rsid w:val="2C0A3BF6"/>
    <w:rsid w:val="2C108519"/>
    <w:rsid w:val="2C13106A"/>
    <w:rsid w:val="2C1653C9"/>
    <w:rsid w:val="2C259E07"/>
    <w:rsid w:val="2C3229A5"/>
    <w:rsid w:val="2C38A2A4"/>
    <w:rsid w:val="2C39944B"/>
    <w:rsid w:val="2C3BFEC6"/>
    <w:rsid w:val="2C56B493"/>
    <w:rsid w:val="2C58394C"/>
    <w:rsid w:val="2C5E8DF0"/>
    <w:rsid w:val="2C5FA446"/>
    <w:rsid w:val="2C6100FC"/>
    <w:rsid w:val="2C7230F9"/>
    <w:rsid w:val="2C7C42FA"/>
    <w:rsid w:val="2C7FA86B"/>
    <w:rsid w:val="2C859F35"/>
    <w:rsid w:val="2C8B6B78"/>
    <w:rsid w:val="2C9DAB06"/>
    <w:rsid w:val="2CA3C92B"/>
    <w:rsid w:val="2CA4E105"/>
    <w:rsid w:val="2CA6E774"/>
    <w:rsid w:val="2CAA8E27"/>
    <w:rsid w:val="2CAE4A6C"/>
    <w:rsid w:val="2CB43496"/>
    <w:rsid w:val="2CB4A36C"/>
    <w:rsid w:val="2CB6341F"/>
    <w:rsid w:val="2CBA5546"/>
    <w:rsid w:val="2CBD1F5C"/>
    <w:rsid w:val="2CDA95B4"/>
    <w:rsid w:val="2CDB1B77"/>
    <w:rsid w:val="2CDFFF95"/>
    <w:rsid w:val="2CE64886"/>
    <w:rsid w:val="2CF0247E"/>
    <w:rsid w:val="2CF618C2"/>
    <w:rsid w:val="2CFA2804"/>
    <w:rsid w:val="2CFB7066"/>
    <w:rsid w:val="2CFF08AF"/>
    <w:rsid w:val="2D025499"/>
    <w:rsid w:val="2D05EB06"/>
    <w:rsid w:val="2D0752A0"/>
    <w:rsid w:val="2D076E3D"/>
    <w:rsid w:val="2D0B00CD"/>
    <w:rsid w:val="2D0E88E4"/>
    <w:rsid w:val="2D19870C"/>
    <w:rsid w:val="2D288757"/>
    <w:rsid w:val="2D29F2FC"/>
    <w:rsid w:val="2D2A399A"/>
    <w:rsid w:val="2D2D7251"/>
    <w:rsid w:val="2D5071DD"/>
    <w:rsid w:val="2D53EDAD"/>
    <w:rsid w:val="2D55C1EB"/>
    <w:rsid w:val="2D5A21AA"/>
    <w:rsid w:val="2D60AE0F"/>
    <w:rsid w:val="2D726BD1"/>
    <w:rsid w:val="2D746C37"/>
    <w:rsid w:val="2D7BBFBF"/>
    <w:rsid w:val="2D8248B0"/>
    <w:rsid w:val="2D8727DB"/>
    <w:rsid w:val="2D89775A"/>
    <w:rsid w:val="2D8F2B48"/>
    <w:rsid w:val="2D916AFF"/>
    <w:rsid w:val="2D947244"/>
    <w:rsid w:val="2D9C7880"/>
    <w:rsid w:val="2DA563CE"/>
    <w:rsid w:val="2DA8DD0B"/>
    <w:rsid w:val="2DC50668"/>
    <w:rsid w:val="2DD30840"/>
    <w:rsid w:val="2DD7B958"/>
    <w:rsid w:val="2DF60934"/>
    <w:rsid w:val="2E01A284"/>
    <w:rsid w:val="2E0314DF"/>
    <w:rsid w:val="2E038840"/>
    <w:rsid w:val="2E088615"/>
    <w:rsid w:val="2E09103F"/>
    <w:rsid w:val="2E0E04C4"/>
    <w:rsid w:val="2E132663"/>
    <w:rsid w:val="2E1A01CA"/>
    <w:rsid w:val="2E21471F"/>
    <w:rsid w:val="2E236B81"/>
    <w:rsid w:val="2E237C27"/>
    <w:rsid w:val="2E2BC962"/>
    <w:rsid w:val="2E2C3306"/>
    <w:rsid w:val="2E3298E9"/>
    <w:rsid w:val="2E4320F5"/>
    <w:rsid w:val="2E436896"/>
    <w:rsid w:val="2E464E85"/>
    <w:rsid w:val="2E4A3B3C"/>
    <w:rsid w:val="2E4E2124"/>
    <w:rsid w:val="2E5C246A"/>
    <w:rsid w:val="2E5F305A"/>
    <w:rsid w:val="2E806C83"/>
    <w:rsid w:val="2E9D8AC9"/>
    <w:rsid w:val="2EA08B3F"/>
    <w:rsid w:val="2EA1BB67"/>
    <w:rsid w:val="2EA49528"/>
    <w:rsid w:val="2EA84490"/>
    <w:rsid w:val="2EB10BDF"/>
    <w:rsid w:val="2EB6534E"/>
    <w:rsid w:val="2EC720A5"/>
    <w:rsid w:val="2ECA9F36"/>
    <w:rsid w:val="2ED4F308"/>
    <w:rsid w:val="2EDCA1A7"/>
    <w:rsid w:val="2EDEC2A1"/>
    <w:rsid w:val="2EE895E6"/>
    <w:rsid w:val="2EF3AFFE"/>
    <w:rsid w:val="2F09C50A"/>
    <w:rsid w:val="2F0F203F"/>
    <w:rsid w:val="2F121D54"/>
    <w:rsid w:val="2F12B415"/>
    <w:rsid w:val="2F1C5782"/>
    <w:rsid w:val="2F21BA13"/>
    <w:rsid w:val="2F25A3C9"/>
    <w:rsid w:val="2F25B6D0"/>
    <w:rsid w:val="2F2F2DEF"/>
    <w:rsid w:val="2F365B3E"/>
    <w:rsid w:val="2F3A7F27"/>
    <w:rsid w:val="2F3CB086"/>
    <w:rsid w:val="2F42D8D3"/>
    <w:rsid w:val="2F47FCD4"/>
    <w:rsid w:val="2F49C2B6"/>
    <w:rsid w:val="2F4B9E67"/>
    <w:rsid w:val="2F4ECACD"/>
    <w:rsid w:val="2F53C4A9"/>
    <w:rsid w:val="2F55E725"/>
    <w:rsid w:val="2F56A0C7"/>
    <w:rsid w:val="2F58B72A"/>
    <w:rsid w:val="2F5C545E"/>
    <w:rsid w:val="2F5DD530"/>
    <w:rsid w:val="2F5E46FC"/>
    <w:rsid w:val="2F635BA4"/>
    <w:rsid w:val="2F662A3C"/>
    <w:rsid w:val="2F699EB0"/>
    <w:rsid w:val="2F6DD719"/>
    <w:rsid w:val="2F7688DD"/>
    <w:rsid w:val="2F819FE0"/>
    <w:rsid w:val="2F81CE8A"/>
    <w:rsid w:val="2F87229A"/>
    <w:rsid w:val="2F8EEB7B"/>
    <w:rsid w:val="2F9369E6"/>
    <w:rsid w:val="2F9F58A1"/>
    <w:rsid w:val="2FA1D8E6"/>
    <w:rsid w:val="2FAC75A0"/>
    <w:rsid w:val="2FB15826"/>
    <w:rsid w:val="2FB71CA7"/>
    <w:rsid w:val="2FBDB7E0"/>
    <w:rsid w:val="2FC520E5"/>
    <w:rsid w:val="2FD348B3"/>
    <w:rsid w:val="2FD47A68"/>
    <w:rsid w:val="2FD7C5C3"/>
    <w:rsid w:val="2FDC9631"/>
    <w:rsid w:val="2FE55666"/>
    <w:rsid w:val="2FE84690"/>
    <w:rsid w:val="2FEB325B"/>
    <w:rsid w:val="2FEE5F7E"/>
    <w:rsid w:val="2FF37DD6"/>
    <w:rsid w:val="2FF3F322"/>
    <w:rsid w:val="2FF551E4"/>
    <w:rsid w:val="2FF58ECA"/>
    <w:rsid w:val="2FF7F7C8"/>
    <w:rsid w:val="2FF8CECF"/>
    <w:rsid w:val="30019E08"/>
    <w:rsid w:val="300BF0D4"/>
    <w:rsid w:val="301D0625"/>
    <w:rsid w:val="3021E33F"/>
    <w:rsid w:val="3022D89C"/>
    <w:rsid w:val="3024F616"/>
    <w:rsid w:val="302C9C5C"/>
    <w:rsid w:val="3037B44E"/>
    <w:rsid w:val="303DF3D5"/>
    <w:rsid w:val="303EF362"/>
    <w:rsid w:val="30414821"/>
    <w:rsid w:val="3054EDEE"/>
    <w:rsid w:val="30555CDB"/>
    <w:rsid w:val="30613444"/>
    <w:rsid w:val="307A21A2"/>
    <w:rsid w:val="307A85CC"/>
    <w:rsid w:val="308C9012"/>
    <w:rsid w:val="3091EB9B"/>
    <w:rsid w:val="309345E9"/>
    <w:rsid w:val="309A11AF"/>
    <w:rsid w:val="309DB3B5"/>
    <w:rsid w:val="30A3ED31"/>
    <w:rsid w:val="30A85ED4"/>
    <w:rsid w:val="30AB5A48"/>
    <w:rsid w:val="30AF856C"/>
    <w:rsid w:val="30BD561B"/>
    <w:rsid w:val="30C5A47D"/>
    <w:rsid w:val="30CB057B"/>
    <w:rsid w:val="30CD73DD"/>
    <w:rsid w:val="30CFBAD2"/>
    <w:rsid w:val="30DC07D2"/>
    <w:rsid w:val="30E17FEA"/>
    <w:rsid w:val="30F2B68B"/>
    <w:rsid w:val="30F3AA9D"/>
    <w:rsid w:val="30F3B373"/>
    <w:rsid w:val="30F5B2E4"/>
    <w:rsid w:val="310500B6"/>
    <w:rsid w:val="3111D550"/>
    <w:rsid w:val="31120E6A"/>
    <w:rsid w:val="312ED55D"/>
    <w:rsid w:val="312F49EF"/>
    <w:rsid w:val="313037A1"/>
    <w:rsid w:val="313392AC"/>
    <w:rsid w:val="313AA4D4"/>
    <w:rsid w:val="313D972F"/>
    <w:rsid w:val="314CD8FC"/>
    <w:rsid w:val="314D1CBF"/>
    <w:rsid w:val="314F6B1E"/>
    <w:rsid w:val="3155EC67"/>
    <w:rsid w:val="315B1CE9"/>
    <w:rsid w:val="315FA554"/>
    <w:rsid w:val="31693314"/>
    <w:rsid w:val="316A96B3"/>
    <w:rsid w:val="316E9809"/>
    <w:rsid w:val="316FB479"/>
    <w:rsid w:val="31711AAB"/>
    <w:rsid w:val="31819C44"/>
    <w:rsid w:val="318250B5"/>
    <w:rsid w:val="3184BA17"/>
    <w:rsid w:val="31854770"/>
    <w:rsid w:val="31915F2B"/>
    <w:rsid w:val="3198B348"/>
    <w:rsid w:val="31991C16"/>
    <w:rsid w:val="319FFE82"/>
    <w:rsid w:val="31AD2FE3"/>
    <w:rsid w:val="31AFF418"/>
    <w:rsid w:val="31B26566"/>
    <w:rsid w:val="31BB18F2"/>
    <w:rsid w:val="31C0886F"/>
    <w:rsid w:val="31C0CB05"/>
    <w:rsid w:val="31C805BB"/>
    <w:rsid w:val="31D0E6F4"/>
    <w:rsid w:val="31D6887D"/>
    <w:rsid w:val="31D8427F"/>
    <w:rsid w:val="31DCD5F8"/>
    <w:rsid w:val="31EE3903"/>
    <w:rsid w:val="31F64CDF"/>
    <w:rsid w:val="31F6BD11"/>
    <w:rsid w:val="31FCF441"/>
    <w:rsid w:val="31FEC167"/>
    <w:rsid w:val="32048F1D"/>
    <w:rsid w:val="3205ECF4"/>
    <w:rsid w:val="3207D0F8"/>
    <w:rsid w:val="32085489"/>
    <w:rsid w:val="3210784E"/>
    <w:rsid w:val="32163B63"/>
    <w:rsid w:val="321B30FB"/>
    <w:rsid w:val="322D0B5E"/>
    <w:rsid w:val="322E566A"/>
    <w:rsid w:val="3231BC0F"/>
    <w:rsid w:val="3232D17A"/>
    <w:rsid w:val="32362C15"/>
    <w:rsid w:val="3245BEC5"/>
    <w:rsid w:val="3247557C"/>
    <w:rsid w:val="325FB583"/>
    <w:rsid w:val="32600A25"/>
    <w:rsid w:val="326CE0B6"/>
    <w:rsid w:val="32769BB0"/>
    <w:rsid w:val="3276A1E6"/>
    <w:rsid w:val="3276E78E"/>
    <w:rsid w:val="3277CD3A"/>
    <w:rsid w:val="32811B4C"/>
    <w:rsid w:val="32837FA3"/>
    <w:rsid w:val="32876478"/>
    <w:rsid w:val="32911CEB"/>
    <w:rsid w:val="32931842"/>
    <w:rsid w:val="3293367A"/>
    <w:rsid w:val="329446C1"/>
    <w:rsid w:val="329B09D1"/>
    <w:rsid w:val="32A80813"/>
    <w:rsid w:val="32AD2825"/>
    <w:rsid w:val="32B61093"/>
    <w:rsid w:val="32BC51D0"/>
    <w:rsid w:val="32C6146A"/>
    <w:rsid w:val="32D906BF"/>
    <w:rsid w:val="32DC28C5"/>
    <w:rsid w:val="32DC9545"/>
    <w:rsid w:val="32DDEF0D"/>
    <w:rsid w:val="32E73F8C"/>
    <w:rsid w:val="32E94EDA"/>
    <w:rsid w:val="32ED2ADE"/>
    <w:rsid w:val="32F33069"/>
    <w:rsid w:val="32F8967B"/>
    <w:rsid w:val="32FAB0A7"/>
    <w:rsid w:val="32FDA873"/>
    <w:rsid w:val="3303F338"/>
    <w:rsid w:val="330AECC0"/>
    <w:rsid w:val="330F3DA8"/>
    <w:rsid w:val="331A11C0"/>
    <w:rsid w:val="3321E9B5"/>
    <w:rsid w:val="333281E0"/>
    <w:rsid w:val="3334BC92"/>
    <w:rsid w:val="333651EF"/>
    <w:rsid w:val="3338CFE2"/>
    <w:rsid w:val="334281A6"/>
    <w:rsid w:val="335142FC"/>
    <w:rsid w:val="33590DB2"/>
    <w:rsid w:val="335C58D0"/>
    <w:rsid w:val="3363DE6C"/>
    <w:rsid w:val="3365D4EE"/>
    <w:rsid w:val="3366EA1C"/>
    <w:rsid w:val="336ADE6A"/>
    <w:rsid w:val="33702875"/>
    <w:rsid w:val="3372A9FC"/>
    <w:rsid w:val="33751B12"/>
    <w:rsid w:val="3381432E"/>
    <w:rsid w:val="338238DA"/>
    <w:rsid w:val="338DA08A"/>
    <w:rsid w:val="339900CF"/>
    <w:rsid w:val="33A2F4BB"/>
    <w:rsid w:val="33A8402B"/>
    <w:rsid w:val="33B3608D"/>
    <w:rsid w:val="33BF35E7"/>
    <w:rsid w:val="33C4A0B5"/>
    <w:rsid w:val="33C683F2"/>
    <w:rsid w:val="33CB9996"/>
    <w:rsid w:val="33CC1EA7"/>
    <w:rsid w:val="33CDD600"/>
    <w:rsid w:val="33CDE0E6"/>
    <w:rsid w:val="33CFBBEE"/>
    <w:rsid w:val="33D4634C"/>
    <w:rsid w:val="33DB2254"/>
    <w:rsid w:val="33DF0B60"/>
    <w:rsid w:val="33DFFF96"/>
    <w:rsid w:val="33E18F26"/>
    <w:rsid w:val="33ED0640"/>
    <w:rsid w:val="33F7B3FA"/>
    <w:rsid w:val="33FFD218"/>
    <w:rsid w:val="3403519D"/>
    <w:rsid w:val="3403525C"/>
    <w:rsid w:val="3404E39C"/>
    <w:rsid w:val="340FC9B5"/>
    <w:rsid w:val="3413914B"/>
    <w:rsid w:val="341C03DD"/>
    <w:rsid w:val="341E4035"/>
    <w:rsid w:val="34224B62"/>
    <w:rsid w:val="34238375"/>
    <w:rsid w:val="3426F5C7"/>
    <w:rsid w:val="3427FAD2"/>
    <w:rsid w:val="342C284D"/>
    <w:rsid w:val="342F0C99"/>
    <w:rsid w:val="34358D3B"/>
    <w:rsid w:val="3438C21E"/>
    <w:rsid w:val="343C814D"/>
    <w:rsid w:val="343F4DE3"/>
    <w:rsid w:val="3441E807"/>
    <w:rsid w:val="3445184E"/>
    <w:rsid w:val="344F6DDB"/>
    <w:rsid w:val="34552FE4"/>
    <w:rsid w:val="345801D3"/>
    <w:rsid w:val="345CFB44"/>
    <w:rsid w:val="34625C9E"/>
    <w:rsid w:val="3472E69A"/>
    <w:rsid w:val="3482BBD7"/>
    <w:rsid w:val="3484DE65"/>
    <w:rsid w:val="348BE799"/>
    <w:rsid w:val="348D1A94"/>
    <w:rsid w:val="349E324A"/>
    <w:rsid w:val="34A617C8"/>
    <w:rsid w:val="34AEA70C"/>
    <w:rsid w:val="34B1F959"/>
    <w:rsid w:val="34C65A90"/>
    <w:rsid w:val="34D1B749"/>
    <w:rsid w:val="34D592B7"/>
    <w:rsid w:val="34D87795"/>
    <w:rsid w:val="34DFFDC1"/>
    <w:rsid w:val="34F47364"/>
    <w:rsid w:val="34F85563"/>
    <w:rsid w:val="34F8E1E0"/>
    <w:rsid w:val="34FFA1DA"/>
    <w:rsid w:val="3500CDCA"/>
    <w:rsid w:val="35026185"/>
    <w:rsid w:val="3510D50E"/>
    <w:rsid w:val="3514578F"/>
    <w:rsid w:val="351AAA72"/>
    <w:rsid w:val="352695D7"/>
    <w:rsid w:val="353DEFFA"/>
    <w:rsid w:val="3543E7E9"/>
    <w:rsid w:val="354E3AEE"/>
    <w:rsid w:val="35523269"/>
    <w:rsid w:val="3552FD47"/>
    <w:rsid w:val="35665D2F"/>
    <w:rsid w:val="3568F1EF"/>
    <w:rsid w:val="3569B147"/>
    <w:rsid w:val="356A91F7"/>
    <w:rsid w:val="356BFA35"/>
    <w:rsid w:val="356D153A"/>
    <w:rsid w:val="3575CAC1"/>
    <w:rsid w:val="358A9E76"/>
    <w:rsid w:val="3591625A"/>
    <w:rsid w:val="3596166F"/>
    <w:rsid w:val="359AC87B"/>
    <w:rsid w:val="359D0E51"/>
    <w:rsid w:val="359EADF1"/>
    <w:rsid w:val="35ACF824"/>
    <w:rsid w:val="35B0A015"/>
    <w:rsid w:val="35B1A043"/>
    <w:rsid w:val="35C075B0"/>
    <w:rsid w:val="35C72496"/>
    <w:rsid w:val="35CF68A8"/>
    <w:rsid w:val="35D354CE"/>
    <w:rsid w:val="35D48199"/>
    <w:rsid w:val="35D902B5"/>
    <w:rsid w:val="35E38054"/>
    <w:rsid w:val="35F988EB"/>
    <w:rsid w:val="35FAECFA"/>
    <w:rsid w:val="35FE7FE3"/>
    <w:rsid w:val="3601F51D"/>
    <w:rsid w:val="362B4CF2"/>
    <w:rsid w:val="362CD16A"/>
    <w:rsid w:val="36364289"/>
    <w:rsid w:val="36398D37"/>
    <w:rsid w:val="364DA3B2"/>
    <w:rsid w:val="36506CD0"/>
    <w:rsid w:val="365A02E2"/>
    <w:rsid w:val="36628094"/>
    <w:rsid w:val="3667788A"/>
    <w:rsid w:val="367974FF"/>
    <w:rsid w:val="367F639C"/>
    <w:rsid w:val="3688DECE"/>
    <w:rsid w:val="368A0A12"/>
    <w:rsid w:val="36927D2F"/>
    <w:rsid w:val="3695FB23"/>
    <w:rsid w:val="36983560"/>
    <w:rsid w:val="36998810"/>
    <w:rsid w:val="369C48A9"/>
    <w:rsid w:val="36A8CC70"/>
    <w:rsid w:val="36B05F2D"/>
    <w:rsid w:val="36C0DAB7"/>
    <w:rsid w:val="36C8CC44"/>
    <w:rsid w:val="36C9E63B"/>
    <w:rsid w:val="36D2DBB1"/>
    <w:rsid w:val="36D403E6"/>
    <w:rsid w:val="36DFDFAD"/>
    <w:rsid w:val="36EAC478"/>
    <w:rsid w:val="36EF8EEF"/>
    <w:rsid w:val="36FBB5B7"/>
    <w:rsid w:val="3700F787"/>
    <w:rsid w:val="3701596D"/>
    <w:rsid w:val="370581A8"/>
    <w:rsid w:val="3707CA96"/>
    <w:rsid w:val="37173E3E"/>
    <w:rsid w:val="3718DE72"/>
    <w:rsid w:val="371C1F5F"/>
    <w:rsid w:val="3728DC11"/>
    <w:rsid w:val="372EA91B"/>
    <w:rsid w:val="374228E2"/>
    <w:rsid w:val="37442BDE"/>
    <w:rsid w:val="37444331"/>
    <w:rsid w:val="374679A4"/>
    <w:rsid w:val="374C991F"/>
    <w:rsid w:val="374F6790"/>
    <w:rsid w:val="3757542B"/>
    <w:rsid w:val="3759EC24"/>
    <w:rsid w:val="375CBBBA"/>
    <w:rsid w:val="375F2A24"/>
    <w:rsid w:val="3762E8F7"/>
    <w:rsid w:val="376579AA"/>
    <w:rsid w:val="376FC3B7"/>
    <w:rsid w:val="3779DF17"/>
    <w:rsid w:val="378FDA76"/>
    <w:rsid w:val="379A2886"/>
    <w:rsid w:val="37A9CE4D"/>
    <w:rsid w:val="37AFD078"/>
    <w:rsid w:val="37B34B36"/>
    <w:rsid w:val="37C51C1E"/>
    <w:rsid w:val="37C851DC"/>
    <w:rsid w:val="37E4A408"/>
    <w:rsid w:val="37F7CE18"/>
    <w:rsid w:val="37F8AF09"/>
    <w:rsid w:val="37FD01BD"/>
    <w:rsid w:val="3807195A"/>
    <w:rsid w:val="380832BE"/>
    <w:rsid w:val="38127208"/>
    <w:rsid w:val="38127900"/>
    <w:rsid w:val="381DC938"/>
    <w:rsid w:val="381F3901"/>
    <w:rsid w:val="382132E2"/>
    <w:rsid w:val="3825C6B3"/>
    <w:rsid w:val="38387222"/>
    <w:rsid w:val="3842F636"/>
    <w:rsid w:val="384AFF91"/>
    <w:rsid w:val="384C62E7"/>
    <w:rsid w:val="3850AFE2"/>
    <w:rsid w:val="3852CB35"/>
    <w:rsid w:val="385AEAE7"/>
    <w:rsid w:val="385BDD64"/>
    <w:rsid w:val="387F17BA"/>
    <w:rsid w:val="388118AC"/>
    <w:rsid w:val="3889464B"/>
    <w:rsid w:val="388B10D0"/>
    <w:rsid w:val="388E8889"/>
    <w:rsid w:val="38A243E3"/>
    <w:rsid w:val="38AA75D7"/>
    <w:rsid w:val="38B0CBE7"/>
    <w:rsid w:val="38BD6A31"/>
    <w:rsid w:val="38BF8E37"/>
    <w:rsid w:val="38C76444"/>
    <w:rsid w:val="38D95850"/>
    <w:rsid w:val="38DF02C4"/>
    <w:rsid w:val="38E1EA4C"/>
    <w:rsid w:val="38E4053C"/>
    <w:rsid w:val="38E762F6"/>
    <w:rsid w:val="38E7D357"/>
    <w:rsid w:val="38EF30C0"/>
    <w:rsid w:val="38F81672"/>
    <w:rsid w:val="38FAFA85"/>
    <w:rsid w:val="390990A3"/>
    <w:rsid w:val="390F42F2"/>
    <w:rsid w:val="39101C6F"/>
    <w:rsid w:val="39106115"/>
    <w:rsid w:val="3912E0E1"/>
    <w:rsid w:val="39144A20"/>
    <w:rsid w:val="391F2840"/>
    <w:rsid w:val="3921B1A8"/>
    <w:rsid w:val="392DA4C5"/>
    <w:rsid w:val="392DCDAB"/>
    <w:rsid w:val="3931FAFA"/>
    <w:rsid w:val="394B8FF2"/>
    <w:rsid w:val="39542131"/>
    <w:rsid w:val="396ABEE8"/>
    <w:rsid w:val="396FF97E"/>
    <w:rsid w:val="3972254D"/>
    <w:rsid w:val="397ABCE8"/>
    <w:rsid w:val="398EB3FD"/>
    <w:rsid w:val="399CF66E"/>
    <w:rsid w:val="399EFD18"/>
    <w:rsid w:val="39A9FB2F"/>
    <w:rsid w:val="39BC8884"/>
    <w:rsid w:val="39C34B7D"/>
    <w:rsid w:val="39C49EB1"/>
    <w:rsid w:val="39C758CC"/>
    <w:rsid w:val="39CD25AE"/>
    <w:rsid w:val="39D10077"/>
    <w:rsid w:val="39D49BCA"/>
    <w:rsid w:val="39D79092"/>
    <w:rsid w:val="39DDE87E"/>
    <w:rsid w:val="39DFD51B"/>
    <w:rsid w:val="39E7B011"/>
    <w:rsid w:val="39EF1141"/>
    <w:rsid w:val="3A042329"/>
    <w:rsid w:val="3A0443E9"/>
    <w:rsid w:val="3A046547"/>
    <w:rsid w:val="3A0FBA89"/>
    <w:rsid w:val="3A134B07"/>
    <w:rsid w:val="3A141D31"/>
    <w:rsid w:val="3A19356F"/>
    <w:rsid w:val="3A223BD7"/>
    <w:rsid w:val="3A26EF59"/>
    <w:rsid w:val="3A456915"/>
    <w:rsid w:val="3A456F4D"/>
    <w:rsid w:val="3A45F164"/>
    <w:rsid w:val="3A505EAD"/>
    <w:rsid w:val="3A5CFD6E"/>
    <w:rsid w:val="3A702EAB"/>
    <w:rsid w:val="3A7C0C64"/>
    <w:rsid w:val="3A87656D"/>
    <w:rsid w:val="3A9460F2"/>
    <w:rsid w:val="3A98D068"/>
    <w:rsid w:val="3AA4D480"/>
    <w:rsid w:val="3AABC261"/>
    <w:rsid w:val="3ABC62D9"/>
    <w:rsid w:val="3AC4FE30"/>
    <w:rsid w:val="3AC6E2E3"/>
    <w:rsid w:val="3AD75F7C"/>
    <w:rsid w:val="3AD7C381"/>
    <w:rsid w:val="3AD97CFE"/>
    <w:rsid w:val="3AE90272"/>
    <w:rsid w:val="3AF47552"/>
    <w:rsid w:val="3AFCCC43"/>
    <w:rsid w:val="3B43E1C7"/>
    <w:rsid w:val="3B4CBA79"/>
    <w:rsid w:val="3B567EC4"/>
    <w:rsid w:val="3B569524"/>
    <w:rsid w:val="3B5AF4F2"/>
    <w:rsid w:val="3B60CAD9"/>
    <w:rsid w:val="3B670FF3"/>
    <w:rsid w:val="3B8A58ED"/>
    <w:rsid w:val="3B8F5C66"/>
    <w:rsid w:val="3B969CBE"/>
    <w:rsid w:val="3B97983E"/>
    <w:rsid w:val="3B9A8EFA"/>
    <w:rsid w:val="3B9FBB87"/>
    <w:rsid w:val="3BA84B90"/>
    <w:rsid w:val="3BADCDA1"/>
    <w:rsid w:val="3BAF1B68"/>
    <w:rsid w:val="3BB25098"/>
    <w:rsid w:val="3BB5DAF4"/>
    <w:rsid w:val="3BB9A431"/>
    <w:rsid w:val="3BBDBFDF"/>
    <w:rsid w:val="3BCA3AD7"/>
    <w:rsid w:val="3BD6971E"/>
    <w:rsid w:val="3BDCEACB"/>
    <w:rsid w:val="3BE75596"/>
    <w:rsid w:val="3BF957DC"/>
    <w:rsid w:val="3C058449"/>
    <w:rsid w:val="3C0C2318"/>
    <w:rsid w:val="3C10C60B"/>
    <w:rsid w:val="3C14FDD0"/>
    <w:rsid w:val="3C251B69"/>
    <w:rsid w:val="3C283128"/>
    <w:rsid w:val="3C2D0D2D"/>
    <w:rsid w:val="3C2FF5C6"/>
    <w:rsid w:val="3C391A86"/>
    <w:rsid w:val="3C42BDF2"/>
    <w:rsid w:val="3C437299"/>
    <w:rsid w:val="3C4B32DB"/>
    <w:rsid w:val="3C4FAA11"/>
    <w:rsid w:val="3C663616"/>
    <w:rsid w:val="3C6CA0D2"/>
    <w:rsid w:val="3C8927A5"/>
    <w:rsid w:val="3C8B6EDD"/>
    <w:rsid w:val="3C95B35B"/>
    <w:rsid w:val="3CA7BF18"/>
    <w:rsid w:val="3CB22241"/>
    <w:rsid w:val="3CCFCC72"/>
    <w:rsid w:val="3CDA5CDD"/>
    <w:rsid w:val="3CDE241D"/>
    <w:rsid w:val="3CE4070E"/>
    <w:rsid w:val="3CE41AA4"/>
    <w:rsid w:val="3CE8FA0F"/>
    <w:rsid w:val="3CF15CC7"/>
    <w:rsid w:val="3CFA39CC"/>
    <w:rsid w:val="3D02ABBA"/>
    <w:rsid w:val="3D085B64"/>
    <w:rsid w:val="3D092A90"/>
    <w:rsid w:val="3D0CE2BE"/>
    <w:rsid w:val="3D1A30DC"/>
    <w:rsid w:val="3D1B53F4"/>
    <w:rsid w:val="3D1E3754"/>
    <w:rsid w:val="3D39F71E"/>
    <w:rsid w:val="3D3B88B1"/>
    <w:rsid w:val="3D476E38"/>
    <w:rsid w:val="3D70565A"/>
    <w:rsid w:val="3D73A267"/>
    <w:rsid w:val="3D7C1B20"/>
    <w:rsid w:val="3D8447B8"/>
    <w:rsid w:val="3D8B5D76"/>
    <w:rsid w:val="3D98FC02"/>
    <w:rsid w:val="3D9CF728"/>
    <w:rsid w:val="3D9E2AAE"/>
    <w:rsid w:val="3DA22723"/>
    <w:rsid w:val="3DAB4703"/>
    <w:rsid w:val="3DAE0EFB"/>
    <w:rsid w:val="3DC1BAC7"/>
    <w:rsid w:val="3DC323B8"/>
    <w:rsid w:val="3DCB3B38"/>
    <w:rsid w:val="3DCD373B"/>
    <w:rsid w:val="3DD00AF1"/>
    <w:rsid w:val="3DD72FFB"/>
    <w:rsid w:val="3DDC1AA9"/>
    <w:rsid w:val="3DDFC931"/>
    <w:rsid w:val="3DE09166"/>
    <w:rsid w:val="3DFF83E1"/>
    <w:rsid w:val="3E0701F9"/>
    <w:rsid w:val="3E0C0461"/>
    <w:rsid w:val="3E1031FC"/>
    <w:rsid w:val="3E10DFC7"/>
    <w:rsid w:val="3E180C76"/>
    <w:rsid w:val="3E1B4712"/>
    <w:rsid w:val="3E2DF860"/>
    <w:rsid w:val="3E344D01"/>
    <w:rsid w:val="3E43AE63"/>
    <w:rsid w:val="3E448DBF"/>
    <w:rsid w:val="3E4941F3"/>
    <w:rsid w:val="3E4B4EC5"/>
    <w:rsid w:val="3E5110A4"/>
    <w:rsid w:val="3E51D078"/>
    <w:rsid w:val="3E58D47D"/>
    <w:rsid w:val="3E646BB9"/>
    <w:rsid w:val="3E6F88AA"/>
    <w:rsid w:val="3E721F4E"/>
    <w:rsid w:val="3E724834"/>
    <w:rsid w:val="3E728A6F"/>
    <w:rsid w:val="3E733C32"/>
    <w:rsid w:val="3E76C872"/>
    <w:rsid w:val="3E7AC281"/>
    <w:rsid w:val="3E7B8289"/>
    <w:rsid w:val="3E86AE02"/>
    <w:rsid w:val="3E915D67"/>
    <w:rsid w:val="3E9C8218"/>
    <w:rsid w:val="3E9EB0B5"/>
    <w:rsid w:val="3E9FD564"/>
    <w:rsid w:val="3EA8148A"/>
    <w:rsid w:val="3EB50CC5"/>
    <w:rsid w:val="3EB6A916"/>
    <w:rsid w:val="3EBF4A88"/>
    <w:rsid w:val="3EC23D4D"/>
    <w:rsid w:val="3ECCEEEA"/>
    <w:rsid w:val="3ED17309"/>
    <w:rsid w:val="3EDF1009"/>
    <w:rsid w:val="3EE20501"/>
    <w:rsid w:val="3EE4E60D"/>
    <w:rsid w:val="3EEDBB1E"/>
    <w:rsid w:val="3EEFE5A6"/>
    <w:rsid w:val="3EF9B41E"/>
    <w:rsid w:val="3EFCD657"/>
    <w:rsid w:val="3EFF31EF"/>
    <w:rsid w:val="3EFFFC89"/>
    <w:rsid w:val="3F054252"/>
    <w:rsid w:val="3F17FF7A"/>
    <w:rsid w:val="3F1D7109"/>
    <w:rsid w:val="3F1E2980"/>
    <w:rsid w:val="3F2901A5"/>
    <w:rsid w:val="3F31F2FE"/>
    <w:rsid w:val="3F3354F5"/>
    <w:rsid w:val="3F379830"/>
    <w:rsid w:val="3F39FB0F"/>
    <w:rsid w:val="3F46226D"/>
    <w:rsid w:val="3F48DA4E"/>
    <w:rsid w:val="3F4B65DF"/>
    <w:rsid w:val="3F50C506"/>
    <w:rsid w:val="3F5F9D84"/>
    <w:rsid w:val="3F656C41"/>
    <w:rsid w:val="3F6C9FDE"/>
    <w:rsid w:val="3F6F457C"/>
    <w:rsid w:val="3F7AA944"/>
    <w:rsid w:val="3F86B8FD"/>
    <w:rsid w:val="3F873D9A"/>
    <w:rsid w:val="3F8B1937"/>
    <w:rsid w:val="3F8BC6BA"/>
    <w:rsid w:val="3F956957"/>
    <w:rsid w:val="3F99F8D2"/>
    <w:rsid w:val="3F9DBDD0"/>
    <w:rsid w:val="3FA0984B"/>
    <w:rsid w:val="3FA2364F"/>
    <w:rsid w:val="3FB062B4"/>
    <w:rsid w:val="3FBFE4E2"/>
    <w:rsid w:val="3FC2FBF3"/>
    <w:rsid w:val="3FC51D33"/>
    <w:rsid w:val="3FD4D28A"/>
    <w:rsid w:val="3FE44799"/>
    <w:rsid w:val="3FE61797"/>
    <w:rsid w:val="4004866E"/>
    <w:rsid w:val="401E01D0"/>
    <w:rsid w:val="401FF37A"/>
    <w:rsid w:val="40282E04"/>
    <w:rsid w:val="4031C275"/>
    <w:rsid w:val="4034B354"/>
    <w:rsid w:val="403A8116"/>
    <w:rsid w:val="4042AF67"/>
    <w:rsid w:val="40446BE4"/>
    <w:rsid w:val="40479693"/>
    <w:rsid w:val="40482C57"/>
    <w:rsid w:val="405222CF"/>
    <w:rsid w:val="40561A69"/>
    <w:rsid w:val="405E7EA7"/>
    <w:rsid w:val="405F52CF"/>
    <w:rsid w:val="4064A794"/>
    <w:rsid w:val="4078D60E"/>
    <w:rsid w:val="407AED57"/>
    <w:rsid w:val="4084A8C0"/>
    <w:rsid w:val="4089B8F3"/>
    <w:rsid w:val="408F2FEF"/>
    <w:rsid w:val="4091801A"/>
    <w:rsid w:val="40A05C77"/>
    <w:rsid w:val="40B00BE3"/>
    <w:rsid w:val="40BB53FF"/>
    <w:rsid w:val="40C84AB8"/>
    <w:rsid w:val="40CDB082"/>
    <w:rsid w:val="40CFB3EE"/>
    <w:rsid w:val="40D2B903"/>
    <w:rsid w:val="40D89E28"/>
    <w:rsid w:val="40D9D63B"/>
    <w:rsid w:val="40DF6454"/>
    <w:rsid w:val="40E096F9"/>
    <w:rsid w:val="40E1702E"/>
    <w:rsid w:val="40E1B9A3"/>
    <w:rsid w:val="40E6E77B"/>
    <w:rsid w:val="40E82098"/>
    <w:rsid w:val="40E86EF3"/>
    <w:rsid w:val="40ECCF1C"/>
    <w:rsid w:val="40F22429"/>
    <w:rsid w:val="40F67369"/>
    <w:rsid w:val="40FB7A2B"/>
    <w:rsid w:val="40FCF459"/>
    <w:rsid w:val="41032282"/>
    <w:rsid w:val="41079B18"/>
    <w:rsid w:val="4112380D"/>
    <w:rsid w:val="411CF3BA"/>
    <w:rsid w:val="41217506"/>
    <w:rsid w:val="413EA2BB"/>
    <w:rsid w:val="4142E20F"/>
    <w:rsid w:val="4143B6A1"/>
    <w:rsid w:val="41445324"/>
    <w:rsid w:val="414CFD3E"/>
    <w:rsid w:val="414F5329"/>
    <w:rsid w:val="41518021"/>
    <w:rsid w:val="41677F1C"/>
    <w:rsid w:val="4173025B"/>
    <w:rsid w:val="4185D301"/>
    <w:rsid w:val="418D172B"/>
    <w:rsid w:val="41A2E030"/>
    <w:rsid w:val="41AB8321"/>
    <w:rsid w:val="41AD4820"/>
    <w:rsid w:val="41B41613"/>
    <w:rsid w:val="41BB5BDF"/>
    <w:rsid w:val="41BC0947"/>
    <w:rsid w:val="41D756D9"/>
    <w:rsid w:val="41D9A7BB"/>
    <w:rsid w:val="41F1EE36"/>
    <w:rsid w:val="41F43E25"/>
    <w:rsid w:val="41F44083"/>
    <w:rsid w:val="41FD5C3A"/>
    <w:rsid w:val="41FDC062"/>
    <w:rsid w:val="4208737D"/>
    <w:rsid w:val="420E4E26"/>
    <w:rsid w:val="42152766"/>
    <w:rsid w:val="42196183"/>
    <w:rsid w:val="42213BA7"/>
    <w:rsid w:val="4228685A"/>
    <w:rsid w:val="4230B571"/>
    <w:rsid w:val="4236EF61"/>
    <w:rsid w:val="4237C081"/>
    <w:rsid w:val="423BEE2D"/>
    <w:rsid w:val="423F9835"/>
    <w:rsid w:val="424FCD7F"/>
    <w:rsid w:val="4253C96E"/>
    <w:rsid w:val="427268AF"/>
    <w:rsid w:val="4275046C"/>
    <w:rsid w:val="42766D56"/>
    <w:rsid w:val="427A4989"/>
    <w:rsid w:val="428265A5"/>
    <w:rsid w:val="4284194C"/>
    <w:rsid w:val="428A003B"/>
    <w:rsid w:val="428C0195"/>
    <w:rsid w:val="42989FC4"/>
    <w:rsid w:val="42A78A00"/>
    <w:rsid w:val="42B98A2B"/>
    <w:rsid w:val="42B9DD0D"/>
    <w:rsid w:val="42C144E0"/>
    <w:rsid w:val="42D66F71"/>
    <w:rsid w:val="42E2D566"/>
    <w:rsid w:val="42E40767"/>
    <w:rsid w:val="42E69FF6"/>
    <w:rsid w:val="42EAFA31"/>
    <w:rsid w:val="42F6B13C"/>
    <w:rsid w:val="42FCBDF5"/>
    <w:rsid w:val="42FE05D6"/>
    <w:rsid w:val="43034478"/>
    <w:rsid w:val="4305F035"/>
    <w:rsid w:val="4305F158"/>
    <w:rsid w:val="430681F8"/>
    <w:rsid w:val="430FD3B1"/>
    <w:rsid w:val="431F1C83"/>
    <w:rsid w:val="4321ACC3"/>
    <w:rsid w:val="43249234"/>
    <w:rsid w:val="4326630D"/>
    <w:rsid w:val="432772EF"/>
    <w:rsid w:val="432CD335"/>
    <w:rsid w:val="432E68C0"/>
    <w:rsid w:val="433124DD"/>
    <w:rsid w:val="4331728C"/>
    <w:rsid w:val="433F2934"/>
    <w:rsid w:val="43436AD3"/>
    <w:rsid w:val="43461853"/>
    <w:rsid w:val="4347393A"/>
    <w:rsid w:val="434B418F"/>
    <w:rsid w:val="4351B647"/>
    <w:rsid w:val="43521E75"/>
    <w:rsid w:val="4356A5F2"/>
    <w:rsid w:val="43580F6A"/>
    <w:rsid w:val="4358357A"/>
    <w:rsid w:val="435EF194"/>
    <w:rsid w:val="435EF2AA"/>
    <w:rsid w:val="4360CB66"/>
    <w:rsid w:val="4361372B"/>
    <w:rsid w:val="436426CC"/>
    <w:rsid w:val="4365972E"/>
    <w:rsid w:val="436927D3"/>
    <w:rsid w:val="43732449"/>
    <w:rsid w:val="437A1AA9"/>
    <w:rsid w:val="437ED3CB"/>
    <w:rsid w:val="43847B5F"/>
    <w:rsid w:val="438B39B4"/>
    <w:rsid w:val="439061BE"/>
    <w:rsid w:val="43995E91"/>
    <w:rsid w:val="439D9D8E"/>
    <w:rsid w:val="43A0B377"/>
    <w:rsid w:val="43B28E19"/>
    <w:rsid w:val="43C5891A"/>
    <w:rsid w:val="43CCE725"/>
    <w:rsid w:val="43CE834B"/>
    <w:rsid w:val="43CF2039"/>
    <w:rsid w:val="43D7E325"/>
    <w:rsid w:val="43EB6AC5"/>
    <w:rsid w:val="43F0FDD5"/>
    <w:rsid w:val="43F5E8F8"/>
    <w:rsid w:val="43FE395D"/>
    <w:rsid w:val="440024E5"/>
    <w:rsid w:val="44030376"/>
    <w:rsid w:val="44032FFD"/>
    <w:rsid w:val="440786B4"/>
    <w:rsid w:val="44104DD1"/>
    <w:rsid w:val="4419E036"/>
    <w:rsid w:val="442A3EA3"/>
    <w:rsid w:val="44380F1C"/>
    <w:rsid w:val="444FEFF3"/>
    <w:rsid w:val="44564040"/>
    <w:rsid w:val="445C2FAF"/>
    <w:rsid w:val="4462CB89"/>
    <w:rsid w:val="4465CB21"/>
    <w:rsid w:val="4465EAEA"/>
    <w:rsid w:val="4477B2B7"/>
    <w:rsid w:val="447BE3F3"/>
    <w:rsid w:val="44853E88"/>
    <w:rsid w:val="44874DFA"/>
    <w:rsid w:val="449ABC1A"/>
    <w:rsid w:val="44B38D30"/>
    <w:rsid w:val="44C244A9"/>
    <w:rsid w:val="44C72995"/>
    <w:rsid w:val="44C82692"/>
    <w:rsid w:val="44CB3B75"/>
    <w:rsid w:val="44D001BF"/>
    <w:rsid w:val="44D5510C"/>
    <w:rsid w:val="44DEE71A"/>
    <w:rsid w:val="44DF1F97"/>
    <w:rsid w:val="44E32002"/>
    <w:rsid w:val="44E33E01"/>
    <w:rsid w:val="44E81946"/>
    <w:rsid w:val="44F04661"/>
    <w:rsid w:val="44F153C5"/>
    <w:rsid w:val="44F34276"/>
    <w:rsid w:val="44F79D46"/>
    <w:rsid w:val="4505DBB6"/>
    <w:rsid w:val="4507EB2E"/>
    <w:rsid w:val="4508BEFD"/>
    <w:rsid w:val="4508F443"/>
    <w:rsid w:val="45124AAC"/>
    <w:rsid w:val="451337A0"/>
    <w:rsid w:val="45160907"/>
    <w:rsid w:val="4520F9F8"/>
    <w:rsid w:val="45314EED"/>
    <w:rsid w:val="4532C3AD"/>
    <w:rsid w:val="45356124"/>
    <w:rsid w:val="4535C8F7"/>
    <w:rsid w:val="4536DA16"/>
    <w:rsid w:val="453818B7"/>
    <w:rsid w:val="4539BCAB"/>
    <w:rsid w:val="453F5004"/>
    <w:rsid w:val="4544886A"/>
    <w:rsid w:val="454BB028"/>
    <w:rsid w:val="4556C860"/>
    <w:rsid w:val="455944E1"/>
    <w:rsid w:val="45644901"/>
    <w:rsid w:val="45675D3B"/>
    <w:rsid w:val="45734058"/>
    <w:rsid w:val="45750B42"/>
    <w:rsid w:val="4575F64E"/>
    <w:rsid w:val="457ACFF7"/>
    <w:rsid w:val="457C064E"/>
    <w:rsid w:val="458AD30B"/>
    <w:rsid w:val="45924CDD"/>
    <w:rsid w:val="459E6D5D"/>
    <w:rsid w:val="45A31F87"/>
    <w:rsid w:val="45A3A32F"/>
    <w:rsid w:val="45A438C2"/>
    <w:rsid w:val="45AC1E32"/>
    <w:rsid w:val="45B7DB58"/>
    <w:rsid w:val="45C3DD17"/>
    <w:rsid w:val="45C6312D"/>
    <w:rsid w:val="45C78E2B"/>
    <w:rsid w:val="45C7A0D3"/>
    <w:rsid w:val="45CD10CF"/>
    <w:rsid w:val="45CD1E14"/>
    <w:rsid w:val="45D52379"/>
    <w:rsid w:val="45DB0C3B"/>
    <w:rsid w:val="45DC2D13"/>
    <w:rsid w:val="45ED1BE9"/>
    <w:rsid w:val="45F22379"/>
    <w:rsid w:val="45F3F4A2"/>
    <w:rsid w:val="45F41BCF"/>
    <w:rsid w:val="46001E6E"/>
    <w:rsid w:val="46011B23"/>
    <w:rsid w:val="4601581E"/>
    <w:rsid w:val="46079EF5"/>
    <w:rsid w:val="46154945"/>
    <w:rsid w:val="4615DC01"/>
    <w:rsid w:val="461917A7"/>
    <w:rsid w:val="461EBA37"/>
    <w:rsid w:val="4623655A"/>
    <w:rsid w:val="4635720F"/>
    <w:rsid w:val="4642CB63"/>
    <w:rsid w:val="4643B4AC"/>
    <w:rsid w:val="46461F7E"/>
    <w:rsid w:val="464CAAB6"/>
    <w:rsid w:val="4656955B"/>
    <w:rsid w:val="466A8D16"/>
    <w:rsid w:val="466F8B93"/>
    <w:rsid w:val="467EE0A4"/>
    <w:rsid w:val="468212F2"/>
    <w:rsid w:val="468B4EFF"/>
    <w:rsid w:val="4691BFE7"/>
    <w:rsid w:val="469275EE"/>
    <w:rsid w:val="46939071"/>
    <w:rsid w:val="46A06821"/>
    <w:rsid w:val="46A7FCB8"/>
    <w:rsid w:val="46AC4B2B"/>
    <w:rsid w:val="46BAE661"/>
    <w:rsid w:val="46C1BAFB"/>
    <w:rsid w:val="46C7FC2B"/>
    <w:rsid w:val="46CAB6BF"/>
    <w:rsid w:val="46D3075D"/>
    <w:rsid w:val="46DD919F"/>
    <w:rsid w:val="46ED029B"/>
    <w:rsid w:val="46F2CBAA"/>
    <w:rsid w:val="470002E8"/>
    <w:rsid w:val="4709F2F3"/>
    <w:rsid w:val="470BFEDA"/>
    <w:rsid w:val="470C6A3A"/>
    <w:rsid w:val="47177939"/>
    <w:rsid w:val="4719AD87"/>
    <w:rsid w:val="471F3D54"/>
    <w:rsid w:val="47254F65"/>
    <w:rsid w:val="473128CC"/>
    <w:rsid w:val="4732133F"/>
    <w:rsid w:val="473332DD"/>
    <w:rsid w:val="4735DA1F"/>
    <w:rsid w:val="473874C9"/>
    <w:rsid w:val="47482C7E"/>
    <w:rsid w:val="474A8173"/>
    <w:rsid w:val="474DD4C5"/>
    <w:rsid w:val="475CE932"/>
    <w:rsid w:val="4778B945"/>
    <w:rsid w:val="477BFCA2"/>
    <w:rsid w:val="477D4D2A"/>
    <w:rsid w:val="4780D299"/>
    <w:rsid w:val="47889A0D"/>
    <w:rsid w:val="478C353E"/>
    <w:rsid w:val="478D8383"/>
    <w:rsid w:val="4796BDB1"/>
    <w:rsid w:val="47A3B220"/>
    <w:rsid w:val="47ABB74A"/>
    <w:rsid w:val="47AC1E1A"/>
    <w:rsid w:val="47B88617"/>
    <w:rsid w:val="47B9D327"/>
    <w:rsid w:val="47BD6173"/>
    <w:rsid w:val="47BE6B54"/>
    <w:rsid w:val="47C2EF11"/>
    <w:rsid w:val="47CA5C84"/>
    <w:rsid w:val="47CABF69"/>
    <w:rsid w:val="47CBE3D5"/>
    <w:rsid w:val="47CE0DD8"/>
    <w:rsid w:val="47CE960D"/>
    <w:rsid w:val="47CEA90A"/>
    <w:rsid w:val="47D3CCCC"/>
    <w:rsid w:val="47D5DAAC"/>
    <w:rsid w:val="47E2CCA6"/>
    <w:rsid w:val="47F32EF2"/>
    <w:rsid w:val="47F7C45E"/>
    <w:rsid w:val="47FBD6AF"/>
    <w:rsid w:val="48085EB8"/>
    <w:rsid w:val="480E287B"/>
    <w:rsid w:val="481359ED"/>
    <w:rsid w:val="481C817D"/>
    <w:rsid w:val="481D277A"/>
    <w:rsid w:val="482084E5"/>
    <w:rsid w:val="4822380C"/>
    <w:rsid w:val="482B808D"/>
    <w:rsid w:val="483DFCC9"/>
    <w:rsid w:val="485C892E"/>
    <w:rsid w:val="485E3543"/>
    <w:rsid w:val="485E7EA2"/>
    <w:rsid w:val="4866AEFD"/>
    <w:rsid w:val="486910E1"/>
    <w:rsid w:val="486A4CD4"/>
    <w:rsid w:val="486A5E79"/>
    <w:rsid w:val="48715590"/>
    <w:rsid w:val="48718E96"/>
    <w:rsid w:val="48845D04"/>
    <w:rsid w:val="488BF16E"/>
    <w:rsid w:val="489C91FF"/>
    <w:rsid w:val="48A4099B"/>
    <w:rsid w:val="48A84625"/>
    <w:rsid w:val="48AD3D87"/>
    <w:rsid w:val="48C214D5"/>
    <w:rsid w:val="48C3D1D3"/>
    <w:rsid w:val="48CB6407"/>
    <w:rsid w:val="48CF2ACD"/>
    <w:rsid w:val="48CF6ED7"/>
    <w:rsid w:val="48DAC19B"/>
    <w:rsid w:val="48DB0053"/>
    <w:rsid w:val="48E9D419"/>
    <w:rsid w:val="48F2B7C8"/>
    <w:rsid w:val="48F3CADB"/>
    <w:rsid w:val="48FB8134"/>
    <w:rsid w:val="4900F8F1"/>
    <w:rsid w:val="4903C77B"/>
    <w:rsid w:val="49073E15"/>
    <w:rsid w:val="4908612D"/>
    <w:rsid w:val="49097407"/>
    <w:rsid w:val="490AE396"/>
    <w:rsid w:val="490E8065"/>
    <w:rsid w:val="491089D6"/>
    <w:rsid w:val="49148373"/>
    <w:rsid w:val="49158696"/>
    <w:rsid w:val="4917E5C1"/>
    <w:rsid w:val="49314B8E"/>
    <w:rsid w:val="4946540C"/>
    <w:rsid w:val="49509E89"/>
    <w:rsid w:val="4954CAD0"/>
    <w:rsid w:val="495744FA"/>
    <w:rsid w:val="4957E6EB"/>
    <w:rsid w:val="4977957E"/>
    <w:rsid w:val="497CB68C"/>
    <w:rsid w:val="497DC040"/>
    <w:rsid w:val="4980E3F8"/>
    <w:rsid w:val="498141C0"/>
    <w:rsid w:val="49840C3A"/>
    <w:rsid w:val="498B3EE5"/>
    <w:rsid w:val="498B7FDC"/>
    <w:rsid w:val="49921069"/>
    <w:rsid w:val="49924F6A"/>
    <w:rsid w:val="4993AB01"/>
    <w:rsid w:val="49951E6E"/>
    <w:rsid w:val="49A18B6C"/>
    <w:rsid w:val="49A7FFEA"/>
    <w:rsid w:val="49AFEDFA"/>
    <w:rsid w:val="49B1EF76"/>
    <w:rsid w:val="49B42939"/>
    <w:rsid w:val="49B5DECB"/>
    <w:rsid w:val="49BCE861"/>
    <w:rsid w:val="49BF5BD3"/>
    <w:rsid w:val="49C24B01"/>
    <w:rsid w:val="49C87682"/>
    <w:rsid w:val="49C9D035"/>
    <w:rsid w:val="49CEC346"/>
    <w:rsid w:val="49D32058"/>
    <w:rsid w:val="49E0B5A9"/>
    <w:rsid w:val="49E98265"/>
    <w:rsid w:val="49EDFB6D"/>
    <w:rsid w:val="49FC7F7A"/>
    <w:rsid w:val="49FDBBED"/>
    <w:rsid w:val="49FE5312"/>
    <w:rsid w:val="4A00B62B"/>
    <w:rsid w:val="4A0B25DC"/>
    <w:rsid w:val="4A165358"/>
    <w:rsid w:val="4A18004C"/>
    <w:rsid w:val="4A200F67"/>
    <w:rsid w:val="4A223394"/>
    <w:rsid w:val="4A22BDAD"/>
    <w:rsid w:val="4A23BAB4"/>
    <w:rsid w:val="4A282FC1"/>
    <w:rsid w:val="4A288A6D"/>
    <w:rsid w:val="4A3FF555"/>
    <w:rsid w:val="4A47AEF7"/>
    <w:rsid w:val="4A4B8462"/>
    <w:rsid w:val="4A4EC879"/>
    <w:rsid w:val="4A53E4C1"/>
    <w:rsid w:val="4A66B5DD"/>
    <w:rsid w:val="4A676BA3"/>
    <w:rsid w:val="4A6D8288"/>
    <w:rsid w:val="4A715DEC"/>
    <w:rsid w:val="4A7B5941"/>
    <w:rsid w:val="4A899D4B"/>
    <w:rsid w:val="4A8E3FFB"/>
    <w:rsid w:val="4A8EBA3D"/>
    <w:rsid w:val="4A95F02B"/>
    <w:rsid w:val="4A9975E4"/>
    <w:rsid w:val="4A9B9CE5"/>
    <w:rsid w:val="4A9E80F8"/>
    <w:rsid w:val="4AADC1A3"/>
    <w:rsid w:val="4ABA58A9"/>
    <w:rsid w:val="4ABE8F6B"/>
    <w:rsid w:val="4AC2075E"/>
    <w:rsid w:val="4AC3221B"/>
    <w:rsid w:val="4AC65510"/>
    <w:rsid w:val="4AC6EA00"/>
    <w:rsid w:val="4ACD7D98"/>
    <w:rsid w:val="4AD557BD"/>
    <w:rsid w:val="4AD6A55E"/>
    <w:rsid w:val="4ADB1018"/>
    <w:rsid w:val="4AE15E74"/>
    <w:rsid w:val="4AE7E9E2"/>
    <w:rsid w:val="4B175790"/>
    <w:rsid w:val="4B377CBD"/>
    <w:rsid w:val="4B3C5BB8"/>
    <w:rsid w:val="4B4501A4"/>
    <w:rsid w:val="4B48149E"/>
    <w:rsid w:val="4B48BA9D"/>
    <w:rsid w:val="4B64F4D7"/>
    <w:rsid w:val="4B676F5D"/>
    <w:rsid w:val="4B79F613"/>
    <w:rsid w:val="4B7E7647"/>
    <w:rsid w:val="4B81FA6C"/>
    <w:rsid w:val="4B835864"/>
    <w:rsid w:val="4B8A63E8"/>
    <w:rsid w:val="4B8E1743"/>
    <w:rsid w:val="4B8FD635"/>
    <w:rsid w:val="4B9F4522"/>
    <w:rsid w:val="4BA77007"/>
    <w:rsid w:val="4BA7F1DF"/>
    <w:rsid w:val="4BAFDD48"/>
    <w:rsid w:val="4BB42A74"/>
    <w:rsid w:val="4BB7341C"/>
    <w:rsid w:val="4BCB0DAE"/>
    <w:rsid w:val="4BD98735"/>
    <w:rsid w:val="4BEBB28C"/>
    <w:rsid w:val="4BF95C69"/>
    <w:rsid w:val="4BFD7B19"/>
    <w:rsid w:val="4C03A800"/>
    <w:rsid w:val="4C07D27A"/>
    <w:rsid w:val="4C111586"/>
    <w:rsid w:val="4C131C43"/>
    <w:rsid w:val="4C16A2EF"/>
    <w:rsid w:val="4C1EF262"/>
    <w:rsid w:val="4C1F1FF6"/>
    <w:rsid w:val="4C22D7BD"/>
    <w:rsid w:val="4C27BC64"/>
    <w:rsid w:val="4C2F15C3"/>
    <w:rsid w:val="4C2FB48C"/>
    <w:rsid w:val="4C51FC77"/>
    <w:rsid w:val="4C52D262"/>
    <w:rsid w:val="4C550704"/>
    <w:rsid w:val="4C58AEC9"/>
    <w:rsid w:val="4C5B019A"/>
    <w:rsid w:val="4C61EEDF"/>
    <w:rsid w:val="4C66BE2E"/>
    <w:rsid w:val="4C6D74B5"/>
    <w:rsid w:val="4C723B72"/>
    <w:rsid w:val="4C73D690"/>
    <w:rsid w:val="4C7459DF"/>
    <w:rsid w:val="4C76448A"/>
    <w:rsid w:val="4C7B4250"/>
    <w:rsid w:val="4C90DFC0"/>
    <w:rsid w:val="4C95CAC4"/>
    <w:rsid w:val="4C9BD728"/>
    <w:rsid w:val="4C9CC7F9"/>
    <w:rsid w:val="4C9EA24B"/>
    <w:rsid w:val="4CA3A03B"/>
    <w:rsid w:val="4CAACD2F"/>
    <w:rsid w:val="4CAFBE71"/>
    <w:rsid w:val="4CC29C09"/>
    <w:rsid w:val="4CC49A12"/>
    <w:rsid w:val="4CCFE73B"/>
    <w:rsid w:val="4CD124BC"/>
    <w:rsid w:val="4CD52789"/>
    <w:rsid w:val="4CD5A476"/>
    <w:rsid w:val="4CD8FAC5"/>
    <w:rsid w:val="4CE3BC4B"/>
    <w:rsid w:val="4CF92944"/>
    <w:rsid w:val="4CF98CF8"/>
    <w:rsid w:val="4CF9D1A8"/>
    <w:rsid w:val="4D01B772"/>
    <w:rsid w:val="4D0B7322"/>
    <w:rsid w:val="4D21F54D"/>
    <w:rsid w:val="4D27054C"/>
    <w:rsid w:val="4D28E838"/>
    <w:rsid w:val="4D2CD9E5"/>
    <w:rsid w:val="4D332763"/>
    <w:rsid w:val="4D3856ED"/>
    <w:rsid w:val="4D3A309D"/>
    <w:rsid w:val="4D3E10B2"/>
    <w:rsid w:val="4D4E8993"/>
    <w:rsid w:val="4D514BBE"/>
    <w:rsid w:val="4D52D99C"/>
    <w:rsid w:val="4D5491CE"/>
    <w:rsid w:val="4D5AA10E"/>
    <w:rsid w:val="4D5CCC1D"/>
    <w:rsid w:val="4D5D8975"/>
    <w:rsid w:val="4D5DF4F3"/>
    <w:rsid w:val="4D61CECF"/>
    <w:rsid w:val="4D6E17A7"/>
    <w:rsid w:val="4D71F937"/>
    <w:rsid w:val="4D786E5F"/>
    <w:rsid w:val="4D7E6C75"/>
    <w:rsid w:val="4D85FF60"/>
    <w:rsid w:val="4D8D2759"/>
    <w:rsid w:val="4D8D54C9"/>
    <w:rsid w:val="4D8E22CB"/>
    <w:rsid w:val="4D92A72A"/>
    <w:rsid w:val="4DAC2C9D"/>
    <w:rsid w:val="4DB117D7"/>
    <w:rsid w:val="4DB34608"/>
    <w:rsid w:val="4DBB47C6"/>
    <w:rsid w:val="4DBB5933"/>
    <w:rsid w:val="4DBC2825"/>
    <w:rsid w:val="4DC08017"/>
    <w:rsid w:val="4DC48CAA"/>
    <w:rsid w:val="4DC75EF2"/>
    <w:rsid w:val="4DCB22E6"/>
    <w:rsid w:val="4DCEDB16"/>
    <w:rsid w:val="4DD5D908"/>
    <w:rsid w:val="4DDA0729"/>
    <w:rsid w:val="4DDDF18E"/>
    <w:rsid w:val="4DE039A0"/>
    <w:rsid w:val="4DE13E07"/>
    <w:rsid w:val="4DE8BB2B"/>
    <w:rsid w:val="4DECB564"/>
    <w:rsid w:val="4DF46D1E"/>
    <w:rsid w:val="4DF9A5A2"/>
    <w:rsid w:val="4DFB8064"/>
    <w:rsid w:val="4DFD9B29"/>
    <w:rsid w:val="4E049146"/>
    <w:rsid w:val="4E08B5E8"/>
    <w:rsid w:val="4E0B3500"/>
    <w:rsid w:val="4E10926A"/>
    <w:rsid w:val="4E141314"/>
    <w:rsid w:val="4E1507E3"/>
    <w:rsid w:val="4E16D334"/>
    <w:rsid w:val="4E183397"/>
    <w:rsid w:val="4E1A9A34"/>
    <w:rsid w:val="4E249BEE"/>
    <w:rsid w:val="4E2ECBEB"/>
    <w:rsid w:val="4E30A175"/>
    <w:rsid w:val="4E3255CF"/>
    <w:rsid w:val="4E337ADA"/>
    <w:rsid w:val="4E38AE06"/>
    <w:rsid w:val="4E3A4355"/>
    <w:rsid w:val="4E44D509"/>
    <w:rsid w:val="4E50BCAF"/>
    <w:rsid w:val="4E5A5C4B"/>
    <w:rsid w:val="4E62619D"/>
    <w:rsid w:val="4E655B3F"/>
    <w:rsid w:val="4E671C24"/>
    <w:rsid w:val="4E6BF8B8"/>
    <w:rsid w:val="4E852060"/>
    <w:rsid w:val="4E879994"/>
    <w:rsid w:val="4E9CD1CC"/>
    <w:rsid w:val="4E9ECC56"/>
    <w:rsid w:val="4EA43272"/>
    <w:rsid w:val="4EA5904D"/>
    <w:rsid w:val="4EAEA70E"/>
    <w:rsid w:val="4EB3F85A"/>
    <w:rsid w:val="4EB590F8"/>
    <w:rsid w:val="4EBAB25E"/>
    <w:rsid w:val="4EBAF926"/>
    <w:rsid w:val="4EC2ABCE"/>
    <w:rsid w:val="4ECB080A"/>
    <w:rsid w:val="4ED2EB72"/>
    <w:rsid w:val="4ED7670E"/>
    <w:rsid w:val="4EDA7B39"/>
    <w:rsid w:val="4EDB01EB"/>
    <w:rsid w:val="4EE3C264"/>
    <w:rsid w:val="4EEDA5A5"/>
    <w:rsid w:val="4EEE6F40"/>
    <w:rsid w:val="4EEF4205"/>
    <w:rsid w:val="4EF61B10"/>
    <w:rsid w:val="4EF7E84D"/>
    <w:rsid w:val="4EFED503"/>
    <w:rsid w:val="4F0022A3"/>
    <w:rsid w:val="4F07C7CF"/>
    <w:rsid w:val="4F108DAE"/>
    <w:rsid w:val="4F138238"/>
    <w:rsid w:val="4F182558"/>
    <w:rsid w:val="4F1A6A27"/>
    <w:rsid w:val="4F1EA04E"/>
    <w:rsid w:val="4F258B0E"/>
    <w:rsid w:val="4F2598B4"/>
    <w:rsid w:val="4F33A463"/>
    <w:rsid w:val="4F34840C"/>
    <w:rsid w:val="4F363B6F"/>
    <w:rsid w:val="4F383F9E"/>
    <w:rsid w:val="4F500FA3"/>
    <w:rsid w:val="4F53559E"/>
    <w:rsid w:val="4F58CA8A"/>
    <w:rsid w:val="4F5CF0D4"/>
    <w:rsid w:val="4F61360A"/>
    <w:rsid w:val="4F62CB9E"/>
    <w:rsid w:val="4F70A2E5"/>
    <w:rsid w:val="4F7131FD"/>
    <w:rsid w:val="4F7B26B0"/>
    <w:rsid w:val="4F7BD565"/>
    <w:rsid w:val="4F8653C8"/>
    <w:rsid w:val="4F87A241"/>
    <w:rsid w:val="4F8CA189"/>
    <w:rsid w:val="4FAAF605"/>
    <w:rsid w:val="4FABFAA1"/>
    <w:rsid w:val="4FB9EE6B"/>
    <w:rsid w:val="4FBBDD48"/>
    <w:rsid w:val="4FBD3578"/>
    <w:rsid w:val="4FC0392B"/>
    <w:rsid w:val="4FC17B09"/>
    <w:rsid w:val="4FC218A0"/>
    <w:rsid w:val="4FD2923A"/>
    <w:rsid w:val="4FD48869"/>
    <w:rsid w:val="4FD8D126"/>
    <w:rsid w:val="4FD98044"/>
    <w:rsid w:val="4FDB40FD"/>
    <w:rsid w:val="4FE59795"/>
    <w:rsid w:val="4FF2AC4A"/>
    <w:rsid w:val="4FF34358"/>
    <w:rsid w:val="4FFA907A"/>
    <w:rsid w:val="5006DB78"/>
    <w:rsid w:val="50094427"/>
    <w:rsid w:val="501289F9"/>
    <w:rsid w:val="5016E359"/>
    <w:rsid w:val="501F79D0"/>
    <w:rsid w:val="50212CF1"/>
    <w:rsid w:val="50255A38"/>
    <w:rsid w:val="50306C1C"/>
    <w:rsid w:val="50372930"/>
    <w:rsid w:val="503B1EA8"/>
    <w:rsid w:val="5042D53D"/>
    <w:rsid w:val="50433B8B"/>
    <w:rsid w:val="504694EB"/>
    <w:rsid w:val="5048935C"/>
    <w:rsid w:val="5048ADAA"/>
    <w:rsid w:val="5050682A"/>
    <w:rsid w:val="5057D089"/>
    <w:rsid w:val="5059B715"/>
    <w:rsid w:val="505A4094"/>
    <w:rsid w:val="505B17E0"/>
    <w:rsid w:val="505D4FE0"/>
    <w:rsid w:val="505DEDD3"/>
    <w:rsid w:val="505EC53C"/>
    <w:rsid w:val="506A0494"/>
    <w:rsid w:val="50704708"/>
    <w:rsid w:val="50757C5E"/>
    <w:rsid w:val="507889E9"/>
    <w:rsid w:val="507A4A7E"/>
    <w:rsid w:val="50800151"/>
    <w:rsid w:val="50805A22"/>
    <w:rsid w:val="50882772"/>
    <w:rsid w:val="509C73A2"/>
    <w:rsid w:val="509E13B4"/>
    <w:rsid w:val="50A6C038"/>
    <w:rsid w:val="50ADDEFD"/>
    <w:rsid w:val="50B34E8A"/>
    <w:rsid w:val="50B7B30B"/>
    <w:rsid w:val="50CFEEA5"/>
    <w:rsid w:val="50D30B60"/>
    <w:rsid w:val="50D9D55A"/>
    <w:rsid w:val="50E18C30"/>
    <w:rsid w:val="50E9699D"/>
    <w:rsid w:val="50EA8CF3"/>
    <w:rsid w:val="50F205A9"/>
    <w:rsid w:val="50F52746"/>
    <w:rsid w:val="50F9EFC6"/>
    <w:rsid w:val="50FEA3A8"/>
    <w:rsid w:val="51027B85"/>
    <w:rsid w:val="51099F0B"/>
    <w:rsid w:val="5109FB13"/>
    <w:rsid w:val="510ADE69"/>
    <w:rsid w:val="51234B61"/>
    <w:rsid w:val="512F5108"/>
    <w:rsid w:val="51308821"/>
    <w:rsid w:val="51321328"/>
    <w:rsid w:val="51374EAE"/>
    <w:rsid w:val="51381051"/>
    <w:rsid w:val="5141F306"/>
    <w:rsid w:val="514855F6"/>
    <w:rsid w:val="5148F34A"/>
    <w:rsid w:val="5149A237"/>
    <w:rsid w:val="515111BE"/>
    <w:rsid w:val="51518B47"/>
    <w:rsid w:val="5153AB57"/>
    <w:rsid w:val="51677C5D"/>
    <w:rsid w:val="516AEA60"/>
    <w:rsid w:val="517418E4"/>
    <w:rsid w:val="517F0B1F"/>
    <w:rsid w:val="518139C1"/>
    <w:rsid w:val="5182AAB0"/>
    <w:rsid w:val="518757F0"/>
    <w:rsid w:val="518823E1"/>
    <w:rsid w:val="51883124"/>
    <w:rsid w:val="518B5786"/>
    <w:rsid w:val="519F2031"/>
    <w:rsid w:val="51A67A23"/>
    <w:rsid w:val="51A792DD"/>
    <w:rsid w:val="51AB3C08"/>
    <w:rsid w:val="51ABB366"/>
    <w:rsid w:val="51AC2F02"/>
    <w:rsid w:val="51AE5A5A"/>
    <w:rsid w:val="51AFC77B"/>
    <w:rsid w:val="51C32C67"/>
    <w:rsid w:val="51C442D3"/>
    <w:rsid w:val="51CF2BB2"/>
    <w:rsid w:val="51D4728E"/>
    <w:rsid w:val="51E210FE"/>
    <w:rsid w:val="51E731EB"/>
    <w:rsid w:val="51F6AAA7"/>
    <w:rsid w:val="51FDC605"/>
    <w:rsid w:val="52015662"/>
    <w:rsid w:val="5210B6EF"/>
    <w:rsid w:val="5219B038"/>
    <w:rsid w:val="521CA115"/>
    <w:rsid w:val="524A3520"/>
    <w:rsid w:val="524D8F1A"/>
    <w:rsid w:val="524EB7DA"/>
    <w:rsid w:val="52568600"/>
    <w:rsid w:val="5259108D"/>
    <w:rsid w:val="52615D19"/>
    <w:rsid w:val="5261E8DD"/>
    <w:rsid w:val="5263C17C"/>
    <w:rsid w:val="52677629"/>
    <w:rsid w:val="526A2891"/>
    <w:rsid w:val="5271DF67"/>
    <w:rsid w:val="527E49E2"/>
    <w:rsid w:val="5287335A"/>
    <w:rsid w:val="529776C6"/>
    <w:rsid w:val="529A6024"/>
    <w:rsid w:val="529B93F7"/>
    <w:rsid w:val="52A187BE"/>
    <w:rsid w:val="52A1DA48"/>
    <w:rsid w:val="52AEC38E"/>
    <w:rsid w:val="52BAEF9E"/>
    <w:rsid w:val="52BBDD4F"/>
    <w:rsid w:val="52C3C8CA"/>
    <w:rsid w:val="52C81380"/>
    <w:rsid w:val="52C92934"/>
    <w:rsid w:val="52CE9615"/>
    <w:rsid w:val="52D0D892"/>
    <w:rsid w:val="52D580DA"/>
    <w:rsid w:val="52DE0D25"/>
    <w:rsid w:val="52E03834"/>
    <w:rsid w:val="52E39B63"/>
    <w:rsid w:val="52E4FEE3"/>
    <w:rsid w:val="52F29987"/>
    <w:rsid w:val="52F8DEA2"/>
    <w:rsid w:val="52F91BCB"/>
    <w:rsid w:val="53017DA8"/>
    <w:rsid w:val="5312E1BF"/>
    <w:rsid w:val="53208CF6"/>
    <w:rsid w:val="532173D1"/>
    <w:rsid w:val="532ACDF9"/>
    <w:rsid w:val="532F0F37"/>
    <w:rsid w:val="533D688E"/>
    <w:rsid w:val="533E3692"/>
    <w:rsid w:val="533EAA52"/>
    <w:rsid w:val="53451F03"/>
    <w:rsid w:val="53504752"/>
    <w:rsid w:val="5351704A"/>
    <w:rsid w:val="5354127D"/>
    <w:rsid w:val="535EB25F"/>
    <w:rsid w:val="536DE618"/>
    <w:rsid w:val="5374DE2A"/>
    <w:rsid w:val="537AFF37"/>
    <w:rsid w:val="538C04FB"/>
    <w:rsid w:val="539CC8F0"/>
    <w:rsid w:val="53A228C7"/>
    <w:rsid w:val="53B11FB3"/>
    <w:rsid w:val="53B5B0BD"/>
    <w:rsid w:val="53BCB117"/>
    <w:rsid w:val="53C8DEBC"/>
    <w:rsid w:val="53C9377F"/>
    <w:rsid w:val="53C99BA0"/>
    <w:rsid w:val="53DAE3F0"/>
    <w:rsid w:val="53DEBD82"/>
    <w:rsid w:val="53E3D01D"/>
    <w:rsid w:val="53F7B882"/>
    <w:rsid w:val="53FF1DB2"/>
    <w:rsid w:val="53FF6DF7"/>
    <w:rsid w:val="54088C77"/>
    <w:rsid w:val="540B08A5"/>
    <w:rsid w:val="541692A1"/>
    <w:rsid w:val="541C81B4"/>
    <w:rsid w:val="541DA198"/>
    <w:rsid w:val="542314CE"/>
    <w:rsid w:val="5424C93D"/>
    <w:rsid w:val="5427110A"/>
    <w:rsid w:val="54324776"/>
    <w:rsid w:val="54376BB5"/>
    <w:rsid w:val="543D5185"/>
    <w:rsid w:val="544089B8"/>
    <w:rsid w:val="5443B309"/>
    <w:rsid w:val="544F168A"/>
    <w:rsid w:val="54512C3D"/>
    <w:rsid w:val="5451F58B"/>
    <w:rsid w:val="545790E4"/>
    <w:rsid w:val="545CF650"/>
    <w:rsid w:val="546B8530"/>
    <w:rsid w:val="546CB718"/>
    <w:rsid w:val="547DFE19"/>
    <w:rsid w:val="5490A69B"/>
    <w:rsid w:val="5499EB42"/>
    <w:rsid w:val="549DAFFA"/>
    <w:rsid w:val="549DD7B8"/>
    <w:rsid w:val="54A74228"/>
    <w:rsid w:val="54A7CDE1"/>
    <w:rsid w:val="54A9B440"/>
    <w:rsid w:val="54ADCA68"/>
    <w:rsid w:val="54B11363"/>
    <w:rsid w:val="54B6D41A"/>
    <w:rsid w:val="54BD079E"/>
    <w:rsid w:val="54C1EDB1"/>
    <w:rsid w:val="54C3932A"/>
    <w:rsid w:val="54D0DF72"/>
    <w:rsid w:val="54DB1A7C"/>
    <w:rsid w:val="54DD0E1F"/>
    <w:rsid w:val="54E3219E"/>
    <w:rsid w:val="54E34E7A"/>
    <w:rsid w:val="54EA8555"/>
    <w:rsid w:val="54F2EAF3"/>
    <w:rsid w:val="54F3DEAB"/>
    <w:rsid w:val="54F71FB6"/>
    <w:rsid w:val="5507FCF6"/>
    <w:rsid w:val="551A6A4A"/>
    <w:rsid w:val="5523DCDB"/>
    <w:rsid w:val="5526D8CB"/>
    <w:rsid w:val="5528BF2B"/>
    <w:rsid w:val="5538EEBD"/>
    <w:rsid w:val="5546A790"/>
    <w:rsid w:val="555007C2"/>
    <w:rsid w:val="5553E494"/>
    <w:rsid w:val="555E8389"/>
    <w:rsid w:val="555FDEA0"/>
    <w:rsid w:val="55673BFB"/>
    <w:rsid w:val="556A0683"/>
    <w:rsid w:val="556F6427"/>
    <w:rsid w:val="55712C4E"/>
    <w:rsid w:val="557186A1"/>
    <w:rsid w:val="557F9D0E"/>
    <w:rsid w:val="558492E7"/>
    <w:rsid w:val="55878A6F"/>
    <w:rsid w:val="558AC49D"/>
    <w:rsid w:val="559AAC00"/>
    <w:rsid w:val="559EAE4A"/>
    <w:rsid w:val="55A93400"/>
    <w:rsid w:val="55AC93A6"/>
    <w:rsid w:val="55B309FB"/>
    <w:rsid w:val="55CA3511"/>
    <w:rsid w:val="55D0E9C9"/>
    <w:rsid w:val="55DC09C8"/>
    <w:rsid w:val="55E4A84F"/>
    <w:rsid w:val="55E65221"/>
    <w:rsid w:val="55E85185"/>
    <w:rsid w:val="55F5F381"/>
    <w:rsid w:val="55FFD643"/>
    <w:rsid w:val="56040859"/>
    <w:rsid w:val="5605D5A6"/>
    <w:rsid w:val="560A8CD3"/>
    <w:rsid w:val="560FC273"/>
    <w:rsid w:val="561103F2"/>
    <w:rsid w:val="5611D6AF"/>
    <w:rsid w:val="561D132F"/>
    <w:rsid w:val="561D214A"/>
    <w:rsid w:val="56209C08"/>
    <w:rsid w:val="5623ACC3"/>
    <w:rsid w:val="5623C571"/>
    <w:rsid w:val="56307F64"/>
    <w:rsid w:val="5639B276"/>
    <w:rsid w:val="5639BEA6"/>
    <w:rsid w:val="564B77E8"/>
    <w:rsid w:val="5658C843"/>
    <w:rsid w:val="56609687"/>
    <w:rsid w:val="566A6ABA"/>
    <w:rsid w:val="566C8DD6"/>
    <w:rsid w:val="56706EED"/>
    <w:rsid w:val="5672325A"/>
    <w:rsid w:val="5680B9CC"/>
    <w:rsid w:val="5685B0DD"/>
    <w:rsid w:val="568AC81E"/>
    <w:rsid w:val="568CE9E5"/>
    <w:rsid w:val="5693FE80"/>
    <w:rsid w:val="5694F80A"/>
    <w:rsid w:val="56969D8A"/>
    <w:rsid w:val="569C6980"/>
    <w:rsid w:val="569F2F3B"/>
    <w:rsid w:val="569F84BF"/>
    <w:rsid w:val="569FC15E"/>
    <w:rsid w:val="56BCFD11"/>
    <w:rsid w:val="56C12868"/>
    <w:rsid w:val="56D17A74"/>
    <w:rsid w:val="56D78E52"/>
    <w:rsid w:val="56DB0B20"/>
    <w:rsid w:val="56DD73C6"/>
    <w:rsid w:val="56E56736"/>
    <w:rsid w:val="56E78820"/>
    <w:rsid w:val="56EBA20F"/>
    <w:rsid w:val="56EE30D1"/>
    <w:rsid w:val="56FBDE7E"/>
    <w:rsid w:val="57000FDE"/>
    <w:rsid w:val="57117284"/>
    <w:rsid w:val="5713AE1D"/>
    <w:rsid w:val="571DCA35"/>
    <w:rsid w:val="571F25B4"/>
    <w:rsid w:val="57212716"/>
    <w:rsid w:val="57282775"/>
    <w:rsid w:val="572D4242"/>
    <w:rsid w:val="572FEE81"/>
    <w:rsid w:val="5734DAF5"/>
    <w:rsid w:val="57399D7B"/>
    <w:rsid w:val="57415FAE"/>
    <w:rsid w:val="57450B44"/>
    <w:rsid w:val="5753EB6F"/>
    <w:rsid w:val="5757F0EC"/>
    <w:rsid w:val="575A8664"/>
    <w:rsid w:val="575AD868"/>
    <w:rsid w:val="57697D17"/>
    <w:rsid w:val="57742D62"/>
    <w:rsid w:val="578D532B"/>
    <w:rsid w:val="578E4ADA"/>
    <w:rsid w:val="579C34A4"/>
    <w:rsid w:val="57A7920C"/>
    <w:rsid w:val="57B06609"/>
    <w:rsid w:val="57B43C6C"/>
    <w:rsid w:val="57B56922"/>
    <w:rsid w:val="57CC4FC5"/>
    <w:rsid w:val="57DC5994"/>
    <w:rsid w:val="57E652E2"/>
    <w:rsid w:val="57F572B1"/>
    <w:rsid w:val="57F830E4"/>
    <w:rsid w:val="58070E21"/>
    <w:rsid w:val="5807D8B2"/>
    <w:rsid w:val="5813FCE2"/>
    <w:rsid w:val="5819856B"/>
    <w:rsid w:val="581EA334"/>
    <w:rsid w:val="581ECB44"/>
    <w:rsid w:val="5822AA8B"/>
    <w:rsid w:val="5822C97A"/>
    <w:rsid w:val="5823EE32"/>
    <w:rsid w:val="5824D137"/>
    <w:rsid w:val="5826987F"/>
    <w:rsid w:val="582A8BB5"/>
    <w:rsid w:val="5847906A"/>
    <w:rsid w:val="584DDFCC"/>
    <w:rsid w:val="5853410C"/>
    <w:rsid w:val="5856E1A6"/>
    <w:rsid w:val="5863AA6A"/>
    <w:rsid w:val="58653213"/>
    <w:rsid w:val="5865A3A5"/>
    <w:rsid w:val="586EC4B7"/>
    <w:rsid w:val="587C2092"/>
    <w:rsid w:val="587E5800"/>
    <w:rsid w:val="5882E58F"/>
    <w:rsid w:val="5883CBE4"/>
    <w:rsid w:val="588D224C"/>
    <w:rsid w:val="589781D9"/>
    <w:rsid w:val="5899BA06"/>
    <w:rsid w:val="589B4E11"/>
    <w:rsid w:val="58A194B7"/>
    <w:rsid w:val="58A77795"/>
    <w:rsid w:val="58A827F0"/>
    <w:rsid w:val="58A890F9"/>
    <w:rsid w:val="58A93FC1"/>
    <w:rsid w:val="58AB72FA"/>
    <w:rsid w:val="58AE651E"/>
    <w:rsid w:val="58B01047"/>
    <w:rsid w:val="58BDF95E"/>
    <w:rsid w:val="58C25C5C"/>
    <w:rsid w:val="58C39AB3"/>
    <w:rsid w:val="58CB07A1"/>
    <w:rsid w:val="58F51E5D"/>
    <w:rsid w:val="58FE585D"/>
    <w:rsid w:val="58FEC999"/>
    <w:rsid w:val="5924911A"/>
    <w:rsid w:val="59270F9D"/>
    <w:rsid w:val="59271014"/>
    <w:rsid w:val="5929A228"/>
    <w:rsid w:val="592AFEBD"/>
    <w:rsid w:val="593BD14B"/>
    <w:rsid w:val="59491DE5"/>
    <w:rsid w:val="59584D4B"/>
    <w:rsid w:val="5958BA6D"/>
    <w:rsid w:val="5958F094"/>
    <w:rsid w:val="595D7AE6"/>
    <w:rsid w:val="595E02D5"/>
    <w:rsid w:val="596147A4"/>
    <w:rsid w:val="5967BB99"/>
    <w:rsid w:val="5968FAE6"/>
    <w:rsid w:val="59701A6E"/>
    <w:rsid w:val="597D410E"/>
    <w:rsid w:val="59817582"/>
    <w:rsid w:val="5981C56B"/>
    <w:rsid w:val="5984F404"/>
    <w:rsid w:val="598958BC"/>
    <w:rsid w:val="599107E8"/>
    <w:rsid w:val="59914312"/>
    <w:rsid w:val="59958AB3"/>
    <w:rsid w:val="599624D9"/>
    <w:rsid w:val="599AA5B1"/>
    <w:rsid w:val="59A0BE6E"/>
    <w:rsid w:val="59AB8E2F"/>
    <w:rsid w:val="59BF735D"/>
    <w:rsid w:val="59D93DE9"/>
    <w:rsid w:val="59E03A7A"/>
    <w:rsid w:val="59E0A0EA"/>
    <w:rsid w:val="59E426F0"/>
    <w:rsid w:val="59EB31CD"/>
    <w:rsid w:val="59EBBC88"/>
    <w:rsid w:val="59FC4BE8"/>
    <w:rsid w:val="5A075D65"/>
    <w:rsid w:val="5A1412B2"/>
    <w:rsid w:val="5A286CE7"/>
    <w:rsid w:val="5A2E3821"/>
    <w:rsid w:val="5A337F40"/>
    <w:rsid w:val="5A360EE2"/>
    <w:rsid w:val="5A43A57F"/>
    <w:rsid w:val="5A481C93"/>
    <w:rsid w:val="5A4B7D7D"/>
    <w:rsid w:val="5A507B30"/>
    <w:rsid w:val="5A58AACD"/>
    <w:rsid w:val="5A5F2EC6"/>
    <w:rsid w:val="5A5F871B"/>
    <w:rsid w:val="5A6F3846"/>
    <w:rsid w:val="5A7CE661"/>
    <w:rsid w:val="5A8D77B9"/>
    <w:rsid w:val="5A8E2FE7"/>
    <w:rsid w:val="5A90D6C8"/>
    <w:rsid w:val="5A917AF6"/>
    <w:rsid w:val="5A92E534"/>
    <w:rsid w:val="5A9FA37B"/>
    <w:rsid w:val="5A9FD2E8"/>
    <w:rsid w:val="5AB7D12B"/>
    <w:rsid w:val="5AB86DD5"/>
    <w:rsid w:val="5ABA7942"/>
    <w:rsid w:val="5ABC2CA6"/>
    <w:rsid w:val="5AC0617B"/>
    <w:rsid w:val="5AC883B3"/>
    <w:rsid w:val="5AD906FF"/>
    <w:rsid w:val="5ADA658F"/>
    <w:rsid w:val="5AE47515"/>
    <w:rsid w:val="5AE65DD5"/>
    <w:rsid w:val="5AEEB280"/>
    <w:rsid w:val="5AF295E6"/>
    <w:rsid w:val="5AFEB30D"/>
    <w:rsid w:val="5B0066D4"/>
    <w:rsid w:val="5B0E5F7F"/>
    <w:rsid w:val="5B20A8D9"/>
    <w:rsid w:val="5B21690C"/>
    <w:rsid w:val="5B265F89"/>
    <w:rsid w:val="5B292138"/>
    <w:rsid w:val="5B3330DB"/>
    <w:rsid w:val="5B340005"/>
    <w:rsid w:val="5B3504F1"/>
    <w:rsid w:val="5B367612"/>
    <w:rsid w:val="5B375417"/>
    <w:rsid w:val="5B3A65AA"/>
    <w:rsid w:val="5B3A9866"/>
    <w:rsid w:val="5B3E915E"/>
    <w:rsid w:val="5B46F669"/>
    <w:rsid w:val="5B489346"/>
    <w:rsid w:val="5B4F4AD8"/>
    <w:rsid w:val="5B51262D"/>
    <w:rsid w:val="5B527387"/>
    <w:rsid w:val="5B574058"/>
    <w:rsid w:val="5B581411"/>
    <w:rsid w:val="5B5E10CA"/>
    <w:rsid w:val="5B5EB301"/>
    <w:rsid w:val="5B609008"/>
    <w:rsid w:val="5B610F8B"/>
    <w:rsid w:val="5B68693E"/>
    <w:rsid w:val="5B6B4D7F"/>
    <w:rsid w:val="5B7BF278"/>
    <w:rsid w:val="5B919F46"/>
    <w:rsid w:val="5B93EA9C"/>
    <w:rsid w:val="5BA2B683"/>
    <w:rsid w:val="5BA6B629"/>
    <w:rsid w:val="5BB10116"/>
    <w:rsid w:val="5BB13415"/>
    <w:rsid w:val="5BBA9281"/>
    <w:rsid w:val="5BC2BF00"/>
    <w:rsid w:val="5BC403C3"/>
    <w:rsid w:val="5BC8C48F"/>
    <w:rsid w:val="5BC9F6DD"/>
    <w:rsid w:val="5BD0B0A0"/>
    <w:rsid w:val="5BD268B1"/>
    <w:rsid w:val="5BD585ED"/>
    <w:rsid w:val="5BD6DC55"/>
    <w:rsid w:val="5BE497DC"/>
    <w:rsid w:val="5BEFE666"/>
    <w:rsid w:val="5BF4C893"/>
    <w:rsid w:val="5BF66CFA"/>
    <w:rsid w:val="5BFB9898"/>
    <w:rsid w:val="5BFCD2E6"/>
    <w:rsid w:val="5C0A58D2"/>
    <w:rsid w:val="5C0A99D2"/>
    <w:rsid w:val="5C18F95A"/>
    <w:rsid w:val="5C1DAAB1"/>
    <w:rsid w:val="5C1DD4CD"/>
    <w:rsid w:val="5C1E4184"/>
    <w:rsid w:val="5C20C660"/>
    <w:rsid w:val="5C2315FC"/>
    <w:rsid w:val="5C2A0546"/>
    <w:rsid w:val="5C350203"/>
    <w:rsid w:val="5C369C48"/>
    <w:rsid w:val="5C40C537"/>
    <w:rsid w:val="5C42B55A"/>
    <w:rsid w:val="5C47428A"/>
    <w:rsid w:val="5C4EF59C"/>
    <w:rsid w:val="5C5A8AA5"/>
    <w:rsid w:val="5C5B30B8"/>
    <w:rsid w:val="5C681C35"/>
    <w:rsid w:val="5C6BAC21"/>
    <w:rsid w:val="5C6DF21D"/>
    <w:rsid w:val="5C6E08CE"/>
    <w:rsid w:val="5C6FA31A"/>
    <w:rsid w:val="5C7EDEFE"/>
    <w:rsid w:val="5C818559"/>
    <w:rsid w:val="5C9BEA72"/>
    <w:rsid w:val="5C9FF9DB"/>
    <w:rsid w:val="5C9FFE11"/>
    <w:rsid w:val="5CA18C4A"/>
    <w:rsid w:val="5CB0481A"/>
    <w:rsid w:val="5CB87845"/>
    <w:rsid w:val="5CC7B394"/>
    <w:rsid w:val="5CCFBE42"/>
    <w:rsid w:val="5CE35616"/>
    <w:rsid w:val="5CE92749"/>
    <w:rsid w:val="5CECF68E"/>
    <w:rsid w:val="5CF61BAE"/>
    <w:rsid w:val="5CF80DC0"/>
    <w:rsid w:val="5CF811C0"/>
    <w:rsid w:val="5D005959"/>
    <w:rsid w:val="5D01B36E"/>
    <w:rsid w:val="5D02B79D"/>
    <w:rsid w:val="5D035F75"/>
    <w:rsid w:val="5D0A4A20"/>
    <w:rsid w:val="5D12C87B"/>
    <w:rsid w:val="5D14630A"/>
    <w:rsid w:val="5D1A9F2B"/>
    <w:rsid w:val="5D1C39E8"/>
    <w:rsid w:val="5D1DF42B"/>
    <w:rsid w:val="5D296A6C"/>
    <w:rsid w:val="5D3799CC"/>
    <w:rsid w:val="5D3D64DD"/>
    <w:rsid w:val="5D3E86E4"/>
    <w:rsid w:val="5D41070D"/>
    <w:rsid w:val="5D424D0E"/>
    <w:rsid w:val="5D442F46"/>
    <w:rsid w:val="5D4E9572"/>
    <w:rsid w:val="5D52DE91"/>
    <w:rsid w:val="5D565B84"/>
    <w:rsid w:val="5D5E8128"/>
    <w:rsid w:val="5D60281C"/>
    <w:rsid w:val="5D6216CE"/>
    <w:rsid w:val="5D645EBB"/>
    <w:rsid w:val="5D68D741"/>
    <w:rsid w:val="5D6CF77A"/>
    <w:rsid w:val="5D79716F"/>
    <w:rsid w:val="5D7D7F11"/>
    <w:rsid w:val="5D7FCB5A"/>
    <w:rsid w:val="5D81AEC8"/>
    <w:rsid w:val="5D87425A"/>
    <w:rsid w:val="5D8800E1"/>
    <w:rsid w:val="5D88940E"/>
    <w:rsid w:val="5D8D8659"/>
    <w:rsid w:val="5D9A60A4"/>
    <w:rsid w:val="5DA12FA0"/>
    <w:rsid w:val="5DB3CE21"/>
    <w:rsid w:val="5DC39AF9"/>
    <w:rsid w:val="5DC402F4"/>
    <w:rsid w:val="5DC5DC5B"/>
    <w:rsid w:val="5DCB0F2E"/>
    <w:rsid w:val="5DCBBB64"/>
    <w:rsid w:val="5DCE5C0C"/>
    <w:rsid w:val="5DD797D2"/>
    <w:rsid w:val="5DDEF428"/>
    <w:rsid w:val="5DEFD00C"/>
    <w:rsid w:val="5E0E21E2"/>
    <w:rsid w:val="5E2E4165"/>
    <w:rsid w:val="5E30C312"/>
    <w:rsid w:val="5E312375"/>
    <w:rsid w:val="5E325221"/>
    <w:rsid w:val="5E377607"/>
    <w:rsid w:val="5E4A2EBF"/>
    <w:rsid w:val="5E4C3CE1"/>
    <w:rsid w:val="5E59C172"/>
    <w:rsid w:val="5E6059E6"/>
    <w:rsid w:val="5E62249D"/>
    <w:rsid w:val="5E62CEF0"/>
    <w:rsid w:val="5E65C4C0"/>
    <w:rsid w:val="5E69FF4E"/>
    <w:rsid w:val="5E6B3188"/>
    <w:rsid w:val="5E710863"/>
    <w:rsid w:val="5E7293C3"/>
    <w:rsid w:val="5E7880C6"/>
    <w:rsid w:val="5E80AABA"/>
    <w:rsid w:val="5E819894"/>
    <w:rsid w:val="5E9CDA71"/>
    <w:rsid w:val="5EA4C4A3"/>
    <w:rsid w:val="5EA93F63"/>
    <w:rsid w:val="5EACB993"/>
    <w:rsid w:val="5EB31E21"/>
    <w:rsid w:val="5EBCC49C"/>
    <w:rsid w:val="5EC1B643"/>
    <w:rsid w:val="5EC6E0E6"/>
    <w:rsid w:val="5EC7AAE7"/>
    <w:rsid w:val="5EC9EBCA"/>
    <w:rsid w:val="5ECAAA53"/>
    <w:rsid w:val="5ECCDB42"/>
    <w:rsid w:val="5ECEFA90"/>
    <w:rsid w:val="5ED4A157"/>
    <w:rsid w:val="5EE19803"/>
    <w:rsid w:val="5EE47233"/>
    <w:rsid w:val="5EEF9326"/>
    <w:rsid w:val="5F006551"/>
    <w:rsid w:val="5F0397CC"/>
    <w:rsid w:val="5F06F063"/>
    <w:rsid w:val="5F0A1557"/>
    <w:rsid w:val="5F0DC7E5"/>
    <w:rsid w:val="5F0F535D"/>
    <w:rsid w:val="5F180E94"/>
    <w:rsid w:val="5F1F959E"/>
    <w:rsid w:val="5F39DF44"/>
    <w:rsid w:val="5F3D6809"/>
    <w:rsid w:val="5F40BD90"/>
    <w:rsid w:val="5F4BF24F"/>
    <w:rsid w:val="5F4F11F4"/>
    <w:rsid w:val="5F59D414"/>
    <w:rsid w:val="5F5F6A70"/>
    <w:rsid w:val="5F68F171"/>
    <w:rsid w:val="5F69EE2C"/>
    <w:rsid w:val="5F6D6E01"/>
    <w:rsid w:val="5F7A154B"/>
    <w:rsid w:val="5F7EB296"/>
    <w:rsid w:val="5F7EE34C"/>
    <w:rsid w:val="5F837A52"/>
    <w:rsid w:val="5F87F84C"/>
    <w:rsid w:val="5F942E89"/>
    <w:rsid w:val="5FA151B6"/>
    <w:rsid w:val="5FB0E644"/>
    <w:rsid w:val="5FB7E638"/>
    <w:rsid w:val="5FB9B1DB"/>
    <w:rsid w:val="5FB9CEF8"/>
    <w:rsid w:val="5FBAB813"/>
    <w:rsid w:val="5FBC8315"/>
    <w:rsid w:val="5FBD4CBB"/>
    <w:rsid w:val="5FBE394D"/>
    <w:rsid w:val="5FC19A2B"/>
    <w:rsid w:val="5FC6DB1A"/>
    <w:rsid w:val="5FC7EAB1"/>
    <w:rsid w:val="5FCD01CA"/>
    <w:rsid w:val="5FD79ED3"/>
    <w:rsid w:val="5FDBEC9B"/>
    <w:rsid w:val="5FDC7CBD"/>
    <w:rsid w:val="5FE30AD4"/>
    <w:rsid w:val="5FF1893A"/>
    <w:rsid w:val="5FF5AD85"/>
    <w:rsid w:val="5FF65E04"/>
    <w:rsid w:val="600273EA"/>
    <w:rsid w:val="60161AB2"/>
    <w:rsid w:val="60169FF5"/>
    <w:rsid w:val="601DA8B1"/>
    <w:rsid w:val="60243C65"/>
    <w:rsid w:val="60295A19"/>
    <w:rsid w:val="602F9EA1"/>
    <w:rsid w:val="603A082F"/>
    <w:rsid w:val="60408BA1"/>
    <w:rsid w:val="6051697A"/>
    <w:rsid w:val="605730AF"/>
    <w:rsid w:val="6058DC9B"/>
    <w:rsid w:val="605A49B0"/>
    <w:rsid w:val="605FEA05"/>
    <w:rsid w:val="606255F7"/>
    <w:rsid w:val="60637B7F"/>
    <w:rsid w:val="6065AF3A"/>
    <w:rsid w:val="6067E12C"/>
    <w:rsid w:val="6067E2C5"/>
    <w:rsid w:val="606CC3BC"/>
    <w:rsid w:val="6072ACE1"/>
    <w:rsid w:val="607EA8C5"/>
    <w:rsid w:val="6082D0D7"/>
    <w:rsid w:val="608C250F"/>
    <w:rsid w:val="609AB1CB"/>
    <w:rsid w:val="609ED0E2"/>
    <w:rsid w:val="60A1F9CF"/>
    <w:rsid w:val="60A63E02"/>
    <w:rsid w:val="60AB23BE"/>
    <w:rsid w:val="60AF25CE"/>
    <w:rsid w:val="60B4CAB4"/>
    <w:rsid w:val="60BA7700"/>
    <w:rsid w:val="60C9A126"/>
    <w:rsid w:val="60C9A31E"/>
    <w:rsid w:val="60D73162"/>
    <w:rsid w:val="60EE754E"/>
    <w:rsid w:val="60F3B00F"/>
    <w:rsid w:val="60F43EF1"/>
    <w:rsid w:val="6104587A"/>
    <w:rsid w:val="6123A6C2"/>
    <w:rsid w:val="6123D3A7"/>
    <w:rsid w:val="612AE6B8"/>
    <w:rsid w:val="612CCFBC"/>
    <w:rsid w:val="6137AFA9"/>
    <w:rsid w:val="613D420E"/>
    <w:rsid w:val="613DC5E2"/>
    <w:rsid w:val="6145AC57"/>
    <w:rsid w:val="6147E9AD"/>
    <w:rsid w:val="6153841C"/>
    <w:rsid w:val="6155ACA1"/>
    <w:rsid w:val="6168ABF9"/>
    <w:rsid w:val="616DEDDF"/>
    <w:rsid w:val="61732124"/>
    <w:rsid w:val="618171AD"/>
    <w:rsid w:val="618BE840"/>
    <w:rsid w:val="61929C51"/>
    <w:rsid w:val="61969C97"/>
    <w:rsid w:val="61971DA1"/>
    <w:rsid w:val="6198AF93"/>
    <w:rsid w:val="6198B4A2"/>
    <w:rsid w:val="61AD7437"/>
    <w:rsid w:val="61B0FC88"/>
    <w:rsid w:val="61B43E5D"/>
    <w:rsid w:val="61B9500B"/>
    <w:rsid w:val="61CB6F59"/>
    <w:rsid w:val="61D36C17"/>
    <w:rsid w:val="61D3DFC6"/>
    <w:rsid w:val="61DDF6BC"/>
    <w:rsid w:val="61DE455C"/>
    <w:rsid w:val="61E07387"/>
    <w:rsid w:val="61E12D81"/>
    <w:rsid w:val="61E754A1"/>
    <w:rsid w:val="61ED6748"/>
    <w:rsid w:val="61EEF9AC"/>
    <w:rsid w:val="61F1BA1A"/>
    <w:rsid w:val="61F453A0"/>
    <w:rsid w:val="61F90D2A"/>
    <w:rsid w:val="61FA6C9A"/>
    <w:rsid w:val="61FE80DC"/>
    <w:rsid w:val="620106C6"/>
    <w:rsid w:val="62018C8C"/>
    <w:rsid w:val="6210644B"/>
    <w:rsid w:val="62106470"/>
    <w:rsid w:val="6214C526"/>
    <w:rsid w:val="621A864B"/>
    <w:rsid w:val="621CD9EA"/>
    <w:rsid w:val="621DD79E"/>
    <w:rsid w:val="6220414C"/>
    <w:rsid w:val="62213A12"/>
    <w:rsid w:val="6221814F"/>
    <w:rsid w:val="62242099"/>
    <w:rsid w:val="622A09C8"/>
    <w:rsid w:val="6236F574"/>
    <w:rsid w:val="6240F644"/>
    <w:rsid w:val="62506ABB"/>
    <w:rsid w:val="62535904"/>
    <w:rsid w:val="6260F77C"/>
    <w:rsid w:val="626121CE"/>
    <w:rsid w:val="62629507"/>
    <w:rsid w:val="62648D7F"/>
    <w:rsid w:val="62690245"/>
    <w:rsid w:val="6274550A"/>
    <w:rsid w:val="6277BF12"/>
    <w:rsid w:val="6277D557"/>
    <w:rsid w:val="62797114"/>
    <w:rsid w:val="627C684A"/>
    <w:rsid w:val="6283BCFB"/>
    <w:rsid w:val="628623B4"/>
    <w:rsid w:val="6286E118"/>
    <w:rsid w:val="628F8A2D"/>
    <w:rsid w:val="629133C0"/>
    <w:rsid w:val="62A93986"/>
    <w:rsid w:val="62AB1038"/>
    <w:rsid w:val="62AE074A"/>
    <w:rsid w:val="62AFB81B"/>
    <w:rsid w:val="62B5554D"/>
    <w:rsid w:val="62B957CF"/>
    <w:rsid w:val="62BC4107"/>
    <w:rsid w:val="62C27716"/>
    <w:rsid w:val="62CC081D"/>
    <w:rsid w:val="62D2B4A6"/>
    <w:rsid w:val="62D9126F"/>
    <w:rsid w:val="62E38A69"/>
    <w:rsid w:val="62E52746"/>
    <w:rsid w:val="62F57FD9"/>
    <w:rsid w:val="62F7BED5"/>
    <w:rsid w:val="62FB1B8A"/>
    <w:rsid w:val="63008B5A"/>
    <w:rsid w:val="6318365C"/>
    <w:rsid w:val="6318E66F"/>
    <w:rsid w:val="6327E322"/>
    <w:rsid w:val="632E62C6"/>
    <w:rsid w:val="633A4963"/>
    <w:rsid w:val="6343DD92"/>
    <w:rsid w:val="634812C3"/>
    <w:rsid w:val="634A73C8"/>
    <w:rsid w:val="634AA51B"/>
    <w:rsid w:val="634BF1E9"/>
    <w:rsid w:val="6351E679"/>
    <w:rsid w:val="6352596B"/>
    <w:rsid w:val="6352B700"/>
    <w:rsid w:val="635A5E83"/>
    <w:rsid w:val="63630978"/>
    <w:rsid w:val="6369A70D"/>
    <w:rsid w:val="636C2394"/>
    <w:rsid w:val="6383C9DB"/>
    <w:rsid w:val="6385973F"/>
    <w:rsid w:val="638617B4"/>
    <w:rsid w:val="6388654D"/>
    <w:rsid w:val="6397A594"/>
    <w:rsid w:val="63AA9FB6"/>
    <w:rsid w:val="63B86701"/>
    <w:rsid w:val="63D08F33"/>
    <w:rsid w:val="63D0F694"/>
    <w:rsid w:val="63D3D674"/>
    <w:rsid w:val="63D9F227"/>
    <w:rsid w:val="63E5E910"/>
    <w:rsid w:val="63F0D27A"/>
    <w:rsid w:val="63F5101B"/>
    <w:rsid w:val="63FCF22F"/>
    <w:rsid w:val="6407033E"/>
    <w:rsid w:val="6409D327"/>
    <w:rsid w:val="640B2B1A"/>
    <w:rsid w:val="640D651D"/>
    <w:rsid w:val="641717E4"/>
    <w:rsid w:val="64346722"/>
    <w:rsid w:val="6439FB2C"/>
    <w:rsid w:val="6441F561"/>
    <w:rsid w:val="6442F292"/>
    <w:rsid w:val="64453332"/>
    <w:rsid w:val="6446E099"/>
    <w:rsid w:val="64498FD6"/>
    <w:rsid w:val="6450E4A9"/>
    <w:rsid w:val="645651BD"/>
    <w:rsid w:val="64592025"/>
    <w:rsid w:val="64608D38"/>
    <w:rsid w:val="64618F4F"/>
    <w:rsid w:val="64622763"/>
    <w:rsid w:val="64629D36"/>
    <w:rsid w:val="646A05FE"/>
    <w:rsid w:val="6470F183"/>
    <w:rsid w:val="6472B539"/>
    <w:rsid w:val="64830A36"/>
    <w:rsid w:val="6483DDFE"/>
    <w:rsid w:val="64849778"/>
    <w:rsid w:val="6487501A"/>
    <w:rsid w:val="64929CF0"/>
    <w:rsid w:val="64934BE3"/>
    <w:rsid w:val="64945D1D"/>
    <w:rsid w:val="6496951E"/>
    <w:rsid w:val="64973C4E"/>
    <w:rsid w:val="649847E7"/>
    <w:rsid w:val="649B35B8"/>
    <w:rsid w:val="64A9CF11"/>
    <w:rsid w:val="64B9D0E6"/>
    <w:rsid w:val="64BAF273"/>
    <w:rsid w:val="64C744DA"/>
    <w:rsid w:val="64CEBE63"/>
    <w:rsid w:val="64D06BD2"/>
    <w:rsid w:val="64D2727E"/>
    <w:rsid w:val="64D2B589"/>
    <w:rsid w:val="64D2F435"/>
    <w:rsid w:val="64D4BD31"/>
    <w:rsid w:val="64D5453C"/>
    <w:rsid w:val="64DD539C"/>
    <w:rsid w:val="64DEC519"/>
    <w:rsid w:val="64E033D9"/>
    <w:rsid w:val="64EB80B9"/>
    <w:rsid w:val="64EE678E"/>
    <w:rsid w:val="64F0AA7D"/>
    <w:rsid w:val="64F118E9"/>
    <w:rsid w:val="64F4E4DC"/>
    <w:rsid w:val="64F6E883"/>
    <w:rsid w:val="64FB2E47"/>
    <w:rsid w:val="64FEF0D8"/>
    <w:rsid w:val="6500DFC2"/>
    <w:rsid w:val="65016D5A"/>
    <w:rsid w:val="6503101B"/>
    <w:rsid w:val="65065AF2"/>
    <w:rsid w:val="650896A5"/>
    <w:rsid w:val="651C4EC0"/>
    <w:rsid w:val="651F9C2D"/>
    <w:rsid w:val="652296DB"/>
    <w:rsid w:val="6524DDC4"/>
    <w:rsid w:val="65277852"/>
    <w:rsid w:val="652AB2A0"/>
    <w:rsid w:val="653A48B4"/>
    <w:rsid w:val="653B524F"/>
    <w:rsid w:val="6541E50B"/>
    <w:rsid w:val="65483D16"/>
    <w:rsid w:val="6550D10C"/>
    <w:rsid w:val="6553AC2B"/>
    <w:rsid w:val="6555EA4B"/>
    <w:rsid w:val="655D00CA"/>
    <w:rsid w:val="656E8408"/>
    <w:rsid w:val="656F5859"/>
    <w:rsid w:val="65718DA4"/>
    <w:rsid w:val="6579F2A8"/>
    <w:rsid w:val="657E6731"/>
    <w:rsid w:val="6583E08A"/>
    <w:rsid w:val="65864823"/>
    <w:rsid w:val="65871391"/>
    <w:rsid w:val="658AB601"/>
    <w:rsid w:val="65A23B6E"/>
    <w:rsid w:val="65A375E4"/>
    <w:rsid w:val="65B6FC6A"/>
    <w:rsid w:val="65C48AD6"/>
    <w:rsid w:val="65C99787"/>
    <w:rsid w:val="65E06B60"/>
    <w:rsid w:val="65E8DBD9"/>
    <w:rsid w:val="65F0CF4F"/>
    <w:rsid w:val="660036A3"/>
    <w:rsid w:val="661141E6"/>
    <w:rsid w:val="6614618F"/>
    <w:rsid w:val="6614E34A"/>
    <w:rsid w:val="6619A8A7"/>
    <w:rsid w:val="66277934"/>
    <w:rsid w:val="662F227A"/>
    <w:rsid w:val="663C31E6"/>
    <w:rsid w:val="6647C516"/>
    <w:rsid w:val="664C10C2"/>
    <w:rsid w:val="664ED4C2"/>
    <w:rsid w:val="664F6B74"/>
    <w:rsid w:val="66659F88"/>
    <w:rsid w:val="6669AB22"/>
    <w:rsid w:val="666D0FCF"/>
    <w:rsid w:val="667136D3"/>
    <w:rsid w:val="66757C64"/>
    <w:rsid w:val="667CEFF5"/>
    <w:rsid w:val="668C4258"/>
    <w:rsid w:val="6696C2E7"/>
    <w:rsid w:val="669B028A"/>
    <w:rsid w:val="66A194AE"/>
    <w:rsid w:val="66A1DB92"/>
    <w:rsid w:val="66A53F0B"/>
    <w:rsid w:val="66B2743F"/>
    <w:rsid w:val="66B3BFDE"/>
    <w:rsid w:val="66B82C9D"/>
    <w:rsid w:val="66BBEAC8"/>
    <w:rsid w:val="66C0A077"/>
    <w:rsid w:val="66CDF167"/>
    <w:rsid w:val="66D02330"/>
    <w:rsid w:val="66E68E66"/>
    <w:rsid w:val="66EDF76E"/>
    <w:rsid w:val="66F021C6"/>
    <w:rsid w:val="66F3AD03"/>
    <w:rsid w:val="670F3BC3"/>
    <w:rsid w:val="6718653A"/>
    <w:rsid w:val="671C5AA9"/>
    <w:rsid w:val="67210AF6"/>
    <w:rsid w:val="672190B7"/>
    <w:rsid w:val="6721CD30"/>
    <w:rsid w:val="67291169"/>
    <w:rsid w:val="673492F1"/>
    <w:rsid w:val="6740EDEC"/>
    <w:rsid w:val="674CE732"/>
    <w:rsid w:val="6762E6A1"/>
    <w:rsid w:val="6762FB50"/>
    <w:rsid w:val="67635305"/>
    <w:rsid w:val="67661C85"/>
    <w:rsid w:val="6773A775"/>
    <w:rsid w:val="677DBB7F"/>
    <w:rsid w:val="6780B86E"/>
    <w:rsid w:val="678D4317"/>
    <w:rsid w:val="67925CA6"/>
    <w:rsid w:val="67993011"/>
    <w:rsid w:val="67A9090A"/>
    <w:rsid w:val="67A9C10B"/>
    <w:rsid w:val="67B501FC"/>
    <w:rsid w:val="67C6A39E"/>
    <w:rsid w:val="67CCFD55"/>
    <w:rsid w:val="67CD87E4"/>
    <w:rsid w:val="67D2DCCC"/>
    <w:rsid w:val="67D601E8"/>
    <w:rsid w:val="67E087CD"/>
    <w:rsid w:val="67E48DE5"/>
    <w:rsid w:val="67E71706"/>
    <w:rsid w:val="67E7BF5C"/>
    <w:rsid w:val="67F4F274"/>
    <w:rsid w:val="67FF3A29"/>
    <w:rsid w:val="6802E364"/>
    <w:rsid w:val="6808E2AF"/>
    <w:rsid w:val="681357EE"/>
    <w:rsid w:val="681647A6"/>
    <w:rsid w:val="68179463"/>
    <w:rsid w:val="682059A2"/>
    <w:rsid w:val="6829CE36"/>
    <w:rsid w:val="682AE433"/>
    <w:rsid w:val="6840889D"/>
    <w:rsid w:val="685ECC8C"/>
    <w:rsid w:val="686D2AE8"/>
    <w:rsid w:val="689387DA"/>
    <w:rsid w:val="689713D3"/>
    <w:rsid w:val="68A0A5EA"/>
    <w:rsid w:val="68A467B7"/>
    <w:rsid w:val="68ACECBF"/>
    <w:rsid w:val="68B24511"/>
    <w:rsid w:val="68B4EE4A"/>
    <w:rsid w:val="68B53F39"/>
    <w:rsid w:val="68C4E2C6"/>
    <w:rsid w:val="68C7E59D"/>
    <w:rsid w:val="68CA9825"/>
    <w:rsid w:val="68E6FAED"/>
    <w:rsid w:val="68EC7DA5"/>
    <w:rsid w:val="68ED4556"/>
    <w:rsid w:val="69099399"/>
    <w:rsid w:val="6909C1C2"/>
    <w:rsid w:val="690B9D20"/>
    <w:rsid w:val="69114D48"/>
    <w:rsid w:val="69180C22"/>
    <w:rsid w:val="691A51BC"/>
    <w:rsid w:val="691C0D43"/>
    <w:rsid w:val="6930F7F0"/>
    <w:rsid w:val="6945916C"/>
    <w:rsid w:val="6946265C"/>
    <w:rsid w:val="69533D76"/>
    <w:rsid w:val="69538144"/>
    <w:rsid w:val="695D1873"/>
    <w:rsid w:val="695DBEE3"/>
    <w:rsid w:val="6962DEEE"/>
    <w:rsid w:val="69706A2C"/>
    <w:rsid w:val="6971D9AE"/>
    <w:rsid w:val="697A2A6D"/>
    <w:rsid w:val="699D404A"/>
    <w:rsid w:val="69A72AB1"/>
    <w:rsid w:val="69AB7D71"/>
    <w:rsid w:val="69ACC8B0"/>
    <w:rsid w:val="69AE29D2"/>
    <w:rsid w:val="69AFBA72"/>
    <w:rsid w:val="69BB0A17"/>
    <w:rsid w:val="69BE96FB"/>
    <w:rsid w:val="69C327DE"/>
    <w:rsid w:val="69C4C065"/>
    <w:rsid w:val="69C5F80A"/>
    <w:rsid w:val="69CC10E1"/>
    <w:rsid w:val="69CF8712"/>
    <w:rsid w:val="69D4EF8B"/>
    <w:rsid w:val="69D86433"/>
    <w:rsid w:val="69F30D50"/>
    <w:rsid w:val="69FB9B38"/>
    <w:rsid w:val="6A03BBB2"/>
    <w:rsid w:val="6A0B648D"/>
    <w:rsid w:val="6A0CC6D1"/>
    <w:rsid w:val="6A12B2F5"/>
    <w:rsid w:val="6A1BBD8D"/>
    <w:rsid w:val="6A32C4ED"/>
    <w:rsid w:val="6A3AC5CB"/>
    <w:rsid w:val="6A3C3A74"/>
    <w:rsid w:val="6A3F7558"/>
    <w:rsid w:val="6A555D4C"/>
    <w:rsid w:val="6A5AA446"/>
    <w:rsid w:val="6A5F03D7"/>
    <w:rsid w:val="6A70E73F"/>
    <w:rsid w:val="6A7D056A"/>
    <w:rsid w:val="6A85D179"/>
    <w:rsid w:val="6A8ACDE6"/>
    <w:rsid w:val="6A9C21D1"/>
    <w:rsid w:val="6AA7EA93"/>
    <w:rsid w:val="6AAB732D"/>
    <w:rsid w:val="6AC26348"/>
    <w:rsid w:val="6AC33D14"/>
    <w:rsid w:val="6AC8EDC0"/>
    <w:rsid w:val="6ACC72BE"/>
    <w:rsid w:val="6ACE0E55"/>
    <w:rsid w:val="6AE35D01"/>
    <w:rsid w:val="6AE495E0"/>
    <w:rsid w:val="6AE76961"/>
    <w:rsid w:val="6AE96B30"/>
    <w:rsid w:val="6AEB3516"/>
    <w:rsid w:val="6AEB7FBF"/>
    <w:rsid w:val="6AEDA9CE"/>
    <w:rsid w:val="6AF20EBD"/>
    <w:rsid w:val="6AF3E038"/>
    <w:rsid w:val="6B01E6CC"/>
    <w:rsid w:val="6B02DBF8"/>
    <w:rsid w:val="6B08BDC5"/>
    <w:rsid w:val="6B0B061E"/>
    <w:rsid w:val="6B1CCE94"/>
    <w:rsid w:val="6B30A000"/>
    <w:rsid w:val="6B36DAEB"/>
    <w:rsid w:val="6B3C9F08"/>
    <w:rsid w:val="6B3DD1EB"/>
    <w:rsid w:val="6B3E012F"/>
    <w:rsid w:val="6B3EC9D4"/>
    <w:rsid w:val="6B4199AD"/>
    <w:rsid w:val="6B43AE9F"/>
    <w:rsid w:val="6B5FD244"/>
    <w:rsid w:val="6B6479E5"/>
    <w:rsid w:val="6B714FAE"/>
    <w:rsid w:val="6B74B49E"/>
    <w:rsid w:val="6B7CD8AA"/>
    <w:rsid w:val="6B7E3619"/>
    <w:rsid w:val="6B7E8B0E"/>
    <w:rsid w:val="6B8BE01F"/>
    <w:rsid w:val="6B9C3089"/>
    <w:rsid w:val="6B9DF46A"/>
    <w:rsid w:val="6BA0394B"/>
    <w:rsid w:val="6BA07D1F"/>
    <w:rsid w:val="6BA4A555"/>
    <w:rsid w:val="6BA660D6"/>
    <w:rsid w:val="6BAB5CBD"/>
    <w:rsid w:val="6BB7446E"/>
    <w:rsid w:val="6BB78DEE"/>
    <w:rsid w:val="6BBA5A84"/>
    <w:rsid w:val="6BBAEC91"/>
    <w:rsid w:val="6BC1F847"/>
    <w:rsid w:val="6BC7D1C6"/>
    <w:rsid w:val="6BC7F5BC"/>
    <w:rsid w:val="6BCC73B5"/>
    <w:rsid w:val="6BD5C8A5"/>
    <w:rsid w:val="6BD8CBA3"/>
    <w:rsid w:val="6BDA4297"/>
    <w:rsid w:val="6BDB1A5F"/>
    <w:rsid w:val="6BF1174D"/>
    <w:rsid w:val="6BF8E0F9"/>
    <w:rsid w:val="6C000DB2"/>
    <w:rsid w:val="6C0A3BC4"/>
    <w:rsid w:val="6C0AA094"/>
    <w:rsid w:val="6C0CE0DC"/>
    <w:rsid w:val="6C1A7027"/>
    <w:rsid w:val="6C25A713"/>
    <w:rsid w:val="6C2764A2"/>
    <w:rsid w:val="6C28303F"/>
    <w:rsid w:val="6C290801"/>
    <w:rsid w:val="6C30A202"/>
    <w:rsid w:val="6C36B0C7"/>
    <w:rsid w:val="6C46C7B9"/>
    <w:rsid w:val="6C5543DE"/>
    <w:rsid w:val="6C56438F"/>
    <w:rsid w:val="6C599CA9"/>
    <w:rsid w:val="6C5D2695"/>
    <w:rsid w:val="6C5D57C4"/>
    <w:rsid w:val="6C5D90B0"/>
    <w:rsid w:val="6C60CB4D"/>
    <w:rsid w:val="6C646EAA"/>
    <w:rsid w:val="6C6C1334"/>
    <w:rsid w:val="6C6D04B1"/>
    <w:rsid w:val="6C73E888"/>
    <w:rsid w:val="6C760A85"/>
    <w:rsid w:val="6C7A3833"/>
    <w:rsid w:val="6C8805F6"/>
    <w:rsid w:val="6C89ED40"/>
    <w:rsid w:val="6C8C0EB8"/>
    <w:rsid w:val="6C8DE474"/>
    <w:rsid w:val="6C90943A"/>
    <w:rsid w:val="6C9C98D1"/>
    <w:rsid w:val="6CA5941E"/>
    <w:rsid w:val="6CA8C990"/>
    <w:rsid w:val="6CB18E54"/>
    <w:rsid w:val="6CB37996"/>
    <w:rsid w:val="6CBFCC4B"/>
    <w:rsid w:val="6CC39A6A"/>
    <w:rsid w:val="6CD6ED9D"/>
    <w:rsid w:val="6CDA9A35"/>
    <w:rsid w:val="6CDFE3A2"/>
    <w:rsid w:val="6CE2A6CD"/>
    <w:rsid w:val="6CE3F407"/>
    <w:rsid w:val="6CE4B1CE"/>
    <w:rsid w:val="6CE65880"/>
    <w:rsid w:val="6CE76386"/>
    <w:rsid w:val="6CED1E87"/>
    <w:rsid w:val="6CF2D42F"/>
    <w:rsid w:val="6CF76B12"/>
    <w:rsid w:val="6CFA6255"/>
    <w:rsid w:val="6CFF5837"/>
    <w:rsid w:val="6D005FC9"/>
    <w:rsid w:val="6D06290F"/>
    <w:rsid w:val="6D0B1D54"/>
    <w:rsid w:val="6D0D6AD1"/>
    <w:rsid w:val="6D112BEA"/>
    <w:rsid w:val="6D134914"/>
    <w:rsid w:val="6D144B95"/>
    <w:rsid w:val="6D16C74C"/>
    <w:rsid w:val="6D17EC3D"/>
    <w:rsid w:val="6D18A54A"/>
    <w:rsid w:val="6D1AA5F2"/>
    <w:rsid w:val="6D243B97"/>
    <w:rsid w:val="6D274DB6"/>
    <w:rsid w:val="6D284A82"/>
    <w:rsid w:val="6D2963E4"/>
    <w:rsid w:val="6D2B1BF2"/>
    <w:rsid w:val="6D358581"/>
    <w:rsid w:val="6D3B20FB"/>
    <w:rsid w:val="6D3C09AC"/>
    <w:rsid w:val="6D46A56C"/>
    <w:rsid w:val="6D647162"/>
    <w:rsid w:val="6D9B0ACD"/>
    <w:rsid w:val="6DB3C31C"/>
    <w:rsid w:val="6DC69F44"/>
    <w:rsid w:val="6DD58F98"/>
    <w:rsid w:val="6DD7B44D"/>
    <w:rsid w:val="6DD806E6"/>
    <w:rsid w:val="6DDCD7EE"/>
    <w:rsid w:val="6DE2D2B7"/>
    <w:rsid w:val="6DE4FC73"/>
    <w:rsid w:val="6DF65D7D"/>
    <w:rsid w:val="6DFB84DB"/>
    <w:rsid w:val="6DFC9C99"/>
    <w:rsid w:val="6E04CE7D"/>
    <w:rsid w:val="6E0E276C"/>
    <w:rsid w:val="6E0F0633"/>
    <w:rsid w:val="6E114BA4"/>
    <w:rsid w:val="6E11D87F"/>
    <w:rsid w:val="6E1318FB"/>
    <w:rsid w:val="6E1659F9"/>
    <w:rsid w:val="6E19977F"/>
    <w:rsid w:val="6E1A0C16"/>
    <w:rsid w:val="6E1CDE4B"/>
    <w:rsid w:val="6E2FCC9F"/>
    <w:rsid w:val="6E349E25"/>
    <w:rsid w:val="6E34F676"/>
    <w:rsid w:val="6E35A8E9"/>
    <w:rsid w:val="6E367DE3"/>
    <w:rsid w:val="6E3FEDD3"/>
    <w:rsid w:val="6E427A0C"/>
    <w:rsid w:val="6E43539F"/>
    <w:rsid w:val="6E4E74E4"/>
    <w:rsid w:val="6E53A517"/>
    <w:rsid w:val="6E7B1DEA"/>
    <w:rsid w:val="6E82BEC4"/>
    <w:rsid w:val="6E8333E7"/>
    <w:rsid w:val="6E833F71"/>
    <w:rsid w:val="6E89A62D"/>
    <w:rsid w:val="6E8CFCFF"/>
    <w:rsid w:val="6EA10E9A"/>
    <w:rsid w:val="6EA23D74"/>
    <w:rsid w:val="6EAC8FE8"/>
    <w:rsid w:val="6EB53336"/>
    <w:rsid w:val="6EBEE73B"/>
    <w:rsid w:val="6ED473B7"/>
    <w:rsid w:val="6EE893DA"/>
    <w:rsid w:val="6EE95D71"/>
    <w:rsid w:val="6EEA060F"/>
    <w:rsid w:val="6EEA9737"/>
    <w:rsid w:val="6EEB00DD"/>
    <w:rsid w:val="6EED2867"/>
    <w:rsid w:val="6EF26270"/>
    <w:rsid w:val="6F05F378"/>
    <w:rsid w:val="6F09A77B"/>
    <w:rsid w:val="6F0B6DBF"/>
    <w:rsid w:val="6F0C4ECA"/>
    <w:rsid w:val="6F10CC24"/>
    <w:rsid w:val="6F20CCAF"/>
    <w:rsid w:val="6F2648B4"/>
    <w:rsid w:val="6F28CE6F"/>
    <w:rsid w:val="6F32F6AF"/>
    <w:rsid w:val="6F495F46"/>
    <w:rsid w:val="6F4DA99A"/>
    <w:rsid w:val="6F554D5E"/>
    <w:rsid w:val="6F57728C"/>
    <w:rsid w:val="6F58118C"/>
    <w:rsid w:val="6F6022F6"/>
    <w:rsid w:val="6F96E81F"/>
    <w:rsid w:val="6F9BE256"/>
    <w:rsid w:val="6FA3469D"/>
    <w:rsid w:val="6FA380E7"/>
    <w:rsid w:val="6FAA8BFC"/>
    <w:rsid w:val="6FB54C2D"/>
    <w:rsid w:val="6FC3AA4E"/>
    <w:rsid w:val="6FEDCAAD"/>
    <w:rsid w:val="6FF3F42B"/>
    <w:rsid w:val="6FF4D273"/>
    <w:rsid w:val="70049A77"/>
    <w:rsid w:val="700704CD"/>
    <w:rsid w:val="7009858B"/>
    <w:rsid w:val="700ACF5D"/>
    <w:rsid w:val="700F5EB8"/>
    <w:rsid w:val="70131E79"/>
    <w:rsid w:val="70170A21"/>
    <w:rsid w:val="702EBF2D"/>
    <w:rsid w:val="70326C91"/>
    <w:rsid w:val="7036A53F"/>
    <w:rsid w:val="70407A3A"/>
    <w:rsid w:val="704631BE"/>
    <w:rsid w:val="704D8932"/>
    <w:rsid w:val="7054F413"/>
    <w:rsid w:val="7062A53F"/>
    <w:rsid w:val="70666E47"/>
    <w:rsid w:val="70695B47"/>
    <w:rsid w:val="706D8D4E"/>
    <w:rsid w:val="70704F71"/>
    <w:rsid w:val="7071D644"/>
    <w:rsid w:val="70732B2A"/>
    <w:rsid w:val="70738ADB"/>
    <w:rsid w:val="70754DA8"/>
    <w:rsid w:val="7078B470"/>
    <w:rsid w:val="707D5622"/>
    <w:rsid w:val="707FFB91"/>
    <w:rsid w:val="70865A51"/>
    <w:rsid w:val="708C3A35"/>
    <w:rsid w:val="708F6281"/>
    <w:rsid w:val="70900E5C"/>
    <w:rsid w:val="70912645"/>
    <w:rsid w:val="709DF3A1"/>
    <w:rsid w:val="709FD570"/>
    <w:rsid w:val="70A02088"/>
    <w:rsid w:val="70A68A81"/>
    <w:rsid w:val="70A914D2"/>
    <w:rsid w:val="70B1C621"/>
    <w:rsid w:val="70B5BFBB"/>
    <w:rsid w:val="70B85619"/>
    <w:rsid w:val="70C2AFE6"/>
    <w:rsid w:val="70C63AD1"/>
    <w:rsid w:val="70C64612"/>
    <w:rsid w:val="70CABE24"/>
    <w:rsid w:val="70CBA11E"/>
    <w:rsid w:val="70D53685"/>
    <w:rsid w:val="70D69337"/>
    <w:rsid w:val="70D6D556"/>
    <w:rsid w:val="70DB1146"/>
    <w:rsid w:val="70DD2DE2"/>
    <w:rsid w:val="70EF46DE"/>
    <w:rsid w:val="70F10A5F"/>
    <w:rsid w:val="70FD7B51"/>
    <w:rsid w:val="710A9DDE"/>
    <w:rsid w:val="710CBB51"/>
    <w:rsid w:val="710EB67D"/>
    <w:rsid w:val="7121AD91"/>
    <w:rsid w:val="712B9F26"/>
    <w:rsid w:val="71477E87"/>
    <w:rsid w:val="714C580D"/>
    <w:rsid w:val="7151A156"/>
    <w:rsid w:val="716119C9"/>
    <w:rsid w:val="7161D323"/>
    <w:rsid w:val="716F5B94"/>
    <w:rsid w:val="717761AD"/>
    <w:rsid w:val="71834201"/>
    <w:rsid w:val="718E6302"/>
    <w:rsid w:val="719AB225"/>
    <w:rsid w:val="719E4E2C"/>
    <w:rsid w:val="719EA908"/>
    <w:rsid w:val="71A69FBE"/>
    <w:rsid w:val="71A76BC6"/>
    <w:rsid w:val="71AAD384"/>
    <w:rsid w:val="71B8BB2B"/>
    <w:rsid w:val="71B98C3A"/>
    <w:rsid w:val="71C265EC"/>
    <w:rsid w:val="71C2BA42"/>
    <w:rsid w:val="71D2B5FB"/>
    <w:rsid w:val="71D52A88"/>
    <w:rsid w:val="71DB73BE"/>
    <w:rsid w:val="71E88E95"/>
    <w:rsid w:val="71F00D4B"/>
    <w:rsid w:val="71F156F0"/>
    <w:rsid w:val="71F6A223"/>
    <w:rsid w:val="71FE2785"/>
    <w:rsid w:val="71FE733B"/>
    <w:rsid w:val="71FE9E8E"/>
    <w:rsid w:val="7205B504"/>
    <w:rsid w:val="720B16A5"/>
    <w:rsid w:val="721186D7"/>
    <w:rsid w:val="72179681"/>
    <w:rsid w:val="721DF1F9"/>
    <w:rsid w:val="721DF2C5"/>
    <w:rsid w:val="721FF722"/>
    <w:rsid w:val="72266D22"/>
    <w:rsid w:val="7232D5BF"/>
    <w:rsid w:val="7237E285"/>
    <w:rsid w:val="723AA7F0"/>
    <w:rsid w:val="7244C6B7"/>
    <w:rsid w:val="72472550"/>
    <w:rsid w:val="72505851"/>
    <w:rsid w:val="7254B901"/>
    <w:rsid w:val="72574391"/>
    <w:rsid w:val="7260D90A"/>
    <w:rsid w:val="72637F6B"/>
    <w:rsid w:val="72696B7B"/>
    <w:rsid w:val="726DFBF8"/>
    <w:rsid w:val="72810833"/>
    <w:rsid w:val="72859048"/>
    <w:rsid w:val="7288AD32"/>
    <w:rsid w:val="7289C3CD"/>
    <w:rsid w:val="728CB811"/>
    <w:rsid w:val="72A8378D"/>
    <w:rsid w:val="72C32013"/>
    <w:rsid w:val="72C37C5B"/>
    <w:rsid w:val="72CB2710"/>
    <w:rsid w:val="72CFACC0"/>
    <w:rsid w:val="72D1A083"/>
    <w:rsid w:val="72D544F4"/>
    <w:rsid w:val="72D69C91"/>
    <w:rsid w:val="72DAF299"/>
    <w:rsid w:val="72E7510C"/>
    <w:rsid w:val="72EF644E"/>
    <w:rsid w:val="72F3F843"/>
    <w:rsid w:val="72F46FED"/>
    <w:rsid w:val="73106A25"/>
    <w:rsid w:val="7311E493"/>
    <w:rsid w:val="7314C61F"/>
    <w:rsid w:val="731A4B2D"/>
    <w:rsid w:val="731E3078"/>
    <w:rsid w:val="731E3095"/>
    <w:rsid w:val="7322F9BF"/>
    <w:rsid w:val="732E583C"/>
    <w:rsid w:val="732E9221"/>
    <w:rsid w:val="732FFB93"/>
    <w:rsid w:val="7332B3A3"/>
    <w:rsid w:val="73351ABC"/>
    <w:rsid w:val="7335E59F"/>
    <w:rsid w:val="73368286"/>
    <w:rsid w:val="733A41CB"/>
    <w:rsid w:val="733D65B6"/>
    <w:rsid w:val="7340E8A1"/>
    <w:rsid w:val="734445F4"/>
    <w:rsid w:val="73500301"/>
    <w:rsid w:val="7369D612"/>
    <w:rsid w:val="7370BE1D"/>
    <w:rsid w:val="73939F53"/>
    <w:rsid w:val="7398E88A"/>
    <w:rsid w:val="73AD89B0"/>
    <w:rsid w:val="73B332F2"/>
    <w:rsid w:val="73B4F6F5"/>
    <w:rsid w:val="73C9CDA8"/>
    <w:rsid w:val="73D35325"/>
    <w:rsid w:val="73D58158"/>
    <w:rsid w:val="73DD9062"/>
    <w:rsid w:val="73DEFE86"/>
    <w:rsid w:val="73E0B594"/>
    <w:rsid w:val="73E4EF4F"/>
    <w:rsid w:val="73E73B76"/>
    <w:rsid w:val="73F3911C"/>
    <w:rsid w:val="73F644EA"/>
    <w:rsid w:val="73F9D83F"/>
    <w:rsid w:val="73FEC5BF"/>
    <w:rsid w:val="73FF4FCC"/>
    <w:rsid w:val="73FFFDF5"/>
    <w:rsid w:val="740350C1"/>
    <w:rsid w:val="74080E83"/>
    <w:rsid w:val="740A00F9"/>
    <w:rsid w:val="741BC2AC"/>
    <w:rsid w:val="7427B378"/>
    <w:rsid w:val="74304381"/>
    <w:rsid w:val="74309CDD"/>
    <w:rsid w:val="7438BFB7"/>
    <w:rsid w:val="74493535"/>
    <w:rsid w:val="74640D24"/>
    <w:rsid w:val="746A857D"/>
    <w:rsid w:val="746CDEDC"/>
    <w:rsid w:val="746E0894"/>
    <w:rsid w:val="74836805"/>
    <w:rsid w:val="748E54C7"/>
    <w:rsid w:val="74906544"/>
    <w:rsid w:val="74ACAB19"/>
    <w:rsid w:val="74B090FB"/>
    <w:rsid w:val="74B48431"/>
    <w:rsid w:val="74B9F880"/>
    <w:rsid w:val="74BBE318"/>
    <w:rsid w:val="74BE5936"/>
    <w:rsid w:val="74BE9580"/>
    <w:rsid w:val="74C310ED"/>
    <w:rsid w:val="74C8A60B"/>
    <w:rsid w:val="74CD4901"/>
    <w:rsid w:val="74D7C40F"/>
    <w:rsid w:val="74DCF97C"/>
    <w:rsid w:val="74E1FDF5"/>
    <w:rsid w:val="74E24EC7"/>
    <w:rsid w:val="74E68F9C"/>
    <w:rsid w:val="74E954A9"/>
    <w:rsid w:val="75033671"/>
    <w:rsid w:val="750873D1"/>
    <w:rsid w:val="750F93F3"/>
    <w:rsid w:val="7516D470"/>
    <w:rsid w:val="751AF098"/>
    <w:rsid w:val="751C91ED"/>
    <w:rsid w:val="7521117E"/>
    <w:rsid w:val="7525487C"/>
    <w:rsid w:val="752F84B9"/>
    <w:rsid w:val="7534B46B"/>
    <w:rsid w:val="75353208"/>
    <w:rsid w:val="75399A34"/>
    <w:rsid w:val="7543E29D"/>
    <w:rsid w:val="7545B67C"/>
    <w:rsid w:val="7546D97F"/>
    <w:rsid w:val="754BDC1E"/>
    <w:rsid w:val="754E25CB"/>
    <w:rsid w:val="754EA798"/>
    <w:rsid w:val="7554BD50"/>
    <w:rsid w:val="755F3A22"/>
    <w:rsid w:val="7564E756"/>
    <w:rsid w:val="756E1A7D"/>
    <w:rsid w:val="7573CE85"/>
    <w:rsid w:val="757C9BF6"/>
    <w:rsid w:val="7580BFB0"/>
    <w:rsid w:val="758C619B"/>
    <w:rsid w:val="759F5F32"/>
    <w:rsid w:val="75ACE6EE"/>
    <w:rsid w:val="75B50893"/>
    <w:rsid w:val="75B54350"/>
    <w:rsid w:val="75B5944A"/>
    <w:rsid w:val="75B81612"/>
    <w:rsid w:val="75BEEA9E"/>
    <w:rsid w:val="75C191BD"/>
    <w:rsid w:val="75C4265C"/>
    <w:rsid w:val="75CB316C"/>
    <w:rsid w:val="75CD5D76"/>
    <w:rsid w:val="75DAC598"/>
    <w:rsid w:val="75E73A59"/>
    <w:rsid w:val="75ED9710"/>
    <w:rsid w:val="75EF6213"/>
    <w:rsid w:val="75F30DC3"/>
    <w:rsid w:val="75F80EBD"/>
    <w:rsid w:val="75FDC76D"/>
    <w:rsid w:val="7600948E"/>
    <w:rsid w:val="7605D818"/>
    <w:rsid w:val="760A1D30"/>
    <w:rsid w:val="7610C5A0"/>
    <w:rsid w:val="76112575"/>
    <w:rsid w:val="76203D60"/>
    <w:rsid w:val="7629EBAE"/>
    <w:rsid w:val="762EFD15"/>
    <w:rsid w:val="763C2F52"/>
    <w:rsid w:val="7642308C"/>
    <w:rsid w:val="7642E56D"/>
    <w:rsid w:val="76458E9F"/>
    <w:rsid w:val="7648DDF2"/>
    <w:rsid w:val="764BC94A"/>
    <w:rsid w:val="76537E49"/>
    <w:rsid w:val="765A2997"/>
    <w:rsid w:val="765B95F0"/>
    <w:rsid w:val="765F2D90"/>
    <w:rsid w:val="765F60C5"/>
    <w:rsid w:val="766C85F7"/>
    <w:rsid w:val="7674AF0D"/>
    <w:rsid w:val="767AD3E0"/>
    <w:rsid w:val="7697A7D6"/>
    <w:rsid w:val="769F5DEF"/>
    <w:rsid w:val="76A65C09"/>
    <w:rsid w:val="76A9CDEF"/>
    <w:rsid w:val="76B0BF3F"/>
    <w:rsid w:val="76B6F2EC"/>
    <w:rsid w:val="76B8A10B"/>
    <w:rsid w:val="76BCC05E"/>
    <w:rsid w:val="76CC3058"/>
    <w:rsid w:val="76D09F1E"/>
    <w:rsid w:val="76D97BED"/>
    <w:rsid w:val="76DD6E5A"/>
    <w:rsid w:val="76DE1F74"/>
    <w:rsid w:val="76E237D4"/>
    <w:rsid w:val="76E313C3"/>
    <w:rsid w:val="76E6C30F"/>
    <w:rsid w:val="76EC25B8"/>
    <w:rsid w:val="76F03D20"/>
    <w:rsid w:val="76F0DF3D"/>
    <w:rsid w:val="76F27790"/>
    <w:rsid w:val="76F38F5A"/>
    <w:rsid w:val="76F3DEC8"/>
    <w:rsid w:val="76F46177"/>
    <w:rsid w:val="76F76B7F"/>
    <w:rsid w:val="76FF27AD"/>
    <w:rsid w:val="77012868"/>
    <w:rsid w:val="770AF3E7"/>
    <w:rsid w:val="7719CEDC"/>
    <w:rsid w:val="771F4E35"/>
    <w:rsid w:val="7726AEC5"/>
    <w:rsid w:val="7728096C"/>
    <w:rsid w:val="772CBDD9"/>
    <w:rsid w:val="773BEC7F"/>
    <w:rsid w:val="7740C1E8"/>
    <w:rsid w:val="774D4ABD"/>
    <w:rsid w:val="776380EC"/>
    <w:rsid w:val="77658DCA"/>
    <w:rsid w:val="776A69B5"/>
    <w:rsid w:val="77763565"/>
    <w:rsid w:val="7792F49D"/>
    <w:rsid w:val="77B0F996"/>
    <w:rsid w:val="77B26695"/>
    <w:rsid w:val="77BAE1A3"/>
    <w:rsid w:val="77C53A36"/>
    <w:rsid w:val="77D1F14F"/>
    <w:rsid w:val="77DCFCA2"/>
    <w:rsid w:val="77E084C9"/>
    <w:rsid w:val="77E1486B"/>
    <w:rsid w:val="77E372F4"/>
    <w:rsid w:val="77E6EB82"/>
    <w:rsid w:val="77F00238"/>
    <w:rsid w:val="77F5F2CD"/>
    <w:rsid w:val="780B7AE9"/>
    <w:rsid w:val="780FFF63"/>
    <w:rsid w:val="7818EEDD"/>
    <w:rsid w:val="7829A10A"/>
    <w:rsid w:val="782A4DB5"/>
    <w:rsid w:val="783584F2"/>
    <w:rsid w:val="78378B64"/>
    <w:rsid w:val="783A9AE4"/>
    <w:rsid w:val="7841818B"/>
    <w:rsid w:val="78618B34"/>
    <w:rsid w:val="78635C0A"/>
    <w:rsid w:val="7872AC1F"/>
    <w:rsid w:val="78787134"/>
    <w:rsid w:val="787A9D26"/>
    <w:rsid w:val="788CCA9A"/>
    <w:rsid w:val="78940C42"/>
    <w:rsid w:val="7894A628"/>
    <w:rsid w:val="78988497"/>
    <w:rsid w:val="789CCF03"/>
    <w:rsid w:val="78A7B9EC"/>
    <w:rsid w:val="78AC308A"/>
    <w:rsid w:val="78ACA4F4"/>
    <w:rsid w:val="78B2BB9C"/>
    <w:rsid w:val="78C27F26"/>
    <w:rsid w:val="78CAB9D9"/>
    <w:rsid w:val="78CFB7BE"/>
    <w:rsid w:val="78D2C0EF"/>
    <w:rsid w:val="78D7170D"/>
    <w:rsid w:val="78D88A60"/>
    <w:rsid w:val="78DFBE74"/>
    <w:rsid w:val="78E21214"/>
    <w:rsid w:val="78F0DF33"/>
    <w:rsid w:val="78F48E12"/>
    <w:rsid w:val="78FC1C4D"/>
    <w:rsid w:val="791E8E49"/>
    <w:rsid w:val="79210077"/>
    <w:rsid w:val="792199AC"/>
    <w:rsid w:val="7926A9E0"/>
    <w:rsid w:val="792CE31D"/>
    <w:rsid w:val="792FEB3A"/>
    <w:rsid w:val="7931A766"/>
    <w:rsid w:val="7935682F"/>
    <w:rsid w:val="7938A324"/>
    <w:rsid w:val="793AFC4D"/>
    <w:rsid w:val="793B6902"/>
    <w:rsid w:val="794303C0"/>
    <w:rsid w:val="7946E968"/>
    <w:rsid w:val="794D0087"/>
    <w:rsid w:val="795282C7"/>
    <w:rsid w:val="7952BFF4"/>
    <w:rsid w:val="795339C9"/>
    <w:rsid w:val="7959779D"/>
    <w:rsid w:val="795FC108"/>
    <w:rsid w:val="79675289"/>
    <w:rsid w:val="7971F7EB"/>
    <w:rsid w:val="79737C38"/>
    <w:rsid w:val="79789AD1"/>
    <w:rsid w:val="798365D6"/>
    <w:rsid w:val="79857E09"/>
    <w:rsid w:val="79A470D9"/>
    <w:rsid w:val="79A56CE6"/>
    <w:rsid w:val="79A88249"/>
    <w:rsid w:val="79AF64AE"/>
    <w:rsid w:val="79BC64EF"/>
    <w:rsid w:val="79C04CC1"/>
    <w:rsid w:val="79C1938B"/>
    <w:rsid w:val="79CD399F"/>
    <w:rsid w:val="79CEB048"/>
    <w:rsid w:val="79D509F1"/>
    <w:rsid w:val="79DCE013"/>
    <w:rsid w:val="79E00B1C"/>
    <w:rsid w:val="79E0A21A"/>
    <w:rsid w:val="79FFF3CD"/>
    <w:rsid w:val="7A07B976"/>
    <w:rsid w:val="7A12A2CA"/>
    <w:rsid w:val="7A1E728E"/>
    <w:rsid w:val="7A228416"/>
    <w:rsid w:val="7A29D9B8"/>
    <w:rsid w:val="7A45C5AD"/>
    <w:rsid w:val="7A47F7D9"/>
    <w:rsid w:val="7A4A3785"/>
    <w:rsid w:val="7A4C0681"/>
    <w:rsid w:val="7A5C8386"/>
    <w:rsid w:val="7A6164B3"/>
    <w:rsid w:val="7A6759B9"/>
    <w:rsid w:val="7A6829CE"/>
    <w:rsid w:val="7A6F00BB"/>
    <w:rsid w:val="7A6FDD10"/>
    <w:rsid w:val="7A709CC1"/>
    <w:rsid w:val="7A717F2B"/>
    <w:rsid w:val="7A75A956"/>
    <w:rsid w:val="7A79F85A"/>
    <w:rsid w:val="7A7B9090"/>
    <w:rsid w:val="7A8A1416"/>
    <w:rsid w:val="7A8A2B74"/>
    <w:rsid w:val="7A958F65"/>
    <w:rsid w:val="7AA18F47"/>
    <w:rsid w:val="7AA4B9BA"/>
    <w:rsid w:val="7AA57CEA"/>
    <w:rsid w:val="7AA7BA4A"/>
    <w:rsid w:val="7AAEEC8B"/>
    <w:rsid w:val="7AB5F98A"/>
    <w:rsid w:val="7ABBF8D1"/>
    <w:rsid w:val="7AC329BA"/>
    <w:rsid w:val="7AC8ECAB"/>
    <w:rsid w:val="7ACAA894"/>
    <w:rsid w:val="7ADE0291"/>
    <w:rsid w:val="7ADEF22A"/>
    <w:rsid w:val="7AE78D21"/>
    <w:rsid w:val="7AFE8B08"/>
    <w:rsid w:val="7AFFE647"/>
    <w:rsid w:val="7B00788C"/>
    <w:rsid w:val="7B019E13"/>
    <w:rsid w:val="7B042C05"/>
    <w:rsid w:val="7B0DB05F"/>
    <w:rsid w:val="7B0E3D6C"/>
    <w:rsid w:val="7B10F9AC"/>
    <w:rsid w:val="7B1C8A61"/>
    <w:rsid w:val="7B1EC47A"/>
    <w:rsid w:val="7B1FD1C2"/>
    <w:rsid w:val="7B2170CF"/>
    <w:rsid w:val="7B22E262"/>
    <w:rsid w:val="7B23C5B5"/>
    <w:rsid w:val="7B24C058"/>
    <w:rsid w:val="7B29184F"/>
    <w:rsid w:val="7B30FD92"/>
    <w:rsid w:val="7B4E4993"/>
    <w:rsid w:val="7B6D6501"/>
    <w:rsid w:val="7B6F4BB6"/>
    <w:rsid w:val="7B715B8E"/>
    <w:rsid w:val="7B858397"/>
    <w:rsid w:val="7B86E3AA"/>
    <w:rsid w:val="7B8B2F82"/>
    <w:rsid w:val="7B8EC2AD"/>
    <w:rsid w:val="7B9D62FF"/>
    <w:rsid w:val="7B9FDA82"/>
    <w:rsid w:val="7BA441F2"/>
    <w:rsid w:val="7BA68145"/>
    <w:rsid w:val="7BAA1644"/>
    <w:rsid w:val="7BAE278E"/>
    <w:rsid w:val="7BAE732B"/>
    <w:rsid w:val="7BB5A8F7"/>
    <w:rsid w:val="7BBC52CA"/>
    <w:rsid w:val="7BC14BD7"/>
    <w:rsid w:val="7BC5463E"/>
    <w:rsid w:val="7BCB115D"/>
    <w:rsid w:val="7BD23C23"/>
    <w:rsid w:val="7BE27AC2"/>
    <w:rsid w:val="7BE99569"/>
    <w:rsid w:val="7BEBAAA6"/>
    <w:rsid w:val="7BEBC1C7"/>
    <w:rsid w:val="7BEE49D8"/>
    <w:rsid w:val="7C0E62A6"/>
    <w:rsid w:val="7C2176AD"/>
    <w:rsid w:val="7C26E75B"/>
    <w:rsid w:val="7C2E8A1E"/>
    <w:rsid w:val="7C331E20"/>
    <w:rsid w:val="7C485814"/>
    <w:rsid w:val="7C4D4957"/>
    <w:rsid w:val="7C4D98CB"/>
    <w:rsid w:val="7C614F32"/>
    <w:rsid w:val="7C630FFF"/>
    <w:rsid w:val="7C643ACF"/>
    <w:rsid w:val="7C656CB1"/>
    <w:rsid w:val="7C6D08F1"/>
    <w:rsid w:val="7C7AC28B"/>
    <w:rsid w:val="7C992D32"/>
    <w:rsid w:val="7CA4F34A"/>
    <w:rsid w:val="7CADEFE5"/>
    <w:rsid w:val="7CB0F59E"/>
    <w:rsid w:val="7CB13061"/>
    <w:rsid w:val="7CB5C6EB"/>
    <w:rsid w:val="7CB7E1F2"/>
    <w:rsid w:val="7CBECBD2"/>
    <w:rsid w:val="7CCE5584"/>
    <w:rsid w:val="7CEB9A4A"/>
    <w:rsid w:val="7CEDC473"/>
    <w:rsid w:val="7CFD122D"/>
    <w:rsid w:val="7CFE6776"/>
    <w:rsid w:val="7CFFE716"/>
    <w:rsid w:val="7D0D2BEF"/>
    <w:rsid w:val="7D1670C6"/>
    <w:rsid w:val="7D1B4DF6"/>
    <w:rsid w:val="7D1E81BE"/>
    <w:rsid w:val="7D20C63C"/>
    <w:rsid w:val="7D27460A"/>
    <w:rsid w:val="7D280F21"/>
    <w:rsid w:val="7D3733EC"/>
    <w:rsid w:val="7D384DD1"/>
    <w:rsid w:val="7D3A2EB3"/>
    <w:rsid w:val="7D3B0296"/>
    <w:rsid w:val="7D42AD74"/>
    <w:rsid w:val="7D5618DC"/>
    <w:rsid w:val="7D5DEFD9"/>
    <w:rsid w:val="7D5E013D"/>
    <w:rsid w:val="7D6BCF7D"/>
    <w:rsid w:val="7D6F910A"/>
    <w:rsid w:val="7D703CD9"/>
    <w:rsid w:val="7D7141CA"/>
    <w:rsid w:val="7D75CD51"/>
    <w:rsid w:val="7D75F9F1"/>
    <w:rsid w:val="7D762331"/>
    <w:rsid w:val="7D76AFF8"/>
    <w:rsid w:val="7D7A6AD0"/>
    <w:rsid w:val="7D7AB4B6"/>
    <w:rsid w:val="7D7D2D3C"/>
    <w:rsid w:val="7D7F3A05"/>
    <w:rsid w:val="7D80B2CF"/>
    <w:rsid w:val="7D83646E"/>
    <w:rsid w:val="7D8E8E54"/>
    <w:rsid w:val="7D95C86C"/>
    <w:rsid w:val="7DA1C183"/>
    <w:rsid w:val="7DA63212"/>
    <w:rsid w:val="7DB91D39"/>
    <w:rsid w:val="7DCE883C"/>
    <w:rsid w:val="7DD2AD22"/>
    <w:rsid w:val="7DD5B76C"/>
    <w:rsid w:val="7DECC41F"/>
    <w:rsid w:val="7DFA16B0"/>
    <w:rsid w:val="7E036030"/>
    <w:rsid w:val="7E0AE954"/>
    <w:rsid w:val="7E1C46B1"/>
    <w:rsid w:val="7E1D618B"/>
    <w:rsid w:val="7E1E8072"/>
    <w:rsid w:val="7E20B1E3"/>
    <w:rsid w:val="7E21B0E6"/>
    <w:rsid w:val="7E3C835C"/>
    <w:rsid w:val="7E5B569D"/>
    <w:rsid w:val="7E6510D2"/>
    <w:rsid w:val="7E6BBEEE"/>
    <w:rsid w:val="7E6D2185"/>
    <w:rsid w:val="7E72DE81"/>
    <w:rsid w:val="7E73A671"/>
    <w:rsid w:val="7E7D7BD3"/>
    <w:rsid w:val="7E986EC5"/>
    <w:rsid w:val="7E9AA32E"/>
    <w:rsid w:val="7EAFA4AC"/>
    <w:rsid w:val="7EBBDFC7"/>
    <w:rsid w:val="7EC08758"/>
    <w:rsid w:val="7ED29710"/>
    <w:rsid w:val="7ED60D40"/>
    <w:rsid w:val="7ED99607"/>
    <w:rsid w:val="7EDEB39F"/>
    <w:rsid w:val="7EE06D50"/>
    <w:rsid w:val="7EEC81BE"/>
    <w:rsid w:val="7EED709D"/>
    <w:rsid w:val="7EF32288"/>
    <w:rsid w:val="7F0DFA3D"/>
    <w:rsid w:val="7F22690E"/>
    <w:rsid w:val="7F2F06F4"/>
    <w:rsid w:val="7F3111B8"/>
    <w:rsid w:val="7F3B9049"/>
    <w:rsid w:val="7F434E33"/>
    <w:rsid w:val="7F4F5CA6"/>
    <w:rsid w:val="7F50A746"/>
    <w:rsid w:val="7F51D649"/>
    <w:rsid w:val="7F5CD585"/>
    <w:rsid w:val="7F5D38A4"/>
    <w:rsid w:val="7F6B1A97"/>
    <w:rsid w:val="7F75F057"/>
    <w:rsid w:val="7F77CF0F"/>
    <w:rsid w:val="7F7AE012"/>
    <w:rsid w:val="7F7D85AD"/>
    <w:rsid w:val="7F8A0F3F"/>
    <w:rsid w:val="7F91CCFA"/>
    <w:rsid w:val="7F9224F3"/>
    <w:rsid w:val="7F9FB762"/>
    <w:rsid w:val="7FA4A9B3"/>
    <w:rsid w:val="7FB1355E"/>
    <w:rsid w:val="7FB1E2CF"/>
    <w:rsid w:val="7FB88919"/>
    <w:rsid w:val="7FBB4001"/>
    <w:rsid w:val="7FD711A3"/>
    <w:rsid w:val="7FDD8752"/>
    <w:rsid w:val="7FDFF26B"/>
    <w:rsid w:val="7FEACE06"/>
    <w:rsid w:val="7FEAF570"/>
    <w:rsid w:val="7FED2BAC"/>
    <w:rsid w:val="7FED648E"/>
    <w:rsid w:val="7FF0F2D5"/>
    <w:rsid w:val="7FF3952E"/>
    <w:rsid w:val="7FF5563E"/>
    <w:rsid w:val="7FFCD208"/>
    <w:rsid w:val="7FFD8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A8E9"/>
  <w15:chartTrackingRefBased/>
  <w15:docId w15:val="{3E7E25BC-1F9B-4042-B064-95C20617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E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71787A"/>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unhideWhenUsed/>
    <w:qFormat/>
    <w:rsid w:val="00B6312C"/>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US" w:eastAsia="en-US"/>
    </w:rPr>
  </w:style>
  <w:style w:type="paragraph" w:styleId="Heading6">
    <w:name w:val="heading 6"/>
    <w:basedOn w:val="Normal"/>
    <w:next w:val="Normal"/>
    <w:link w:val="Heading6Char"/>
    <w:uiPriority w:val="9"/>
    <w:unhideWhenUsed/>
    <w:qFormat/>
    <w:rsid w:val="00B6312C"/>
    <w:pPr>
      <w:keepNext/>
      <w:keepLines/>
      <w:spacing w:before="40" w:line="259" w:lineRule="auto"/>
      <w:outlineLvl w:val="5"/>
    </w:pPr>
    <w:rPr>
      <w:rFonts w:asciiTheme="majorHAnsi" w:eastAsiaTheme="majorEastAsia" w:hAnsiTheme="majorHAnsi" w:cstheme="majorBidi"/>
      <w:color w:val="1F3763" w:themeColor="accent1" w:themeShade="7F"/>
      <w:sz w:val="22"/>
      <w:szCs w:val="22"/>
      <w:lang w:val="en-US" w:eastAsia="en-US"/>
    </w:rPr>
  </w:style>
  <w:style w:type="paragraph" w:styleId="Heading7">
    <w:name w:val="heading 7"/>
    <w:basedOn w:val="Normal"/>
    <w:next w:val="Normal"/>
    <w:link w:val="Heading7Char"/>
    <w:uiPriority w:val="9"/>
    <w:unhideWhenUsed/>
    <w:qFormat/>
    <w:rsid w:val="003E4A97"/>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val="en-US" w:eastAsia="en-US"/>
    </w:rPr>
  </w:style>
  <w:style w:type="paragraph" w:styleId="Heading8">
    <w:name w:val="heading 8"/>
    <w:basedOn w:val="Normal"/>
    <w:next w:val="Normal"/>
    <w:link w:val="Heading8Char"/>
    <w:uiPriority w:val="9"/>
    <w:unhideWhenUsed/>
    <w:qFormat/>
    <w:rsid w:val="003E4A97"/>
    <w:pPr>
      <w:keepNext/>
      <w:keepLines/>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unhideWhenUsed/>
    <w:qFormat/>
    <w:rsid w:val="003E4A97"/>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A62B4"/>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4A62B4"/>
  </w:style>
  <w:style w:type="paragraph" w:styleId="Footer">
    <w:name w:val="footer"/>
    <w:basedOn w:val="Normal"/>
    <w:link w:val="FooterChar"/>
    <w:uiPriority w:val="99"/>
    <w:unhideWhenUsed/>
    <w:rsid w:val="004A62B4"/>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4A62B4"/>
  </w:style>
  <w:style w:type="paragraph" w:styleId="FootnoteText">
    <w:name w:val="footnote text"/>
    <w:basedOn w:val="Normal"/>
    <w:link w:val="FootnoteTextChar"/>
    <w:rsid w:val="006C5BCE"/>
    <w:pPr>
      <w:widowControl w:val="0"/>
      <w:suppressAutoHyphens/>
      <w:autoSpaceDN w:val="0"/>
      <w:textAlignment w:val="baseline"/>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rsid w:val="006C5BCE"/>
    <w:rPr>
      <w:rFonts w:ascii="Calibri" w:eastAsia="Calibri" w:hAnsi="Calibri" w:cs="Arial"/>
      <w:sz w:val="20"/>
      <w:szCs w:val="20"/>
    </w:rPr>
  </w:style>
  <w:style w:type="character" w:styleId="FootnoteReference">
    <w:name w:val="footnote reference"/>
    <w:basedOn w:val="DefaultParagraphFont"/>
    <w:rsid w:val="006C5BCE"/>
    <w:rPr>
      <w:position w:val="0"/>
      <w:vertAlign w:val="superscript"/>
    </w:rPr>
  </w:style>
  <w:style w:type="paragraph" w:customStyle="1" w:styleId="Standard">
    <w:name w:val="Standard"/>
    <w:rsid w:val="00A87BF9"/>
    <w:pPr>
      <w:suppressAutoHyphens/>
      <w:autoSpaceDN w:val="0"/>
      <w:spacing w:line="256" w:lineRule="auto"/>
      <w:textAlignment w:val="baseline"/>
    </w:pPr>
    <w:rPr>
      <w:rFonts w:ascii="Calibri" w:eastAsia="Calibri" w:hAnsi="Calibri" w:cs="Arial"/>
    </w:rPr>
  </w:style>
  <w:style w:type="numbering" w:customStyle="1" w:styleId="WWNum3">
    <w:name w:val="WWNum3"/>
    <w:basedOn w:val="NoList"/>
    <w:rsid w:val="00A87BF9"/>
    <w:pPr>
      <w:numPr>
        <w:numId w:val="21"/>
      </w:numPr>
    </w:pPr>
  </w:style>
  <w:style w:type="numbering" w:customStyle="1" w:styleId="WWNum5">
    <w:name w:val="WWNum5"/>
    <w:basedOn w:val="NoList"/>
    <w:rsid w:val="003C5D43"/>
    <w:pPr>
      <w:numPr>
        <w:numId w:val="22"/>
      </w:numPr>
    </w:pPr>
  </w:style>
  <w:style w:type="numbering" w:customStyle="1" w:styleId="WWNum6">
    <w:name w:val="WWNum6"/>
    <w:basedOn w:val="NoList"/>
    <w:rsid w:val="00263599"/>
    <w:pPr>
      <w:numPr>
        <w:numId w:val="23"/>
      </w:numPr>
    </w:pPr>
  </w:style>
  <w:style w:type="numbering" w:customStyle="1" w:styleId="WWNum7">
    <w:name w:val="WWNum7"/>
    <w:basedOn w:val="NoList"/>
    <w:rsid w:val="00DF4044"/>
    <w:pPr>
      <w:numPr>
        <w:numId w:val="24"/>
      </w:numPr>
    </w:pPr>
  </w:style>
  <w:style w:type="paragraph" w:customStyle="1" w:styleId="ItadNormalText">
    <w:name w:val="Itad Normal Text"/>
    <w:basedOn w:val="Normal"/>
    <w:link w:val="ItadNormalTextChar"/>
    <w:qFormat/>
    <w:rsid w:val="0F721697"/>
    <w:pPr>
      <w:tabs>
        <w:tab w:val="left" w:pos="1418"/>
      </w:tabs>
      <w:spacing w:before="120" w:after="120" w:line="259" w:lineRule="auto"/>
    </w:pPr>
    <w:rPr>
      <w:rFonts w:ascii="Calibri" w:eastAsiaTheme="minorEastAsia" w:hAnsi="Calibri" w:cs="Arial"/>
      <w:color w:val="3B3B3C"/>
      <w:sz w:val="22"/>
      <w:szCs w:val="22"/>
      <w:lang w:val="en-US" w:eastAsia="en-US"/>
    </w:rPr>
  </w:style>
  <w:style w:type="character" w:customStyle="1" w:styleId="ItadNormalTextChar">
    <w:name w:val="Itad Normal Text Char"/>
    <w:basedOn w:val="DefaultParagraphFont"/>
    <w:link w:val="ItadNormalText"/>
    <w:rsid w:val="0F721697"/>
    <w:rPr>
      <w:rFonts w:ascii="Calibri" w:eastAsiaTheme="minorEastAsia" w:hAnsi="Calibri" w:cs="Arial"/>
      <w:color w:val="3B3B3C"/>
      <w:sz w:val="22"/>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customStyle="1" w:styleId="Itadtablestyle">
    <w:name w:val="Itad table style"/>
    <w:basedOn w:val="Normal"/>
    <w:link w:val="ItadtablestyleChar"/>
    <w:qFormat/>
    <w:rsid w:val="7B019E13"/>
    <w:pPr>
      <w:numPr>
        <w:numId w:val="12"/>
      </w:numPr>
      <w:tabs>
        <w:tab w:val="left" w:pos="1420"/>
      </w:tabs>
      <w:spacing w:before="240" w:after="120" w:line="259" w:lineRule="auto"/>
    </w:pPr>
    <w:rPr>
      <w:rFonts w:ascii="Calibri" w:eastAsiaTheme="minorEastAsia" w:hAnsi="Calibri" w:cs="Arial"/>
      <w:b/>
      <w:bCs/>
      <w:color w:val="767171" w:themeColor="background2" w:themeShade="80"/>
      <w:sz w:val="18"/>
      <w:szCs w:val="18"/>
      <w:lang w:val="en-US"/>
    </w:rPr>
  </w:style>
  <w:style w:type="paragraph" w:customStyle="1" w:styleId="Itadtabletext">
    <w:name w:val="Itad table text"/>
    <w:basedOn w:val="Normal"/>
    <w:link w:val="ItadtabletextChar"/>
    <w:qFormat/>
    <w:rsid w:val="7B019E13"/>
    <w:pPr>
      <w:tabs>
        <w:tab w:val="left" w:pos="1418"/>
      </w:tabs>
      <w:spacing w:before="60" w:after="60" w:line="259" w:lineRule="auto"/>
    </w:pPr>
    <w:rPr>
      <w:rFonts w:ascii="Calibri" w:eastAsiaTheme="minorEastAsia" w:hAnsi="Calibri" w:cs="Arial"/>
      <w:color w:val="3B3B3C"/>
      <w:sz w:val="20"/>
      <w:szCs w:val="20"/>
      <w:lang w:val="en-US" w:eastAsia="en-US"/>
    </w:rPr>
  </w:style>
  <w:style w:type="character" w:customStyle="1" w:styleId="ItadtabletextChar">
    <w:name w:val="Itad table text Char"/>
    <w:basedOn w:val="DefaultParagraphFont"/>
    <w:link w:val="Itadtabletext"/>
    <w:rsid w:val="7B019E13"/>
    <w:rPr>
      <w:rFonts w:ascii="Calibri" w:eastAsiaTheme="minorEastAsia" w:hAnsi="Calibri" w:cs="Arial"/>
      <w:color w:val="3B3B3C"/>
      <w:sz w:val="20"/>
      <w:szCs w:val="20"/>
    </w:rPr>
  </w:style>
  <w:style w:type="character" w:customStyle="1" w:styleId="ItadtablestyleChar">
    <w:name w:val="Itad table style Char"/>
    <w:basedOn w:val="DefaultParagraphFont"/>
    <w:link w:val="Itadtablestyle"/>
    <w:rsid w:val="7B019E13"/>
    <w:rPr>
      <w:rFonts w:ascii="Calibri" w:eastAsiaTheme="minorEastAsia" w:hAnsi="Calibri" w:cs="Arial"/>
      <w:b/>
      <w:bCs/>
      <w:color w:val="767171" w:themeColor="background2" w:themeShade="80"/>
      <w:sz w:val="18"/>
      <w:szCs w:val="18"/>
      <w:lang w:eastAsia="en-GB"/>
    </w:rPr>
  </w:style>
  <w:style w:type="character" w:styleId="Mention">
    <w:name w:val="Mention"/>
    <w:basedOn w:val="DefaultParagraphFont"/>
    <w:uiPriority w:val="99"/>
    <w:unhideWhenUsed/>
    <w:rPr>
      <w:color w:val="2B579A"/>
      <w:shd w:val="clear" w:color="auto" w:fill="E6E6E6"/>
    </w:rPr>
  </w:style>
  <w:style w:type="paragraph" w:customStyle="1" w:styleId="TABLEREGULAR">
    <w:name w:val="TABLE REGULAR"/>
    <w:basedOn w:val="Normal"/>
    <w:rsid w:val="516AEA60"/>
    <w:pPr>
      <w:spacing w:after="160" w:line="220" w:lineRule="atLeast"/>
    </w:pPr>
    <w:rPr>
      <w:rFonts w:ascii="TheSansSemiLight-Plain" w:hAnsi="TheSansSemiLight-Plain" w:cs="TheSansSemiLight-Plain"/>
      <w:color w:val="000000" w:themeColor="text1"/>
      <w:sz w:val="18"/>
      <w:szCs w:val="18"/>
      <w:lang w:val="en-US" w:eastAsia="en-US"/>
    </w:rPr>
  </w:style>
  <w:style w:type="character" w:customStyle="1" w:styleId="normaltextrun">
    <w:name w:val="normaltextrun"/>
    <w:basedOn w:val="DefaultParagraphFont"/>
    <w:rsid w:val="516AEA60"/>
  </w:style>
  <w:style w:type="paragraph" w:customStyle="1" w:styleId="ItadH1">
    <w:name w:val="Itad H1"/>
    <w:basedOn w:val="Normal"/>
    <w:link w:val="ItadH1Char"/>
    <w:qFormat/>
    <w:rsid w:val="1D15E445"/>
    <w:pPr>
      <w:tabs>
        <w:tab w:val="left" w:pos="1418"/>
      </w:tabs>
      <w:spacing w:before="120" w:after="120" w:line="259" w:lineRule="auto"/>
      <w:outlineLvl w:val="0"/>
    </w:pPr>
    <w:rPr>
      <w:rFonts w:ascii="Calibri" w:eastAsiaTheme="minorEastAsia" w:hAnsi="Calibri" w:cs="Arial"/>
      <w:b/>
      <w:bCs/>
      <w:color w:val="44546A" w:themeColor="text2"/>
      <w:sz w:val="32"/>
      <w:szCs w:val="32"/>
      <w:lang w:val="en-US" w:eastAsia="en-US"/>
    </w:rPr>
  </w:style>
  <w:style w:type="character" w:customStyle="1" w:styleId="ItadH1Char">
    <w:name w:val="Itad H1 Char"/>
    <w:basedOn w:val="DefaultParagraphFont"/>
    <w:link w:val="ItadH1"/>
    <w:rsid w:val="1D15E445"/>
    <w:rPr>
      <w:rFonts w:ascii="Calibri" w:eastAsiaTheme="minorEastAsia" w:hAnsi="Calibri" w:cs="Arial"/>
      <w:b/>
      <w:bCs/>
      <w:color w:val="44546A" w:themeColor="text2"/>
      <w:sz w:val="32"/>
      <w:szCs w:val="32"/>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577802"/>
    <w:pPr>
      <w:spacing w:before="100" w:beforeAutospacing="1" w:after="100" w:afterAutospacing="1"/>
    </w:pPr>
  </w:style>
  <w:style w:type="character" w:styleId="Emphasis">
    <w:name w:val="Emphasis"/>
    <w:basedOn w:val="DefaultParagraphFont"/>
    <w:uiPriority w:val="20"/>
    <w:qFormat/>
    <w:rsid w:val="00577802"/>
    <w:rPr>
      <w:i/>
      <w:iCs/>
    </w:rPr>
  </w:style>
  <w:style w:type="paragraph" w:customStyle="1" w:styleId="paragraph">
    <w:name w:val="paragraph"/>
    <w:basedOn w:val="Normal"/>
    <w:rsid w:val="003F5D66"/>
    <w:pPr>
      <w:spacing w:before="100" w:beforeAutospacing="1" w:after="100" w:afterAutospacing="1"/>
    </w:pPr>
  </w:style>
  <w:style w:type="character" w:customStyle="1" w:styleId="eop">
    <w:name w:val="eop"/>
    <w:basedOn w:val="DefaultParagraphFont"/>
    <w:rsid w:val="003F5D66"/>
  </w:style>
  <w:style w:type="character" w:customStyle="1" w:styleId="Heading3Char">
    <w:name w:val="Heading 3 Char"/>
    <w:basedOn w:val="DefaultParagraphFont"/>
    <w:link w:val="Heading3"/>
    <w:uiPriority w:val="9"/>
    <w:rsid w:val="0071787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296021"/>
    <w:pPr>
      <w:spacing w:before="480" w:line="276" w:lineRule="auto"/>
      <w:outlineLvl w:val="9"/>
    </w:pPr>
    <w:rPr>
      <w:b/>
      <w:bCs/>
      <w:sz w:val="28"/>
      <w:szCs w:val="28"/>
    </w:rPr>
  </w:style>
  <w:style w:type="paragraph" w:styleId="TOC1">
    <w:name w:val="toc 1"/>
    <w:basedOn w:val="Normal"/>
    <w:next w:val="Normal"/>
    <w:autoRedefine/>
    <w:uiPriority w:val="39"/>
    <w:unhideWhenUsed/>
    <w:rsid w:val="00296021"/>
    <w:pPr>
      <w:spacing w:before="120" w:line="259" w:lineRule="auto"/>
    </w:pPr>
    <w:rPr>
      <w:rFonts w:asciiTheme="minorHAnsi" w:eastAsiaTheme="minorHAnsi" w:hAnsiTheme="minorHAnsi" w:cstheme="minorHAnsi"/>
      <w:b/>
      <w:bCs/>
      <w:i/>
      <w:iCs/>
      <w:lang w:val="en-US" w:eastAsia="en-US"/>
    </w:rPr>
  </w:style>
  <w:style w:type="paragraph" w:styleId="TOC2">
    <w:name w:val="toc 2"/>
    <w:basedOn w:val="Normal"/>
    <w:next w:val="Normal"/>
    <w:autoRedefine/>
    <w:uiPriority w:val="39"/>
    <w:unhideWhenUsed/>
    <w:rsid w:val="00296021"/>
    <w:pPr>
      <w:spacing w:before="120" w:line="259" w:lineRule="auto"/>
      <w:ind w:left="220"/>
    </w:pPr>
    <w:rPr>
      <w:rFonts w:asciiTheme="minorHAnsi" w:eastAsiaTheme="minorHAnsi" w:hAnsiTheme="minorHAnsi" w:cstheme="minorHAnsi"/>
      <w:b/>
      <w:bCs/>
      <w:sz w:val="22"/>
      <w:szCs w:val="22"/>
      <w:lang w:val="en-US" w:eastAsia="en-US"/>
    </w:rPr>
  </w:style>
  <w:style w:type="paragraph" w:styleId="TOC3">
    <w:name w:val="toc 3"/>
    <w:basedOn w:val="Normal"/>
    <w:next w:val="Normal"/>
    <w:autoRedefine/>
    <w:uiPriority w:val="39"/>
    <w:unhideWhenUsed/>
    <w:rsid w:val="00296021"/>
    <w:pPr>
      <w:spacing w:line="259" w:lineRule="auto"/>
      <w:ind w:left="440"/>
    </w:pPr>
    <w:rPr>
      <w:rFonts w:asciiTheme="minorHAnsi" w:eastAsiaTheme="minorHAnsi" w:hAnsiTheme="minorHAnsi" w:cstheme="minorHAnsi"/>
      <w:sz w:val="20"/>
      <w:szCs w:val="20"/>
      <w:lang w:val="en-US" w:eastAsia="en-US"/>
    </w:rPr>
  </w:style>
  <w:style w:type="paragraph" w:styleId="TOC4">
    <w:name w:val="toc 4"/>
    <w:basedOn w:val="Normal"/>
    <w:next w:val="Normal"/>
    <w:autoRedefine/>
    <w:uiPriority w:val="39"/>
    <w:unhideWhenUsed/>
    <w:rsid w:val="00296021"/>
    <w:pPr>
      <w:spacing w:line="259" w:lineRule="auto"/>
      <w:ind w:left="660"/>
    </w:pPr>
    <w:rPr>
      <w:rFonts w:asciiTheme="minorHAnsi" w:eastAsiaTheme="minorHAnsi" w:hAnsiTheme="minorHAnsi" w:cstheme="minorHAnsi"/>
      <w:sz w:val="20"/>
      <w:szCs w:val="20"/>
      <w:lang w:val="en-US" w:eastAsia="en-US"/>
    </w:rPr>
  </w:style>
  <w:style w:type="paragraph" w:styleId="TOC5">
    <w:name w:val="toc 5"/>
    <w:basedOn w:val="Normal"/>
    <w:next w:val="Normal"/>
    <w:autoRedefine/>
    <w:uiPriority w:val="39"/>
    <w:unhideWhenUsed/>
    <w:rsid w:val="00296021"/>
    <w:pPr>
      <w:spacing w:line="259" w:lineRule="auto"/>
      <w:ind w:left="880"/>
    </w:pPr>
    <w:rPr>
      <w:rFonts w:asciiTheme="minorHAnsi" w:eastAsiaTheme="minorHAnsi" w:hAnsiTheme="minorHAnsi" w:cstheme="minorHAnsi"/>
      <w:sz w:val="20"/>
      <w:szCs w:val="20"/>
      <w:lang w:val="en-US" w:eastAsia="en-US"/>
    </w:rPr>
  </w:style>
  <w:style w:type="paragraph" w:styleId="TOC6">
    <w:name w:val="toc 6"/>
    <w:basedOn w:val="Normal"/>
    <w:next w:val="Normal"/>
    <w:autoRedefine/>
    <w:uiPriority w:val="39"/>
    <w:unhideWhenUsed/>
    <w:rsid w:val="00296021"/>
    <w:pPr>
      <w:spacing w:line="259" w:lineRule="auto"/>
      <w:ind w:left="1100"/>
    </w:pPr>
    <w:rPr>
      <w:rFonts w:asciiTheme="minorHAnsi" w:eastAsiaTheme="minorHAnsi" w:hAnsiTheme="minorHAnsi" w:cstheme="minorHAnsi"/>
      <w:sz w:val="20"/>
      <w:szCs w:val="20"/>
      <w:lang w:val="en-US" w:eastAsia="en-US"/>
    </w:rPr>
  </w:style>
  <w:style w:type="paragraph" w:styleId="TOC7">
    <w:name w:val="toc 7"/>
    <w:basedOn w:val="Normal"/>
    <w:next w:val="Normal"/>
    <w:autoRedefine/>
    <w:uiPriority w:val="39"/>
    <w:unhideWhenUsed/>
    <w:rsid w:val="00296021"/>
    <w:pPr>
      <w:spacing w:line="259" w:lineRule="auto"/>
      <w:ind w:left="1320"/>
    </w:pPr>
    <w:rPr>
      <w:rFonts w:asciiTheme="minorHAnsi" w:eastAsiaTheme="minorHAnsi" w:hAnsiTheme="minorHAnsi" w:cstheme="minorHAnsi"/>
      <w:sz w:val="20"/>
      <w:szCs w:val="20"/>
      <w:lang w:val="en-US" w:eastAsia="en-US"/>
    </w:rPr>
  </w:style>
  <w:style w:type="paragraph" w:styleId="TOC8">
    <w:name w:val="toc 8"/>
    <w:basedOn w:val="Normal"/>
    <w:next w:val="Normal"/>
    <w:autoRedefine/>
    <w:uiPriority w:val="39"/>
    <w:unhideWhenUsed/>
    <w:rsid w:val="00296021"/>
    <w:pPr>
      <w:spacing w:line="259" w:lineRule="auto"/>
      <w:ind w:left="1540"/>
    </w:pPr>
    <w:rPr>
      <w:rFonts w:asciiTheme="minorHAnsi" w:eastAsiaTheme="minorHAnsi" w:hAnsiTheme="minorHAnsi" w:cstheme="minorHAnsi"/>
      <w:sz w:val="20"/>
      <w:szCs w:val="20"/>
      <w:lang w:val="en-US" w:eastAsia="en-US"/>
    </w:rPr>
  </w:style>
  <w:style w:type="paragraph" w:styleId="TOC9">
    <w:name w:val="toc 9"/>
    <w:basedOn w:val="Normal"/>
    <w:next w:val="Normal"/>
    <w:autoRedefine/>
    <w:uiPriority w:val="39"/>
    <w:unhideWhenUsed/>
    <w:rsid w:val="00296021"/>
    <w:pPr>
      <w:spacing w:line="259" w:lineRule="auto"/>
      <w:ind w:left="1760"/>
    </w:pPr>
    <w:rPr>
      <w:rFonts w:asciiTheme="minorHAnsi" w:eastAsiaTheme="minorHAnsi" w:hAnsiTheme="minorHAnsi" w:cstheme="minorHAnsi"/>
      <w:sz w:val="20"/>
      <w:szCs w:val="20"/>
      <w:lang w:val="en-US" w:eastAsia="en-US"/>
    </w:rPr>
  </w:style>
  <w:style w:type="character" w:customStyle="1" w:styleId="Heading5Char">
    <w:name w:val="Heading 5 Char"/>
    <w:basedOn w:val="DefaultParagraphFont"/>
    <w:link w:val="Heading5"/>
    <w:uiPriority w:val="9"/>
    <w:rsid w:val="00B631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631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E4A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3E4A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E4A9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C02C0"/>
    <w:pPr>
      <w:spacing w:after="0" w:line="240" w:lineRule="auto"/>
    </w:pPr>
    <w:rPr>
      <w:rFonts w:ascii="Times New Roman" w:eastAsia="Times New Roman" w:hAnsi="Times New Roman" w:cs="Times New Roman"/>
      <w:sz w:val="24"/>
      <w:szCs w:val="24"/>
      <w:lang w:val="en-GB" w:eastAsia="en-GB"/>
    </w:rPr>
  </w:style>
  <w:style w:type="character" w:customStyle="1" w:styleId="mark71xdbx74e">
    <w:name w:val="mark71xdbx74e"/>
    <w:basedOn w:val="DefaultParagraphFont"/>
    <w:rsid w:val="00851013"/>
  </w:style>
  <w:style w:type="character" w:customStyle="1" w:styleId="21sno">
    <w:name w:val="_21sno"/>
    <w:basedOn w:val="DefaultParagraphFont"/>
    <w:rsid w:val="00D067D6"/>
  </w:style>
  <w:style w:type="character" w:styleId="UnresolvedMention">
    <w:name w:val="Unresolved Mention"/>
    <w:basedOn w:val="DefaultParagraphFont"/>
    <w:uiPriority w:val="99"/>
    <w:semiHidden/>
    <w:unhideWhenUsed/>
    <w:rsid w:val="00A537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6777"/>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166777"/>
    <w:rPr>
      <w:rFonts w:ascii="Times New Roman" w:eastAsia="Times New Roman" w:hAnsi="Times New Roman" w:cs="Times New Roman"/>
      <w:b/>
      <w:bCs/>
      <w:sz w:val="20"/>
      <w:szCs w:val="20"/>
      <w:lang w:val="en-GB" w:eastAsia="en-GB"/>
    </w:rPr>
  </w:style>
  <w:style w:type="paragraph" w:customStyle="1" w:styleId="Default">
    <w:name w:val="Default"/>
    <w:rsid w:val="00516BD4"/>
    <w:pPr>
      <w:autoSpaceDE w:val="0"/>
      <w:autoSpaceDN w:val="0"/>
      <w:adjustRightInd w:val="0"/>
      <w:spacing w:after="0" w:line="240" w:lineRule="auto"/>
    </w:pPr>
    <w:rPr>
      <w:rFonts w:ascii="Calibri" w:hAnsi="Calibri" w:cs="Calibri"/>
      <w:color w:val="000000"/>
      <w:sz w:val="24"/>
      <w:szCs w:val="24"/>
    </w:rPr>
  </w:style>
  <w:style w:type="character" w:styleId="EndnoteReference">
    <w:name w:val="endnote reference"/>
    <w:basedOn w:val="DefaultParagraphFont"/>
    <w:uiPriority w:val="99"/>
    <w:semiHidden/>
    <w:unhideWhenUsed/>
    <w:rPr>
      <w:vertAlign w:val="superscript"/>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ParagraphStyle">
    <w:name w:val="[No Paragraph Style]"/>
    <w:basedOn w:val="Normal"/>
    <w:uiPriority w:val="1"/>
    <w:rsid w:val="5CF61BAE"/>
    <w:pPr>
      <w:widowControl w:val="0"/>
    </w:pPr>
    <w:rPr>
      <w:rFonts w:ascii="MinionPro-Regular" w:hAnsi="MinionPro-Regular" w:cs="MinionPro-Regular"/>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400">
      <w:bodyDiv w:val="1"/>
      <w:marLeft w:val="0"/>
      <w:marRight w:val="0"/>
      <w:marTop w:val="0"/>
      <w:marBottom w:val="0"/>
      <w:divBdr>
        <w:top w:val="none" w:sz="0" w:space="0" w:color="auto"/>
        <w:left w:val="none" w:sz="0" w:space="0" w:color="auto"/>
        <w:bottom w:val="none" w:sz="0" w:space="0" w:color="auto"/>
        <w:right w:val="none" w:sz="0" w:space="0" w:color="auto"/>
      </w:divBdr>
    </w:div>
    <w:div w:id="91751564">
      <w:bodyDiv w:val="1"/>
      <w:marLeft w:val="0"/>
      <w:marRight w:val="0"/>
      <w:marTop w:val="0"/>
      <w:marBottom w:val="0"/>
      <w:divBdr>
        <w:top w:val="none" w:sz="0" w:space="0" w:color="auto"/>
        <w:left w:val="none" w:sz="0" w:space="0" w:color="auto"/>
        <w:bottom w:val="none" w:sz="0" w:space="0" w:color="auto"/>
        <w:right w:val="none" w:sz="0" w:space="0" w:color="auto"/>
      </w:divBdr>
    </w:div>
    <w:div w:id="189033898">
      <w:bodyDiv w:val="1"/>
      <w:marLeft w:val="0"/>
      <w:marRight w:val="0"/>
      <w:marTop w:val="0"/>
      <w:marBottom w:val="0"/>
      <w:divBdr>
        <w:top w:val="none" w:sz="0" w:space="0" w:color="auto"/>
        <w:left w:val="none" w:sz="0" w:space="0" w:color="auto"/>
        <w:bottom w:val="none" w:sz="0" w:space="0" w:color="auto"/>
        <w:right w:val="none" w:sz="0" w:space="0" w:color="auto"/>
      </w:divBdr>
    </w:div>
    <w:div w:id="284043643">
      <w:bodyDiv w:val="1"/>
      <w:marLeft w:val="0"/>
      <w:marRight w:val="0"/>
      <w:marTop w:val="0"/>
      <w:marBottom w:val="0"/>
      <w:divBdr>
        <w:top w:val="none" w:sz="0" w:space="0" w:color="auto"/>
        <w:left w:val="none" w:sz="0" w:space="0" w:color="auto"/>
        <w:bottom w:val="none" w:sz="0" w:space="0" w:color="auto"/>
        <w:right w:val="none" w:sz="0" w:space="0" w:color="auto"/>
      </w:divBdr>
    </w:div>
    <w:div w:id="301738292">
      <w:bodyDiv w:val="1"/>
      <w:marLeft w:val="0"/>
      <w:marRight w:val="0"/>
      <w:marTop w:val="0"/>
      <w:marBottom w:val="0"/>
      <w:divBdr>
        <w:top w:val="none" w:sz="0" w:space="0" w:color="auto"/>
        <w:left w:val="none" w:sz="0" w:space="0" w:color="auto"/>
        <w:bottom w:val="none" w:sz="0" w:space="0" w:color="auto"/>
        <w:right w:val="none" w:sz="0" w:space="0" w:color="auto"/>
      </w:divBdr>
    </w:div>
    <w:div w:id="564800257">
      <w:bodyDiv w:val="1"/>
      <w:marLeft w:val="0"/>
      <w:marRight w:val="0"/>
      <w:marTop w:val="0"/>
      <w:marBottom w:val="0"/>
      <w:divBdr>
        <w:top w:val="none" w:sz="0" w:space="0" w:color="auto"/>
        <w:left w:val="none" w:sz="0" w:space="0" w:color="auto"/>
        <w:bottom w:val="none" w:sz="0" w:space="0" w:color="auto"/>
        <w:right w:val="none" w:sz="0" w:space="0" w:color="auto"/>
      </w:divBdr>
      <w:divsChild>
        <w:div w:id="1199589091">
          <w:marLeft w:val="0"/>
          <w:marRight w:val="0"/>
          <w:marTop w:val="0"/>
          <w:marBottom w:val="0"/>
          <w:divBdr>
            <w:top w:val="none" w:sz="0" w:space="0" w:color="auto"/>
            <w:left w:val="none" w:sz="0" w:space="0" w:color="auto"/>
            <w:bottom w:val="none" w:sz="0" w:space="0" w:color="auto"/>
            <w:right w:val="none" w:sz="0" w:space="0" w:color="auto"/>
          </w:divBdr>
          <w:divsChild>
            <w:div w:id="756482080">
              <w:marLeft w:val="0"/>
              <w:marRight w:val="0"/>
              <w:marTop w:val="0"/>
              <w:marBottom w:val="0"/>
              <w:divBdr>
                <w:top w:val="none" w:sz="0" w:space="0" w:color="auto"/>
                <w:left w:val="none" w:sz="0" w:space="0" w:color="auto"/>
                <w:bottom w:val="none" w:sz="0" w:space="0" w:color="auto"/>
                <w:right w:val="none" w:sz="0" w:space="0" w:color="auto"/>
              </w:divBdr>
            </w:div>
          </w:divsChild>
        </w:div>
        <w:div w:id="478886630">
          <w:marLeft w:val="0"/>
          <w:marRight w:val="0"/>
          <w:marTop w:val="60"/>
          <w:marBottom w:val="0"/>
          <w:divBdr>
            <w:top w:val="none" w:sz="0" w:space="0" w:color="auto"/>
            <w:left w:val="none" w:sz="0" w:space="0" w:color="auto"/>
            <w:bottom w:val="none" w:sz="0" w:space="0" w:color="auto"/>
            <w:right w:val="none" w:sz="0" w:space="0" w:color="auto"/>
          </w:divBdr>
        </w:div>
      </w:divsChild>
    </w:div>
    <w:div w:id="658532664">
      <w:bodyDiv w:val="1"/>
      <w:marLeft w:val="0"/>
      <w:marRight w:val="0"/>
      <w:marTop w:val="0"/>
      <w:marBottom w:val="0"/>
      <w:divBdr>
        <w:top w:val="none" w:sz="0" w:space="0" w:color="auto"/>
        <w:left w:val="none" w:sz="0" w:space="0" w:color="auto"/>
        <w:bottom w:val="none" w:sz="0" w:space="0" w:color="auto"/>
        <w:right w:val="none" w:sz="0" w:space="0" w:color="auto"/>
      </w:divBdr>
      <w:divsChild>
        <w:div w:id="2029670338">
          <w:marLeft w:val="0"/>
          <w:marRight w:val="0"/>
          <w:marTop w:val="0"/>
          <w:marBottom w:val="0"/>
          <w:divBdr>
            <w:top w:val="none" w:sz="0" w:space="0" w:color="auto"/>
            <w:left w:val="none" w:sz="0" w:space="0" w:color="auto"/>
            <w:bottom w:val="none" w:sz="0" w:space="0" w:color="auto"/>
            <w:right w:val="none" w:sz="0" w:space="0" w:color="auto"/>
          </w:divBdr>
          <w:divsChild>
            <w:div w:id="2035762064">
              <w:marLeft w:val="0"/>
              <w:marRight w:val="0"/>
              <w:marTop w:val="0"/>
              <w:marBottom w:val="0"/>
              <w:divBdr>
                <w:top w:val="none" w:sz="0" w:space="0" w:color="auto"/>
                <w:left w:val="none" w:sz="0" w:space="0" w:color="auto"/>
                <w:bottom w:val="none" w:sz="0" w:space="0" w:color="auto"/>
                <w:right w:val="none" w:sz="0" w:space="0" w:color="auto"/>
              </w:divBdr>
            </w:div>
          </w:divsChild>
        </w:div>
        <w:div w:id="1390496204">
          <w:marLeft w:val="0"/>
          <w:marRight w:val="0"/>
          <w:marTop w:val="60"/>
          <w:marBottom w:val="0"/>
          <w:divBdr>
            <w:top w:val="none" w:sz="0" w:space="0" w:color="auto"/>
            <w:left w:val="none" w:sz="0" w:space="0" w:color="auto"/>
            <w:bottom w:val="none" w:sz="0" w:space="0" w:color="auto"/>
            <w:right w:val="none" w:sz="0" w:space="0" w:color="auto"/>
          </w:divBdr>
        </w:div>
      </w:divsChild>
    </w:div>
    <w:div w:id="668756739">
      <w:bodyDiv w:val="1"/>
      <w:marLeft w:val="0"/>
      <w:marRight w:val="0"/>
      <w:marTop w:val="0"/>
      <w:marBottom w:val="0"/>
      <w:divBdr>
        <w:top w:val="none" w:sz="0" w:space="0" w:color="auto"/>
        <w:left w:val="none" w:sz="0" w:space="0" w:color="auto"/>
        <w:bottom w:val="none" w:sz="0" w:space="0" w:color="auto"/>
        <w:right w:val="none" w:sz="0" w:space="0" w:color="auto"/>
      </w:divBdr>
    </w:div>
    <w:div w:id="745298745">
      <w:bodyDiv w:val="1"/>
      <w:marLeft w:val="0"/>
      <w:marRight w:val="0"/>
      <w:marTop w:val="0"/>
      <w:marBottom w:val="0"/>
      <w:divBdr>
        <w:top w:val="none" w:sz="0" w:space="0" w:color="auto"/>
        <w:left w:val="none" w:sz="0" w:space="0" w:color="auto"/>
        <w:bottom w:val="none" w:sz="0" w:space="0" w:color="auto"/>
        <w:right w:val="none" w:sz="0" w:space="0" w:color="auto"/>
      </w:divBdr>
    </w:div>
    <w:div w:id="752506442">
      <w:bodyDiv w:val="1"/>
      <w:marLeft w:val="0"/>
      <w:marRight w:val="0"/>
      <w:marTop w:val="0"/>
      <w:marBottom w:val="0"/>
      <w:divBdr>
        <w:top w:val="none" w:sz="0" w:space="0" w:color="auto"/>
        <w:left w:val="none" w:sz="0" w:space="0" w:color="auto"/>
        <w:bottom w:val="none" w:sz="0" w:space="0" w:color="auto"/>
        <w:right w:val="none" w:sz="0" w:space="0" w:color="auto"/>
      </w:divBdr>
    </w:div>
    <w:div w:id="785660007">
      <w:bodyDiv w:val="1"/>
      <w:marLeft w:val="0"/>
      <w:marRight w:val="0"/>
      <w:marTop w:val="0"/>
      <w:marBottom w:val="0"/>
      <w:divBdr>
        <w:top w:val="none" w:sz="0" w:space="0" w:color="auto"/>
        <w:left w:val="none" w:sz="0" w:space="0" w:color="auto"/>
        <w:bottom w:val="none" w:sz="0" w:space="0" w:color="auto"/>
        <w:right w:val="none" w:sz="0" w:space="0" w:color="auto"/>
      </w:divBdr>
    </w:div>
    <w:div w:id="792552762">
      <w:bodyDiv w:val="1"/>
      <w:marLeft w:val="0"/>
      <w:marRight w:val="0"/>
      <w:marTop w:val="0"/>
      <w:marBottom w:val="0"/>
      <w:divBdr>
        <w:top w:val="none" w:sz="0" w:space="0" w:color="auto"/>
        <w:left w:val="none" w:sz="0" w:space="0" w:color="auto"/>
        <w:bottom w:val="none" w:sz="0" w:space="0" w:color="auto"/>
        <w:right w:val="none" w:sz="0" w:space="0" w:color="auto"/>
      </w:divBdr>
    </w:div>
    <w:div w:id="815532099">
      <w:bodyDiv w:val="1"/>
      <w:marLeft w:val="0"/>
      <w:marRight w:val="0"/>
      <w:marTop w:val="0"/>
      <w:marBottom w:val="0"/>
      <w:divBdr>
        <w:top w:val="none" w:sz="0" w:space="0" w:color="auto"/>
        <w:left w:val="none" w:sz="0" w:space="0" w:color="auto"/>
        <w:bottom w:val="none" w:sz="0" w:space="0" w:color="auto"/>
        <w:right w:val="none" w:sz="0" w:space="0" w:color="auto"/>
      </w:divBdr>
    </w:div>
    <w:div w:id="843010755">
      <w:bodyDiv w:val="1"/>
      <w:marLeft w:val="0"/>
      <w:marRight w:val="0"/>
      <w:marTop w:val="0"/>
      <w:marBottom w:val="0"/>
      <w:divBdr>
        <w:top w:val="none" w:sz="0" w:space="0" w:color="auto"/>
        <w:left w:val="none" w:sz="0" w:space="0" w:color="auto"/>
        <w:bottom w:val="none" w:sz="0" w:space="0" w:color="auto"/>
        <w:right w:val="none" w:sz="0" w:space="0" w:color="auto"/>
      </w:divBdr>
    </w:div>
    <w:div w:id="858199510">
      <w:bodyDiv w:val="1"/>
      <w:marLeft w:val="0"/>
      <w:marRight w:val="0"/>
      <w:marTop w:val="0"/>
      <w:marBottom w:val="0"/>
      <w:divBdr>
        <w:top w:val="none" w:sz="0" w:space="0" w:color="auto"/>
        <w:left w:val="none" w:sz="0" w:space="0" w:color="auto"/>
        <w:bottom w:val="none" w:sz="0" w:space="0" w:color="auto"/>
        <w:right w:val="none" w:sz="0" w:space="0" w:color="auto"/>
      </w:divBdr>
    </w:div>
    <w:div w:id="990867836">
      <w:bodyDiv w:val="1"/>
      <w:marLeft w:val="0"/>
      <w:marRight w:val="0"/>
      <w:marTop w:val="0"/>
      <w:marBottom w:val="0"/>
      <w:divBdr>
        <w:top w:val="none" w:sz="0" w:space="0" w:color="auto"/>
        <w:left w:val="none" w:sz="0" w:space="0" w:color="auto"/>
        <w:bottom w:val="none" w:sz="0" w:space="0" w:color="auto"/>
        <w:right w:val="none" w:sz="0" w:space="0" w:color="auto"/>
      </w:divBdr>
    </w:div>
    <w:div w:id="999621855">
      <w:bodyDiv w:val="1"/>
      <w:marLeft w:val="0"/>
      <w:marRight w:val="0"/>
      <w:marTop w:val="0"/>
      <w:marBottom w:val="0"/>
      <w:divBdr>
        <w:top w:val="none" w:sz="0" w:space="0" w:color="auto"/>
        <w:left w:val="none" w:sz="0" w:space="0" w:color="auto"/>
        <w:bottom w:val="none" w:sz="0" w:space="0" w:color="auto"/>
        <w:right w:val="none" w:sz="0" w:space="0" w:color="auto"/>
      </w:divBdr>
    </w:div>
    <w:div w:id="1052342191">
      <w:bodyDiv w:val="1"/>
      <w:marLeft w:val="0"/>
      <w:marRight w:val="0"/>
      <w:marTop w:val="0"/>
      <w:marBottom w:val="0"/>
      <w:divBdr>
        <w:top w:val="none" w:sz="0" w:space="0" w:color="auto"/>
        <w:left w:val="none" w:sz="0" w:space="0" w:color="auto"/>
        <w:bottom w:val="none" w:sz="0" w:space="0" w:color="auto"/>
        <w:right w:val="none" w:sz="0" w:space="0" w:color="auto"/>
      </w:divBdr>
    </w:div>
    <w:div w:id="1106461731">
      <w:bodyDiv w:val="1"/>
      <w:marLeft w:val="0"/>
      <w:marRight w:val="0"/>
      <w:marTop w:val="0"/>
      <w:marBottom w:val="0"/>
      <w:divBdr>
        <w:top w:val="none" w:sz="0" w:space="0" w:color="auto"/>
        <w:left w:val="none" w:sz="0" w:space="0" w:color="auto"/>
        <w:bottom w:val="none" w:sz="0" w:space="0" w:color="auto"/>
        <w:right w:val="none" w:sz="0" w:space="0" w:color="auto"/>
      </w:divBdr>
    </w:div>
    <w:div w:id="1217476381">
      <w:bodyDiv w:val="1"/>
      <w:marLeft w:val="0"/>
      <w:marRight w:val="0"/>
      <w:marTop w:val="0"/>
      <w:marBottom w:val="0"/>
      <w:divBdr>
        <w:top w:val="none" w:sz="0" w:space="0" w:color="auto"/>
        <w:left w:val="none" w:sz="0" w:space="0" w:color="auto"/>
        <w:bottom w:val="none" w:sz="0" w:space="0" w:color="auto"/>
        <w:right w:val="none" w:sz="0" w:space="0" w:color="auto"/>
      </w:divBdr>
    </w:div>
    <w:div w:id="1277129854">
      <w:bodyDiv w:val="1"/>
      <w:marLeft w:val="0"/>
      <w:marRight w:val="0"/>
      <w:marTop w:val="0"/>
      <w:marBottom w:val="0"/>
      <w:divBdr>
        <w:top w:val="none" w:sz="0" w:space="0" w:color="auto"/>
        <w:left w:val="none" w:sz="0" w:space="0" w:color="auto"/>
        <w:bottom w:val="none" w:sz="0" w:space="0" w:color="auto"/>
        <w:right w:val="none" w:sz="0" w:space="0" w:color="auto"/>
      </w:divBdr>
      <w:divsChild>
        <w:div w:id="1826119330">
          <w:marLeft w:val="0"/>
          <w:marRight w:val="0"/>
          <w:marTop w:val="0"/>
          <w:marBottom w:val="0"/>
          <w:divBdr>
            <w:top w:val="none" w:sz="0" w:space="0" w:color="auto"/>
            <w:left w:val="none" w:sz="0" w:space="0" w:color="auto"/>
            <w:bottom w:val="none" w:sz="0" w:space="0" w:color="auto"/>
            <w:right w:val="none" w:sz="0" w:space="0" w:color="auto"/>
          </w:divBdr>
          <w:divsChild>
            <w:div w:id="1397435038">
              <w:marLeft w:val="0"/>
              <w:marRight w:val="0"/>
              <w:marTop w:val="0"/>
              <w:marBottom w:val="0"/>
              <w:divBdr>
                <w:top w:val="none" w:sz="0" w:space="0" w:color="auto"/>
                <w:left w:val="none" w:sz="0" w:space="0" w:color="auto"/>
                <w:bottom w:val="none" w:sz="0" w:space="0" w:color="auto"/>
                <w:right w:val="none" w:sz="0" w:space="0" w:color="auto"/>
              </w:divBdr>
            </w:div>
            <w:div w:id="94131112">
              <w:marLeft w:val="0"/>
              <w:marRight w:val="0"/>
              <w:marTop w:val="0"/>
              <w:marBottom w:val="0"/>
              <w:divBdr>
                <w:top w:val="none" w:sz="0" w:space="0" w:color="auto"/>
                <w:left w:val="none" w:sz="0" w:space="0" w:color="auto"/>
                <w:bottom w:val="none" w:sz="0" w:space="0" w:color="auto"/>
                <w:right w:val="none" w:sz="0" w:space="0" w:color="auto"/>
              </w:divBdr>
            </w:div>
          </w:divsChild>
        </w:div>
        <w:div w:id="2099325183">
          <w:marLeft w:val="0"/>
          <w:marRight w:val="0"/>
          <w:marTop w:val="0"/>
          <w:marBottom w:val="0"/>
          <w:divBdr>
            <w:top w:val="none" w:sz="0" w:space="0" w:color="auto"/>
            <w:left w:val="none" w:sz="0" w:space="0" w:color="auto"/>
            <w:bottom w:val="none" w:sz="0" w:space="0" w:color="auto"/>
            <w:right w:val="none" w:sz="0" w:space="0" w:color="auto"/>
          </w:divBdr>
          <w:divsChild>
            <w:div w:id="166481375">
              <w:marLeft w:val="0"/>
              <w:marRight w:val="0"/>
              <w:marTop w:val="0"/>
              <w:marBottom w:val="0"/>
              <w:divBdr>
                <w:top w:val="none" w:sz="0" w:space="0" w:color="auto"/>
                <w:left w:val="none" w:sz="0" w:space="0" w:color="auto"/>
                <w:bottom w:val="none" w:sz="0" w:space="0" w:color="auto"/>
                <w:right w:val="none" w:sz="0" w:space="0" w:color="auto"/>
              </w:divBdr>
            </w:div>
            <w:div w:id="340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162">
      <w:bodyDiv w:val="1"/>
      <w:marLeft w:val="0"/>
      <w:marRight w:val="0"/>
      <w:marTop w:val="0"/>
      <w:marBottom w:val="0"/>
      <w:divBdr>
        <w:top w:val="none" w:sz="0" w:space="0" w:color="auto"/>
        <w:left w:val="none" w:sz="0" w:space="0" w:color="auto"/>
        <w:bottom w:val="none" w:sz="0" w:space="0" w:color="auto"/>
        <w:right w:val="none" w:sz="0" w:space="0" w:color="auto"/>
      </w:divBdr>
    </w:div>
    <w:div w:id="1403987404">
      <w:bodyDiv w:val="1"/>
      <w:marLeft w:val="0"/>
      <w:marRight w:val="0"/>
      <w:marTop w:val="0"/>
      <w:marBottom w:val="0"/>
      <w:divBdr>
        <w:top w:val="none" w:sz="0" w:space="0" w:color="auto"/>
        <w:left w:val="none" w:sz="0" w:space="0" w:color="auto"/>
        <w:bottom w:val="none" w:sz="0" w:space="0" w:color="auto"/>
        <w:right w:val="none" w:sz="0" w:space="0" w:color="auto"/>
      </w:divBdr>
      <w:divsChild>
        <w:div w:id="1650591063">
          <w:marLeft w:val="0"/>
          <w:marRight w:val="0"/>
          <w:marTop w:val="0"/>
          <w:marBottom w:val="0"/>
          <w:divBdr>
            <w:top w:val="none" w:sz="0" w:space="0" w:color="auto"/>
            <w:left w:val="none" w:sz="0" w:space="0" w:color="auto"/>
            <w:bottom w:val="none" w:sz="0" w:space="0" w:color="auto"/>
            <w:right w:val="none" w:sz="0" w:space="0" w:color="auto"/>
          </w:divBdr>
        </w:div>
        <w:div w:id="1406680446">
          <w:marLeft w:val="0"/>
          <w:marRight w:val="0"/>
          <w:marTop w:val="0"/>
          <w:marBottom w:val="0"/>
          <w:divBdr>
            <w:top w:val="none" w:sz="0" w:space="0" w:color="auto"/>
            <w:left w:val="none" w:sz="0" w:space="0" w:color="auto"/>
            <w:bottom w:val="none" w:sz="0" w:space="0" w:color="auto"/>
            <w:right w:val="none" w:sz="0" w:space="0" w:color="auto"/>
          </w:divBdr>
        </w:div>
        <w:div w:id="570116973">
          <w:marLeft w:val="0"/>
          <w:marRight w:val="0"/>
          <w:marTop w:val="0"/>
          <w:marBottom w:val="0"/>
          <w:divBdr>
            <w:top w:val="none" w:sz="0" w:space="0" w:color="auto"/>
            <w:left w:val="none" w:sz="0" w:space="0" w:color="auto"/>
            <w:bottom w:val="none" w:sz="0" w:space="0" w:color="auto"/>
            <w:right w:val="none" w:sz="0" w:space="0" w:color="auto"/>
          </w:divBdr>
        </w:div>
        <w:div w:id="875854587">
          <w:marLeft w:val="0"/>
          <w:marRight w:val="0"/>
          <w:marTop w:val="0"/>
          <w:marBottom w:val="0"/>
          <w:divBdr>
            <w:top w:val="none" w:sz="0" w:space="0" w:color="auto"/>
            <w:left w:val="none" w:sz="0" w:space="0" w:color="auto"/>
            <w:bottom w:val="none" w:sz="0" w:space="0" w:color="auto"/>
            <w:right w:val="none" w:sz="0" w:space="0" w:color="auto"/>
          </w:divBdr>
        </w:div>
        <w:div w:id="667832450">
          <w:marLeft w:val="0"/>
          <w:marRight w:val="0"/>
          <w:marTop w:val="0"/>
          <w:marBottom w:val="0"/>
          <w:divBdr>
            <w:top w:val="none" w:sz="0" w:space="0" w:color="auto"/>
            <w:left w:val="none" w:sz="0" w:space="0" w:color="auto"/>
            <w:bottom w:val="none" w:sz="0" w:space="0" w:color="auto"/>
            <w:right w:val="none" w:sz="0" w:space="0" w:color="auto"/>
          </w:divBdr>
        </w:div>
        <w:div w:id="958340752">
          <w:marLeft w:val="0"/>
          <w:marRight w:val="0"/>
          <w:marTop w:val="0"/>
          <w:marBottom w:val="0"/>
          <w:divBdr>
            <w:top w:val="none" w:sz="0" w:space="0" w:color="auto"/>
            <w:left w:val="none" w:sz="0" w:space="0" w:color="auto"/>
            <w:bottom w:val="none" w:sz="0" w:space="0" w:color="auto"/>
            <w:right w:val="none" w:sz="0" w:space="0" w:color="auto"/>
          </w:divBdr>
        </w:div>
        <w:div w:id="152843490">
          <w:marLeft w:val="0"/>
          <w:marRight w:val="0"/>
          <w:marTop w:val="0"/>
          <w:marBottom w:val="0"/>
          <w:divBdr>
            <w:top w:val="none" w:sz="0" w:space="0" w:color="auto"/>
            <w:left w:val="none" w:sz="0" w:space="0" w:color="auto"/>
            <w:bottom w:val="none" w:sz="0" w:space="0" w:color="auto"/>
            <w:right w:val="none" w:sz="0" w:space="0" w:color="auto"/>
          </w:divBdr>
        </w:div>
        <w:div w:id="1804614836">
          <w:marLeft w:val="0"/>
          <w:marRight w:val="0"/>
          <w:marTop w:val="0"/>
          <w:marBottom w:val="0"/>
          <w:divBdr>
            <w:top w:val="none" w:sz="0" w:space="0" w:color="auto"/>
            <w:left w:val="none" w:sz="0" w:space="0" w:color="auto"/>
            <w:bottom w:val="none" w:sz="0" w:space="0" w:color="auto"/>
            <w:right w:val="none" w:sz="0" w:space="0" w:color="auto"/>
          </w:divBdr>
        </w:div>
        <w:div w:id="1589845651">
          <w:marLeft w:val="0"/>
          <w:marRight w:val="0"/>
          <w:marTop w:val="0"/>
          <w:marBottom w:val="0"/>
          <w:divBdr>
            <w:top w:val="none" w:sz="0" w:space="0" w:color="auto"/>
            <w:left w:val="none" w:sz="0" w:space="0" w:color="auto"/>
            <w:bottom w:val="none" w:sz="0" w:space="0" w:color="auto"/>
            <w:right w:val="none" w:sz="0" w:space="0" w:color="auto"/>
          </w:divBdr>
        </w:div>
        <w:div w:id="1896969760">
          <w:marLeft w:val="0"/>
          <w:marRight w:val="0"/>
          <w:marTop w:val="0"/>
          <w:marBottom w:val="0"/>
          <w:divBdr>
            <w:top w:val="none" w:sz="0" w:space="0" w:color="auto"/>
            <w:left w:val="none" w:sz="0" w:space="0" w:color="auto"/>
            <w:bottom w:val="none" w:sz="0" w:space="0" w:color="auto"/>
            <w:right w:val="none" w:sz="0" w:space="0" w:color="auto"/>
          </w:divBdr>
        </w:div>
        <w:div w:id="1269241290">
          <w:marLeft w:val="0"/>
          <w:marRight w:val="0"/>
          <w:marTop w:val="0"/>
          <w:marBottom w:val="0"/>
          <w:divBdr>
            <w:top w:val="none" w:sz="0" w:space="0" w:color="auto"/>
            <w:left w:val="none" w:sz="0" w:space="0" w:color="auto"/>
            <w:bottom w:val="none" w:sz="0" w:space="0" w:color="auto"/>
            <w:right w:val="none" w:sz="0" w:space="0" w:color="auto"/>
          </w:divBdr>
        </w:div>
        <w:div w:id="87040061">
          <w:marLeft w:val="0"/>
          <w:marRight w:val="0"/>
          <w:marTop w:val="0"/>
          <w:marBottom w:val="0"/>
          <w:divBdr>
            <w:top w:val="none" w:sz="0" w:space="0" w:color="auto"/>
            <w:left w:val="none" w:sz="0" w:space="0" w:color="auto"/>
            <w:bottom w:val="none" w:sz="0" w:space="0" w:color="auto"/>
            <w:right w:val="none" w:sz="0" w:space="0" w:color="auto"/>
          </w:divBdr>
        </w:div>
        <w:div w:id="1232233749">
          <w:marLeft w:val="0"/>
          <w:marRight w:val="0"/>
          <w:marTop w:val="0"/>
          <w:marBottom w:val="0"/>
          <w:divBdr>
            <w:top w:val="none" w:sz="0" w:space="0" w:color="auto"/>
            <w:left w:val="none" w:sz="0" w:space="0" w:color="auto"/>
            <w:bottom w:val="none" w:sz="0" w:space="0" w:color="auto"/>
            <w:right w:val="none" w:sz="0" w:space="0" w:color="auto"/>
          </w:divBdr>
        </w:div>
        <w:div w:id="1966035010">
          <w:marLeft w:val="0"/>
          <w:marRight w:val="0"/>
          <w:marTop w:val="0"/>
          <w:marBottom w:val="0"/>
          <w:divBdr>
            <w:top w:val="none" w:sz="0" w:space="0" w:color="auto"/>
            <w:left w:val="none" w:sz="0" w:space="0" w:color="auto"/>
            <w:bottom w:val="none" w:sz="0" w:space="0" w:color="auto"/>
            <w:right w:val="none" w:sz="0" w:space="0" w:color="auto"/>
          </w:divBdr>
        </w:div>
        <w:div w:id="39405145">
          <w:marLeft w:val="0"/>
          <w:marRight w:val="0"/>
          <w:marTop w:val="0"/>
          <w:marBottom w:val="0"/>
          <w:divBdr>
            <w:top w:val="none" w:sz="0" w:space="0" w:color="auto"/>
            <w:left w:val="none" w:sz="0" w:space="0" w:color="auto"/>
            <w:bottom w:val="none" w:sz="0" w:space="0" w:color="auto"/>
            <w:right w:val="none" w:sz="0" w:space="0" w:color="auto"/>
          </w:divBdr>
        </w:div>
        <w:div w:id="1426801882">
          <w:marLeft w:val="0"/>
          <w:marRight w:val="0"/>
          <w:marTop w:val="0"/>
          <w:marBottom w:val="0"/>
          <w:divBdr>
            <w:top w:val="none" w:sz="0" w:space="0" w:color="auto"/>
            <w:left w:val="none" w:sz="0" w:space="0" w:color="auto"/>
            <w:bottom w:val="none" w:sz="0" w:space="0" w:color="auto"/>
            <w:right w:val="none" w:sz="0" w:space="0" w:color="auto"/>
          </w:divBdr>
        </w:div>
        <w:div w:id="126432115">
          <w:marLeft w:val="0"/>
          <w:marRight w:val="0"/>
          <w:marTop w:val="0"/>
          <w:marBottom w:val="0"/>
          <w:divBdr>
            <w:top w:val="none" w:sz="0" w:space="0" w:color="auto"/>
            <w:left w:val="none" w:sz="0" w:space="0" w:color="auto"/>
            <w:bottom w:val="none" w:sz="0" w:space="0" w:color="auto"/>
            <w:right w:val="none" w:sz="0" w:space="0" w:color="auto"/>
          </w:divBdr>
        </w:div>
        <w:div w:id="1508863020">
          <w:marLeft w:val="0"/>
          <w:marRight w:val="0"/>
          <w:marTop w:val="0"/>
          <w:marBottom w:val="0"/>
          <w:divBdr>
            <w:top w:val="none" w:sz="0" w:space="0" w:color="auto"/>
            <w:left w:val="none" w:sz="0" w:space="0" w:color="auto"/>
            <w:bottom w:val="none" w:sz="0" w:space="0" w:color="auto"/>
            <w:right w:val="none" w:sz="0" w:space="0" w:color="auto"/>
          </w:divBdr>
        </w:div>
        <w:div w:id="106126098">
          <w:marLeft w:val="0"/>
          <w:marRight w:val="0"/>
          <w:marTop w:val="0"/>
          <w:marBottom w:val="0"/>
          <w:divBdr>
            <w:top w:val="none" w:sz="0" w:space="0" w:color="auto"/>
            <w:left w:val="none" w:sz="0" w:space="0" w:color="auto"/>
            <w:bottom w:val="none" w:sz="0" w:space="0" w:color="auto"/>
            <w:right w:val="none" w:sz="0" w:space="0" w:color="auto"/>
          </w:divBdr>
        </w:div>
        <w:div w:id="1926645267">
          <w:marLeft w:val="0"/>
          <w:marRight w:val="0"/>
          <w:marTop w:val="0"/>
          <w:marBottom w:val="0"/>
          <w:divBdr>
            <w:top w:val="none" w:sz="0" w:space="0" w:color="auto"/>
            <w:left w:val="none" w:sz="0" w:space="0" w:color="auto"/>
            <w:bottom w:val="none" w:sz="0" w:space="0" w:color="auto"/>
            <w:right w:val="none" w:sz="0" w:space="0" w:color="auto"/>
          </w:divBdr>
        </w:div>
        <w:div w:id="1364935814">
          <w:marLeft w:val="0"/>
          <w:marRight w:val="0"/>
          <w:marTop w:val="0"/>
          <w:marBottom w:val="0"/>
          <w:divBdr>
            <w:top w:val="none" w:sz="0" w:space="0" w:color="auto"/>
            <w:left w:val="none" w:sz="0" w:space="0" w:color="auto"/>
            <w:bottom w:val="none" w:sz="0" w:space="0" w:color="auto"/>
            <w:right w:val="none" w:sz="0" w:space="0" w:color="auto"/>
          </w:divBdr>
        </w:div>
        <w:div w:id="1977907835">
          <w:marLeft w:val="0"/>
          <w:marRight w:val="0"/>
          <w:marTop w:val="0"/>
          <w:marBottom w:val="0"/>
          <w:divBdr>
            <w:top w:val="none" w:sz="0" w:space="0" w:color="auto"/>
            <w:left w:val="none" w:sz="0" w:space="0" w:color="auto"/>
            <w:bottom w:val="none" w:sz="0" w:space="0" w:color="auto"/>
            <w:right w:val="none" w:sz="0" w:space="0" w:color="auto"/>
          </w:divBdr>
        </w:div>
        <w:div w:id="1628470082">
          <w:marLeft w:val="0"/>
          <w:marRight w:val="0"/>
          <w:marTop w:val="0"/>
          <w:marBottom w:val="0"/>
          <w:divBdr>
            <w:top w:val="none" w:sz="0" w:space="0" w:color="auto"/>
            <w:left w:val="none" w:sz="0" w:space="0" w:color="auto"/>
            <w:bottom w:val="none" w:sz="0" w:space="0" w:color="auto"/>
            <w:right w:val="none" w:sz="0" w:space="0" w:color="auto"/>
          </w:divBdr>
        </w:div>
        <w:div w:id="832260117">
          <w:marLeft w:val="0"/>
          <w:marRight w:val="0"/>
          <w:marTop w:val="0"/>
          <w:marBottom w:val="0"/>
          <w:divBdr>
            <w:top w:val="none" w:sz="0" w:space="0" w:color="auto"/>
            <w:left w:val="none" w:sz="0" w:space="0" w:color="auto"/>
            <w:bottom w:val="none" w:sz="0" w:space="0" w:color="auto"/>
            <w:right w:val="none" w:sz="0" w:space="0" w:color="auto"/>
          </w:divBdr>
        </w:div>
        <w:div w:id="2096972130">
          <w:marLeft w:val="0"/>
          <w:marRight w:val="0"/>
          <w:marTop w:val="0"/>
          <w:marBottom w:val="0"/>
          <w:divBdr>
            <w:top w:val="none" w:sz="0" w:space="0" w:color="auto"/>
            <w:left w:val="none" w:sz="0" w:space="0" w:color="auto"/>
            <w:bottom w:val="none" w:sz="0" w:space="0" w:color="auto"/>
            <w:right w:val="none" w:sz="0" w:space="0" w:color="auto"/>
          </w:divBdr>
        </w:div>
        <w:div w:id="1809545990">
          <w:marLeft w:val="0"/>
          <w:marRight w:val="0"/>
          <w:marTop w:val="0"/>
          <w:marBottom w:val="0"/>
          <w:divBdr>
            <w:top w:val="none" w:sz="0" w:space="0" w:color="auto"/>
            <w:left w:val="none" w:sz="0" w:space="0" w:color="auto"/>
            <w:bottom w:val="none" w:sz="0" w:space="0" w:color="auto"/>
            <w:right w:val="none" w:sz="0" w:space="0" w:color="auto"/>
          </w:divBdr>
        </w:div>
        <w:div w:id="846942391">
          <w:marLeft w:val="0"/>
          <w:marRight w:val="0"/>
          <w:marTop w:val="0"/>
          <w:marBottom w:val="0"/>
          <w:divBdr>
            <w:top w:val="none" w:sz="0" w:space="0" w:color="auto"/>
            <w:left w:val="none" w:sz="0" w:space="0" w:color="auto"/>
            <w:bottom w:val="none" w:sz="0" w:space="0" w:color="auto"/>
            <w:right w:val="none" w:sz="0" w:space="0" w:color="auto"/>
          </w:divBdr>
        </w:div>
        <w:div w:id="160580666">
          <w:marLeft w:val="0"/>
          <w:marRight w:val="0"/>
          <w:marTop w:val="0"/>
          <w:marBottom w:val="0"/>
          <w:divBdr>
            <w:top w:val="none" w:sz="0" w:space="0" w:color="auto"/>
            <w:left w:val="none" w:sz="0" w:space="0" w:color="auto"/>
            <w:bottom w:val="none" w:sz="0" w:space="0" w:color="auto"/>
            <w:right w:val="none" w:sz="0" w:space="0" w:color="auto"/>
          </w:divBdr>
        </w:div>
        <w:div w:id="2023318241">
          <w:marLeft w:val="0"/>
          <w:marRight w:val="0"/>
          <w:marTop w:val="0"/>
          <w:marBottom w:val="0"/>
          <w:divBdr>
            <w:top w:val="none" w:sz="0" w:space="0" w:color="auto"/>
            <w:left w:val="none" w:sz="0" w:space="0" w:color="auto"/>
            <w:bottom w:val="none" w:sz="0" w:space="0" w:color="auto"/>
            <w:right w:val="none" w:sz="0" w:space="0" w:color="auto"/>
          </w:divBdr>
        </w:div>
        <w:div w:id="2001692089">
          <w:marLeft w:val="0"/>
          <w:marRight w:val="0"/>
          <w:marTop w:val="0"/>
          <w:marBottom w:val="0"/>
          <w:divBdr>
            <w:top w:val="none" w:sz="0" w:space="0" w:color="auto"/>
            <w:left w:val="none" w:sz="0" w:space="0" w:color="auto"/>
            <w:bottom w:val="none" w:sz="0" w:space="0" w:color="auto"/>
            <w:right w:val="none" w:sz="0" w:space="0" w:color="auto"/>
          </w:divBdr>
        </w:div>
        <w:div w:id="52317065">
          <w:marLeft w:val="0"/>
          <w:marRight w:val="0"/>
          <w:marTop w:val="0"/>
          <w:marBottom w:val="0"/>
          <w:divBdr>
            <w:top w:val="none" w:sz="0" w:space="0" w:color="auto"/>
            <w:left w:val="none" w:sz="0" w:space="0" w:color="auto"/>
            <w:bottom w:val="none" w:sz="0" w:space="0" w:color="auto"/>
            <w:right w:val="none" w:sz="0" w:space="0" w:color="auto"/>
          </w:divBdr>
        </w:div>
        <w:div w:id="1488086785">
          <w:marLeft w:val="0"/>
          <w:marRight w:val="0"/>
          <w:marTop w:val="0"/>
          <w:marBottom w:val="0"/>
          <w:divBdr>
            <w:top w:val="none" w:sz="0" w:space="0" w:color="auto"/>
            <w:left w:val="none" w:sz="0" w:space="0" w:color="auto"/>
            <w:bottom w:val="none" w:sz="0" w:space="0" w:color="auto"/>
            <w:right w:val="none" w:sz="0" w:space="0" w:color="auto"/>
          </w:divBdr>
        </w:div>
        <w:div w:id="815995221">
          <w:marLeft w:val="0"/>
          <w:marRight w:val="0"/>
          <w:marTop w:val="0"/>
          <w:marBottom w:val="0"/>
          <w:divBdr>
            <w:top w:val="none" w:sz="0" w:space="0" w:color="auto"/>
            <w:left w:val="none" w:sz="0" w:space="0" w:color="auto"/>
            <w:bottom w:val="none" w:sz="0" w:space="0" w:color="auto"/>
            <w:right w:val="none" w:sz="0" w:space="0" w:color="auto"/>
          </w:divBdr>
        </w:div>
        <w:div w:id="1473060601">
          <w:marLeft w:val="0"/>
          <w:marRight w:val="0"/>
          <w:marTop w:val="0"/>
          <w:marBottom w:val="0"/>
          <w:divBdr>
            <w:top w:val="none" w:sz="0" w:space="0" w:color="auto"/>
            <w:left w:val="none" w:sz="0" w:space="0" w:color="auto"/>
            <w:bottom w:val="none" w:sz="0" w:space="0" w:color="auto"/>
            <w:right w:val="none" w:sz="0" w:space="0" w:color="auto"/>
          </w:divBdr>
        </w:div>
        <w:div w:id="1506935788">
          <w:marLeft w:val="0"/>
          <w:marRight w:val="0"/>
          <w:marTop w:val="0"/>
          <w:marBottom w:val="0"/>
          <w:divBdr>
            <w:top w:val="none" w:sz="0" w:space="0" w:color="auto"/>
            <w:left w:val="none" w:sz="0" w:space="0" w:color="auto"/>
            <w:bottom w:val="none" w:sz="0" w:space="0" w:color="auto"/>
            <w:right w:val="none" w:sz="0" w:space="0" w:color="auto"/>
          </w:divBdr>
        </w:div>
        <w:div w:id="1819497478">
          <w:marLeft w:val="0"/>
          <w:marRight w:val="0"/>
          <w:marTop w:val="0"/>
          <w:marBottom w:val="0"/>
          <w:divBdr>
            <w:top w:val="none" w:sz="0" w:space="0" w:color="auto"/>
            <w:left w:val="none" w:sz="0" w:space="0" w:color="auto"/>
            <w:bottom w:val="none" w:sz="0" w:space="0" w:color="auto"/>
            <w:right w:val="none" w:sz="0" w:space="0" w:color="auto"/>
          </w:divBdr>
        </w:div>
        <w:div w:id="350494426">
          <w:marLeft w:val="0"/>
          <w:marRight w:val="0"/>
          <w:marTop w:val="0"/>
          <w:marBottom w:val="0"/>
          <w:divBdr>
            <w:top w:val="none" w:sz="0" w:space="0" w:color="auto"/>
            <w:left w:val="none" w:sz="0" w:space="0" w:color="auto"/>
            <w:bottom w:val="none" w:sz="0" w:space="0" w:color="auto"/>
            <w:right w:val="none" w:sz="0" w:space="0" w:color="auto"/>
          </w:divBdr>
        </w:div>
        <w:div w:id="841435018">
          <w:marLeft w:val="0"/>
          <w:marRight w:val="0"/>
          <w:marTop w:val="0"/>
          <w:marBottom w:val="0"/>
          <w:divBdr>
            <w:top w:val="none" w:sz="0" w:space="0" w:color="auto"/>
            <w:left w:val="none" w:sz="0" w:space="0" w:color="auto"/>
            <w:bottom w:val="none" w:sz="0" w:space="0" w:color="auto"/>
            <w:right w:val="none" w:sz="0" w:space="0" w:color="auto"/>
          </w:divBdr>
        </w:div>
        <w:div w:id="180247460">
          <w:marLeft w:val="0"/>
          <w:marRight w:val="0"/>
          <w:marTop w:val="0"/>
          <w:marBottom w:val="0"/>
          <w:divBdr>
            <w:top w:val="none" w:sz="0" w:space="0" w:color="auto"/>
            <w:left w:val="none" w:sz="0" w:space="0" w:color="auto"/>
            <w:bottom w:val="none" w:sz="0" w:space="0" w:color="auto"/>
            <w:right w:val="none" w:sz="0" w:space="0" w:color="auto"/>
          </w:divBdr>
        </w:div>
        <w:div w:id="1132669375">
          <w:marLeft w:val="0"/>
          <w:marRight w:val="0"/>
          <w:marTop w:val="0"/>
          <w:marBottom w:val="0"/>
          <w:divBdr>
            <w:top w:val="none" w:sz="0" w:space="0" w:color="auto"/>
            <w:left w:val="none" w:sz="0" w:space="0" w:color="auto"/>
            <w:bottom w:val="none" w:sz="0" w:space="0" w:color="auto"/>
            <w:right w:val="none" w:sz="0" w:space="0" w:color="auto"/>
          </w:divBdr>
        </w:div>
        <w:div w:id="218134259">
          <w:marLeft w:val="0"/>
          <w:marRight w:val="0"/>
          <w:marTop w:val="0"/>
          <w:marBottom w:val="0"/>
          <w:divBdr>
            <w:top w:val="none" w:sz="0" w:space="0" w:color="auto"/>
            <w:left w:val="none" w:sz="0" w:space="0" w:color="auto"/>
            <w:bottom w:val="none" w:sz="0" w:space="0" w:color="auto"/>
            <w:right w:val="none" w:sz="0" w:space="0" w:color="auto"/>
          </w:divBdr>
        </w:div>
        <w:div w:id="2142965133">
          <w:marLeft w:val="0"/>
          <w:marRight w:val="0"/>
          <w:marTop w:val="0"/>
          <w:marBottom w:val="0"/>
          <w:divBdr>
            <w:top w:val="none" w:sz="0" w:space="0" w:color="auto"/>
            <w:left w:val="none" w:sz="0" w:space="0" w:color="auto"/>
            <w:bottom w:val="none" w:sz="0" w:space="0" w:color="auto"/>
            <w:right w:val="none" w:sz="0" w:space="0" w:color="auto"/>
          </w:divBdr>
        </w:div>
        <w:div w:id="1543636684">
          <w:marLeft w:val="0"/>
          <w:marRight w:val="0"/>
          <w:marTop w:val="0"/>
          <w:marBottom w:val="0"/>
          <w:divBdr>
            <w:top w:val="none" w:sz="0" w:space="0" w:color="auto"/>
            <w:left w:val="none" w:sz="0" w:space="0" w:color="auto"/>
            <w:bottom w:val="none" w:sz="0" w:space="0" w:color="auto"/>
            <w:right w:val="none" w:sz="0" w:space="0" w:color="auto"/>
          </w:divBdr>
        </w:div>
      </w:divsChild>
    </w:div>
    <w:div w:id="1511916794">
      <w:bodyDiv w:val="1"/>
      <w:marLeft w:val="0"/>
      <w:marRight w:val="0"/>
      <w:marTop w:val="0"/>
      <w:marBottom w:val="0"/>
      <w:divBdr>
        <w:top w:val="none" w:sz="0" w:space="0" w:color="auto"/>
        <w:left w:val="none" w:sz="0" w:space="0" w:color="auto"/>
        <w:bottom w:val="none" w:sz="0" w:space="0" w:color="auto"/>
        <w:right w:val="none" w:sz="0" w:space="0" w:color="auto"/>
      </w:divBdr>
    </w:div>
    <w:div w:id="1534611256">
      <w:bodyDiv w:val="1"/>
      <w:marLeft w:val="0"/>
      <w:marRight w:val="0"/>
      <w:marTop w:val="0"/>
      <w:marBottom w:val="0"/>
      <w:divBdr>
        <w:top w:val="none" w:sz="0" w:space="0" w:color="auto"/>
        <w:left w:val="none" w:sz="0" w:space="0" w:color="auto"/>
        <w:bottom w:val="none" w:sz="0" w:space="0" w:color="auto"/>
        <w:right w:val="none" w:sz="0" w:space="0" w:color="auto"/>
      </w:divBdr>
    </w:div>
    <w:div w:id="1868173921">
      <w:bodyDiv w:val="1"/>
      <w:marLeft w:val="0"/>
      <w:marRight w:val="0"/>
      <w:marTop w:val="0"/>
      <w:marBottom w:val="0"/>
      <w:divBdr>
        <w:top w:val="none" w:sz="0" w:space="0" w:color="auto"/>
        <w:left w:val="none" w:sz="0" w:space="0" w:color="auto"/>
        <w:bottom w:val="none" w:sz="0" w:space="0" w:color="auto"/>
        <w:right w:val="none" w:sz="0" w:space="0" w:color="auto"/>
      </w:divBdr>
    </w:div>
    <w:div w:id="1966151872">
      <w:bodyDiv w:val="1"/>
      <w:marLeft w:val="0"/>
      <w:marRight w:val="0"/>
      <w:marTop w:val="0"/>
      <w:marBottom w:val="0"/>
      <w:divBdr>
        <w:top w:val="none" w:sz="0" w:space="0" w:color="auto"/>
        <w:left w:val="none" w:sz="0" w:space="0" w:color="auto"/>
        <w:bottom w:val="none" w:sz="0" w:space="0" w:color="auto"/>
        <w:right w:val="none" w:sz="0" w:space="0" w:color="auto"/>
      </w:divBdr>
    </w:div>
    <w:div w:id="21372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women.org/en/digital-library/publications/2015/4/un-women-evaluation-handbook-how-to-manage-gender-responsive-evaluatio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evaluation.org/document/detail/102" TargetMode="External"/><Relationship Id="rId17" Type="http://schemas.openxmlformats.org/officeDocument/2006/relationships/hyperlink" Target="https://sbccimplementationkits.org/gender/sbcc-gender-models-and-framework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val.org/document/detail/980" TargetMode="Externa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https://genderevaluation.unwomen.org/-/media/files/un%20women/gender%20evaluation/handbook/geraas%20guidance%20note_aug%202019%20%20final.pdf?la=en&amp;vs=4654" TargetMode="External"/><Relationship Id="rId23" Type="http://schemas.openxmlformats.org/officeDocument/2006/relationships/theme" Target="theme/theme1.xml"/><Relationship Id="rId10" Type="http://schemas.openxmlformats.org/officeDocument/2006/relationships/hyperlink" Target="http://www.uneval.org/document/detail/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val.org/document/detail/21" TargetMode="External"/><Relationship Id="rId14" Type="http://schemas.openxmlformats.org/officeDocument/2006/relationships/hyperlink" Target="https://www.unwomen.org/en/digital-library/publications/2020/05/pocket-tool-for-managing-evaluation-during-the-covid-19-pandemic"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alnap.org/system/files/content/resource/files/main/sida_evaluation-handbook_extern_2020_webb.pdf" TargetMode="External"/><Relationship Id="rId13" Type="http://schemas.openxmlformats.org/officeDocument/2006/relationships/hyperlink" Target="https://www.kirkpatrickpartners.com/the-kirkpatrick-model/" TargetMode="External"/><Relationship Id="rId18" Type="http://schemas.openxmlformats.org/officeDocument/2006/relationships/hyperlink" Target="https://genderevaluation.unwomen.org/-/media/files/un%20women/gender%20evaluation/resourcefiles/2021/geraas%20eqa%20matrix%20july%202021.xlsx?la=en&amp;vs=733" TargetMode="External"/><Relationship Id="rId3" Type="http://schemas.openxmlformats.org/officeDocument/2006/relationships/hyperlink" Target="https://enterprise.press/stories/2021/12/06/upskilling-white-collar-labor-in-egypt-to-get-ahead-60042/" TargetMode="External"/><Relationship Id="rId7" Type="http://schemas.openxmlformats.org/officeDocument/2006/relationships/hyperlink" Target="https://eeas.europa.eu/sites/eeas/files/npa_english_final_approved_20_2_2017_printed.pdf" TargetMode="External"/><Relationship Id="rId12" Type="http://schemas.openxmlformats.org/officeDocument/2006/relationships/hyperlink" Target="https://trainingcentre.unwomen.org/RESOURCES_LIBRARY/Resources_Centre/Evaluation%20Tool_Training%20Gender%20Equality_26-06-2019%20LBA.pdf" TargetMode="External"/><Relationship Id="rId17" Type="http://schemas.openxmlformats.org/officeDocument/2006/relationships/hyperlink" Target="https://genderevaluation.unwomen.org/-/media/files/un%20women/gender%20evaluation/resourcefiles/2021/final%20geraas%20guidance%20note_july%202021.pdf?la=en&amp;vs=713" TargetMode="External"/><Relationship Id="rId2" Type="http://schemas.openxmlformats.org/officeDocument/2006/relationships/hyperlink" Target="https://ilostat.ilo.org" TargetMode="External"/><Relationship Id="rId16" Type="http://schemas.openxmlformats.org/officeDocument/2006/relationships/hyperlink" Target="https://genderevaluation.unwomen.org/-/media/files/un%20women/gender%20evaluation/resourcefiles/2021/geraas%20eqa%20matrix%20july%202021.xlsx?la=en&amp;vs=733" TargetMode="External"/><Relationship Id="rId1" Type="http://schemas.openxmlformats.org/officeDocument/2006/relationships/hyperlink" Target="https://ilostat.ilo.org" TargetMode="External"/><Relationship Id="rId6" Type="http://schemas.openxmlformats.org/officeDocument/2006/relationships/hyperlink" Target="https://jordan.unwomen.org/en/digital-library/publications/covid-19-and-wee-policy-recommendations" TargetMode="External"/><Relationship Id="rId11" Type="http://schemas.openxmlformats.org/officeDocument/2006/relationships/hyperlink" Target="https://sbccimplementationkits.org/gender/sbcc-gender-models-and-frameworks/" TargetMode="External"/><Relationship Id="rId5" Type="http://schemas.openxmlformats.org/officeDocument/2006/relationships/hyperlink" Target="https://www.acaps.org/country/jordan/crisis/syrian-refugees" TargetMode="External"/><Relationship Id="rId15" Type="http://schemas.openxmlformats.org/officeDocument/2006/relationships/hyperlink" Target="https://genderevaluation.unwomen.org/-/media/files/un%20women/gender%20evaluation/resourcefiles/2021/final%20geraas%20guidance%20note_july%202021.pdf?la=en&amp;vs=713" TargetMode="External"/><Relationship Id="rId10" Type="http://schemas.openxmlformats.org/officeDocument/2006/relationships/hyperlink" Target="https://www.unwomen.org/en/digital-library/publications/2020/06/good-practices-in-gender-responsive-evaluations" TargetMode="External"/><Relationship Id="rId4" Type="http://schemas.openxmlformats.org/officeDocument/2006/relationships/hyperlink" Target="https://www.jordantimes.com/opinion/lena-aloul/today-history-was-made" TargetMode="External"/><Relationship Id="rId9" Type="http://schemas.openxmlformats.org/officeDocument/2006/relationships/hyperlink" Target="https://www.canada.ca/en/treasury-board-secretariat/services/audit-evaluation/centre-excellence-evaluation/theory-based-approaches-evaluation-concepts-practices.html" TargetMode="External"/><Relationship Id="rId14" Type="http://schemas.openxmlformats.org/officeDocument/2006/relationships/hyperlink" Target="http://www.innonet.org/resources/files/Unique_Methods_Brief.pdf" TargetMode="External"/></Relationships>
</file>

<file path=word/documenttasks/documenttasks1.xml><?xml version="1.0" encoding="utf-8"?>
<t:Tasks xmlns:t="http://schemas.microsoft.com/office/tasks/2019/documenttasks" xmlns:oel="http://schemas.microsoft.com/office/2019/extlst">
  <t:Task id="{8EBF1BE1-36C2-4DD4-8B6D-CE8323DB86FC}">
    <t:Anchor>
      <t:Comment id="293817851"/>
    </t:Anchor>
    <t:History>
      <t:Event id="{20F5BA41-6648-4A8A-A05C-4B6B3CBF73F9}" time="2021-11-30T12:09:49.672Z">
        <t:Attribution userId="S::c.chattopadhyay@unwomen.org::1f634029-8e72-46cb-8a81-7bcd327d2576" userProvider="AD" userName="Chaitali Chattopadhyay"/>
        <t:Anchor>
          <t:Comment id="293817851"/>
        </t:Anchor>
        <t:Create/>
      </t:Event>
      <t:Event id="{AB6B8618-6486-48B3-B904-31F0686E57D3}" time="2021-11-30T12:09:49.672Z">
        <t:Attribution userId="S::c.chattopadhyay@unwomen.org::1f634029-8e72-46cb-8a81-7bcd327d2576" userProvider="AD" userName="Chaitali Chattopadhyay"/>
        <t:Anchor>
          <t:Comment id="293817851"/>
        </t:Anchor>
        <t:Assign userId="S::zein.soufan@unwomen.org::de77c6e8-318a-48f9-b724-fe1ffe08493d" userProvider="AD" userName="Zein Soufan"/>
      </t:Event>
      <t:Event id="{F0695934-E406-4C36-8D27-AE173CB76465}" time="2021-11-30T12:09:49.672Z">
        <t:Attribution userId="S::c.chattopadhyay@unwomen.org::1f634029-8e72-46cb-8a81-7bcd327d2576" userProvider="AD" userName="Chaitali Chattopadhyay"/>
        <t:Anchor>
          <t:Comment id="293817851"/>
        </t:Anchor>
        <t:SetTitle title="@Zein Soufan have you updated the da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9892D-5A4A-BE41-BC23-5528F472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12976</Words>
  <Characters>73964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Chaitali Chattopadhyay</dc:creator>
  <cp:keywords/>
  <dc:description/>
  <cp:lastModifiedBy>Chaitali Chattopadhyay</cp:lastModifiedBy>
  <cp:revision>2</cp:revision>
  <dcterms:created xsi:type="dcterms:W3CDTF">2023-07-04T19:52:00Z</dcterms:created>
  <dcterms:modified xsi:type="dcterms:W3CDTF">2023-07-04T19:52:00Z</dcterms:modified>
</cp:coreProperties>
</file>